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header3.xml" ContentType="application/vnd.openxmlformats-officedocument.wordprocessingml.header+xml"/>
  <Override PartName="/word/footer3.xml" ContentType="application/vnd.openxmlformats-officedocument.wordprocessingml.footer+xml"/>
  <Override PartName="/word/charts/chart14.xml" ContentType="application/vnd.openxmlformats-officedocument.drawingml.chart+xml"/>
  <Override PartName="/word/charts/chart15.xml" ContentType="application/vnd.openxmlformats-officedocument.drawingml.chart+xml"/>
  <Override PartName="/word/theme/themeOverride12.xml" ContentType="application/vnd.openxmlformats-officedocument.themeOverride+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83AE07" w14:textId="6BDF469E" w:rsidR="002E302A" w:rsidRDefault="002E302A">
      <w:pPr>
        <w:rPr>
          <w:rFonts w:ascii="Arial" w:eastAsia="Times New Roman" w:hAnsi="Arial" w:cs="Arial"/>
          <w:color w:val="000000"/>
          <w:sz w:val="60"/>
          <w:szCs w:val="60"/>
          <w:lang w:eastAsia="es-ES"/>
        </w:rPr>
      </w:pPr>
      <w:r>
        <w:rPr>
          <w:rFonts w:ascii="Arial" w:hAnsi="Arial" w:cs="Arial"/>
          <w:color w:val="000000"/>
          <w:sz w:val="60"/>
          <w:szCs w:val="60"/>
        </w:rPr>
        <w:br w:type="page"/>
      </w:r>
    </w:p>
    <w:p w14:paraId="6FA4FC0E" w14:textId="77777777" w:rsidR="003D6956" w:rsidRPr="00973028" w:rsidRDefault="003D6956" w:rsidP="000E2A66">
      <w:pPr>
        <w:pStyle w:val="NormalWeb"/>
        <w:spacing w:after="0" w:line="240" w:lineRule="auto"/>
        <w:jc w:val="center"/>
        <w:rPr>
          <w:rFonts w:ascii="Arial" w:hAnsi="Arial" w:cs="Arial"/>
          <w:color w:val="000000"/>
          <w:sz w:val="60"/>
          <w:szCs w:val="60"/>
        </w:rPr>
      </w:pPr>
    </w:p>
    <w:p w14:paraId="071C645A" w14:textId="77777777" w:rsidR="003D6956" w:rsidRPr="00973028" w:rsidRDefault="003D6956" w:rsidP="000E2A66">
      <w:pPr>
        <w:pStyle w:val="NormalWeb"/>
        <w:spacing w:after="0" w:line="240" w:lineRule="auto"/>
        <w:jc w:val="center"/>
        <w:rPr>
          <w:rFonts w:ascii="Arial" w:hAnsi="Arial" w:cs="Arial"/>
          <w:color w:val="000000"/>
          <w:sz w:val="60"/>
          <w:szCs w:val="60"/>
        </w:rPr>
      </w:pPr>
    </w:p>
    <w:p w14:paraId="7CD86909" w14:textId="77777777" w:rsidR="003D6956" w:rsidRPr="00973028" w:rsidRDefault="003D6956" w:rsidP="000E2A66">
      <w:pPr>
        <w:pStyle w:val="NormalWeb"/>
        <w:spacing w:after="0" w:line="240" w:lineRule="auto"/>
        <w:jc w:val="center"/>
        <w:rPr>
          <w:rFonts w:ascii="Arial" w:hAnsi="Arial" w:cs="Arial"/>
          <w:color w:val="000000"/>
          <w:sz w:val="60"/>
          <w:szCs w:val="60"/>
        </w:rPr>
      </w:pPr>
    </w:p>
    <w:p w14:paraId="43872141" w14:textId="67427D93" w:rsidR="000E2A66" w:rsidRPr="00973028" w:rsidRDefault="000E2A66" w:rsidP="000E2A66">
      <w:pPr>
        <w:pStyle w:val="NormalWeb"/>
        <w:spacing w:after="0" w:line="240" w:lineRule="auto"/>
        <w:jc w:val="center"/>
        <w:rPr>
          <w:rFonts w:ascii="Arial" w:hAnsi="Arial" w:cs="Arial"/>
          <w:b/>
          <w:bCs/>
        </w:rPr>
      </w:pPr>
      <w:r w:rsidRPr="00973028">
        <w:rPr>
          <w:rFonts w:ascii="Arial" w:hAnsi="Arial" w:cs="Arial"/>
          <w:b/>
          <w:bCs/>
          <w:color w:val="000000"/>
          <w:sz w:val="60"/>
          <w:szCs w:val="60"/>
        </w:rPr>
        <w:t xml:space="preserve">MEMORIA DE ACTIVIDAD </w:t>
      </w:r>
    </w:p>
    <w:p w14:paraId="32139401" w14:textId="2C3DF0FC" w:rsidR="000E2A66" w:rsidRPr="00973028" w:rsidRDefault="000E2A66" w:rsidP="000E2A66">
      <w:pPr>
        <w:pStyle w:val="NormalWeb"/>
        <w:spacing w:after="0" w:line="240" w:lineRule="auto"/>
        <w:jc w:val="center"/>
        <w:rPr>
          <w:rFonts w:ascii="Arial" w:hAnsi="Arial" w:cs="Arial"/>
          <w:b/>
          <w:bCs/>
        </w:rPr>
      </w:pPr>
      <w:r w:rsidRPr="00973028">
        <w:rPr>
          <w:rFonts w:ascii="Arial" w:hAnsi="Arial" w:cs="Arial"/>
          <w:b/>
          <w:bCs/>
          <w:color w:val="000000"/>
          <w:sz w:val="60"/>
          <w:szCs w:val="60"/>
        </w:rPr>
        <w:t>EJERCICIO 20</w:t>
      </w:r>
      <w:r w:rsidR="00992EC2" w:rsidRPr="00973028">
        <w:rPr>
          <w:rFonts w:ascii="Arial" w:hAnsi="Arial" w:cs="Arial"/>
          <w:b/>
          <w:bCs/>
          <w:color w:val="000000"/>
          <w:sz w:val="60"/>
          <w:szCs w:val="60"/>
        </w:rPr>
        <w:t>2</w:t>
      </w:r>
      <w:r w:rsidR="00C3108A">
        <w:rPr>
          <w:rFonts w:ascii="Arial" w:hAnsi="Arial" w:cs="Arial"/>
          <w:b/>
          <w:bCs/>
          <w:color w:val="000000"/>
          <w:sz w:val="60"/>
          <w:szCs w:val="60"/>
        </w:rPr>
        <w:t>1</w:t>
      </w:r>
    </w:p>
    <w:p w14:paraId="3421B897" w14:textId="77777777" w:rsidR="000E2A66" w:rsidRPr="00973028" w:rsidRDefault="000E2A66" w:rsidP="005945CC">
      <w:pPr>
        <w:pStyle w:val="NormalWeb"/>
        <w:spacing w:after="0" w:line="240" w:lineRule="auto"/>
        <w:jc w:val="center"/>
        <w:rPr>
          <w:rFonts w:ascii="Arial" w:hAnsi="Arial" w:cs="Arial"/>
        </w:rPr>
      </w:pPr>
    </w:p>
    <w:p w14:paraId="0CB3449D" w14:textId="77777777" w:rsidR="000E2A66" w:rsidRPr="00973028" w:rsidRDefault="000E2A66" w:rsidP="000E2A66">
      <w:pPr>
        <w:pStyle w:val="NormalWeb"/>
        <w:spacing w:after="0" w:line="240" w:lineRule="auto"/>
        <w:jc w:val="center"/>
        <w:rPr>
          <w:rFonts w:ascii="Arial" w:hAnsi="Arial" w:cs="Arial"/>
        </w:rPr>
      </w:pPr>
    </w:p>
    <w:p w14:paraId="242FCC3B" w14:textId="77777777" w:rsidR="001D06D6" w:rsidRDefault="000E2A66" w:rsidP="001D06D6">
      <w:pPr>
        <w:pStyle w:val="NormalWeb"/>
        <w:spacing w:after="0" w:line="240" w:lineRule="auto"/>
        <w:contextualSpacing/>
        <w:jc w:val="center"/>
        <w:rPr>
          <w:rFonts w:ascii="Arial" w:hAnsi="Arial" w:cs="Arial"/>
          <w:b/>
          <w:bCs/>
          <w:color w:val="9D2235"/>
          <w:sz w:val="30"/>
          <w:szCs w:val="30"/>
        </w:rPr>
      </w:pPr>
      <w:r w:rsidRPr="00973028">
        <w:rPr>
          <w:rFonts w:ascii="Arial" w:hAnsi="Arial" w:cs="Arial"/>
          <w:b/>
          <w:bCs/>
          <w:color w:val="9D2235"/>
          <w:sz w:val="30"/>
          <w:szCs w:val="30"/>
        </w:rPr>
        <w:t>AGENCIA DE PREVENCIÓN Y LUCHA</w:t>
      </w:r>
    </w:p>
    <w:p w14:paraId="6FE1F85E" w14:textId="77777777" w:rsidR="001D06D6" w:rsidRDefault="000E2A66" w:rsidP="001D06D6">
      <w:pPr>
        <w:pStyle w:val="NormalWeb"/>
        <w:spacing w:after="0" w:line="240" w:lineRule="auto"/>
        <w:contextualSpacing/>
        <w:jc w:val="center"/>
        <w:rPr>
          <w:rFonts w:ascii="Arial" w:hAnsi="Arial" w:cs="Arial"/>
          <w:b/>
          <w:bCs/>
          <w:color w:val="9D2235"/>
          <w:sz w:val="30"/>
          <w:szCs w:val="30"/>
        </w:rPr>
      </w:pPr>
      <w:r w:rsidRPr="00973028">
        <w:rPr>
          <w:rFonts w:ascii="Arial" w:hAnsi="Arial" w:cs="Arial"/>
          <w:b/>
          <w:bCs/>
          <w:color w:val="9D2235"/>
          <w:sz w:val="30"/>
          <w:szCs w:val="30"/>
        </w:rPr>
        <w:t>CONTRA EL FRAUDE Y LA CORRUPCIÓN</w:t>
      </w:r>
    </w:p>
    <w:p w14:paraId="545BE0A6" w14:textId="0DBB9223" w:rsidR="000E2A66" w:rsidRPr="00973028" w:rsidRDefault="000E2A66" w:rsidP="001D06D6">
      <w:pPr>
        <w:pStyle w:val="NormalWeb"/>
        <w:spacing w:after="0" w:line="240" w:lineRule="auto"/>
        <w:contextualSpacing/>
        <w:jc w:val="center"/>
        <w:rPr>
          <w:rFonts w:ascii="Arial" w:hAnsi="Arial" w:cs="Arial"/>
          <w:b/>
          <w:bCs/>
          <w:color w:val="9D2235"/>
        </w:rPr>
      </w:pPr>
      <w:r w:rsidRPr="00973028">
        <w:rPr>
          <w:rFonts w:ascii="Arial" w:hAnsi="Arial" w:cs="Arial"/>
          <w:b/>
          <w:bCs/>
          <w:color w:val="9D2235"/>
          <w:sz w:val="30"/>
          <w:szCs w:val="30"/>
        </w:rPr>
        <w:t>DE LA COMUNITAT VALENCIANA</w:t>
      </w:r>
    </w:p>
    <w:p w14:paraId="63C6212F" w14:textId="77777777" w:rsidR="000E2A66" w:rsidRPr="00973028" w:rsidRDefault="000E2A66" w:rsidP="000E2A66">
      <w:pPr>
        <w:pStyle w:val="NormalWeb"/>
        <w:spacing w:after="0" w:line="240" w:lineRule="auto"/>
        <w:jc w:val="center"/>
        <w:rPr>
          <w:rFonts w:ascii="Arial" w:hAnsi="Arial" w:cs="Arial"/>
        </w:rPr>
      </w:pPr>
    </w:p>
    <w:p w14:paraId="42F402F5" w14:textId="2138AC73" w:rsidR="000E2A66" w:rsidRPr="00973028" w:rsidRDefault="000E2A66" w:rsidP="000E2A66">
      <w:pPr>
        <w:pStyle w:val="NormalWeb"/>
        <w:keepNext/>
        <w:spacing w:after="0" w:line="240" w:lineRule="auto"/>
        <w:jc w:val="center"/>
        <w:rPr>
          <w:rFonts w:ascii="Arial" w:hAnsi="Arial" w:cs="Arial"/>
        </w:rPr>
      </w:pPr>
      <w:r w:rsidRPr="00973028">
        <w:rPr>
          <w:rFonts w:ascii="Arial" w:hAnsi="Arial" w:cs="Arial"/>
          <w:color w:val="000000"/>
        </w:rPr>
        <w:t xml:space="preserve">València, </w:t>
      </w:r>
      <w:r w:rsidR="00C3108A">
        <w:rPr>
          <w:rFonts w:ascii="Arial" w:hAnsi="Arial" w:cs="Arial"/>
          <w:color w:val="000000"/>
        </w:rPr>
        <w:t>29</w:t>
      </w:r>
      <w:r w:rsidR="009568B0" w:rsidRPr="00973028">
        <w:rPr>
          <w:rFonts w:ascii="Arial" w:hAnsi="Arial" w:cs="Arial"/>
          <w:color w:val="000000"/>
        </w:rPr>
        <w:t xml:space="preserve"> de marzo de 202</w:t>
      </w:r>
      <w:r w:rsidR="00C3108A">
        <w:rPr>
          <w:rFonts w:ascii="Arial" w:hAnsi="Arial" w:cs="Arial"/>
          <w:color w:val="000000"/>
        </w:rPr>
        <w:t>2</w:t>
      </w:r>
    </w:p>
    <w:p w14:paraId="262246A6" w14:textId="77777777" w:rsidR="00130C46" w:rsidRPr="00973028" w:rsidRDefault="00130C46">
      <w:pPr>
        <w:rPr>
          <w:rFonts w:ascii="Arial" w:hAnsi="Arial" w:cs="Arial"/>
        </w:rPr>
      </w:pPr>
    </w:p>
    <w:p w14:paraId="0BFD1963" w14:textId="77777777" w:rsidR="000E2A66" w:rsidRPr="00973028" w:rsidRDefault="000E2A66">
      <w:pPr>
        <w:rPr>
          <w:rFonts w:ascii="Arial" w:hAnsi="Arial" w:cs="Arial"/>
        </w:rPr>
      </w:pPr>
    </w:p>
    <w:p w14:paraId="07C39E98" w14:textId="77777777" w:rsidR="000E2A66" w:rsidRPr="00973028" w:rsidRDefault="000E2A66">
      <w:pPr>
        <w:rPr>
          <w:rFonts w:ascii="Arial" w:hAnsi="Arial" w:cs="Arial"/>
        </w:rPr>
      </w:pPr>
    </w:p>
    <w:p w14:paraId="76A7E676" w14:textId="77777777" w:rsidR="000E2A66" w:rsidRPr="00973028" w:rsidRDefault="000E2A66">
      <w:pPr>
        <w:rPr>
          <w:rFonts w:ascii="Arial" w:hAnsi="Arial" w:cs="Arial"/>
        </w:rPr>
      </w:pPr>
    </w:p>
    <w:p w14:paraId="22413461" w14:textId="77777777" w:rsidR="000E2A66" w:rsidRPr="00973028" w:rsidRDefault="000E2A66">
      <w:pPr>
        <w:rPr>
          <w:rFonts w:ascii="Arial" w:hAnsi="Arial" w:cs="Arial"/>
        </w:rPr>
      </w:pPr>
    </w:p>
    <w:p w14:paraId="3A833C4A" w14:textId="77777777" w:rsidR="000E2A66" w:rsidRPr="00973028" w:rsidRDefault="000E2A66">
      <w:pPr>
        <w:rPr>
          <w:rFonts w:ascii="Arial" w:hAnsi="Arial" w:cs="Arial"/>
        </w:rPr>
      </w:pPr>
    </w:p>
    <w:p w14:paraId="6BF15D4E" w14:textId="77777777" w:rsidR="000E2A66" w:rsidRPr="00973028" w:rsidRDefault="000E2A66">
      <w:pPr>
        <w:rPr>
          <w:rFonts w:ascii="Arial" w:hAnsi="Arial" w:cs="Arial"/>
        </w:rPr>
      </w:pPr>
    </w:p>
    <w:p w14:paraId="2595574C" w14:textId="77777777" w:rsidR="000E2A66" w:rsidRPr="00973028" w:rsidRDefault="000E2A66">
      <w:pPr>
        <w:rPr>
          <w:rFonts w:ascii="Arial" w:hAnsi="Arial" w:cs="Arial"/>
        </w:rPr>
      </w:pPr>
    </w:p>
    <w:p w14:paraId="6D42D00E" w14:textId="77777777" w:rsidR="00DD15BF" w:rsidRPr="00973028" w:rsidRDefault="00DD15BF">
      <w:pPr>
        <w:rPr>
          <w:rFonts w:ascii="Arial" w:hAnsi="Arial" w:cs="Arial"/>
        </w:rPr>
        <w:sectPr w:rsidR="00DD15BF" w:rsidRPr="00973028" w:rsidSect="00DD0CB6">
          <w:headerReference w:type="even" r:id="rId8"/>
          <w:headerReference w:type="default" r:id="rId9"/>
          <w:footerReference w:type="even" r:id="rId10"/>
          <w:footerReference w:type="first" r:id="rId11"/>
          <w:pgSz w:w="11906" w:h="16838"/>
          <w:pgMar w:top="1134" w:right="1701" w:bottom="1985" w:left="1701" w:header="708" w:footer="708" w:gutter="0"/>
          <w:cols w:space="708"/>
          <w:docGrid w:linePitch="360"/>
        </w:sectPr>
      </w:pPr>
    </w:p>
    <w:p w14:paraId="373493EF" w14:textId="77777777" w:rsidR="000E2A66" w:rsidRPr="00973028" w:rsidRDefault="000E2A66">
      <w:pPr>
        <w:rPr>
          <w:rFonts w:ascii="Arial" w:hAnsi="Arial" w:cs="Arial"/>
        </w:rPr>
      </w:pPr>
    </w:p>
    <w:p w14:paraId="771C128F" w14:textId="77777777" w:rsidR="00DD15BF" w:rsidRPr="00973028" w:rsidRDefault="00DD15BF">
      <w:pPr>
        <w:rPr>
          <w:rFonts w:ascii="Arial" w:hAnsi="Arial" w:cs="Arial"/>
        </w:rPr>
      </w:pPr>
    </w:p>
    <w:p w14:paraId="0B00F6E2" w14:textId="77777777" w:rsidR="000E2A66" w:rsidRPr="00973028" w:rsidRDefault="000E2A66">
      <w:pPr>
        <w:rPr>
          <w:rFonts w:ascii="Arial" w:hAnsi="Arial" w:cs="Arial"/>
        </w:rPr>
      </w:pPr>
    </w:p>
    <w:p w14:paraId="3F0BE430" w14:textId="77777777" w:rsidR="000E2A66" w:rsidRPr="00973028" w:rsidRDefault="000E2A66">
      <w:pPr>
        <w:rPr>
          <w:rFonts w:ascii="Arial" w:hAnsi="Arial" w:cs="Arial"/>
        </w:rPr>
      </w:pPr>
    </w:p>
    <w:p w14:paraId="463DE618" w14:textId="77777777" w:rsidR="000E2A66" w:rsidRPr="00973028" w:rsidRDefault="000E2A66">
      <w:pPr>
        <w:rPr>
          <w:rFonts w:ascii="Arial" w:hAnsi="Arial" w:cs="Arial"/>
        </w:rPr>
      </w:pPr>
    </w:p>
    <w:p w14:paraId="4FB10CB2" w14:textId="77777777" w:rsidR="000E2A66" w:rsidRPr="00973028" w:rsidRDefault="000E2A66">
      <w:pPr>
        <w:rPr>
          <w:rFonts w:ascii="Arial" w:hAnsi="Arial" w:cs="Arial"/>
        </w:rPr>
      </w:pPr>
    </w:p>
    <w:p w14:paraId="5640EAAB" w14:textId="77777777" w:rsidR="000E2A66" w:rsidRPr="00973028" w:rsidRDefault="000E2A66">
      <w:pPr>
        <w:rPr>
          <w:rFonts w:ascii="Arial" w:hAnsi="Arial" w:cs="Arial"/>
        </w:rPr>
      </w:pPr>
    </w:p>
    <w:p w14:paraId="13779271" w14:textId="77777777" w:rsidR="00DD15BF" w:rsidRPr="00973028" w:rsidRDefault="00DD15BF">
      <w:pPr>
        <w:rPr>
          <w:rFonts w:ascii="Arial" w:hAnsi="Arial" w:cs="Arial"/>
        </w:rPr>
      </w:pPr>
    </w:p>
    <w:p w14:paraId="6D39B73D" w14:textId="77777777" w:rsidR="00DD15BF" w:rsidRPr="00973028" w:rsidRDefault="00DD15BF">
      <w:pPr>
        <w:rPr>
          <w:rFonts w:ascii="Arial" w:hAnsi="Arial" w:cs="Arial"/>
        </w:rPr>
      </w:pPr>
    </w:p>
    <w:p w14:paraId="5A379638" w14:textId="77777777" w:rsidR="00DD15BF" w:rsidRPr="00973028" w:rsidRDefault="00DD15BF">
      <w:pPr>
        <w:rPr>
          <w:rFonts w:ascii="Arial" w:hAnsi="Arial" w:cs="Arial"/>
        </w:rPr>
      </w:pPr>
    </w:p>
    <w:p w14:paraId="218AD450" w14:textId="77777777" w:rsidR="00DD15BF" w:rsidRPr="00973028" w:rsidRDefault="00DD15BF">
      <w:pPr>
        <w:rPr>
          <w:rFonts w:ascii="Arial" w:hAnsi="Arial" w:cs="Arial"/>
        </w:rPr>
      </w:pPr>
    </w:p>
    <w:p w14:paraId="65FFBF1A" w14:textId="77777777" w:rsidR="00DD15BF" w:rsidRPr="00973028" w:rsidRDefault="00DD15BF">
      <w:pPr>
        <w:rPr>
          <w:rFonts w:ascii="Arial" w:hAnsi="Arial" w:cs="Arial"/>
        </w:rPr>
      </w:pPr>
    </w:p>
    <w:p w14:paraId="1F533192" w14:textId="77777777" w:rsidR="00DD15BF" w:rsidRPr="00973028" w:rsidRDefault="00DD15BF">
      <w:pPr>
        <w:rPr>
          <w:rFonts w:ascii="Arial" w:hAnsi="Arial" w:cs="Arial"/>
        </w:rPr>
      </w:pPr>
    </w:p>
    <w:p w14:paraId="55A181CF" w14:textId="77777777" w:rsidR="00DD15BF" w:rsidRPr="00973028" w:rsidRDefault="00DD15BF">
      <w:pPr>
        <w:rPr>
          <w:rFonts w:ascii="Arial" w:hAnsi="Arial" w:cs="Arial"/>
        </w:rPr>
      </w:pPr>
    </w:p>
    <w:p w14:paraId="2FFDBEE3" w14:textId="77777777" w:rsidR="00DD15BF" w:rsidRPr="00973028" w:rsidRDefault="00DD15BF">
      <w:pPr>
        <w:rPr>
          <w:rFonts w:ascii="Arial" w:hAnsi="Arial" w:cs="Arial"/>
        </w:rPr>
      </w:pPr>
    </w:p>
    <w:p w14:paraId="3490D864" w14:textId="77777777" w:rsidR="00DD15BF" w:rsidRPr="00973028" w:rsidRDefault="00DD15BF">
      <w:pPr>
        <w:rPr>
          <w:rFonts w:ascii="Arial" w:hAnsi="Arial" w:cs="Arial"/>
        </w:rPr>
      </w:pPr>
    </w:p>
    <w:p w14:paraId="33CA4A92" w14:textId="77777777" w:rsidR="00DD15BF" w:rsidRPr="00973028" w:rsidRDefault="00DD15BF">
      <w:pPr>
        <w:rPr>
          <w:rFonts w:ascii="Arial" w:hAnsi="Arial" w:cs="Arial"/>
        </w:rPr>
      </w:pPr>
    </w:p>
    <w:p w14:paraId="729B9F7F" w14:textId="77777777" w:rsidR="00DD15BF" w:rsidRPr="00973028" w:rsidRDefault="00DD15BF">
      <w:pPr>
        <w:rPr>
          <w:rFonts w:ascii="Arial" w:hAnsi="Arial" w:cs="Arial"/>
        </w:rPr>
      </w:pPr>
    </w:p>
    <w:p w14:paraId="5742D0E2" w14:textId="77777777" w:rsidR="00DD15BF" w:rsidRPr="00973028" w:rsidRDefault="00DD15BF">
      <w:pPr>
        <w:rPr>
          <w:rFonts w:ascii="Arial" w:hAnsi="Arial" w:cs="Arial"/>
        </w:rPr>
      </w:pPr>
    </w:p>
    <w:p w14:paraId="395450C8" w14:textId="77777777" w:rsidR="00DD15BF" w:rsidRPr="00973028" w:rsidRDefault="00DD15BF">
      <w:pPr>
        <w:rPr>
          <w:rFonts w:ascii="Arial" w:hAnsi="Arial" w:cs="Arial"/>
        </w:rPr>
      </w:pPr>
    </w:p>
    <w:p w14:paraId="72ABEAF6" w14:textId="77777777" w:rsidR="00DD15BF" w:rsidRPr="00973028" w:rsidRDefault="00DD15BF">
      <w:pPr>
        <w:rPr>
          <w:rFonts w:ascii="Arial" w:hAnsi="Arial" w:cs="Arial"/>
        </w:rPr>
      </w:pPr>
    </w:p>
    <w:p w14:paraId="4861C532" w14:textId="77777777" w:rsidR="00DD15BF" w:rsidRPr="00973028" w:rsidRDefault="00DD15BF">
      <w:pPr>
        <w:rPr>
          <w:rFonts w:ascii="Arial" w:hAnsi="Arial" w:cs="Arial"/>
        </w:rPr>
      </w:pPr>
    </w:p>
    <w:p w14:paraId="69D6E34E" w14:textId="77777777" w:rsidR="00DD15BF" w:rsidRPr="00973028" w:rsidRDefault="00DD15BF">
      <w:pPr>
        <w:rPr>
          <w:rFonts w:ascii="Arial" w:hAnsi="Arial" w:cs="Arial"/>
        </w:rPr>
      </w:pPr>
    </w:p>
    <w:p w14:paraId="73DB26DC" w14:textId="3DC7B6AF" w:rsidR="000E2A66" w:rsidRPr="00973028" w:rsidRDefault="000E2A66" w:rsidP="000E2A66">
      <w:pPr>
        <w:pStyle w:val="NormalWeb"/>
        <w:spacing w:after="0" w:line="240" w:lineRule="auto"/>
        <w:rPr>
          <w:rFonts w:ascii="Arial" w:hAnsi="Arial" w:cs="Arial"/>
        </w:rPr>
      </w:pPr>
      <w:r w:rsidRPr="00973028">
        <w:rPr>
          <w:rFonts w:ascii="Arial" w:hAnsi="Arial" w:cs="Arial"/>
          <w:noProof/>
        </w:rPr>
        <w:drawing>
          <wp:anchor distT="57150" distB="57150" distL="57150" distR="57150" simplePos="0" relativeHeight="251655168" behindDoc="0" locked="0" layoutInCell="1" allowOverlap="0" wp14:anchorId="5A1E4B1D" wp14:editId="33A9EDF4">
            <wp:simplePos x="0" y="0"/>
            <wp:positionH relativeFrom="column">
              <wp:align>left</wp:align>
            </wp:positionH>
            <wp:positionV relativeFrom="line">
              <wp:posOffset>0</wp:posOffset>
            </wp:positionV>
            <wp:extent cx="1047750" cy="361950"/>
            <wp:effectExtent l="0" t="0" r="0" b="0"/>
            <wp:wrapSquare wrapText="bothSides"/>
            <wp:docPr id="2" name="Imagen 2" descr="C:\Users\ROSA~1.BOR\AppData\Local\Temp\lu13676wmsrqw.tmp\lu13676wmsrsm_tmp_dfb25262bd3e99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A~1.BOR\AppData\Local\Temp\lu13676wmsrqw.tmp\lu13676wmsrsm_tmp_dfb25262bd3e99f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477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3028">
        <w:rPr>
          <w:rFonts w:ascii="Arial" w:hAnsi="Arial" w:cs="Arial"/>
        </w:rPr>
        <w:br w:type="textWrapping" w:clear="left"/>
      </w:r>
      <w:r w:rsidRPr="00973028">
        <w:rPr>
          <w:rFonts w:ascii="Arial" w:hAnsi="Arial" w:cs="Arial"/>
          <w:b/>
          <w:bCs/>
          <w:sz w:val="18"/>
          <w:szCs w:val="18"/>
        </w:rPr>
        <w:t>Reconocimiento – No Comercial – Sin Obra Derivada:</w:t>
      </w:r>
      <w:r w:rsidRPr="00973028">
        <w:rPr>
          <w:rFonts w:ascii="Arial" w:hAnsi="Arial" w:cs="Arial"/>
          <w:sz w:val="18"/>
          <w:szCs w:val="18"/>
        </w:rPr>
        <w:t xml:space="preserve"> No se permite un uso comercial de la obra original ni la </w:t>
      </w:r>
      <w:r w:rsidR="00995AF6" w:rsidRPr="00973028">
        <w:rPr>
          <w:rFonts w:ascii="Arial" w:hAnsi="Arial" w:cs="Arial"/>
          <w:sz w:val="18"/>
          <w:szCs w:val="18"/>
        </w:rPr>
        <w:t>generación</w:t>
      </w:r>
      <w:r w:rsidRPr="00973028">
        <w:rPr>
          <w:rFonts w:ascii="Arial" w:hAnsi="Arial" w:cs="Arial"/>
          <w:sz w:val="18"/>
          <w:szCs w:val="18"/>
        </w:rPr>
        <w:t xml:space="preserve"> de obras derivadas. </w:t>
      </w:r>
    </w:p>
    <w:p w14:paraId="396ECBF8" w14:textId="77777777" w:rsidR="000E2A66" w:rsidRPr="00973028" w:rsidRDefault="000E2A66" w:rsidP="000E2A66">
      <w:pPr>
        <w:pStyle w:val="NormalWeb"/>
        <w:spacing w:before="0" w:beforeAutospacing="0" w:after="0" w:line="240" w:lineRule="auto"/>
        <w:rPr>
          <w:rFonts w:ascii="Arial" w:hAnsi="Arial" w:cs="Arial"/>
        </w:rPr>
      </w:pPr>
      <w:r w:rsidRPr="00973028">
        <w:rPr>
          <w:rFonts w:ascii="Arial" w:hAnsi="Arial" w:cs="Arial"/>
          <w:sz w:val="18"/>
          <w:szCs w:val="18"/>
        </w:rPr>
        <w:t>Depósito legal: V-1285-2018</w:t>
      </w:r>
    </w:p>
    <w:p w14:paraId="6A93C148" w14:textId="0AAFCF9F" w:rsidR="000E2A66" w:rsidRPr="00973028" w:rsidRDefault="000E2A66" w:rsidP="000E2A66">
      <w:pPr>
        <w:pStyle w:val="NormalWeb"/>
        <w:spacing w:before="0" w:beforeAutospacing="0" w:after="0" w:line="240" w:lineRule="auto"/>
        <w:rPr>
          <w:rFonts w:ascii="Arial" w:hAnsi="Arial" w:cs="Arial"/>
        </w:rPr>
      </w:pPr>
      <w:r w:rsidRPr="00973028">
        <w:rPr>
          <w:rFonts w:ascii="Arial" w:hAnsi="Arial" w:cs="Arial"/>
          <w:sz w:val="18"/>
          <w:szCs w:val="18"/>
        </w:rPr>
        <w:t>Edita: Ag</w:t>
      </w:r>
      <w:r w:rsidR="007D3D23" w:rsidRPr="00973028">
        <w:rPr>
          <w:rFonts w:ascii="Arial" w:hAnsi="Arial" w:cs="Arial"/>
          <w:sz w:val="18"/>
          <w:szCs w:val="18"/>
        </w:rPr>
        <w:t>e</w:t>
      </w:r>
      <w:r w:rsidRPr="00973028">
        <w:rPr>
          <w:rFonts w:ascii="Arial" w:hAnsi="Arial" w:cs="Arial"/>
          <w:sz w:val="18"/>
          <w:szCs w:val="18"/>
        </w:rPr>
        <w:t>ncia Valenciana Antifrau</w:t>
      </w:r>
      <w:r w:rsidR="00436174" w:rsidRPr="00973028">
        <w:rPr>
          <w:rFonts w:ascii="Arial" w:hAnsi="Arial" w:cs="Arial"/>
          <w:sz w:val="18"/>
          <w:szCs w:val="18"/>
        </w:rPr>
        <w:t>de</w:t>
      </w:r>
    </w:p>
    <w:p w14:paraId="416ADF57" w14:textId="05249D9F" w:rsidR="000E2A66" w:rsidRPr="00973028" w:rsidRDefault="000E2A66" w:rsidP="000E2A66">
      <w:pPr>
        <w:pStyle w:val="NormalWeb"/>
        <w:spacing w:before="0" w:beforeAutospacing="0" w:after="0" w:line="240" w:lineRule="auto"/>
        <w:rPr>
          <w:rFonts w:ascii="Arial" w:hAnsi="Arial" w:cs="Arial"/>
        </w:rPr>
      </w:pPr>
      <w:r w:rsidRPr="00973028">
        <w:rPr>
          <w:rFonts w:ascii="Arial" w:hAnsi="Arial" w:cs="Arial"/>
          <w:sz w:val="18"/>
          <w:szCs w:val="18"/>
        </w:rPr>
        <w:t>Diseño y maquetación: Ag</w:t>
      </w:r>
      <w:r w:rsidR="007D3D23" w:rsidRPr="00973028">
        <w:rPr>
          <w:rFonts w:ascii="Arial" w:hAnsi="Arial" w:cs="Arial"/>
          <w:sz w:val="18"/>
          <w:szCs w:val="18"/>
        </w:rPr>
        <w:t>e</w:t>
      </w:r>
      <w:r w:rsidRPr="00973028">
        <w:rPr>
          <w:rFonts w:ascii="Arial" w:hAnsi="Arial" w:cs="Arial"/>
          <w:sz w:val="18"/>
          <w:szCs w:val="18"/>
        </w:rPr>
        <w:t>ncia Valenciana Antifrau</w:t>
      </w:r>
      <w:r w:rsidR="00436174" w:rsidRPr="00973028">
        <w:rPr>
          <w:rFonts w:ascii="Arial" w:hAnsi="Arial" w:cs="Arial"/>
          <w:sz w:val="18"/>
          <w:szCs w:val="18"/>
        </w:rPr>
        <w:t>de</w:t>
      </w:r>
    </w:p>
    <w:p w14:paraId="3C06F3EF" w14:textId="07059BFC" w:rsidR="000E2A66" w:rsidRPr="00973028" w:rsidRDefault="00AF755F" w:rsidP="000E2A66">
      <w:pPr>
        <w:pStyle w:val="NormalWeb"/>
        <w:spacing w:before="0" w:beforeAutospacing="0" w:after="0" w:line="240" w:lineRule="auto"/>
        <w:rPr>
          <w:rFonts w:ascii="Arial" w:hAnsi="Arial" w:cs="Arial"/>
        </w:rPr>
      </w:pPr>
      <w:r w:rsidRPr="00973028">
        <w:rPr>
          <w:rFonts w:ascii="Arial" w:hAnsi="Arial" w:cs="Arial"/>
          <w:sz w:val="18"/>
          <w:szCs w:val="18"/>
        </w:rPr>
        <w:t>M</w:t>
      </w:r>
      <w:r w:rsidR="000E2A66" w:rsidRPr="00973028">
        <w:rPr>
          <w:rFonts w:ascii="Arial" w:hAnsi="Arial" w:cs="Arial"/>
          <w:sz w:val="18"/>
          <w:szCs w:val="18"/>
        </w:rPr>
        <w:t>arzo de 20</w:t>
      </w:r>
      <w:r w:rsidR="009568B0" w:rsidRPr="00973028">
        <w:rPr>
          <w:rFonts w:ascii="Arial" w:hAnsi="Arial" w:cs="Arial"/>
          <w:sz w:val="18"/>
          <w:szCs w:val="18"/>
        </w:rPr>
        <w:t>2</w:t>
      </w:r>
      <w:r w:rsidR="00C3108A">
        <w:rPr>
          <w:rFonts w:ascii="Arial" w:hAnsi="Arial" w:cs="Arial"/>
          <w:sz w:val="18"/>
          <w:szCs w:val="18"/>
        </w:rPr>
        <w:t>2</w:t>
      </w:r>
    </w:p>
    <w:p w14:paraId="71C8DDCE" w14:textId="029A1DB1" w:rsidR="000E2A66" w:rsidRPr="00973028" w:rsidRDefault="000E2A66" w:rsidP="000E2A66">
      <w:pPr>
        <w:pStyle w:val="NormalWeb"/>
        <w:spacing w:before="0" w:beforeAutospacing="0" w:after="0" w:line="240" w:lineRule="auto"/>
        <w:rPr>
          <w:rFonts w:ascii="Arial" w:hAnsi="Arial" w:cs="Arial"/>
        </w:rPr>
      </w:pPr>
      <w:r w:rsidRPr="00973028">
        <w:rPr>
          <w:rFonts w:ascii="Arial" w:hAnsi="Arial" w:cs="Arial"/>
          <w:sz w:val="18"/>
          <w:szCs w:val="18"/>
        </w:rPr>
        <w:t xml:space="preserve">Primera </w:t>
      </w:r>
      <w:r w:rsidR="00995AF6" w:rsidRPr="00973028">
        <w:rPr>
          <w:rFonts w:ascii="Arial" w:hAnsi="Arial" w:cs="Arial"/>
          <w:sz w:val="18"/>
          <w:szCs w:val="18"/>
        </w:rPr>
        <w:t>edición</w:t>
      </w:r>
      <w:r w:rsidRPr="00973028">
        <w:rPr>
          <w:rFonts w:ascii="Arial" w:hAnsi="Arial" w:cs="Arial"/>
          <w:sz w:val="18"/>
          <w:szCs w:val="18"/>
        </w:rPr>
        <w:t xml:space="preserve"> </w:t>
      </w:r>
    </w:p>
    <w:p w14:paraId="41F21AB4" w14:textId="18AA334D" w:rsidR="000E2A66" w:rsidRPr="00973028" w:rsidRDefault="00BB76EE" w:rsidP="000E2A66">
      <w:pPr>
        <w:pStyle w:val="NormalWeb"/>
        <w:spacing w:before="0" w:beforeAutospacing="0" w:after="0" w:line="240" w:lineRule="auto"/>
        <w:rPr>
          <w:rFonts w:ascii="Arial" w:hAnsi="Arial" w:cs="Arial"/>
          <w:color w:val="000080"/>
        </w:rPr>
      </w:pPr>
      <w:r>
        <w:rPr>
          <w:rFonts w:ascii="Arial" w:hAnsi="Arial" w:cs="Arial"/>
          <w:sz w:val="18"/>
          <w:szCs w:val="18"/>
        </w:rPr>
        <w:t>Este</w:t>
      </w:r>
      <w:r w:rsidR="000E2A66" w:rsidRPr="00973028">
        <w:rPr>
          <w:rFonts w:ascii="Arial" w:hAnsi="Arial" w:cs="Arial"/>
          <w:sz w:val="18"/>
          <w:szCs w:val="18"/>
        </w:rPr>
        <w:t xml:space="preserve"> documento está </w:t>
      </w:r>
      <w:r>
        <w:rPr>
          <w:rFonts w:ascii="Arial" w:hAnsi="Arial" w:cs="Arial"/>
          <w:sz w:val="18"/>
          <w:szCs w:val="18"/>
        </w:rPr>
        <w:t>disponible</w:t>
      </w:r>
      <w:r w:rsidR="000E2A66" w:rsidRPr="00973028">
        <w:rPr>
          <w:rFonts w:ascii="Arial" w:hAnsi="Arial" w:cs="Arial"/>
          <w:sz w:val="18"/>
          <w:szCs w:val="18"/>
        </w:rPr>
        <w:t xml:space="preserve"> en el sitio web: </w:t>
      </w:r>
      <w:hyperlink r:id="rId13" w:history="1">
        <w:r w:rsidR="000E2A66" w:rsidRPr="00973028">
          <w:rPr>
            <w:rStyle w:val="Hipervnculo"/>
            <w:rFonts w:ascii="Arial" w:hAnsi="Arial" w:cs="Arial"/>
            <w:sz w:val="18"/>
            <w:szCs w:val="18"/>
          </w:rPr>
          <w:t>http</w:t>
        </w:r>
      </w:hyperlink>
      <w:hyperlink r:id="rId14" w:history="1">
        <w:r w:rsidR="000E2A66" w:rsidRPr="00973028">
          <w:rPr>
            <w:rStyle w:val="Hipervnculo"/>
            <w:rFonts w:ascii="Arial" w:hAnsi="Arial" w:cs="Arial"/>
            <w:sz w:val="18"/>
            <w:szCs w:val="18"/>
          </w:rPr>
          <w:t>s</w:t>
        </w:r>
      </w:hyperlink>
      <w:hyperlink r:id="rId15" w:history="1">
        <w:r w:rsidR="000E2A66" w:rsidRPr="00973028">
          <w:rPr>
            <w:rStyle w:val="Hipervnculo"/>
            <w:rFonts w:ascii="Arial" w:hAnsi="Arial" w:cs="Arial"/>
            <w:sz w:val="18"/>
            <w:szCs w:val="18"/>
          </w:rPr>
          <w:t>://</w:t>
        </w:r>
      </w:hyperlink>
      <w:hyperlink r:id="rId16" w:history="1">
        <w:r w:rsidR="000E2A66" w:rsidRPr="00973028">
          <w:rPr>
            <w:rStyle w:val="Hipervnculo"/>
            <w:rFonts w:ascii="Arial" w:hAnsi="Arial" w:cs="Arial"/>
            <w:sz w:val="18"/>
            <w:szCs w:val="18"/>
          </w:rPr>
          <w:t>www.antifrau</w:t>
        </w:r>
      </w:hyperlink>
      <w:hyperlink r:id="rId17" w:history="1">
        <w:r w:rsidR="000E2A66" w:rsidRPr="00973028">
          <w:rPr>
            <w:rStyle w:val="Hipervnculo"/>
            <w:rFonts w:ascii="Arial" w:hAnsi="Arial" w:cs="Arial"/>
            <w:sz w:val="18"/>
            <w:szCs w:val="18"/>
          </w:rPr>
          <w:t>cv.e</w:t>
        </w:r>
      </w:hyperlink>
      <w:hyperlink r:id="rId18" w:history="1">
        <w:r w:rsidR="000E2A66" w:rsidRPr="00973028">
          <w:rPr>
            <w:rStyle w:val="Hipervnculo"/>
            <w:rFonts w:ascii="Arial" w:hAnsi="Arial" w:cs="Arial"/>
            <w:sz w:val="18"/>
            <w:szCs w:val="18"/>
          </w:rPr>
          <w:t>s</w:t>
        </w:r>
      </w:hyperlink>
    </w:p>
    <w:p w14:paraId="7FF73065" w14:textId="77777777" w:rsidR="00DD15BF" w:rsidRPr="00973028" w:rsidRDefault="00DD15BF" w:rsidP="000E2A66">
      <w:pPr>
        <w:rPr>
          <w:rFonts w:ascii="Arial" w:hAnsi="Arial" w:cs="Arial"/>
        </w:rPr>
        <w:sectPr w:rsidR="00DD15BF" w:rsidRPr="00973028" w:rsidSect="00DD0CB6">
          <w:pgSz w:w="11906" w:h="16838"/>
          <w:pgMar w:top="1134" w:right="1701" w:bottom="1985" w:left="1701" w:header="708" w:footer="708" w:gutter="0"/>
          <w:cols w:space="708"/>
          <w:titlePg/>
          <w:docGrid w:linePitch="360"/>
        </w:sectPr>
      </w:pPr>
    </w:p>
    <w:p w14:paraId="49089E0F" w14:textId="77777777" w:rsidR="000E2A66" w:rsidRPr="00973028" w:rsidRDefault="000E2A66" w:rsidP="000E2A66">
      <w:pPr>
        <w:rPr>
          <w:rFonts w:ascii="Arial" w:hAnsi="Arial" w:cs="Arial"/>
        </w:rPr>
      </w:pPr>
    </w:p>
    <w:p w14:paraId="6AA47997" w14:textId="4694DDD5" w:rsidR="000E2A66" w:rsidRPr="00973028" w:rsidRDefault="000E2A66" w:rsidP="00A46175">
      <w:pPr>
        <w:pStyle w:val="NormalWeb"/>
        <w:spacing w:before="5600" w:beforeAutospacing="0" w:after="0" w:line="240" w:lineRule="auto"/>
        <w:jc w:val="both"/>
        <w:rPr>
          <w:rFonts w:ascii="Arial" w:hAnsi="Arial" w:cs="Arial"/>
        </w:rPr>
      </w:pPr>
      <w:r w:rsidRPr="00973028">
        <w:rPr>
          <w:rFonts w:ascii="Arial" w:hAnsi="Arial" w:cs="Arial"/>
          <w:color w:val="000000"/>
          <w:sz w:val="20"/>
          <w:szCs w:val="20"/>
        </w:rPr>
        <w:t>E</w:t>
      </w:r>
      <w:r w:rsidR="00DD15BF" w:rsidRPr="00973028">
        <w:rPr>
          <w:rFonts w:ascii="Arial" w:hAnsi="Arial" w:cs="Arial"/>
          <w:color w:val="000000"/>
          <w:sz w:val="20"/>
          <w:szCs w:val="20"/>
        </w:rPr>
        <w:t>n</w:t>
      </w:r>
      <w:r w:rsidRPr="00973028">
        <w:rPr>
          <w:rFonts w:ascii="Arial" w:hAnsi="Arial" w:cs="Arial"/>
          <w:color w:val="000000"/>
          <w:sz w:val="20"/>
          <w:szCs w:val="20"/>
        </w:rPr>
        <w:t xml:space="preserve"> cumplimiento del mandato que establece el artículo 22 de la Ley 11/2016, de 28 de noviembre, de la Generalitat, de la Agencia de Prevención y Lucha contra el Fraude y la Corrupción de la Comunitat Valenciana, se presenta la Memoria de las actuaciones desarrolladas por esta entidad durante el año 20</w:t>
      </w:r>
      <w:r w:rsidR="00BB4994" w:rsidRPr="00973028">
        <w:rPr>
          <w:rFonts w:ascii="Arial" w:hAnsi="Arial" w:cs="Arial"/>
          <w:color w:val="000000"/>
          <w:sz w:val="20"/>
          <w:szCs w:val="20"/>
        </w:rPr>
        <w:t>2</w:t>
      </w:r>
      <w:r w:rsidR="00C3108A">
        <w:rPr>
          <w:rFonts w:ascii="Arial" w:hAnsi="Arial" w:cs="Arial"/>
          <w:color w:val="000000"/>
          <w:sz w:val="20"/>
          <w:szCs w:val="20"/>
        </w:rPr>
        <w:t>1</w:t>
      </w:r>
      <w:r w:rsidRPr="00973028">
        <w:rPr>
          <w:rFonts w:ascii="Arial" w:hAnsi="Arial" w:cs="Arial"/>
          <w:color w:val="000000"/>
          <w:sz w:val="20"/>
          <w:szCs w:val="20"/>
        </w:rPr>
        <w:t xml:space="preserve"> en el ámbito de sus funciones. </w:t>
      </w:r>
    </w:p>
    <w:p w14:paraId="351047A0" w14:textId="6C8DC204" w:rsidR="00367282" w:rsidRPr="00973028" w:rsidRDefault="00367282">
      <w:pPr>
        <w:rPr>
          <w:rFonts w:ascii="Arial" w:hAnsi="Arial" w:cs="Arial"/>
        </w:rPr>
      </w:pPr>
      <w:r w:rsidRPr="00973028">
        <w:rPr>
          <w:rFonts w:ascii="Arial" w:hAnsi="Arial" w:cs="Arial"/>
        </w:rPr>
        <w:br w:type="page"/>
      </w:r>
    </w:p>
    <w:p w14:paraId="155907E5" w14:textId="77777777" w:rsidR="00DD15BF" w:rsidRPr="00973028" w:rsidRDefault="00DD15BF">
      <w:pPr>
        <w:rPr>
          <w:rFonts w:ascii="Arial" w:hAnsi="Arial" w:cs="Arial"/>
        </w:rPr>
      </w:pPr>
    </w:p>
    <w:p w14:paraId="4C988ABC" w14:textId="77777777" w:rsidR="000E2A66" w:rsidRPr="00973028" w:rsidRDefault="000E2A66">
      <w:pPr>
        <w:rPr>
          <w:rFonts w:ascii="Arial" w:hAnsi="Arial" w:cs="Arial"/>
        </w:rPr>
      </w:pPr>
    </w:p>
    <w:p w14:paraId="130F1E53" w14:textId="77777777" w:rsidR="000E2A66" w:rsidRPr="00973028" w:rsidRDefault="000E2A66" w:rsidP="000E2A66">
      <w:pPr>
        <w:jc w:val="both"/>
        <w:rPr>
          <w:rFonts w:ascii="Arial" w:hAnsi="Arial" w:cs="Arial"/>
        </w:rPr>
      </w:pPr>
    </w:p>
    <w:p w14:paraId="460B0954" w14:textId="77777777" w:rsidR="000E2A66" w:rsidRPr="00973028" w:rsidRDefault="000E2A66" w:rsidP="000E2A66">
      <w:pPr>
        <w:jc w:val="both"/>
        <w:rPr>
          <w:rFonts w:ascii="Arial" w:hAnsi="Arial" w:cs="Arial"/>
        </w:rPr>
      </w:pPr>
    </w:p>
    <w:p w14:paraId="3071B7AE" w14:textId="77777777" w:rsidR="000E2A66" w:rsidRPr="00973028" w:rsidRDefault="000E2A66" w:rsidP="000E2A66">
      <w:pPr>
        <w:jc w:val="both"/>
        <w:rPr>
          <w:rFonts w:ascii="Arial" w:hAnsi="Arial" w:cs="Arial"/>
        </w:rPr>
      </w:pPr>
    </w:p>
    <w:p w14:paraId="15A051B9" w14:textId="77777777" w:rsidR="000E2A66" w:rsidRPr="00973028" w:rsidRDefault="000E2A66" w:rsidP="000E2A66">
      <w:pPr>
        <w:jc w:val="both"/>
        <w:rPr>
          <w:rFonts w:ascii="Arial" w:hAnsi="Arial" w:cs="Arial"/>
        </w:rPr>
      </w:pPr>
    </w:p>
    <w:p w14:paraId="426BF2EF" w14:textId="77777777" w:rsidR="000E2A66" w:rsidRPr="00973028" w:rsidRDefault="000E2A66" w:rsidP="000E2A66">
      <w:pPr>
        <w:jc w:val="both"/>
        <w:rPr>
          <w:rFonts w:ascii="Arial" w:hAnsi="Arial" w:cs="Arial"/>
        </w:rPr>
      </w:pPr>
    </w:p>
    <w:p w14:paraId="425394AA" w14:textId="77777777" w:rsidR="000E2A66" w:rsidRPr="00973028" w:rsidRDefault="000E2A66" w:rsidP="000E2A66">
      <w:pPr>
        <w:jc w:val="both"/>
        <w:rPr>
          <w:rFonts w:ascii="Arial" w:hAnsi="Arial" w:cs="Arial"/>
        </w:rPr>
      </w:pPr>
    </w:p>
    <w:p w14:paraId="1B7B0F6F" w14:textId="77777777" w:rsidR="00A46175" w:rsidRPr="00973028" w:rsidRDefault="00A46175" w:rsidP="000E2A66">
      <w:pPr>
        <w:keepNext/>
        <w:spacing w:after="0" w:line="240" w:lineRule="auto"/>
        <w:ind w:left="1134"/>
        <w:jc w:val="right"/>
        <w:outlineLvl w:val="0"/>
        <w:rPr>
          <w:rFonts w:ascii="Arial" w:eastAsia="Times New Roman" w:hAnsi="Arial" w:cs="Arial"/>
          <w:b/>
          <w:bCs/>
          <w:color w:val="94070A"/>
          <w:spacing w:val="-34"/>
          <w:kern w:val="36"/>
          <w:sz w:val="20"/>
          <w:szCs w:val="20"/>
          <w:lang w:eastAsia="es-ES"/>
        </w:rPr>
      </w:pPr>
    </w:p>
    <w:p w14:paraId="5B0BC859" w14:textId="77777777" w:rsidR="00A46175" w:rsidRPr="00973028" w:rsidRDefault="00A46175" w:rsidP="00043C15">
      <w:pPr>
        <w:keepNext/>
        <w:spacing w:after="0" w:line="240" w:lineRule="auto"/>
        <w:outlineLvl w:val="0"/>
        <w:rPr>
          <w:rFonts w:ascii="Arial" w:eastAsia="Times New Roman" w:hAnsi="Arial" w:cs="Arial"/>
          <w:b/>
          <w:bCs/>
          <w:color w:val="94070A"/>
          <w:spacing w:val="-34"/>
          <w:kern w:val="36"/>
          <w:sz w:val="20"/>
          <w:szCs w:val="20"/>
          <w:lang w:eastAsia="es-ES"/>
        </w:rPr>
      </w:pPr>
    </w:p>
    <w:p w14:paraId="6E11F2EB" w14:textId="77777777" w:rsidR="00C65D36" w:rsidRPr="00973028" w:rsidRDefault="00C65D36" w:rsidP="00043C15">
      <w:pPr>
        <w:keepNext/>
        <w:spacing w:after="0" w:line="240" w:lineRule="auto"/>
        <w:outlineLvl w:val="0"/>
        <w:rPr>
          <w:rFonts w:ascii="Arial" w:eastAsia="Times New Roman" w:hAnsi="Arial" w:cs="Arial"/>
          <w:b/>
          <w:bCs/>
          <w:color w:val="94070A"/>
          <w:spacing w:val="-34"/>
          <w:kern w:val="36"/>
          <w:sz w:val="20"/>
          <w:szCs w:val="20"/>
          <w:lang w:eastAsia="es-ES"/>
        </w:rPr>
      </w:pPr>
    </w:p>
    <w:p w14:paraId="41A1137D" w14:textId="3C0DC56A" w:rsidR="00A46175" w:rsidRPr="00973028" w:rsidRDefault="000E2A66" w:rsidP="007642F6">
      <w:pPr>
        <w:keepNext/>
        <w:spacing w:after="0" w:line="240" w:lineRule="auto"/>
        <w:ind w:left="1134"/>
        <w:jc w:val="right"/>
        <w:outlineLvl w:val="0"/>
        <w:rPr>
          <w:rFonts w:ascii="Arial" w:eastAsia="Times New Roman" w:hAnsi="Arial" w:cs="Arial"/>
          <w:b/>
          <w:bCs/>
          <w:color w:val="9D2235"/>
          <w:spacing w:val="-34"/>
          <w:kern w:val="36"/>
          <w:sz w:val="60"/>
          <w:szCs w:val="60"/>
          <w:lang w:eastAsia="es-ES"/>
        </w:rPr>
      </w:pPr>
      <w:bookmarkStart w:id="2" w:name="_Toc99106956"/>
      <w:r w:rsidRPr="00973028">
        <w:rPr>
          <w:rFonts w:ascii="Arial" w:eastAsia="Times New Roman" w:hAnsi="Arial" w:cs="Arial"/>
          <w:b/>
          <w:bCs/>
          <w:color w:val="9D2235"/>
          <w:spacing w:val="-34"/>
          <w:kern w:val="36"/>
          <w:sz w:val="60"/>
          <w:szCs w:val="60"/>
          <w:lang w:eastAsia="es-ES"/>
        </w:rPr>
        <w:t>La Agencia</w:t>
      </w:r>
      <w:r w:rsidR="00797E9C" w:rsidRPr="00973028">
        <w:rPr>
          <w:rFonts w:ascii="Arial" w:eastAsia="Times New Roman" w:hAnsi="Arial" w:cs="Arial"/>
          <w:b/>
          <w:bCs/>
          <w:color w:val="9D2235"/>
          <w:spacing w:val="-34"/>
          <w:kern w:val="36"/>
          <w:sz w:val="60"/>
          <w:szCs w:val="60"/>
          <w:lang w:eastAsia="es-ES"/>
        </w:rPr>
        <w:t xml:space="preserve"> </w:t>
      </w:r>
      <w:r w:rsidR="007642F6" w:rsidRPr="00973028">
        <w:rPr>
          <w:rFonts w:ascii="Arial" w:eastAsia="Times New Roman" w:hAnsi="Arial" w:cs="Arial"/>
          <w:b/>
          <w:bCs/>
          <w:color w:val="9D2235"/>
          <w:spacing w:val="-34"/>
          <w:kern w:val="36"/>
          <w:sz w:val="60"/>
          <w:szCs w:val="60"/>
          <w:lang w:eastAsia="es-ES"/>
        </w:rPr>
        <w:br/>
      </w:r>
      <w:r w:rsidR="00797E9C" w:rsidRPr="00973028">
        <w:rPr>
          <w:rFonts w:ascii="Arial" w:eastAsia="Times New Roman" w:hAnsi="Arial" w:cs="Arial"/>
          <w:b/>
          <w:bCs/>
          <w:color w:val="9D2235"/>
          <w:spacing w:val="-34"/>
          <w:kern w:val="36"/>
          <w:sz w:val="60"/>
          <w:szCs w:val="60"/>
          <w:lang w:eastAsia="es-ES"/>
        </w:rPr>
        <w:t>AVAF</w:t>
      </w:r>
      <w:bookmarkEnd w:id="2"/>
    </w:p>
    <w:p w14:paraId="5B756E76" w14:textId="77777777" w:rsidR="000E2A66" w:rsidRPr="00973028" w:rsidRDefault="000E2A66" w:rsidP="000E2A66">
      <w:pPr>
        <w:spacing w:before="100" w:beforeAutospacing="1" w:after="0" w:line="240" w:lineRule="auto"/>
        <w:jc w:val="right"/>
        <w:rPr>
          <w:rFonts w:ascii="Arial" w:eastAsia="Times New Roman" w:hAnsi="Arial" w:cs="Arial"/>
          <w:color w:val="9D2235"/>
          <w:sz w:val="24"/>
          <w:szCs w:val="24"/>
          <w:lang w:eastAsia="es-ES"/>
        </w:rPr>
      </w:pPr>
      <w:r w:rsidRPr="00973028">
        <w:rPr>
          <w:rFonts w:ascii="Arial" w:eastAsia="Times New Roman" w:hAnsi="Arial" w:cs="Arial"/>
          <w:b/>
          <w:bCs/>
          <w:color w:val="9D2235"/>
          <w:sz w:val="18"/>
          <w:szCs w:val="18"/>
          <w:lang w:eastAsia="es-ES"/>
        </w:rPr>
        <w:t>Nos encontramos en:</w:t>
      </w:r>
    </w:p>
    <w:p w14:paraId="431B8CB8" w14:textId="77777777" w:rsidR="000E2A66" w:rsidRPr="00973028" w:rsidRDefault="000E2A66" w:rsidP="000E2A66">
      <w:pPr>
        <w:spacing w:after="0" w:line="240" w:lineRule="auto"/>
        <w:jc w:val="right"/>
        <w:rPr>
          <w:rFonts w:ascii="Arial" w:eastAsia="Times New Roman" w:hAnsi="Arial" w:cs="Arial"/>
          <w:sz w:val="24"/>
          <w:szCs w:val="24"/>
          <w:lang w:eastAsia="es-ES"/>
        </w:rPr>
      </w:pPr>
      <w:r w:rsidRPr="00973028">
        <w:rPr>
          <w:rFonts w:ascii="Arial" w:eastAsia="Times New Roman" w:hAnsi="Arial" w:cs="Arial"/>
          <w:color w:val="000000"/>
          <w:sz w:val="18"/>
          <w:szCs w:val="18"/>
          <w:lang w:eastAsia="es-ES"/>
        </w:rPr>
        <w:t>C/ Navellos, 14-3 | 46003 València</w:t>
      </w:r>
    </w:p>
    <w:p w14:paraId="12F23F3F" w14:textId="77777777" w:rsidR="000E2A66" w:rsidRPr="00973028" w:rsidRDefault="000E2A66" w:rsidP="000E2A66">
      <w:pPr>
        <w:spacing w:after="0" w:line="240" w:lineRule="auto"/>
        <w:jc w:val="right"/>
        <w:rPr>
          <w:rFonts w:ascii="Arial" w:eastAsia="Times New Roman" w:hAnsi="Arial" w:cs="Arial"/>
          <w:sz w:val="24"/>
          <w:szCs w:val="24"/>
          <w:lang w:eastAsia="es-ES"/>
        </w:rPr>
      </w:pPr>
      <w:r w:rsidRPr="00973028">
        <w:rPr>
          <w:rFonts w:ascii="Arial" w:eastAsia="Times New Roman" w:hAnsi="Arial" w:cs="Arial"/>
          <w:color w:val="000000"/>
          <w:sz w:val="18"/>
          <w:szCs w:val="18"/>
          <w:lang w:eastAsia="es-ES"/>
        </w:rPr>
        <w:t>96.</w:t>
      </w:r>
      <w:r w:rsidR="008541FB" w:rsidRPr="00973028">
        <w:rPr>
          <w:rFonts w:ascii="Arial" w:eastAsia="Times New Roman" w:hAnsi="Arial" w:cs="Arial"/>
          <w:color w:val="000000"/>
          <w:sz w:val="18"/>
          <w:szCs w:val="18"/>
          <w:lang w:eastAsia="es-ES"/>
        </w:rPr>
        <w:t>278.74.50</w:t>
      </w:r>
    </w:p>
    <w:p w14:paraId="7271038A" w14:textId="7B1C99F1" w:rsidR="000E2A66" w:rsidRPr="00973028" w:rsidRDefault="00AF48E6" w:rsidP="000E2A66">
      <w:pPr>
        <w:spacing w:after="0" w:line="240" w:lineRule="auto"/>
        <w:jc w:val="right"/>
        <w:rPr>
          <w:rFonts w:ascii="Arial" w:eastAsia="Times New Roman" w:hAnsi="Arial" w:cs="Arial"/>
          <w:sz w:val="24"/>
          <w:szCs w:val="24"/>
          <w:lang w:eastAsia="es-ES"/>
        </w:rPr>
      </w:pPr>
      <w:hyperlink r:id="rId19" w:history="1">
        <w:r w:rsidR="0075154C" w:rsidRPr="00AC28B4">
          <w:rPr>
            <w:rStyle w:val="Hipervnculo"/>
            <w:rFonts w:ascii="Arial" w:eastAsia="Times New Roman" w:hAnsi="Arial" w:cs="Arial"/>
            <w:sz w:val="18"/>
            <w:szCs w:val="18"/>
            <w:lang w:eastAsia="es-ES"/>
          </w:rPr>
          <w:t>https://</w:t>
        </w:r>
        <w:r w:rsidR="0075154C" w:rsidRPr="00D11125">
          <w:rPr>
            <w:rStyle w:val="Hipervnculo"/>
            <w:rFonts w:ascii="Arial" w:eastAsia="Times New Roman" w:hAnsi="Arial" w:cs="Arial"/>
            <w:sz w:val="18"/>
            <w:szCs w:val="18"/>
            <w:lang w:eastAsia="es-ES"/>
          </w:rPr>
          <w:t>www</w:t>
        </w:r>
        <w:r w:rsidR="0075154C" w:rsidRPr="00AC28B4">
          <w:rPr>
            <w:rStyle w:val="Hipervnculo"/>
            <w:rFonts w:ascii="Arial" w:eastAsia="Times New Roman" w:hAnsi="Arial" w:cs="Arial"/>
            <w:sz w:val="18"/>
            <w:szCs w:val="18"/>
            <w:lang w:eastAsia="es-ES"/>
          </w:rPr>
          <w:t>.antifraucv.es</w:t>
        </w:r>
      </w:hyperlink>
    </w:p>
    <w:p w14:paraId="74A1B30D" w14:textId="77777777" w:rsidR="000E2A66" w:rsidRPr="00973028" w:rsidRDefault="000E2A66" w:rsidP="000E2A66">
      <w:pPr>
        <w:spacing w:after="0" w:line="240" w:lineRule="auto"/>
        <w:jc w:val="right"/>
        <w:rPr>
          <w:rFonts w:ascii="Arial" w:eastAsia="Times New Roman" w:hAnsi="Arial" w:cs="Arial"/>
          <w:sz w:val="24"/>
          <w:szCs w:val="24"/>
          <w:lang w:eastAsia="es-ES"/>
        </w:rPr>
      </w:pPr>
    </w:p>
    <w:p w14:paraId="7A5EE58B" w14:textId="0CDD9DA6" w:rsidR="000E2A66" w:rsidRPr="00973028" w:rsidRDefault="00006459" w:rsidP="000E2A66">
      <w:pPr>
        <w:spacing w:after="0" w:line="240" w:lineRule="auto"/>
        <w:jc w:val="right"/>
        <w:rPr>
          <w:rFonts w:ascii="Arial" w:eastAsia="Times New Roman" w:hAnsi="Arial" w:cs="Arial"/>
          <w:color w:val="9D2235"/>
          <w:sz w:val="24"/>
          <w:szCs w:val="24"/>
          <w:lang w:eastAsia="es-ES"/>
        </w:rPr>
      </w:pPr>
      <w:r>
        <w:rPr>
          <w:rFonts w:ascii="Arial" w:eastAsia="Times New Roman" w:hAnsi="Arial" w:cs="Arial"/>
          <w:b/>
          <w:bCs/>
          <w:color w:val="9D2235"/>
          <w:sz w:val="18"/>
          <w:szCs w:val="18"/>
          <w:lang w:eastAsia="es-ES"/>
        </w:rPr>
        <w:t>Portal de Transparencia</w:t>
      </w:r>
      <w:r w:rsidR="000E2A66" w:rsidRPr="00973028">
        <w:rPr>
          <w:rFonts w:ascii="Arial" w:eastAsia="Times New Roman" w:hAnsi="Arial" w:cs="Arial"/>
          <w:b/>
          <w:bCs/>
          <w:color w:val="9D2235"/>
          <w:sz w:val="18"/>
          <w:szCs w:val="18"/>
          <w:lang w:eastAsia="es-ES"/>
        </w:rPr>
        <w:t>:</w:t>
      </w:r>
    </w:p>
    <w:p w14:paraId="76F01EA3" w14:textId="700BE1E6" w:rsidR="000E2A66" w:rsidRPr="0033436A" w:rsidRDefault="00AF48E6" w:rsidP="000E2A66">
      <w:pPr>
        <w:spacing w:after="0" w:line="240" w:lineRule="auto"/>
        <w:jc w:val="right"/>
        <w:rPr>
          <w:rFonts w:ascii="Arial" w:hAnsi="Arial" w:cs="Arial"/>
          <w:sz w:val="18"/>
          <w:szCs w:val="18"/>
        </w:rPr>
      </w:pPr>
      <w:hyperlink r:id="rId20" w:history="1">
        <w:r w:rsidR="0033436A" w:rsidRPr="0033436A">
          <w:rPr>
            <w:rStyle w:val="Hipervnculo"/>
            <w:rFonts w:ascii="Arial" w:hAnsi="Arial" w:cs="Arial"/>
            <w:sz w:val="18"/>
            <w:szCs w:val="18"/>
          </w:rPr>
          <w:t>https://www.antifraucv.es/acceso-a-la-informacion/</w:t>
        </w:r>
      </w:hyperlink>
    </w:p>
    <w:p w14:paraId="09BEF9F5" w14:textId="77777777" w:rsidR="00BD32F1" w:rsidRPr="00973028" w:rsidRDefault="00BD32F1" w:rsidP="000E2A66">
      <w:pPr>
        <w:spacing w:after="0" w:line="240" w:lineRule="auto"/>
        <w:jc w:val="right"/>
        <w:rPr>
          <w:rFonts w:ascii="Arial" w:eastAsia="Times New Roman" w:hAnsi="Arial" w:cs="Arial"/>
          <w:sz w:val="24"/>
          <w:szCs w:val="24"/>
          <w:lang w:eastAsia="es-ES"/>
        </w:rPr>
      </w:pPr>
    </w:p>
    <w:p w14:paraId="74D457D6" w14:textId="77777777" w:rsidR="000E2A66" w:rsidRPr="00973028" w:rsidRDefault="000E2A66" w:rsidP="000E2A66">
      <w:pPr>
        <w:spacing w:after="0" w:line="240" w:lineRule="auto"/>
        <w:jc w:val="right"/>
        <w:rPr>
          <w:rFonts w:ascii="Arial" w:eastAsia="Times New Roman" w:hAnsi="Arial" w:cs="Arial"/>
          <w:color w:val="9D2235"/>
          <w:sz w:val="24"/>
          <w:szCs w:val="24"/>
          <w:lang w:eastAsia="es-ES"/>
        </w:rPr>
      </w:pPr>
      <w:r w:rsidRPr="00973028">
        <w:rPr>
          <w:rFonts w:ascii="Arial" w:eastAsia="Times New Roman" w:hAnsi="Arial" w:cs="Arial"/>
          <w:b/>
          <w:bCs/>
          <w:color w:val="9D2235"/>
          <w:sz w:val="18"/>
          <w:szCs w:val="18"/>
          <w:lang w:eastAsia="es-ES"/>
        </w:rPr>
        <w:t>Buzón de Denuncias:</w:t>
      </w:r>
    </w:p>
    <w:p w14:paraId="10353241" w14:textId="6A928C6F" w:rsidR="000E2A66" w:rsidRPr="0033436A" w:rsidRDefault="00AF48E6" w:rsidP="000E2A66">
      <w:pPr>
        <w:spacing w:after="0" w:line="240" w:lineRule="auto"/>
        <w:jc w:val="right"/>
        <w:rPr>
          <w:rFonts w:ascii="Arial" w:hAnsi="Arial" w:cs="Arial"/>
          <w:sz w:val="18"/>
          <w:szCs w:val="18"/>
        </w:rPr>
      </w:pPr>
      <w:hyperlink r:id="rId21" w:history="1">
        <w:r w:rsidR="0033436A" w:rsidRPr="0033436A">
          <w:rPr>
            <w:rStyle w:val="Hipervnculo"/>
            <w:rFonts w:ascii="Arial" w:hAnsi="Arial" w:cs="Arial"/>
            <w:sz w:val="18"/>
            <w:szCs w:val="18"/>
          </w:rPr>
          <w:t>https://www.antifraucv.es/buzon-de-denuncias-2/</w:t>
        </w:r>
      </w:hyperlink>
    </w:p>
    <w:p w14:paraId="3A4D8ED6" w14:textId="77777777" w:rsidR="00BD32F1" w:rsidRPr="00973028" w:rsidRDefault="00BD32F1" w:rsidP="000E2A66">
      <w:pPr>
        <w:spacing w:after="0" w:line="240" w:lineRule="auto"/>
        <w:jc w:val="right"/>
        <w:rPr>
          <w:rFonts w:ascii="Arial" w:eastAsia="Times New Roman" w:hAnsi="Arial" w:cs="Arial"/>
          <w:sz w:val="24"/>
          <w:szCs w:val="24"/>
          <w:lang w:eastAsia="es-ES"/>
        </w:rPr>
      </w:pPr>
    </w:p>
    <w:p w14:paraId="63D5A44E" w14:textId="35946054" w:rsidR="000E2A66" w:rsidRPr="00973028" w:rsidRDefault="008A2D00" w:rsidP="000E2A66">
      <w:pPr>
        <w:spacing w:after="0" w:line="240" w:lineRule="auto"/>
        <w:jc w:val="right"/>
        <w:rPr>
          <w:rFonts w:ascii="Arial" w:eastAsia="Times New Roman" w:hAnsi="Arial" w:cs="Arial"/>
          <w:color w:val="9D2235"/>
          <w:sz w:val="24"/>
          <w:szCs w:val="24"/>
          <w:lang w:eastAsia="es-ES"/>
        </w:rPr>
      </w:pPr>
      <w:r>
        <w:rPr>
          <w:rFonts w:ascii="Arial" w:eastAsia="Times New Roman" w:hAnsi="Arial" w:cs="Arial"/>
          <w:b/>
          <w:bCs/>
          <w:color w:val="9D2235"/>
          <w:sz w:val="18"/>
          <w:szCs w:val="18"/>
          <w:lang w:eastAsia="es-ES"/>
        </w:rPr>
        <w:t>Departamento</w:t>
      </w:r>
      <w:r w:rsidR="000E2A66" w:rsidRPr="00973028">
        <w:rPr>
          <w:rFonts w:ascii="Arial" w:eastAsia="Times New Roman" w:hAnsi="Arial" w:cs="Arial"/>
          <w:b/>
          <w:bCs/>
          <w:color w:val="9D2235"/>
          <w:sz w:val="18"/>
          <w:szCs w:val="18"/>
          <w:lang w:eastAsia="es-ES"/>
        </w:rPr>
        <w:t xml:space="preserve"> de comunicación:</w:t>
      </w:r>
    </w:p>
    <w:p w14:paraId="160D2320" w14:textId="270DCD73" w:rsidR="000E2A66" w:rsidRDefault="00AF48E6" w:rsidP="000E2A66">
      <w:pPr>
        <w:spacing w:after="0" w:line="240" w:lineRule="auto"/>
        <w:jc w:val="right"/>
        <w:rPr>
          <w:rFonts w:ascii="Arial" w:eastAsia="Times New Roman" w:hAnsi="Arial" w:cs="Arial"/>
          <w:color w:val="000000"/>
          <w:sz w:val="18"/>
          <w:szCs w:val="18"/>
          <w:lang w:eastAsia="es-ES"/>
        </w:rPr>
      </w:pPr>
      <w:hyperlink r:id="rId22" w:history="1">
        <w:r w:rsidR="00D53037" w:rsidRPr="006C3450">
          <w:rPr>
            <w:rStyle w:val="Hipervnculo"/>
            <w:rFonts w:ascii="Arial" w:eastAsia="Times New Roman" w:hAnsi="Arial" w:cs="Arial"/>
            <w:sz w:val="18"/>
            <w:szCs w:val="18"/>
            <w:lang w:eastAsia="es-ES"/>
          </w:rPr>
          <w:t>comunicacion@antifraucv.es</w:t>
        </w:r>
      </w:hyperlink>
    </w:p>
    <w:p w14:paraId="22AAFB07" w14:textId="77777777" w:rsidR="00D53037" w:rsidRPr="00973028" w:rsidRDefault="00D53037" w:rsidP="000E2A66">
      <w:pPr>
        <w:spacing w:after="0" w:line="240" w:lineRule="auto"/>
        <w:jc w:val="right"/>
        <w:rPr>
          <w:rFonts w:ascii="Arial" w:eastAsia="Times New Roman" w:hAnsi="Arial" w:cs="Arial"/>
          <w:sz w:val="24"/>
          <w:szCs w:val="24"/>
          <w:lang w:eastAsia="es-ES"/>
        </w:rPr>
      </w:pPr>
    </w:p>
    <w:p w14:paraId="3F6DDA03" w14:textId="77777777" w:rsidR="00BC2BF3" w:rsidRPr="00BC2BF3" w:rsidRDefault="00BC2BF3" w:rsidP="00BC2BF3">
      <w:pPr>
        <w:spacing w:after="0" w:line="240" w:lineRule="auto"/>
        <w:jc w:val="right"/>
        <w:rPr>
          <w:rFonts w:ascii="Arial" w:eastAsia="Times New Roman" w:hAnsi="Arial" w:cs="Arial"/>
          <w:b/>
          <w:bCs/>
          <w:color w:val="9D2235"/>
          <w:sz w:val="18"/>
          <w:szCs w:val="18"/>
          <w:lang w:eastAsia="es-ES"/>
        </w:rPr>
      </w:pPr>
      <w:r w:rsidRPr="00BC2BF3">
        <w:rPr>
          <w:rFonts w:ascii="Arial" w:eastAsia="Times New Roman" w:hAnsi="Arial" w:cs="Arial"/>
          <w:b/>
          <w:bCs/>
          <w:color w:val="9D2235"/>
          <w:sz w:val="18"/>
          <w:szCs w:val="18"/>
          <w:lang w:eastAsia="es-ES"/>
        </w:rPr>
        <w:t>Redes sociales:</w:t>
      </w:r>
    </w:p>
    <w:p w14:paraId="74518C7D" w14:textId="77777777" w:rsidR="00BC2BF3" w:rsidRPr="00BC2BF3" w:rsidRDefault="00BC2BF3" w:rsidP="00BC2BF3">
      <w:pPr>
        <w:spacing w:after="0" w:line="240" w:lineRule="auto"/>
        <w:jc w:val="right"/>
        <w:rPr>
          <w:rFonts w:ascii="Arial" w:eastAsia="Times New Roman" w:hAnsi="Arial" w:cs="Arial"/>
          <w:b/>
          <w:bCs/>
          <w:color w:val="9D2235"/>
          <w:sz w:val="18"/>
          <w:szCs w:val="18"/>
          <w:lang w:eastAsia="es-ES"/>
        </w:rPr>
      </w:pPr>
      <w:r w:rsidRPr="00BC2BF3">
        <w:rPr>
          <w:rFonts w:ascii="Arial" w:eastAsia="Times New Roman" w:hAnsi="Arial" w:cs="Arial"/>
          <w:b/>
          <w:bCs/>
          <w:noProof/>
          <w:color w:val="9D2235"/>
          <w:sz w:val="18"/>
          <w:szCs w:val="18"/>
          <w:lang w:eastAsia="es-ES"/>
        </w:rPr>
        <w:drawing>
          <wp:anchor distT="0" distB="0" distL="114300" distR="114300" simplePos="0" relativeHeight="252064768" behindDoc="0" locked="0" layoutInCell="1" allowOverlap="1" wp14:anchorId="62103AE5" wp14:editId="23B0408E">
            <wp:simplePos x="0" y="0"/>
            <wp:positionH relativeFrom="column">
              <wp:posOffset>1652905</wp:posOffset>
            </wp:positionH>
            <wp:positionV relativeFrom="paragraph">
              <wp:posOffset>128270</wp:posOffset>
            </wp:positionV>
            <wp:extent cx="356235" cy="356235"/>
            <wp:effectExtent l="0" t="0" r="5715" b="5715"/>
            <wp:wrapNone/>
            <wp:docPr id="18" name="Imagen 7" descr="Logotipo, Icono&#10;&#10;Descripción generada automáticamente">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Logotipo, Icono&#10;&#10;Descripción generada automáticamente">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BF3">
        <w:rPr>
          <w:rFonts w:ascii="Arial" w:eastAsia="Times New Roman" w:hAnsi="Arial" w:cs="Arial"/>
          <w:b/>
          <w:bCs/>
          <w:noProof/>
          <w:color w:val="9D2235"/>
          <w:sz w:val="18"/>
          <w:szCs w:val="18"/>
          <w:lang w:eastAsia="es-ES"/>
        </w:rPr>
        <w:drawing>
          <wp:anchor distT="0" distB="0" distL="114300" distR="114300" simplePos="0" relativeHeight="252065792" behindDoc="0" locked="0" layoutInCell="1" allowOverlap="1" wp14:anchorId="3BA94780" wp14:editId="6828D104">
            <wp:simplePos x="0" y="0"/>
            <wp:positionH relativeFrom="column">
              <wp:posOffset>2145665</wp:posOffset>
            </wp:positionH>
            <wp:positionV relativeFrom="paragraph">
              <wp:posOffset>128270</wp:posOffset>
            </wp:positionV>
            <wp:extent cx="356235" cy="356235"/>
            <wp:effectExtent l="0" t="0" r="5715" b="5715"/>
            <wp:wrapNone/>
            <wp:docPr id="264" name="Imagen 264" descr="Icono&#10;&#10;Descripción generada automáticamente">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Icono&#10;&#10;Descripción generada automáticamente">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BF3">
        <w:rPr>
          <w:rFonts w:ascii="Arial" w:eastAsia="Times New Roman" w:hAnsi="Arial" w:cs="Arial"/>
          <w:b/>
          <w:bCs/>
          <w:noProof/>
          <w:color w:val="9D2235"/>
          <w:sz w:val="18"/>
          <w:szCs w:val="18"/>
          <w:lang w:eastAsia="es-ES"/>
        </w:rPr>
        <w:drawing>
          <wp:anchor distT="0" distB="0" distL="114300" distR="114300" simplePos="0" relativeHeight="252066816" behindDoc="0" locked="0" layoutInCell="1" allowOverlap="1" wp14:anchorId="00E7664A" wp14:editId="484BE492">
            <wp:simplePos x="0" y="0"/>
            <wp:positionH relativeFrom="column">
              <wp:posOffset>2639060</wp:posOffset>
            </wp:positionH>
            <wp:positionV relativeFrom="paragraph">
              <wp:posOffset>128270</wp:posOffset>
            </wp:positionV>
            <wp:extent cx="356235" cy="356235"/>
            <wp:effectExtent l="0" t="0" r="5715" b="5715"/>
            <wp:wrapNone/>
            <wp:docPr id="266" name="Imagen 11" descr="Icono&#10;&#10;Descripción generada automáticamente">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Icono&#10;&#10;Descripción generada automáticamente">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BF3">
        <w:rPr>
          <w:rFonts w:ascii="Arial" w:eastAsia="Times New Roman" w:hAnsi="Arial" w:cs="Arial"/>
          <w:b/>
          <w:bCs/>
          <w:noProof/>
          <w:color w:val="9D2235"/>
          <w:sz w:val="18"/>
          <w:szCs w:val="18"/>
          <w:lang w:eastAsia="es-ES"/>
        </w:rPr>
        <w:drawing>
          <wp:anchor distT="0" distB="0" distL="114300" distR="114300" simplePos="0" relativeHeight="252067840" behindDoc="0" locked="0" layoutInCell="1" allowOverlap="1" wp14:anchorId="228C9E04" wp14:editId="0796D0C1">
            <wp:simplePos x="0" y="0"/>
            <wp:positionH relativeFrom="column">
              <wp:posOffset>3131820</wp:posOffset>
            </wp:positionH>
            <wp:positionV relativeFrom="paragraph">
              <wp:posOffset>128270</wp:posOffset>
            </wp:positionV>
            <wp:extent cx="356235" cy="356235"/>
            <wp:effectExtent l="0" t="0" r="5715" b="5715"/>
            <wp:wrapNone/>
            <wp:docPr id="267" name="Imagen 12" descr="Logotipo, Icono&#10;&#10;Descripción generada automáticament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Logotipo, Icono&#10;&#10;Descripción generada automáticamente">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BF3">
        <w:rPr>
          <w:rFonts w:ascii="Arial" w:eastAsia="Times New Roman" w:hAnsi="Arial" w:cs="Arial"/>
          <w:b/>
          <w:bCs/>
          <w:noProof/>
          <w:color w:val="9D2235"/>
          <w:sz w:val="18"/>
          <w:szCs w:val="18"/>
          <w:lang w:eastAsia="es-ES"/>
        </w:rPr>
        <w:drawing>
          <wp:anchor distT="0" distB="0" distL="114300" distR="114300" simplePos="0" relativeHeight="252068864" behindDoc="0" locked="0" layoutInCell="1" allowOverlap="1" wp14:anchorId="3FD332A9" wp14:editId="244B603A">
            <wp:simplePos x="0" y="0"/>
            <wp:positionH relativeFrom="column">
              <wp:posOffset>3636010</wp:posOffset>
            </wp:positionH>
            <wp:positionV relativeFrom="paragraph">
              <wp:posOffset>128270</wp:posOffset>
            </wp:positionV>
            <wp:extent cx="356235" cy="356235"/>
            <wp:effectExtent l="0" t="0" r="5715" b="5715"/>
            <wp:wrapNone/>
            <wp:docPr id="268" name="Imagen 13" descr="Icono&#10;&#10;Descripción generada automáticament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Icono&#10;&#10;Descripción generada automáticamente">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BF3">
        <w:rPr>
          <w:rFonts w:ascii="Arial" w:eastAsia="Times New Roman" w:hAnsi="Arial" w:cs="Arial"/>
          <w:b/>
          <w:bCs/>
          <w:noProof/>
          <w:color w:val="9D2235"/>
          <w:sz w:val="18"/>
          <w:szCs w:val="18"/>
          <w:lang w:eastAsia="es-ES"/>
        </w:rPr>
        <w:drawing>
          <wp:anchor distT="0" distB="0" distL="114300" distR="114300" simplePos="0" relativeHeight="252069888" behindDoc="0" locked="0" layoutInCell="1" allowOverlap="1" wp14:anchorId="7AB75AF2" wp14:editId="6728F9DC">
            <wp:simplePos x="0" y="0"/>
            <wp:positionH relativeFrom="column">
              <wp:posOffset>4117340</wp:posOffset>
            </wp:positionH>
            <wp:positionV relativeFrom="paragraph">
              <wp:posOffset>128270</wp:posOffset>
            </wp:positionV>
            <wp:extent cx="356235" cy="356235"/>
            <wp:effectExtent l="0" t="0" r="5715" b="5715"/>
            <wp:wrapNone/>
            <wp:docPr id="269" name="Imagen 14" descr="Icono&#10;&#10;Descripción generada automáticament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Icono&#10;&#10;Descripción generada automáticamente">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BF3">
        <w:rPr>
          <w:rFonts w:ascii="Arial" w:eastAsia="Times New Roman" w:hAnsi="Arial" w:cs="Arial"/>
          <w:b/>
          <w:bCs/>
          <w:noProof/>
          <w:color w:val="9D2235"/>
          <w:sz w:val="18"/>
          <w:szCs w:val="18"/>
          <w:lang w:eastAsia="es-ES"/>
        </w:rPr>
        <w:drawing>
          <wp:anchor distT="0" distB="0" distL="114300" distR="114300" simplePos="0" relativeHeight="252070912" behindDoc="0" locked="0" layoutInCell="1" allowOverlap="1" wp14:anchorId="2A06682E" wp14:editId="52D77ED5">
            <wp:simplePos x="0" y="0"/>
            <wp:positionH relativeFrom="column">
              <wp:posOffset>1148715</wp:posOffset>
            </wp:positionH>
            <wp:positionV relativeFrom="paragraph">
              <wp:posOffset>128270</wp:posOffset>
            </wp:positionV>
            <wp:extent cx="356235" cy="356235"/>
            <wp:effectExtent l="0" t="0" r="5715" b="5715"/>
            <wp:wrapNone/>
            <wp:docPr id="270" name="Imagen 15" descr="Un dibujo de una cara feliz&#10;&#10;Descripción generada automáticamente con confianza baja">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n 15" descr="Un dibujo de una cara feliz&#10;&#10;Descripción generada automáticamente con confianza baja">
                      <a:hlinkClick r:id="rId19"/>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BF3">
        <w:rPr>
          <w:rFonts w:ascii="Arial" w:eastAsia="Times New Roman" w:hAnsi="Arial" w:cs="Arial"/>
          <w:noProof/>
          <w:color w:val="9D2235"/>
          <w:sz w:val="24"/>
          <w:szCs w:val="24"/>
          <w:lang w:eastAsia="es-ES"/>
        </w:rPr>
        <w:drawing>
          <wp:anchor distT="0" distB="0" distL="114300" distR="114300" simplePos="0" relativeHeight="252071936" behindDoc="0" locked="0" layoutInCell="1" allowOverlap="1" wp14:anchorId="30298E37" wp14:editId="4541AFD8">
            <wp:simplePos x="0" y="0"/>
            <wp:positionH relativeFrom="column">
              <wp:posOffset>4577715</wp:posOffset>
            </wp:positionH>
            <wp:positionV relativeFrom="paragraph">
              <wp:posOffset>128270</wp:posOffset>
            </wp:positionV>
            <wp:extent cx="356235" cy="356235"/>
            <wp:effectExtent l="0" t="0" r="5715" b="5715"/>
            <wp:wrapNone/>
            <wp:docPr id="91" name="Imagen 91" descr="Icono&#10;&#10;Descripción generada automáticamente">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cono&#10;&#10;Descripción generada automáticamente">
                      <a:hlinkClick r:id="rId36"/>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6235" cy="356235"/>
                    </a:xfrm>
                    <a:prstGeom prst="rect">
                      <a:avLst/>
                    </a:prstGeom>
                  </pic:spPr>
                </pic:pic>
              </a:graphicData>
            </a:graphic>
            <wp14:sizeRelH relativeFrom="margin">
              <wp14:pctWidth>0</wp14:pctWidth>
            </wp14:sizeRelH>
            <wp14:sizeRelV relativeFrom="margin">
              <wp14:pctHeight>0</wp14:pctHeight>
            </wp14:sizeRelV>
          </wp:anchor>
        </w:drawing>
      </w:r>
    </w:p>
    <w:p w14:paraId="77878AB9" w14:textId="77777777" w:rsidR="00BC2BF3" w:rsidRPr="00BC2BF3" w:rsidRDefault="00BC2BF3" w:rsidP="00BC2BF3">
      <w:pPr>
        <w:spacing w:after="0" w:line="240" w:lineRule="auto"/>
        <w:ind w:left="2"/>
        <w:jc w:val="right"/>
        <w:rPr>
          <w:rFonts w:ascii="Arial" w:eastAsia="Times New Roman" w:hAnsi="Arial" w:cs="Arial"/>
          <w:color w:val="9D2235"/>
          <w:sz w:val="24"/>
          <w:szCs w:val="24"/>
          <w:lang w:eastAsia="es-ES"/>
        </w:rPr>
      </w:pPr>
      <w:r w:rsidRPr="00BC2BF3">
        <w:rPr>
          <w:rFonts w:ascii="Arial" w:eastAsia="Times New Roman" w:hAnsi="Arial" w:cs="Arial"/>
          <w:noProof/>
          <w:color w:val="9D2235"/>
          <w:sz w:val="24"/>
          <w:szCs w:val="24"/>
          <w:lang w:eastAsia="es-ES"/>
        </w:rPr>
        <w:drawing>
          <wp:anchor distT="0" distB="0" distL="114300" distR="114300" simplePos="0" relativeHeight="252072960" behindDoc="0" locked="0" layoutInCell="1" allowOverlap="1" wp14:anchorId="0403BF79" wp14:editId="1ED53BCF">
            <wp:simplePos x="0" y="0"/>
            <wp:positionH relativeFrom="column">
              <wp:posOffset>5034915</wp:posOffset>
            </wp:positionH>
            <wp:positionV relativeFrom="paragraph">
              <wp:posOffset>-3175</wp:posOffset>
            </wp:positionV>
            <wp:extent cx="356400" cy="356400"/>
            <wp:effectExtent l="0" t="0" r="5715" b="5715"/>
            <wp:wrapNone/>
            <wp:docPr id="92" name="Imagen 92" descr="Icono&#10;&#10;Descripción generada automáticamente">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cono&#10;&#10;Descripción generada automáticamente">
                      <a:hlinkClick r:id="rId38"/>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6400" cy="356400"/>
                    </a:xfrm>
                    <a:prstGeom prst="rect">
                      <a:avLst/>
                    </a:prstGeom>
                  </pic:spPr>
                </pic:pic>
              </a:graphicData>
            </a:graphic>
            <wp14:sizeRelH relativeFrom="margin">
              <wp14:pctWidth>0</wp14:pctWidth>
            </wp14:sizeRelH>
            <wp14:sizeRelV relativeFrom="margin">
              <wp14:pctHeight>0</wp14:pctHeight>
            </wp14:sizeRelV>
          </wp:anchor>
        </w:drawing>
      </w:r>
    </w:p>
    <w:p w14:paraId="25E1CA07" w14:textId="77777777" w:rsidR="00BC2BF3" w:rsidRPr="00BC2BF3" w:rsidRDefault="00BC2BF3" w:rsidP="00BC2BF3">
      <w:pPr>
        <w:spacing w:before="100" w:beforeAutospacing="1" w:after="0" w:line="240" w:lineRule="auto"/>
        <w:jc w:val="right"/>
        <w:rPr>
          <w:rFonts w:ascii="Arial" w:eastAsia="Times New Roman" w:hAnsi="Arial" w:cs="Arial"/>
          <w:sz w:val="24"/>
          <w:szCs w:val="24"/>
          <w:lang w:eastAsia="es-ES"/>
        </w:rPr>
      </w:pPr>
    </w:p>
    <w:p w14:paraId="116AFC9C" w14:textId="77777777" w:rsidR="00367282" w:rsidRPr="00973028" w:rsidRDefault="00367282" w:rsidP="00367282">
      <w:pPr>
        <w:rPr>
          <w:rFonts w:ascii="Arial" w:eastAsia="Times New Roman" w:hAnsi="Arial" w:cs="Arial"/>
          <w:sz w:val="24"/>
          <w:szCs w:val="24"/>
          <w:lang w:eastAsia="es-ES"/>
        </w:rPr>
      </w:pPr>
    </w:p>
    <w:p w14:paraId="56344CAB" w14:textId="50699E80" w:rsidR="00367282" w:rsidRPr="00973028" w:rsidRDefault="00367282" w:rsidP="00367282">
      <w:pPr>
        <w:rPr>
          <w:rFonts w:ascii="Arial" w:eastAsia="Times New Roman" w:hAnsi="Arial" w:cs="Arial"/>
          <w:sz w:val="24"/>
          <w:szCs w:val="24"/>
          <w:lang w:eastAsia="es-ES"/>
        </w:rPr>
      </w:pPr>
    </w:p>
    <w:p w14:paraId="105CF3AB" w14:textId="1CF2264F" w:rsidR="00367282" w:rsidRPr="00973028" w:rsidRDefault="00367282" w:rsidP="00367282">
      <w:pPr>
        <w:tabs>
          <w:tab w:val="left" w:pos="7214"/>
        </w:tabs>
        <w:rPr>
          <w:rFonts w:ascii="Arial" w:eastAsia="Times New Roman" w:hAnsi="Arial" w:cs="Arial"/>
          <w:sz w:val="24"/>
          <w:szCs w:val="24"/>
          <w:lang w:eastAsia="es-ES"/>
        </w:rPr>
      </w:pPr>
      <w:r w:rsidRPr="00973028">
        <w:rPr>
          <w:rFonts w:ascii="Arial" w:eastAsia="Times New Roman" w:hAnsi="Arial" w:cs="Arial"/>
          <w:sz w:val="24"/>
          <w:szCs w:val="24"/>
          <w:lang w:eastAsia="es-ES"/>
        </w:rPr>
        <w:tab/>
      </w:r>
    </w:p>
    <w:p w14:paraId="039D307E" w14:textId="4C6D8541" w:rsidR="00CE1008" w:rsidRPr="00973028" w:rsidRDefault="00367282">
      <w:pPr>
        <w:rPr>
          <w:rFonts w:ascii="Arial" w:eastAsia="Times New Roman" w:hAnsi="Arial" w:cs="Arial"/>
          <w:sz w:val="24"/>
          <w:szCs w:val="24"/>
          <w:lang w:eastAsia="es-ES"/>
        </w:rPr>
      </w:pPr>
      <w:r w:rsidRPr="00973028">
        <w:rPr>
          <w:rFonts w:ascii="Arial" w:eastAsia="Times New Roman" w:hAnsi="Arial" w:cs="Arial"/>
          <w:sz w:val="24"/>
          <w:szCs w:val="24"/>
          <w:lang w:eastAsia="es-ES"/>
        </w:rPr>
        <w:br w:type="page"/>
      </w:r>
    </w:p>
    <w:sdt>
      <w:sdtPr>
        <w:rPr>
          <w:rFonts w:asciiTheme="minorHAnsi" w:eastAsiaTheme="minorEastAsia" w:hAnsiTheme="minorHAnsi" w:cstheme="minorBidi"/>
          <w:color w:val="auto"/>
          <w:sz w:val="22"/>
          <w:szCs w:val="22"/>
        </w:rPr>
        <w:id w:val="662976908"/>
        <w:docPartObj>
          <w:docPartGallery w:val="Table of Contents"/>
          <w:docPartUnique/>
        </w:docPartObj>
      </w:sdtPr>
      <w:sdtEndPr>
        <w:rPr>
          <w:rFonts w:ascii="Arial" w:hAnsi="Arial" w:cs="Arial"/>
          <w:sz w:val="20"/>
          <w:szCs w:val="20"/>
        </w:rPr>
      </w:sdtEndPr>
      <w:sdtContent>
        <w:p w14:paraId="45349194" w14:textId="39B06397" w:rsidR="00AD0B4D" w:rsidRPr="00973028" w:rsidRDefault="00AD0B4D" w:rsidP="003C28C4">
          <w:pPr>
            <w:pStyle w:val="TtuloTDC"/>
            <w:jc w:val="both"/>
            <w:rPr>
              <w:rFonts w:ascii="Arial" w:hAnsi="Arial" w:cs="Arial"/>
              <w:b/>
              <w:bCs/>
              <w:color w:val="9D2235" w:themeColor="accent1"/>
              <w:sz w:val="60"/>
              <w:szCs w:val="60"/>
            </w:rPr>
          </w:pPr>
          <w:r w:rsidRPr="00973028">
            <w:rPr>
              <w:rFonts w:ascii="Arial" w:hAnsi="Arial" w:cs="Arial"/>
              <w:b/>
              <w:bCs/>
              <w:color w:val="9D2235" w:themeColor="accent1"/>
              <w:sz w:val="60"/>
              <w:szCs w:val="60"/>
            </w:rPr>
            <w:t>Tabla de contenido</w:t>
          </w:r>
          <w:r w:rsidR="00EB3515" w:rsidRPr="00973028">
            <w:rPr>
              <w:rFonts w:ascii="Arial" w:hAnsi="Arial" w:cs="Arial"/>
              <w:b/>
              <w:bCs/>
              <w:color w:val="9D2235" w:themeColor="accent1"/>
              <w:sz w:val="60"/>
              <w:szCs w:val="60"/>
            </w:rPr>
            <w:t>s</w:t>
          </w:r>
        </w:p>
        <w:p w14:paraId="0A511EC5" w14:textId="722381E9" w:rsidR="00AA198E" w:rsidRPr="00AA198E" w:rsidRDefault="009C4D4D" w:rsidP="00AA198E">
          <w:pPr>
            <w:pStyle w:val="TDC1"/>
            <w:rPr>
              <w:rFonts w:asciiTheme="minorHAnsi" w:eastAsiaTheme="minorEastAsia" w:hAnsiTheme="minorHAnsi" w:cstheme="minorBidi"/>
              <w:kern w:val="0"/>
              <w:sz w:val="22"/>
              <w:szCs w:val="22"/>
              <w:lang w:bidi="ar-SA"/>
            </w:rPr>
          </w:pPr>
          <w:r w:rsidRPr="0073640D">
            <w:rPr>
              <w:rFonts w:eastAsia="Droid Sans Fallback"/>
              <w:kern w:val="3"/>
              <w:lang w:eastAsia="zh-CN"/>
            </w:rPr>
            <w:fldChar w:fldCharType="begin" w:fldLock="1"/>
          </w:r>
          <w:r w:rsidRPr="0073640D">
            <w:rPr>
              <w:rFonts w:eastAsia="Droid Sans Fallback"/>
              <w:kern w:val="3"/>
              <w:lang w:eastAsia="zh-CN"/>
            </w:rPr>
            <w:instrText xml:space="preserve"> TOC \o "1-3" \h \z \u </w:instrText>
          </w:r>
          <w:r w:rsidRPr="0073640D">
            <w:rPr>
              <w:rFonts w:eastAsia="Droid Sans Fallback"/>
              <w:kern w:val="3"/>
              <w:lang w:eastAsia="zh-CN"/>
            </w:rPr>
            <w:fldChar w:fldCharType="separate"/>
          </w:r>
          <w:hyperlink w:anchor="_Toc99106956" w:history="1">
            <w:r w:rsidR="00AA198E" w:rsidRPr="00AA198E">
              <w:rPr>
                <w:rStyle w:val="Hipervnculo"/>
                <w:rFonts w:eastAsia="Times New Roman"/>
                <w:kern w:val="36"/>
              </w:rPr>
              <w:t>La Agencia  AVAF</w:t>
            </w:r>
            <w:r w:rsidR="00AA198E" w:rsidRPr="00AA198E">
              <w:rPr>
                <w:webHidden/>
              </w:rPr>
              <w:tab/>
            </w:r>
            <w:r w:rsidR="00AA198E" w:rsidRPr="00AA198E">
              <w:rPr>
                <w:webHidden/>
              </w:rPr>
              <w:fldChar w:fldCharType="begin" w:fldLock="1"/>
            </w:r>
            <w:r w:rsidR="00AA198E" w:rsidRPr="00AA198E">
              <w:rPr>
                <w:webHidden/>
              </w:rPr>
              <w:instrText xml:space="preserve"> PAGEREF _Toc99106956 \h </w:instrText>
            </w:r>
            <w:r w:rsidR="00AA198E" w:rsidRPr="00AA198E">
              <w:rPr>
                <w:webHidden/>
              </w:rPr>
            </w:r>
            <w:r w:rsidR="00AA198E" w:rsidRPr="00AA198E">
              <w:rPr>
                <w:webHidden/>
              </w:rPr>
              <w:fldChar w:fldCharType="separate"/>
            </w:r>
            <w:r w:rsidR="00AA198E" w:rsidRPr="00AA198E">
              <w:rPr>
                <w:webHidden/>
              </w:rPr>
              <w:t>5</w:t>
            </w:r>
            <w:r w:rsidR="00AA198E" w:rsidRPr="00AA198E">
              <w:rPr>
                <w:webHidden/>
              </w:rPr>
              <w:fldChar w:fldCharType="end"/>
            </w:r>
          </w:hyperlink>
        </w:p>
        <w:p w14:paraId="65163332" w14:textId="619DD8FD" w:rsidR="00AA198E" w:rsidRPr="00AA198E" w:rsidRDefault="00AF48E6" w:rsidP="00AA198E">
          <w:pPr>
            <w:pStyle w:val="TDC1"/>
            <w:rPr>
              <w:rFonts w:asciiTheme="minorHAnsi" w:eastAsiaTheme="minorEastAsia" w:hAnsiTheme="minorHAnsi" w:cstheme="minorBidi"/>
              <w:kern w:val="0"/>
              <w:sz w:val="22"/>
              <w:szCs w:val="22"/>
              <w:lang w:bidi="ar-SA"/>
            </w:rPr>
          </w:pPr>
          <w:hyperlink w:anchor="_Toc99106957" w:history="1">
            <w:r w:rsidR="00AA198E" w:rsidRPr="00AA198E">
              <w:rPr>
                <w:rStyle w:val="Hipervnculo"/>
                <w:rFonts w:eastAsia="Calibri"/>
              </w:rPr>
              <w:t>1.</w:t>
            </w:r>
            <w:r w:rsidR="00AA198E" w:rsidRPr="00AA198E">
              <w:rPr>
                <w:rFonts w:asciiTheme="minorHAnsi" w:eastAsiaTheme="minorEastAsia" w:hAnsiTheme="minorHAnsi" w:cstheme="minorBidi"/>
                <w:kern w:val="0"/>
                <w:sz w:val="22"/>
                <w:szCs w:val="22"/>
                <w:lang w:bidi="ar-SA"/>
              </w:rPr>
              <w:tab/>
            </w:r>
            <w:r w:rsidR="00AA198E" w:rsidRPr="00AA198E">
              <w:rPr>
                <w:rStyle w:val="Hipervnculo"/>
                <w:rFonts w:eastAsia="Calibri"/>
              </w:rPr>
              <w:t>Presentación</w:t>
            </w:r>
            <w:r w:rsidR="00AA198E" w:rsidRPr="00AA198E">
              <w:rPr>
                <w:webHidden/>
              </w:rPr>
              <w:tab/>
            </w:r>
            <w:r w:rsidR="00AA198E" w:rsidRPr="00AA198E">
              <w:rPr>
                <w:webHidden/>
              </w:rPr>
              <w:fldChar w:fldCharType="begin" w:fldLock="1"/>
            </w:r>
            <w:r w:rsidR="00AA198E" w:rsidRPr="00AA198E">
              <w:rPr>
                <w:webHidden/>
              </w:rPr>
              <w:instrText xml:space="preserve"> PAGEREF _Toc99106957 \h </w:instrText>
            </w:r>
            <w:r w:rsidR="00AA198E" w:rsidRPr="00AA198E">
              <w:rPr>
                <w:webHidden/>
              </w:rPr>
            </w:r>
            <w:r w:rsidR="00AA198E" w:rsidRPr="00AA198E">
              <w:rPr>
                <w:webHidden/>
              </w:rPr>
              <w:fldChar w:fldCharType="separate"/>
            </w:r>
            <w:r w:rsidR="00AA198E" w:rsidRPr="00AA198E">
              <w:rPr>
                <w:webHidden/>
              </w:rPr>
              <w:t>16</w:t>
            </w:r>
            <w:r w:rsidR="00AA198E" w:rsidRPr="00AA198E">
              <w:rPr>
                <w:webHidden/>
              </w:rPr>
              <w:fldChar w:fldCharType="end"/>
            </w:r>
          </w:hyperlink>
        </w:p>
        <w:p w14:paraId="1FB6F7E2" w14:textId="52BCE6BA" w:rsidR="00AA198E" w:rsidRPr="00AA198E" w:rsidRDefault="00AF48E6" w:rsidP="00AA198E">
          <w:pPr>
            <w:pStyle w:val="TDC1"/>
            <w:rPr>
              <w:rFonts w:asciiTheme="minorHAnsi" w:eastAsiaTheme="minorEastAsia" w:hAnsiTheme="minorHAnsi" w:cstheme="minorBidi"/>
              <w:kern w:val="0"/>
              <w:sz w:val="22"/>
              <w:szCs w:val="22"/>
              <w:lang w:bidi="ar-SA"/>
            </w:rPr>
          </w:pPr>
          <w:hyperlink w:anchor="_Toc99106958" w:history="1">
            <w:r w:rsidR="00AA198E" w:rsidRPr="00AA198E">
              <w:rPr>
                <w:rStyle w:val="Hipervnculo"/>
                <w:rFonts w:eastAsia="Times New Roman"/>
              </w:rPr>
              <w:t>2.</w:t>
            </w:r>
            <w:r w:rsidR="00AA198E" w:rsidRPr="00AA198E">
              <w:rPr>
                <w:rFonts w:asciiTheme="minorHAnsi" w:eastAsiaTheme="minorEastAsia" w:hAnsiTheme="minorHAnsi" w:cstheme="minorBidi"/>
                <w:kern w:val="0"/>
                <w:sz w:val="22"/>
                <w:szCs w:val="22"/>
                <w:lang w:bidi="ar-SA"/>
              </w:rPr>
              <w:tab/>
            </w:r>
            <w:r w:rsidR="00AA198E" w:rsidRPr="00AA198E">
              <w:rPr>
                <w:rStyle w:val="Hipervnculo"/>
                <w:rFonts w:eastAsia="Times New Roman"/>
              </w:rPr>
              <w:t xml:space="preserve">Actividad  </w:t>
            </w:r>
            <w:r w:rsidR="00336E76">
              <w:rPr>
                <w:rStyle w:val="Hipervnculo"/>
                <w:rFonts w:eastAsia="Times New Roman"/>
              </w:rPr>
              <w:t>i</w:t>
            </w:r>
            <w:r w:rsidR="00AA198E" w:rsidRPr="00AA198E">
              <w:rPr>
                <w:rStyle w:val="Hipervnculo"/>
                <w:rFonts w:eastAsia="Times New Roman"/>
              </w:rPr>
              <w:t>nstitucional</w:t>
            </w:r>
            <w:r w:rsidR="00AA198E" w:rsidRPr="00AA198E">
              <w:rPr>
                <w:webHidden/>
              </w:rPr>
              <w:tab/>
            </w:r>
            <w:r w:rsidR="00AA198E" w:rsidRPr="00AA198E">
              <w:rPr>
                <w:webHidden/>
              </w:rPr>
              <w:fldChar w:fldCharType="begin" w:fldLock="1"/>
            </w:r>
            <w:r w:rsidR="00AA198E" w:rsidRPr="00AA198E">
              <w:rPr>
                <w:webHidden/>
              </w:rPr>
              <w:instrText xml:space="preserve"> PAGEREF _Toc99106958 \h </w:instrText>
            </w:r>
            <w:r w:rsidR="00AA198E" w:rsidRPr="00AA198E">
              <w:rPr>
                <w:webHidden/>
              </w:rPr>
            </w:r>
            <w:r w:rsidR="00AA198E" w:rsidRPr="00AA198E">
              <w:rPr>
                <w:webHidden/>
              </w:rPr>
              <w:fldChar w:fldCharType="separate"/>
            </w:r>
            <w:r w:rsidR="00AA198E" w:rsidRPr="00AA198E">
              <w:rPr>
                <w:webHidden/>
              </w:rPr>
              <w:t>20</w:t>
            </w:r>
            <w:r w:rsidR="00AA198E" w:rsidRPr="00AA198E">
              <w:rPr>
                <w:webHidden/>
              </w:rPr>
              <w:fldChar w:fldCharType="end"/>
            </w:r>
          </w:hyperlink>
        </w:p>
        <w:p w14:paraId="49505019" w14:textId="1348A1B0" w:rsidR="00AA198E" w:rsidRPr="00AA198E" w:rsidRDefault="00AF48E6">
          <w:pPr>
            <w:pStyle w:val="TDC2"/>
            <w:rPr>
              <w:rFonts w:asciiTheme="minorHAnsi" w:eastAsiaTheme="minorEastAsia" w:hAnsiTheme="minorHAnsi" w:cstheme="minorBidi"/>
              <w:kern w:val="0"/>
              <w:sz w:val="22"/>
              <w:lang w:bidi="ar-SA"/>
            </w:rPr>
          </w:pPr>
          <w:hyperlink w:anchor="_Toc99106959" w:history="1">
            <w:r w:rsidR="00AA198E" w:rsidRPr="00AA198E">
              <w:rPr>
                <w:rStyle w:val="Hipervnculo"/>
              </w:rPr>
              <w:t>2.1.</w:t>
            </w:r>
            <w:r w:rsidR="00AA198E" w:rsidRPr="00AA198E">
              <w:rPr>
                <w:rFonts w:asciiTheme="minorHAnsi" w:eastAsiaTheme="minorEastAsia" w:hAnsiTheme="minorHAnsi" w:cstheme="minorBidi"/>
                <w:kern w:val="0"/>
                <w:sz w:val="22"/>
                <w:lang w:bidi="ar-SA"/>
              </w:rPr>
              <w:tab/>
            </w:r>
            <w:r w:rsidR="00AA198E" w:rsidRPr="00AA198E">
              <w:rPr>
                <w:rStyle w:val="Hipervnculo"/>
              </w:rPr>
              <w:t>Introducción</w:t>
            </w:r>
            <w:r w:rsidR="00AA198E" w:rsidRPr="00AA198E">
              <w:rPr>
                <w:webHidden/>
              </w:rPr>
              <w:tab/>
            </w:r>
            <w:r w:rsidR="00AA198E" w:rsidRPr="00AA198E">
              <w:rPr>
                <w:webHidden/>
              </w:rPr>
              <w:fldChar w:fldCharType="begin" w:fldLock="1"/>
            </w:r>
            <w:r w:rsidR="00AA198E" w:rsidRPr="00AA198E">
              <w:rPr>
                <w:webHidden/>
              </w:rPr>
              <w:instrText xml:space="preserve"> PAGEREF _Toc99106959 \h </w:instrText>
            </w:r>
            <w:r w:rsidR="00AA198E" w:rsidRPr="00AA198E">
              <w:rPr>
                <w:webHidden/>
              </w:rPr>
            </w:r>
            <w:r w:rsidR="00AA198E" w:rsidRPr="00AA198E">
              <w:rPr>
                <w:webHidden/>
              </w:rPr>
              <w:fldChar w:fldCharType="separate"/>
            </w:r>
            <w:r w:rsidR="00AA198E" w:rsidRPr="00AA198E">
              <w:rPr>
                <w:webHidden/>
              </w:rPr>
              <w:t>20</w:t>
            </w:r>
            <w:r w:rsidR="00AA198E" w:rsidRPr="00AA198E">
              <w:rPr>
                <w:webHidden/>
              </w:rPr>
              <w:fldChar w:fldCharType="end"/>
            </w:r>
          </w:hyperlink>
        </w:p>
        <w:p w14:paraId="291DB55C" w14:textId="6C6F5A99" w:rsidR="00AA198E" w:rsidRPr="00AA198E" w:rsidRDefault="00AF48E6">
          <w:pPr>
            <w:pStyle w:val="TDC2"/>
            <w:rPr>
              <w:rFonts w:asciiTheme="minorHAnsi" w:eastAsiaTheme="minorEastAsia" w:hAnsiTheme="minorHAnsi" w:cstheme="minorBidi"/>
              <w:kern w:val="0"/>
              <w:sz w:val="22"/>
              <w:lang w:bidi="ar-SA"/>
            </w:rPr>
          </w:pPr>
          <w:hyperlink w:anchor="_Toc99106960" w:history="1">
            <w:r w:rsidR="00AA198E" w:rsidRPr="00AA198E">
              <w:rPr>
                <w:rStyle w:val="Hipervnculo"/>
              </w:rPr>
              <w:t>2.2.</w:t>
            </w:r>
            <w:r w:rsidR="00AA198E" w:rsidRPr="00AA198E">
              <w:rPr>
                <w:rFonts w:asciiTheme="minorHAnsi" w:eastAsiaTheme="minorEastAsia" w:hAnsiTheme="minorHAnsi" w:cstheme="minorBidi"/>
                <w:kern w:val="0"/>
                <w:sz w:val="22"/>
                <w:lang w:bidi="ar-SA"/>
              </w:rPr>
              <w:tab/>
            </w:r>
            <w:r w:rsidR="00AA198E" w:rsidRPr="00AA198E">
              <w:rPr>
                <w:rStyle w:val="Hipervnculo"/>
              </w:rPr>
              <w:t>Actos organizados</w:t>
            </w:r>
            <w:r w:rsidR="00AA198E" w:rsidRPr="00AA198E">
              <w:rPr>
                <w:webHidden/>
              </w:rPr>
              <w:tab/>
            </w:r>
            <w:r w:rsidR="00AA198E" w:rsidRPr="00AA198E">
              <w:rPr>
                <w:webHidden/>
              </w:rPr>
              <w:fldChar w:fldCharType="begin" w:fldLock="1"/>
            </w:r>
            <w:r w:rsidR="00AA198E" w:rsidRPr="00AA198E">
              <w:rPr>
                <w:webHidden/>
              </w:rPr>
              <w:instrText xml:space="preserve"> PAGEREF _Toc99106960 \h </w:instrText>
            </w:r>
            <w:r w:rsidR="00AA198E" w:rsidRPr="00AA198E">
              <w:rPr>
                <w:webHidden/>
              </w:rPr>
            </w:r>
            <w:r w:rsidR="00AA198E" w:rsidRPr="00AA198E">
              <w:rPr>
                <w:webHidden/>
              </w:rPr>
              <w:fldChar w:fldCharType="separate"/>
            </w:r>
            <w:r w:rsidR="00AA198E" w:rsidRPr="00AA198E">
              <w:rPr>
                <w:webHidden/>
              </w:rPr>
              <w:t>21</w:t>
            </w:r>
            <w:r w:rsidR="00AA198E" w:rsidRPr="00AA198E">
              <w:rPr>
                <w:webHidden/>
              </w:rPr>
              <w:fldChar w:fldCharType="end"/>
            </w:r>
          </w:hyperlink>
        </w:p>
        <w:p w14:paraId="73C361EF" w14:textId="78A5C215" w:rsidR="00AA198E" w:rsidRPr="00AA198E" w:rsidRDefault="00AF48E6">
          <w:pPr>
            <w:pStyle w:val="TDC3"/>
            <w:rPr>
              <w:iCs w:val="0"/>
              <w:noProof/>
              <w:sz w:val="22"/>
              <w:szCs w:val="22"/>
              <w:lang w:eastAsia="es-ES"/>
            </w:rPr>
          </w:pPr>
          <w:hyperlink w:anchor="_Toc99106961" w:history="1">
            <w:r w:rsidR="00AA198E" w:rsidRPr="00AA198E">
              <w:rPr>
                <w:rStyle w:val="Hipervnculo"/>
                <w:rFonts w:ascii="Arial" w:eastAsia="Times New Roman" w:hAnsi="Arial" w:cs="Arial"/>
                <w:noProof/>
              </w:rPr>
              <w:t>2.2.1.</w:t>
            </w:r>
            <w:r w:rsidR="00AA198E" w:rsidRPr="00AA198E">
              <w:rPr>
                <w:iCs w:val="0"/>
                <w:noProof/>
                <w:sz w:val="22"/>
                <w:szCs w:val="22"/>
                <w:lang w:eastAsia="es-ES"/>
              </w:rPr>
              <w:tab/>
            </w:r>
            <w:r w:rsidR="00AA198E" w:rsidRPr="00AA198E">
              <w:rPr>
                <w:rStyle w:val="Hipervnculo"/>
                <w:rFonts w:ascii="Arial" w:eastAsia="Times New Roman" w:hAnsi="Arial" w:cs="Arial"/>
                <w:noProof/>
              </w:rPr>
              <w:t>Actividades en el marco del convenio de colaboración con la Universitat de València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_Toc99106961 \h </w:instrText>
            </w:r>
            <w:r w:rsidR="00AA198E" w:rsidRPr="00AA198E">
              <w:rPr>
                <w:noProof/>
                <w:webHidden/>
              </w:rPr>
            </w:r>
            <w:r w:rsidR="00AA198E" w:rsidRPr="00AA198E">
              <w:rPr>
                <w:noProof/>
                <w:webHidden/>
              </w:rPr>
              <w:fldChar w:fldCharType="separate"/>
            </w:r>
            <w:r w:rsidR="00AA198E" w:rsidRPr="00AA198E">
              <w:rPr>
                <w:noProof/>
                <w:webHidden/>
              </w:rPr>
              <w:t>24</w:t>
            </w:r>
            <w:r w:rsidR="00AA198E" w:rsidRPr="00AA198E">
              <w:rPr>
                <w:noProof/>
                <w:webHidden/>
              </w:rPr>
              <w:fldChar w:fldCharType="end"/>
            </w:r>
          </w:hyperlink>
        </w:p>
        <w:p w14:paraId="29911406" w14:textId="4A02A45F" w:rsidR="00AA198E" w:rsidRPr="00AA198E" w:rsidRDefault="00AF48E6">
          <w:pPr>
            <w:pStyle w:val="TDC3"/>
            <w:rPr>
              <w:iCs w:val="0"/>
              <w:noProof/>
              <w:sz w:val="22"/>
              <w:szCs w:val="22"/>
              <w:lang w:eastAsia="es-ES"/>
            </w:rPr>
          </w:pPr>
          <w:hyperlink w:anchor="_Toc99106962" w:history="1">
            <w:r w:rsidR="00AA198E" w:rsidRPr="00AA198E">
              <w:rPr>
                <w:rStyle w:val="Hipervnculo"/>
                <w:rFonts w:ascii="Arial" w:eastAsia="Times New Roman" w:hAnsi="Arial" w:cs="Arial"/>
                <w:noProof/>
              </w:rPr>
              <w:t>2.2.2.</w:t>
            </w:r>
            <w:r w:rsidR="00AA198E" w:rsidRPr="00AA198E">
              <w:rPr>
                <w:iCs w:val="0"/>
                <w:noProof/>
                <w:sz w:val="22"/>
                <w:szCs w:val="22"/>
                <w:lang w:eastAsia="es-ES"/>
              </w:rPr>
              <w:tab/>
            </w:r>
            <w:r w:rsidR="00AA198E" w:rsidRPr="00AA198E">
              <w:rPr>
                <w:rStyle w:val="Hipervnculo"/>
                <w:rFonts w:ascii="Arial" w:eastAsia="Times New Roman" w:hAnsi="Arial" w:cs="Arial"/>
                <w:noProof/>
              </w:rPr>
              <w:t>Conmemoración del V aniversario de la Ley 11/2016 de creación de la Agencia Valenciana Antifraude</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_Toc99106962 \h </w:instrText>
            </w:r>
            <w:r w:rsidR="00AA198E" w:rsidRPr="00AA198E">
              <w:rPr>
                <w:noProof/>
                <w:webHidden/>
              </w:rPr>
            </w:r>
            <w:r w:rsidR="00AA198E" w:rsidRPr="00AA198E">
              <w:rPr>
                <w:noProof/>
                <w:webHidden/>
              </w:rPr>
              <w:fldChar w:fldCharType="separate"/>
            </w:r>
            <w:r w:rsidR="00AA198E" w:rsidRPr="00AA198E">
              <w:rPr>
                <w:noProof/>
                <w:webHidden/>
              </w:rPr>
              <w:t>25</w:t>
            </w:r>
            <w:r w:rsidR="00AA198E" w:rsidRPr="00AA198E">
              <w:rPr>
                <w:noProof/>
                <w:webHidden/>
              </w:rPr>
              <w:fldChar w:fldCharType="end"/>
            </w:r>
          </w:hyperlink>
        </w:p>
        <w:p w14:paraId="3DB9E9F2" w14:textId="4F5A21C7" w:rsidR="00AA198E" w:rsidRPr="00AA198E" w:rsidRDefault="00AF48E6">
          <w:pPr>
            <w:pStyle w:val="TDC3"/>
            <w:rPr>
              <w:iCs w:val="0"/>
              <w:noProof/>
              <w:sz w:val="22"/>
              <w:szCs w:val="22"/>
              <w:lang w:eastAsia="es-ES"/>
            </w:rPr>
          </w:pPr>
          <w:hyperlink w:anchor="_Toc99106963" w:history="1">
            <w:r w:rsidR="00AA198E" w:rsidRPr="00AA198E">
              <w:rPr>
                <w:rStyle w:val="Hipervnculo"/>
                <w:rFonts w:ascii="Arial" w:eastAsia="Times New Roman" w:hAnsi="Arial" w:cs="Arial"/>
                <w:noProof/>
              </w:rPr>
              <w:t>2.2.3.</w:t>
            </w:r>
            <w:r w:rsidR="00AA198E" w:rsidRPr="00AA198E">
              <w:rPr>
                <w:iCs w:val="0"/>
                <w:noProof/>
                <w:sz w:val="22"/>
                <w:szCs w:val="22"/>
                <w:lang w:eastAsia="es-ES"/>
              </w:rPr>
              <w:tab/>
            </w:r>
            <w:r w:rsidR="00AA198E" w:rsidRPr="00AA198E">
              <w:rPr>
                <w:rStyle w:val="Hipervnculo"/>
                <w:rFonts w:ascii="Arial" w:eastAsia="Times New Roman" w:hAnsi="Arial" w:cs="Arial"/>
                <w:noProof/>
              </w:rPr>
              <w:t>Día Internacional de Naciones Unidas de Lucha contra la Corrupción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_Toc99106963 \h </w:instrText>
            </w:r>
            <w:r w:rsidR="00AA198E" w:rsidRPr="00AA198E">
              <w:rPr>
                <w:noProof/>
                <w:webHidden/>
              </w:rPr>
            </w:r>
            <w:r w:rsidR="00AA198E" w:rsidRPr="00AA198E">
              <w:rPr>
                <w:noProof/>
                <w:webHidden/>
              </w:rPr>
              <w:fldChar w:fldCharType="separate"/>
            </w:r>
            <w:r w:rsidR="00AA198E" w:rsidRPr="00AA198E">
              <w:rPr>
                <w:noProof/>
                <w:webHidden/>
              </w:rPr>
              <w:t>26</w:t>
            </w:r>
            <w:r w:rsidR="00AA198E" w:rsidRPr="00AA198E">
              <w:rPr>
                <w:noProof/>
                <w:webHidden/>
              </w:rPr>
              <w:fldChar w:fldCharType="end"/>
            </w:r>
          </w:hyperlink>
        </w:p>
        <w:p w14:paraId="2050B27F" w14:textId="1BD1871E" w:rsidR="00AA198E" w:rsidRPr="00AA198E" w:rsidRDefault="00AF48E6">
          <w:pPr>
            <w:pStyle w:val="TDC3"/>
            <w:rPr>
              <w:iCs w:val="0"/>
              <w:noProof/>
              <w:sz w:val="22"/>
              <w:szCs w:val="22"/>
              <w:lang w:eastAsia="es-ES"/>
            </w:rPr>
          </w:pPr>
          <w:hyperlink w:anchor="_Toc99106964" w:history="1">
            <w:r w:rsidR="00AA198E" w:rsidRPr="00AA198E">
              <w:rPr>
                <w:rStyle w:val="Hipervnculo"/>
                <w:rFonts w:ascii="Arial" w:eastAsia="Times New Roman" w:hAnsi="Arial" w:cs="Arial"/>
                <w:noProof/>
              </w:rPr>
              <w:t>2.2.4.</w:t>
            </w:r>
            <w:r w:rsidR="00AA198E" w:rsidRPr="00AA198E">
              <w:rPr>
                <w:iCs w:val="0"/>
                <w:noProof/>
                <w:sz w:val="22"/>
                <w:szCs w:val="22"/>
                <w:lang w:eastAsia="es-ES"/>
              </w:rPr>
              <w:tab/>
            </w:r>
            <w:r w:rsidR="00AA198E" w:rsidRPr="00AA198E">
              <w:rPr>
                <w:rStyle w:val="Hipervnculo"/>
                <w:rFonts w:ascii="Arial" w:eastAsia="Times New Roman" w:hAnsi="Arial" w:cs="Arial"/>
                <w:noProof/>
              </w:rPr>
              <w:t>Consejo de Participación de la Agencia Valenciana Antifraude</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_Toc99106964 \h </w:instrText>
            </w:r>
            <w:r w:rsidR="00AA198E" w:rsidRPr="00AA198E">
              <w:rPr>
                <w:noProof/>
                <w:webHidden/>
              </w:rPr>
            </w:r>
            <w:r w:rsidR="00AA198E" w:rsidRPr="00AA198E">
              <w:rPr>
                <w:noProof/>
                <w:webHidden/>
              </w:rPr>
              <w:fldChar w:fldCharType="separate"/>
            </w:r>
            <w:r w:rsidR="00AA198E" w:rsidRPr="00AA198E">
              <w:rPr>
                <w:noProof/>
                <w:webHidden/>
              </w:rPr>
              <w:t>27</w:t>
            </w:r>
            <w:r w:rsidR="00AA198E" w:rsidRPr="00AA198E">
              <w:rPr>
                <w:noProof/>
                <w:webHidden/>
              </w:rPr>
              <w:fldChar w:fldCharType="end"/>
            </w:r>
          </w:hyperlink>
        </w:p>
        <w:p w14:paraId="52DC73D9" w14:textId="750E8FEE" w:rsidR="00AA198E" w:rsidRPr="00AA198E" w:rsidRDefault="00AF48E6">
          <w:pPr>
            <w:pStyle w:val="TDC2"/>
            <w:rPr>
              <w:rFonts w:asciiTheme="minorHAnsi" w:eastAsiaTheme="minorEastAsia" w:hAnsiTheme="minorHAnsi" w:cstheme="minorBidi"/>
              <w:kern w:val="0"/>
              <w:sz w:val="22"/>
              <w:lang w:bidi="ar-SA"/>
            </w:rPr>
          </w:pPr>
          <w:hyperlink w:anchor="_Toc99106965" w:history="1">
            <w:r w:rsidR="00AA198E" w:rsidRPr="00AA198E">
              <w:rPr>
                <w:rStyle w:val="Hipervnculo"/>
              </w:rPr>
              <w:t>2.3.</w:t>
            </w:r>
            <w:r w:rsidR="00AA198E" w:rsidRPr="00AA198E">
              <w:rPr>
                <w:rFonts w:asciiTheme="minorHAnsi" w:eastAsiaTheme="minorEastAsia" w:hAnsiTheme="minorHAnsi" w:cstheme="minorBidi"/>
                <w:kern w:val="0"/>
                <w:sz w:val="22"/>
                <w:lang w:bidi="ar-SA"/>
              </w:rPr>
              <w:tab/>
            </w:r>
            <w:r w:rsidR="00AA198E" w:rsidRPr="00AA198E">
              <w:rPr>
                <w:rStyle w:val="Hipervnculo"/>
              </w:rPr>
              <w:t>Red Estatal de Oficinas y Agencias Antifraude</w:t>
            </w:r>
            <w:r w:rsidR="00AA198E" w:rsidRPr="00AA198E">
              <w:rPr>
                <w:webHidden/>
              </w:rPr>
              <w:tab/>
            </w:r>
            <w:r w:rsidR="00AA198E" w:rsidRPr="00AA198E">
              <w:rPr>
                <w:webHidden/>
              </w:rPr>
              <w:fldChar w:fldCharType="begin" w:fldLock="1"/>
            </w:r>
            <w:r w:rsidR="00AA198E" w:rsidRPr="00AA198E">
              <w:rPr>
                <w:webHidden/>
              </w:rPr>
              <w:instrText xml:space="preserve"> PAGEREF _Toc99106965 \h </w:instrText>
            </w:r>
            <w:r w:rsidR="00AA198E" w:rsidRPr="00AA198E">
              <w:rPr>
                <w:webHidden/>
              </w:rPr>
            </w:r>
            <w:r w:rsidR="00AA198E" w:rsidRPr="00AA198E">
              <w:rPr>
                <w:webHidden/>
              </w:rPr>
              <w:fldChar w:fldCharType="separate"/>
            </w:r>
            <w:r w:rsidR="00AA198E" w:rsidRPr="00AA198E">
              <w:rPr>
                <w:webHidden/>
              </w:rPr>
              <w:t>29</w:t>
            </w:r>
            <w:r w:rsidR="00AA198E" w:rsidRPr="00AA198E">
              <w:rPr>
                <w:webHidden/>
              </w:rPr>
              <w:fldChar w:fldCharType="end"/>
            </w:r>
          </w:hyperlink>
        </w:p>
        <w:p w14:paraId="6E553122" w14:textId="040B87AD" w:rsidR="00AA198E" w:rsidRPr="00AA198E" w:rsidRDefault="00AF48E6">
          <w:pPr>
            <w:pStyle w:val="TDC2"/>
            <w:rPr>
              <w:rFonts w:asciiTheme="minorHAnsi" w:eastAsiaTheme="minorEastAsia" w:hAnsiTheme="minorHAnsi" w:cstheme="minorBidi"/>
              <w:kern w:val="0"/>
              <w:sz w:val="22"/>
              <w:lang w:bidi="ar-SA"/>
            </w:rPr>
          </w:pPr>
          <w:hyperlink w:anchor="_Toc99106966" w:history="1">
            <w:r w:rsidR="00AA198E" w:rsidRPr="00AA198E">
              <w:rPr>
                <w:rStyle w:val="Hipervnculo"/>
              </w:rPr>
              <w:t>2.4.</w:t>
            </w:r>
            <w:r w:rsidR="00AA198E" w:rsidRPr="00AA198E">
              <w:rPr>
                <w:rFonts w:asciiTheme="minorHAnsi" w:eastAsiaTheme="minorEastAsia" w:hAnsiTheme="minorHAnsi" w:cstheme="minorBidi"/>
                <w:kern w:val="0"/>
                <w:sz w:val="22"/>
                <w:lang w:bidi="ar-SA"/>
              </w:rPr>
              <w:tab/>
            </w:r>
            <w:r w:rsidR="00AA198E" w:rsidRPr="00AA198E">
              <w:rPr>
                <w:rStyle w:val="Hipervnculo"/>
              </w:rPr>
              <w:t>Actividad nacional e internacional</w:t>
            </w:r>
            <w:r w:rsidR="00AA198E" w:rsidRPr="00AA198E">
              <w:rPr>
                <w:webHidden/>
              </w:rPr>
              <w:tab/>
            </w:r>
            <w:r w:rsidR="00AA198E" w:rsidRPr="00AA198E">
              <w:rPr>
                <w:webHidden/>
              </w:rPr>
              <w:fldChar w:fldCharType="begin" w:fldLock="1"/>
            </w:r>
            <w:r w:rsidR="00AA198E" w:rsidRPr="00AA198E">
              <w:rPr>
                <w:webHidden/>
              </w:rPr>
              <w:instrText xml:space="preserve"> PAGEREF _Toc99106966 \h </w:instrText>
            </w:r>
            <w:r w:rsidR="00AA198E" w:rsidRPr="00AA198E">
              <w:rPr>
                <w:webHidden/>
              </w:rPr>
            </w:r>
            <w:r w:rsidR="00AA198E" w:rsidRPr="00AA198E">
              <w:rPr>
                <w:webHidden/>
              </w:rPr>
              <w:fldChar w:fldCharType="separate"/>
            </w:r>
            <w:r w:rsidR="00AA198E" w:rsidRPr="00AA198E">
              <w:rPr>
                <w:webHidden/>
              </w:rPr>
              <w:t>32</w:t>
            </w:r>
            <w:r w:rsidR="00AA198E" w:rsidRPr="00AA198E">
              <w:rPr>
                <w:webHidden/>
              </w:rPr>
              <w:fldChar w:fldCharType="end"/>
            </w:r>
          </w:hyperlink>
        </w:p>
        <w:p w14:paraId="554AD55E" w14:textId="201B1910" w:rsidR="00AA198E" w:rsidRPr="00AA198E" w:rsidRDefault="00AF48E6">
          <w:pPr>
            <w:pStyle w:val="TDC3"/>
            <w:rPr>
              <w:iCs w:val="0"/>
              <w:noProof/>
              <w:sz w:val="22"/>
              <w:szCs w:val="22"/>
              <w:lang w:eastAsia="es-ES"/>
            </w:rPr>
          </w:pPr>
          <w:hyperlink w:anchor="_Toc99106967" w:history="1">
            <w:r w:rsidR="00AA198E" w:rsidRPr="00AA198E">
              <w:rPr>
                <w:rStyle w:val="Hipervnculo"/>
                <w:rFonts w:ascii="Arial" w:eastAsia="Times New Roman" w:hAnsi="Arial" w:cs="Arial"/>
                <w:noProof/>
              </w:rPr>
              <w:t>2.4.1.</w:t>
            </w:r>
            <w:r w:rsidR="00AA198E" w:rsidRPr="00AA198E">
              <w:rPr>
                <w:iCs w:val="0"/>
                <w:noProof/>
                <w:sz w:val="22"/>
                <w:szCs w:val="22"/>
                <w:lang w:eastAsia="es-ES"/>
              </w:rPr>
              <w:tab/>
            </w:r>
            <w:r w:rsidR="00AA198E" w:rsidRPr="00AA198E">
              <w:rPr>
                <w:rStyle w:val="Hipervnculo"/>
                <w:rFonts w:ascii="Arial" w:eastAsia="Times New Roman" w:hAnsi="Arial" w:cs="Arial"/>
                <w:noProof/>
              </w:rPr>
              <w:t>Firma de convenios y protocolos de colaboración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_Toc99106967 \h </w:instrText>
            </w:r>
            <w:r w:rsidR="00AA198E" w:rsidRPr="00AA198E">
              <w:rPr>
                <w:noProof/>
                <w:webHidden/>
              </w:rPr>
            </w:r>
            <w:r w:rsidR="00AA198E" w:rsidRPr="00AA198E">
              <w:rPr>
                <w:noProof/>
                <w:webHidden/>
              </w:rPr>
              <w:fldChar w:fldCharType="separate"/>
            </w:r>
            <w:r w:rsidR="00AA198E" w:rsidRPr="00AA198E">
              <w:rPr>
                <w:noProof/>
                <w:webHidden/>
              </w:rPr>
              <w:t>32</w:t>
            </w:r>
            <w:r w:rsidR="00AA198E" w:rsidRPr="00AA198E">
              <w:rPr>
                <w:noProof/>
                <w:webHidden/>
              </w:rPr>
              <w:fldChar w:fldCharType="end"/>
            </w:r>
          </w:hyperlink>
        </w:p>
        <w:p w14:paraId="32E86645" w14:textId="4F9E4D88" w:rsidR="00AA198E" w:rsidRPr="00AA198E" w:rsidRDefault="00AF48E6">
          <w:pPr>
            <w:pStyle w:val="TDC3"/>
            <w:rPr>
              <w:iCs w:val="0"/>
              <w:noProof/>
              <w:sz w:val="22"/>
              <w:szCs w:val="22"/>
              <w:lang w:eastAsia="es-ES"/>
            </w:rPr>
          </w:pPr>
          <w:hyperlink w:anchor="_Toc99106968" w:history="1">
            <w:r w:rsidR="00AA198E" w:rsidRPr="00AA198E">
              <w:rPr>
                <w:rStyle w:val="Hipervnculo"/>
                <w:rFonts w:ascii="Arial" w:eastAsia="Times New Roman" w:hAnsi="Arial" w:cs="Arial"/>
                <w:noProof/>
              </w:rPr>
              <w:t>2.4.2.</w:t>
            </w:r>
            <w:r w:rsidR="00AA198E" w:rsidRPr="00AA198E">
              <w:rPr>
                <w:iCs w:val="0"/>
                <w:noProof/>
                <w:sz w:val="22"/>
                <w:szCs w:val="22"/>
                <w:lang w:eastAsia="es-ES"/>
              </w:rPr>
              <w:tab/>
            </w:r>
            <w:r w:rsidR="00AA198E" w:rsidRPr="00AA198E">
              <w:rPr>
                <w:rStyle w:val="Hipervnculo"/>
                <w:rFonts w:ascii="Arial" w:eastAsia="Times New Roman" w:hAnsi="Arial" w:cs="Arial"/>
                <w:noProof/>
              </w:rPr>
              <w:t>Socios Europeos contra la Corrupción (EPAC) y la Red Europea de Puntos de Contacto contra la Corrupción (EAPCN)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_Toc99106968 \h </w:instrText>
            </w:r>
            <w:r w:rsidR="00AA198E" w:rsidRPr="00AA198E">
              <w:rPr>
                <w:noProof/>
                <w:webHidden/>
              </w:rPr>
            </w:r>
            <w:r w:rsidR="00AA198E" w:rsidRPr="00AA198E">
              <w:rPr>
                <w:noProof/>
                <w:webHidden/>
              </w:rPr>
              <w:fldChar w:fldCharType="separate"/>
            </w:r>
            <w:r w:rsidR="00AA198E" w:rsidRPr="00AA198E">
              <w:rPr>
                <w:noProof/>
                <w:webHidden/>
              </w:rPr>
              <w:t>33</w:t>
            </w:r>
            <w:r w:rsidR="00AA198E" w:rsidRPr="00AA198E">
              <w:rPr>
                <w:noProof/>
                <w:webHidden/>
              </w:rPr>
              <w:fldChar w:fldCharType="end"/>
            </w:r>
          </w:hyperlink>
        </w:p>
        <w:p w14:paraId="18A826DB" w14:textId="5593A462" w:rsidR="00AA198E" w:rsidRPr="00AA198E" w:rsidRDefault="00AF48E6">
          <w:pPr>
            <w:pStyle w:val="TDC3"/>
            <w:rPr>
              <w:iCs w:val="0"/>
              <w:noProof/>
              <w:sz w:val="22"/>
              <w:szCs w:val="22"/>
              <w:lang w:eastAsia="es-ES"/>
            </w:rPr>
          </w:pPr>
          <w:hyperlink w:anchor="_Toc99106969" w:history="1">
            <w:r w:rsidR="00AA198E" w:rsidRPr="00AA198E">
              <w:rPr>
                <w:rStyle w:val="Hipervnculo"/>
                <w:rFonts w:ascii="Arial" w:eastAsia="Times New Roman" w:hAnsi="Arial" w:cs="Arial"/>
                <w:noProof/>
              </w:rPr>
              <w:t>2.4.3.</w:t>
            </w:r>
            <w:r w:rsidR="00AA198E" w:rsidRPr="00AA198E">
              <w:rPr>
                <w:iCs w:val="0"/>
                <w:noProof/>
                <w:sz w:val="22"/>
                <w:szCs w:val="22"/>
                <w:lang w:eastAsia="es-ES"/>
              </w:rPr>
              <w:tab/>
            </w:r>
            <w:r w:rsidR="00AA198E" w:rsidRPr="00AA198E">
              <w:rPr>
                <w:rStyle w:val="Hipervnculo"/>
                <w:rFonts w:ascii="Arial" w:eastAsia="Times New Roman" w:hAnsi="Arial" w:cs="Arial"/>
                <w:noProof/>
              </w:rPr>
              <w:t>Red de Autoridades Europeas de Integridad y Alertadores (NEIWA)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_Toc99106969 \h </w:instrText>
            </w:r>
            <w:r w:rsidR="00AA198E" w:rsidRPr="00AA198E">
              <w:rPr>
                <w:noProof/>
                <w:webHidden/>
              </w:rPr>
            </w:r>
            <w:r w:rsidR="00AA198E" w:rsidRPr="00AA198E">
              <w:rPr>
                <w:noProof/>
                <w:webHidden/>
              </w:rPr>
              <w:fldChar w:fldCharType="separate"/>
            </w:r>
            <w:r w:rsidR="00AA198E" w:rsidRPr="00AA198E">
              <w:rPr>
                <w:noProof/>
                <w:webHidden/>
              </w:rPr>
              <w:t>34</w:t>
            </w:r>
            <w:r w:rsidR="00AA198E" w:rsidRPr="00AA198E">
              <w:rPr>
                <w:noProof/>
                <w:webHidden/>
              </w:rPr>
              <w:fldChar w:fldCharType="end"/>
            </w:r>
          </w:hyperlink>
        </w:p>
        <w:p w14:paraId="05E76578" w14:textId="5C777974" w:rsidR="00AA198E" w:rsidRPr="00AA198E" w:rsidRDefault="00AF48E6">
          <w:pPr>
            <w:pStyle w:val="TDC2"/>
            <w:rPr>
              <w:rFonts w:asciiTheme="minorHAnsi" w:eastAsiaTheme="minorEastAsia" w:hAnsiTheme="minorHAnsi" w:cstheme="minorBidi"/>
              <w:kern w:val="0"/>
              <w:sz w:val="22"/>
              <w:lang w:bidi="ar-SA"/>
            </w:rPr>
          </w:pPr>
          <w:hyperlink w:anchor="_Toc99106970" w:history="1">
            <w:r w:rsidR="00AA198E" w:rsidRPr="00AA198E">
              <w:rPr>
                <w:rStyle w:val="Hipervnculo"/>
              </w:rPr>
              <w:t>2.5.</w:t>
            </w:r>
            <w:r w:rsidR="00AA198E" w:rsidRPr="00AA198E">
              <w:rPr>
                <w:rFonts w:asciiTheme="minorHAnsi" w:eastAsiaTheme="minorEastAsia" w:hAnsiTheme="minorHAnsi" w:cstheme="minorBidi"/>
                <w:kern w:val="0"/>
                <w:sz w:val="22"/>
                <w:lang w:bidi="ar-SA"/>
              </w:rPr>
              <w:tab/>
            </w:r>
            <w:r w:rsidR="00AA198E" w:rsidRPr="00AA198E">
              <w:rPr>
                <w:rStyle w:val="Hipervnculo"/>
              </w:rPr>
              <w:t>Asistencia a actos</w:t>
            </w:r>
            <w:r w:rsidR="00AA198E" w:rsidRPr="00AA198E">
              <w:rPr>
                <w:webHidden/>
              </w:rPr>
              <w:tab/>
            </w:r>
            <w:r w:rsidR="00AA198E" w:rsidRPr="00AA198E">
              <w:rPr>
                <w:webHidden/>
              </w:rPr>
              <w:fldChar w:fldCharType="begin" w:fldLock="1"/>
            </w:r>
            <w:r w:rsidR="00AA198E" w:rsidRPr="00AA198E">
              <w:rPr>
                <w:webHidden/>
              </w:rPr>
              <w:instrText xml:space="preserve"> PAGEREF _Toc99106970 \h </w:instrText>
            </w:r>
            <w:r w:rsidR="00AA198E" w:rsidRPr="00AA198E">
              <w:rPr>
                <w:webHidden/>
              </w:rPr>
            </w:r>
            <w:r w:rsidR="00AA198E" w:rsidRPr="00AA198E">
              <w:rPr>
                <w:webHidden/>
              </w:rPr>
              <w:fldChar w:fldCharType="separate"/>
            </w:r>
            <w:r w:rsidR="00AA198E" w:rsidRPr="00AA198E">
              <w:rPr>
                <w:webHidden/>
              </w:rPr>
              <w:t>35</w:t>
            </w:r>
            <w:r w:rsidR="00AA198E" w:rsidRPr="00AA198E">
              <w:rPr>
                <w:webHidden/>
              </w:rPr>
              <w:fldChar w:fldCharType="end"/>
            </w:r>
          </w:hyperlink>
        </w:p>
        <w:p w14:paraId="192C7221" w14:textId="1437AAEE" w:rsidR="00AA198E" w:rsidRPr="00AA198E" w:rsidRDefault="00AF48E6">
          <w:pPr>
            <w:pStyle w:val="TDC2"/>
            <w:rPr>
              <w:rFonts w:asciiTheme="minorHAnsi" w:eastAsiaTheme="minorEastAsia" w:hAnsiTheme="minorHAnsi" w:cstheme="minorBidi"/>
              <w:kern w:val="0"/>
              <w:sz w:val="22"/>
              <w:lang w:bidi="ar-SA"/>
            </w:rPr>
          </w:pPr>
          <w:hyperlink w:anchor="_Toc99106971" w:history="1">
            <w:r w:rsidR="00AA198E" w:rsidRPr="00AA198E">
              <w:rPr>
                <w:rStyle w:val="Hipervnculo"/>
              </w:rPr>
              <w:t>2.6.</w:t>
            </w:r>
            <w:r w:rsidR="00AA198E" w:rsidRPr="00AA198E">
              <w:rPr>
                <w:rFonts w:asciiTheme="minorHAnsi" w:eastAsiaTheme="minorEastAsia" w:hAnsiTheme="minorHAnsi" w:cstheme="minorBidi"/>
                <w:kern w:val="0"/>
                <w:sz w:val="22"/>
                <w:lang w:bidi="ar-SA"/>
              </w:rPr>
              <w:tab/>
            </w:r>
            <w:r w:rsidR="00AA198E" w:rsidRPr="00AA198E">
              <w:rPr>
                <w:rStyle w:val="Hipervnculo"/>
              </w:rPr>
              <w:t>Conferencias impartidas</w:t>
            </w:r>
            <w:r w:rsidR="00AA198E" w:rsidRPr="00AA198E">
              <w:rPr>
                <w:webHidden/>
              </w:rPr>
              <w:tab/>
            </w:r>
            <w:r w:rsidR="00AA198E" w:rsidRPr="00AA198E">
              <w:rPr>
                <w:webHidden/>
              </w:rPr>
              <w:fldChar w:fldCharType="begin" w:fldLock="1"/>
            </w:r>
            <w:r w:rsidR="00AA198E" w:rsidRPr="00AA198E">
              <w:rPr>
                <w:webHidden/>
              </w:rPr>
              <w:instrText xml:space="preserve"> PAGEREF _Toc99106971 \h </w:instrText>
            </w:r>
            <w:r w:rsidR="00AA198E" w:rsidRPr="00AA198E">
              <w:rPr>
                <w:webHidden/>
              </w:rPr>
            </w:r>
            <w:r w:rsidR="00AA198E" w:rsidRPr="00AA198E">
              <w:rPr>
                <w:webHidden/>
              </w:rPr>
              <w:fldChar w:fldCharType="separate"/>
            </w:r>
            <w:r w:rsidR="00AA198E" w:rsidRPr="00AA198E">
              <w:rPr>
                <w:webHidden/>
              </w:rPr>
              <w:t>35</w:t>
            </w:r>
            <w:r w:rsidR="00AA198E" w:rsidRPr="00AA198E">
              <w:rPr>
                <w:webHidden/>
              </w:rPr>
              <w:fldChar w:fldCharType="end"/>
            </w:r>
          </w:hyperlink>
        </w:p>
        <w:p w14:paraId="5923250B" w14:textId="00F725FE" w:rsidR="00AA198E" w:rsidRPr="00AA198E" w:rsidRDefault="00AF48E6">
          <w:pPr>
            <w:pStyle w:val="TDC2"/>
            <w:rPr>
              <w:rFonts w:asciiTheme="minorHAnsi" w:eastAsiaTheme="minorEastAsia" w:hAnsiTheme="minorHAnsi" w:cstheme="minorBidi"/>
              <w:kern w:val="0"/>
              <w:sz w:val="22"/>
              <w:lang w:bidi="ar-SA"/>
            </w:rPr>
          </w:pPr>
          <w:hyperlink w:anchor="_Toc99106972" w:history="1">
            <w:r w:rsidR="00AA198E" w:rsidRPr="00AA198E">
              <w:rPr>
                <w:rStyle w:val="Hipervnculo"/>
              </w:rPr>
              <w:t>2.7.</w:t>
            </w:r>
            <w:r w:rsidR="00AA198E" w:rsidRPr="00AA198E">
              <w:rPr>
                <w:rFonts w:asciiTheme="minorHAnsi" w:eastAsiaTheme="minorEastAsia" w:hAnsiTheme="minorHAnsi" w:cstheme="minorBidi"/>
                <w:kern w:val="0"/>
                <w:sz w:val="22"/>
                <w:lang w:bidi="ar-SA"/>
              </w:rPr>
              <w:tab/>
            </w:r>
            <w:r w:rsidR="00AA198E" w:rsidRPr="00AA198E">
              <w:rPr>
                <w:rStyle w:val="Hipervnculo"/>
              </w:rPr>
              <w:t>Entrevistas y reuniones</w:t>
            </w:r>
            <w:r w:rsidR="00AA198E" w:rsidRPr="00AA198E">
              <w:rPr>
                <w:webHidden/>
              </w:rPr>
              <w:tab/>
            </w:r>
            <w:r w:rsidR="00AA198E" w:rsidRPr="00AA198E">
              <w:rPr>
                <w:webHidden/>
              </w:rPr>
              <w:fldChar w:fldCharType="begin" w:fldLock="1"/>
            </w:r>
            <w:r w:rsidR="00AA198E" w:rsidRPr="00AA198E">
              <w:rPr>
                <w:webHidden/>
              </w:rPr>
              <w:instrText xml:space="preserve"> PAGEREF _Toc99106972 \h </w:instrText>
            </w:r>
            <w:r w:rsidR="00AA198E" w:rsidRPr="00AA198E">
              <w:rPr>
                <w:webHidden/>
              </w:rPr>
            </w:r>
            <w:r w:rsidR="00AA198E" w:rsidRPr="00AA198E">
              <w:rPr>
                <w:webHidden/>
              </w:rPr>
              <w:fldChar w:fldCharType="separate"/>
            </w:r>
            <w:r w:rsidR="00AA198E" w:rsidRPr="00AA198E">
              <w:rPr>
                <w:webHidden/>
              </w:rPr>
              <w:t>39</w:t>
            </w:r>
            <w:r w:rsidR="00AA198E" w:rsidRPr="00AA198E">
              <w:rPr>
                <w:webHidden/>
              </w:rPr>
              <w:fldChar w:fldCharType="end"/>
            </w:r>
          </w:hyperlink>
        </w:p>
        <w:p w14:paraId="3450F4A8" w14:textId="649D643A" w:rsidR="00AA198E" w:rsidRPr="00AA198E" w:rsidRDefault="00AF48E6">
          <w:pPr>
            <w:pStyle w:val="TDC2"/>
            <w:rPr>
              <w:rFonts w:asciiTheme="minorHAnsi" w:eastAsiaTheme="minorEastAsia" w:hAnsiTheme="minorHAnsi" w:cstheme="minorBidi"/>
              <w:kern w:val="0"/>
              <w:sz w:val="22"/>
              <w:lang w:bidi="ar-SA"/>
            </w:rPr>
          </w:pPr>
          <w:hyperlink w:anchor="_Toc99106973" w:history="1">
            <w:r w:rsidR="00AA198E" w:rsidRPr="00AA198E">
              <w:rPr>
                <w:rStyle w:val="Hipervnculo"/>
              </w:rPr>
              <w:t>2.8.</w:t>
            </w:r>
            <w:r w:rsidR="00AA198E" w:rsidRPr="00AA198E">
              <w:rPr>
                <w:rFonts w:asciiTheme="minorHAnsi" w:eastAsiaTheme="minorEastAsia" w:hAnsiTheme="minorHAnsi" w:cstheme="minorBidi"/>
                <w:kern w:val="0"/>
                <w:sz w:val="22"/>
                <w:lang w:bidi="ar-SA"/>
              </w:rPr>
              <w:tab/>
            </w:r>
            <w:r w:rsidR="00AA198E" w:rsidRPr="00AA198E">
              <w:rPr>
                <w:rStyle w:val="Hipervnculo"/>
              </w:rPr>
              <w:t>Página web y redes sociales</w:t>
            </w:r>
            <w:r w:rsidR="00AA198E" w:rsidRPr="00AA198E">
              <w:rPr>
                <w:webHidden/>
              </w:rPr>
              <w:tab/>
            </w:r>
            <w:r w:rsidR="00AA198E" w:rsidRPr="00AA198E">
              <w:rPr>
                <w:webHidden/>
              </w:rPr>
              <w:fldChar w:fldCharType="begin" w:fldLock="1"/>
            </w:r>
            <w:r w:rsidR="00AA198E" w:rsidRPr="00AA198E">
              <w:rPr>
                <w:webHidden/>
              </w:rPr>
              <w:instrText xml:space="preserve"> PAGEREF _Toc99106973 \h </w:instrText>
            </w:r>
            <w:r w:rsidR="00AA198E" w:rsidRPr="00AA198E">
              <w:rPr>
                <w:webHidden/>
              </w:rPr>
            </w:r>
            <w:r w:rsidR="00AA198E" w:rsidRPr="00AA198E">
              <w:rPr>
                <w:webHidden/>
              </w:rPr>
              <w:fldChar w:fldCharType="separate"/>
            </w:r>
            <w:r w:rsidR="00AA198E" w:rsidRPr="00AA198E">
              <w:rPr>
                <w:webHidden/>
              </w:rPr>
              <w:t>42</w:t>
            </w:r>
            <w:r w:rsidR="00AA198E" w:rsidRPr="00AA198E">
              <w:rPr>
                <w:webHidden/>
              </w:rPr>
              <w:fldChar w:fldCharType="end"/>
            </w:r>
          </w:hyperlink>
        </w:p>
        <w:p w14:paraId="20C6ACD2" w14:textId="32E57CD3" w:rsidR="00AA198E" w:rsidRPr="00AA198E" w:rsidRDefault="00AF48E6">
          <w:pPr>
            <w:pStyle w:val="TDC3"/>
            <w:rPr>
              <w:iCs w:val="0"/>
              <w:noProof/>
              <w:sz w:val="22"/>
              <w:szCs w:val="22"/>
              <w:lang w:eastAsia="es-ES"/>
            </w:rPr>
          </w:pPr>
          <w:hyperlink w:anchor="_Toc99106974" w:history="1">
            <w:r w:rsidR="00AA198E" w:rsidRPr="00AA198E">
              <w:rPr>
                <w:rStyle w:val="Hipervnculo"/>
                <w:rFonts w:ascii="Arial" w:eastAsia="Times New Roman" w:hAnsi="Arial" w:cs="Arial"/>
                <w:noProof/>
              </w:rPr>
              <w:t>2.8.1.</w:t>
            </w:r>
            <w:r w:rsidR="00AA198E" w:rsidRPr="00AA198E">
              <w:rPr>
                <w:iCs w:val="0"/>
                <w:noProof/>
                <w:sz w:val="22"/>
                <w:szCs w:val="22"/>
                <w:lang w:eastAsia="es-ES"/>
              </w:rPr>
              <w:tab/>
            </w:r>
            <w:r w:rsidR="00AA198E" w:rsidRPr="00AA198E">
              <w:rPr>
                <w:rStyle w:val="Hipervnculo"/>
                <w:rFonts w:ascii="Arial" w:eastAsia="Times New Roman" w:hAnsi="Arial" w:cs="Arial"/>
                <w:noProof/>
              </w:rPr>
              <w:t>Diálogos en la AVAF</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_Toc99106974 \h </w:instrText>
            </w:r>
            <w:r w:rsidR="00AA198E" w:rsidRPr="00AA198E">
              <w:rPr>
                <w:noProof/>
                <w:webHidden/>
              </w:rPr>
            </w:r>
            <w:r w:rsidR="00AA198E" w:rsidRPr="00AA198E">
              <w:rPr>
                <w:noProof/>
                <w:webHidden/>
              </w:rPr>
              <w:fldChar w:fldCharType="separate"/>
            </w:r>
            <w:r w:rsidR="00AA198E" w:rsidRPr="00AA198E">
              <w:rPr>
                <w:noProof/>
                <w:webHidden/>
              </w:rPr>
              <w:t>43</w:t>
            </w:r>
            <w:r w:rsidR="00AA198E" w:rsidRPr="00AA198E">
              <w:rPr>
                <w:noProof/>
                <w:webHidden/>
              </w:rPr>
              <w:fldChar w:fldCharType="end"/>
            </w:r>
          </w:hyperlink>
        </w:p>
        <w:p w14:paraId="00E0BB53" w14:textId="77C7A0D5" w:rsidR="00AA198E" w:rsidRPr="00AA198E" w:rsidRDefault="00AF48E6">
          <w:pPr>
            <w:pStyle w:val="TDC3"/>
            <w:rPr>
              <w:iCs w:val="0"/>
              <w:noProof/>
              <w:sz w:val="22"/>
              <w:szCs w:val="22"/>
              <w:lang w:eastAsia="es-ES"/>
            </w:rPr>
          </w:pPr>
          <w:hyperlink w:anchor="_Toc99106975" w:history="1">
            <w:r w:rsidR="00AA198E" w:rsidRPr="00AA198E">
              <w:rPr>
                <w:rStyle w:val="Hipervnculo"/>
                <w:rFonts w:ascii="Arial" w:eastAsia="Times New Roman" w:hAnsi="Arial" w:cs="Arial"/>
                <w:noProof/>
              </w:rPr>
              <w:t>2.8.2.</w:t>
            </w:r>
            <w:r w:rsidR="00AA198E" w:rsidRPr="00AA198E">
              <w:rPr>
                <w:iCs w:val="0"/>
                <w:noProof/>
                <w:sz w:val="22"/>
                <w:szCs w:val="22"/>
                <w:lang w:eastAsia="es-ES"/>
              </w:rPr>
              <w:tab/>
            </w:r>
            <w:r w:rsidR="00AA198E" w:rsidRPr="00AA198E">
              <w:rPr>
                <w:rStyle w:val="Hipervnculo"/>
                <w:rFonts w:ascii="Arial" w:eastAsia="Times New Roman" w:hAnsi="Arial" w:cs="Arial"/>
                <w:noProof/>
              </w:rPr>
              <w:t>Blog de la AVAF</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_Toc99106975 \h </w:instrText>
            </w:r>
            <w:r w:rsidR="00AA198E" w:rsidRPr="00AA198E">
              <w:rPr>
                <w:noProof/>
                <w:webHidden/>
              </w:rPr>
            </w:r>
            <w:r w:rsidR="00AA198E" w:rsidRPr="00AA198E">
              <w:rPr>
                <w:noProof/>
                <w:webHidden/>
              </w:rPr>
              <w:fldChar w:fldCharType="separate"/>
            </w:r>
            <w:r w:rsidR="00AA198E" w:rsidRPr="00AA198E">
              <w:rPr>
                <w:noProof/>
                <w:webHidden/>
              </w:rPr>
              <w:t>44</w:t>
            </w:r>
            <w:r w:rsidR="00AA198E" w:rsidRPr="00AA198E">
              <w:rPr>
                <w:noProof/>
                <w:webHidden/>
              </w:rPr>
              <w:fldChar w:fldCharType="end"/>
            </w:r>
          </w:hyperlink>
        </w:p>
        <w:p w14:paraId="487F1A1F" w14:textId="6043F4D9" w:rsidR="00AA198E" w:rsidRPr="00AA198E" w:rsidRDefault="00AF48E6">
          <w:pPr>
            <w:pStyle w:val="TDC3"/>
            <w:rPr>
              <w:iCs w:val="0"/>
              <w:noProof/>
              <w:sz w:val="22"/>
              <w:szCs w:val="22"/>
              <w:lang w:eastAsia="es-ES"/>
            </w:rPr>
          </w:pPr>
          <w:hyperlink w:anchor="_Toc99106976" w:history="1">
            <w:r w:rsidR="00AA198E" w:rsidRPr="00AA198E">
              <w:rPr>
                <w:rStyle w:val="Hipervnculo"/>
                <w:rFonts w:ascii="Arial" w:eastAsia="Times New Roman" w:hAnsi="Arial" w:cs="Arial"/>
                <w:noProof/>
              </w:rPr>
              <w:t>2.8.3.</w:t>
            </w:r>
            <w:r w:rsidR="00AA198E" w:rsidRPr="00AA198E">
              <w:rPr>
                <w:iCs w:val="0"/>
                <w:noProof/>
                <w:sz w:val="22"/>
                <w:szCs w:val="22"/>
                <w:lang w:eastAsia="es-ES"/>
              </w:rPr>
              <w:tab/>
            </w:r>
            <w:r w:rsidR="00AA198E" w:rsidRPr="00AA198E">
              <w:rPr>
                <w:rStyle w:val="Hipervnculo"/>
                <w:rFonts w:ascii="Arial" w:eastAsia="Times New Roman" w:hAnsi="Arial" w:cs="Arial"/>
                <w:noProof/>
              </w:rPr>
              <w:t>Web institucional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_Toc99106976 \h </w:instrText>
            </w:r>
            <w:r w:rsidR="00AA198E" w:rsidRPr="00AA198E">
              <w:rPr>
                <w:noProof/>
                <w:webHidden/>
              </w:rPr>
            </w:r>
            <w:r w:rsidR="00AA198E" w:rsidRPr="00AA198E">
              <w:rPr>
                <w:noProof/>
                <w:webHidden/>
              </w:rPr>
              <w:fldChar w:fldCharType="separate"/>
            </w:r>
            <w:r w:rsidR="00AA198E" w:rsidRPr="00AA198E">
              <w:rPr>
                <w:noProof/>
                <w:webHidden/>
              </w:rPr>
              <w:t>45</w:t>
            </w:r>
            <w:r w:rsidR="00AA198E" w:rsidRPr="00AA198E">
              <w:rPr>
                <w:noProof/>
                <w:webHidden/>
              </w:rPr>
              <w:fldChar w:fldCharType="end"/>
            </w:r>
          </w:hyperlink>
        </w:p>
        <w:p w14:paraId="4F19EF3A" w14:textId="6496EAF0" w:rsidR="00AA198E" w:rsidRPr="00AA198E" w:rsidRDefault="00AF48E6">
          <w:pPr>
            <w:pStyle w:val="TDC3"/>
            <w:rPr>
              <w:iCs w:val="0"/>
              <w:noProof/>
              <w:sz w:val="22"/>
              <w:szCs w:val="22"/>
              <w:lang w:eastAsia="es-ES"/>
            </w:rPr>
          </w:pPr>
          <w:hyperlink w:anchor="_Toc99106977" w:history="1">
            <w:r w:rsidR="00AA198E" w:rsidRPr="00AA198E">
              <w:rPr>
                <w:rStyle w:val="Hipervnculo"/>
                <w:rFonts w:ascii="Arial" w:eastAsia="Times New Roman" w:hAnsi="Arial" w:cs="Arial"/>
                <w:noProof/>
              </w:rPr>
              <w:t>2.8.4.</w:t>
            </w:r>
            <w:r w:rsidR="00AA198E" w:rsidRPr="00AA198E">
              <w:rPr>
                <w:iCs w:val="0"/>
                <w:noProof/>
                <w:sz w:val="22"/>
                <w:szCs w:val="22"/>
                <w:lang w:eastAsia="es-ES"/>
              </w:rPr>
              <w:tab/>
            </w:r>
            <w:r w:rsidR="00AA198E" w:rsidRPr="00AA198E">
              <w:rPr>
                <w:rStyle w:val="Hipervnculo"/>
                <w:rFonts w:ascii="Arial" w:eastAsia="Times New Roman" w:hAnsi="Arial" w:cs="Arial"/>
                <w:noProof/>
              </w:rPr>
              <w:t>Presencia en las redes sociales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_Toc99106977 \h </w:instrText>
            </w:r>
            <w:r w:rsidR="00AA198E" w:rsidRPr="00AA198E">
              <w:rPr>
                <w:noProof/>
                <w:webHidden/>
              </w:rPr>
            </w:r>
            <w:r w:rsidR="00AA198E" w:rsidRPr="00AA198E">
              <w:rPr>
                <w:noProof/>
                <w:webHidden/>
              </w:rPr>
              <w:fldChar w:fldCharType="separate"/>
            </w:r>
            <w:r w:rsidR="00AA198E" w:rsidRPr="00AA198E">
              <w:rPr>
                <w:noProof/>
                <w:webHidden/>
              </w:rPr>
              <w:t>45</w:t>
            </w:r>
            <w:r w:rsidR="00AA198E" w:rsidRPr="00AA198E">
              <w:rPr>
                <w:noProof/>
                <w:webHidden/>
              </w:rPr>
              <w:fldChar w:fldCharType="end"/>
            </w:r>
          </w:hyperlink>
        </w:p>
        <w:p w14:paraId="30FB72D1" w14:textId="74B2DBE1" w:rsidR="00AA198E" w:rsidRPr="00AA198E" w:rsidRDefault="00AF48E6">
          <w:pPr>
            <w:pStyle w:val="TDC2"/>
            <w:rPr>
              <w:rFonts w:asciiTheme="minorHAnsi" w:eastAsiaTheme="minorEastAsia" w:hAnsiTheme="minorHAnsi" w:cstheme="minorBidi"/>
              <w:kern w:val="0"/>
              <w:sz w:val="22"/>
              <w:lang w:bidi="ar-SA"/>
            </w:rPr>
          </w:pPr>
          <w:hyperlink w:anchor="_Toc99106978" w:history="1">
            <w:r w:rsidR="00AA198E" w:rsidRPr="00AA198E">
              <w:rPr>
                <w:rStyle w:val="Hipervnculo"/>
              </w:rPr>
              <w:t>2.9.</w:t>
            </w:r>
            <w:r w:rsidR="00AA198E" w:rsidRPr="00AA198E">
              <w:rPr>
                <w:rFonts w:asciiTheme="minorHAnsi" w:eastAsiaTheme="minorEastAsia" w:hAnsiTheme="minorHAnsi" w:cstheme="minorBidi"/>
                <w:kern w:val="0"/>
                <w:sz w:val="22"/>
                <w:lang w:bidi="ar-SA"/>
              </w:rPr>
              <w:tab/>
            </w:r>
            <w:r w:rsidR="00AA198E" w:rsidRPr="00AA198E">
              <w:rPr>
                <w:rStyle w:val="Hipervnculo"/>
              </w:rPr>
              <w:t>Medios de comunicación</w:t>
            </w:r>
            <w:r w:rsidR="00AA198E" w:rsidRPr="00AA198E">
              <w:rPr>
                <w:webHidden/>
              </w:rPr>
              <w:tab/>
            </w:r>
            <w:r w:rsidR="00AA198E" w:rsidRPr="00AA198E">
              <w:rPr>
                <w:webHidden/>
              </w:rPr>
              <w:fldChar w:fldCharType="begin" w:fldLock="1"/>
            </w:r>
            <w:r w:rsidR="00AA198E" w:rsidRPr="00AA198E">
              <w:rPr>
                <w:webHidden/>
              </w:rPr>
              <w:instrText xml:space="preserve"> PAGEREF _Toc99106978 \h </w:instrText>
            </w:r>
            <w:r w:rsidR="00AA198E" w:rsidRPr="00AA198E">
              <w:rPr>
                <w:webHidden/>
              </w:rPr>
            </w:r>
            <w:r w:rsidR="00AA198E" w:rsidRPr="00AA198E">
              <w:rPr>
                <w:webHidden/>
              </w:rPr>
              <w:fldChar w:fldCharType="separate"/>
            </w:r>
            <w:r w:rsidR="00AA198E" w:rsidRPr="00AA198E">
              <w:rPr>
                <w:webHidden/>
              </w:rPr>
              <w:t>47</w:t>
            </w:r>
            <w:r w:rsidR="00AA198E" w:rsidRPr="00AA198E">
              <w:rPr>
                <w:webHidden/>
              </w:rPr>
              <w:fldChar w:fldCharType="end"/>
            </w:r>
          </w:hyperlink>
        </w:p>
        <w:p w14:paraId="3970813C" w14:textId="54A66A16" w:rsidR="00AA198E" w:rsidRPr="00AA198E" w:rsidRDefault="00AF48E6">
          <w:pPr>
            <w:pStyle w:val="TDC2"/>
            <w:rPr>
              <w:rFonts w:asciiTheme="minorHAnsi" w:eastAsiaTheme="minorEastAsia" w:hAnsiTheme="minorHAnsi" w:cstheme="minorBidi"/>
              <w:kern w:val="0"/>
              <w:sz w:val="22"/>
              <w:lang w:bidi="ar-SA"/>
            </w:rPr>
          </w:pPr>
          <w:hyperlink w:anchor="_Toc99106979" w:history="1">
            <w:r w:rsidR="00AA198E" w:rsidRPr="00AA198E">
              <w:rPr>
                <w:rStyle w:val="Hipervnculo"/>
              </w:rPr>
              <w:t>2.10.</w:t>
            </w:r>
            <w:r w:rsidR="00AA198E" w:rsidRPr="00AA198E">
              <w:rPr>
                <w:rFonts w:asciiTheme="minorHAnsi" w:eastAsiaTheme="minorEastAsia" w:hAnsiTheme="minorHAnsi" w:cstheme="minorBidi"/>
                <w:kern w:val="0"/>
                <w:sz w:val="22"/>
                <w:lang w:bidi="ar-SA"/>
              </w:rPr>
              <w:tab/>
            </w:r>
            <w:r w:rsidR="00AA198E" w:rsidRPr="00AA198E">
              <w:rPr>
                <w:rStyle w:val="Hipervnculo"/>
              </w:rPr>
              <w:t>Acciones de comunicación</w:t>
            </w:r>
            <w:r w:rsidR="00AA198E" w:rsidRPr="00AA198E">
              <w:rPr>
                <w:webHidden/>
              </w:rPr>
              <w:tab/>
            </w:r>
            <w:r w:rsidR="00AA198E" w:rsidRPr="00AA198E">
              <w:rPr>
                <w:webHidden/>
              </w:rPr>
              <w:fldChar w:fldCharType="begin" w:fldLock="1"/>
            </w:r>
            <w:r w:rsidR="00AA198E" w:rsidRPr="00AA198E">
              <w:rPr>
                <w:webHidden/>
              </w:rPr>
              <w:instrText xml:space="preserve"> PAGEREF _Toc99106979 \h </w:instrText>
            </w:r>
            <w:r w:rsidR="00AA198E" w:rsidRPr="00AA198E">
              <w:rPr>
                <w:webHidden/>
              </w:rPr>
            </w:r>
            <w:r w:rsidR="00AA198E" w:rsidRPr="00AA198E">
              <w:rPr>
                <w:webHidden/>
              </w:rPr>
              <w:fldChar w:fldCharType="separate"/>
            </w:r>
            <w:r w:rsidR="00AA198E" w:rsidRPr="00AA198E">
              <w:rPr>
                <w:webHidden/>
              </w:rPr>
              <w:t>52</w:t>
            </w:r>
            <w:r w:rsidR="00AA198E" w:rsidRPr="00AA198E">
              <w:rPr>
                <w:webHidden/>
              </w:rPr>
              <w:fldChar w:fldCharType="end"/>
            </w:r>
          </w:hyperlink>
        </w:p>
        <w:p w14:paraId="2C1AB550" w14:textId="6C132B3B" w:rsidR="00AA198E" w:rsidRPr="00AA198E" w:rsidRDefault="00AF48E6">
          <w:pPr>
            <w:pStyle w:val="TDC3"/>
            <w:rPr>
              <w:iCs w:val="0"/>
              <w:noProof/>
              <w:sz w:val="22"/>
              <w:szCs w:val="22"/>
              <w:lang w:eastAsia="es-ES"/>
            </w:rPr>
          </w:pPr>
          <w:hyperlink w:anchor="_Toc99106980" w:history="1">
            <w:r w:rsidR="00AA198E" w:rsidRPr="00AA198E">
              <w:rPr>
                <w:rStyle w:val="Hipervnculo"/>
                <w:rFonts w:ascii="Arial" w:eastAsia="Times New Roman" w:hAnsi="Arial" w:cs="Arial"/>
                <w:noProof/>
              </w:rPr>
              <w:t>2.10.1.</w:t>
            </w:r>
            <w:r w:rsidR="00AA198E" w:rsidRPr="00AA198E">
              <w:rPr>
                <w:iCs w:val="0"/>
                <w:noProof/>
                <w:sz w:val="22"/>
                <w:szCs w:val="22"/>
                <w:lang w:eastAsia="es-ES"/>
              </w:rPr>
              <w:tab/>
            </w:r>
            <w:r w:rsidR="00AA198E" w:rsidRPr="00AA198E">
              <w:rPr>
                <w:rStyle w:val="Hipervnculo"/>
                <w:rFonts w:ascii="Arial" w:eastAsia="Times New Roman" w:hAnsi="Arial" w:cs="Arial"/>
                <w:noProof/>
              </w:rPr>
              <w:t>Grupo de comunicación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_Toc99106980 \h </w:instrText>
            </w:r>
            <w:r w:rsidR="00AA198E" w:rsidRPr="00AA198E">
              <w:rPr>
                <w:noProof/>
                <w:webHidden/>
              </w:rPr>
            </w:r>
            <w:r w:rsidR="00AA198E" w:rsidRPr="00AA198E">
              <w:rPr>
                <w:noProof/>
                <w:webHidden/>
              </w:rPr>
              <w:fldChar w:fldCharType="separate"/>
            </w:r>
            <w:r w:rsidR="00AA198E" w:rsidRPr="00AA198E">
              <w:rPr>
                <w:noProof/>
                <w:webHidden/>
              </w:rPr>
              <w:t>52</w:t>
            </w:r>
            <w:r w:rsidR="00AA198E" w:rsidRPr="00AA198E">
              <w:rPr>
                <w:noProof/>
                <w:webHidden/>
              </w:rPr>
              <w:fldChar w:fldCharType="end"/>
            </w:r>
          </w:hyperlink>
        </w:p>
        <w:p w14:paraId="17AA81BA" w14:textId="0CB2203E" w:rsidR="00AA198E" w:rsidRPr="00AA198E" w:rsidRDefault="00AF48E6">
          <w:pPr>
            <w:pStyle w:val="TDC3"/>
            <w:rPr>
              <w:iCs w:val="0"/>
              <w:noProof/>
              <w:sz w:val="22"/>
              <w:szCs w:val="22"/>
              <w:lang w:eastAsia="es-ES"/>
            </w:rPr>
          </w:pPr>
          <w:hyperlink w:anchor="_Toc99106981" w:history="1">
            <w:r w:rsidR="00AA198E" w:rsidRPr="00AA198E">
              <w:rPr>
                <w:rStyle w:val="Hipervnculo"/>
                <w:rFonts w:ascii="Arial" w:eastAsia="Times New Roman" w:hAnsi="Arial" w:cs="Arial"/>
                <w:noProof/>
              </w:rPr>
              <w:t>2.10.2.</w:t>
            </w:r>
            <w:r w:rsidR="00AA198E" w:rsidRPr="00AA198E">
              <w:rPr>
                <w:iCs w:val="0"/>
                <w:noProof/>
                <w:sz w:val="22"/>
                <w:szCs w:val="22"/>
                <w:lang w:eastAsia="es-ES"/>
              </w:rPr>
              <w:tab/>
            </w:r>
            <w:r w:rsidR="00AA198E" w:rsidRPr="00AA198E">
              <w:rPr>
                <w:rStyle w:val="Hipervnculo"/>
                <w:rFonts w:ascii="Arial" w:eastAsia="Times New Roman" w:hAnsi="Arial" w:cs="Arial"/>
                <w:noProof/>
              </w:rPr>
              <w:t>Campaña#Estubuzón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_Toc99106981 \h </w:instrText>
            </w:r>
            <w:r w:rsidR="00AA198E" w:rsidRPr="00AA198E">
              <w:rPr>
                <w:noProof/>
                <w:webHidden/>
              </w:rPr>
            </w:r>
            <w:r w:rsidR="00AA198E" w:rsidRPr="00AA198E">
              <w:rPr>
                <w:noProof/>
                <w:webHidden/>
              </w:rPr>
              <w:fldChar w:fldCharType="separate"/>
            </w:r>
            <w:r w:rsidR="00AA198E" w:rsidRPr="00AA198E">
              <w:rPr>
                <w:noProof/>
                <w:webHidden/>
              </w:rPr>
              <w:t>52</w:t>
            </w:r>
            <w:r w:rsidR="00AA198E" w:rsidRPr="00AA198E">
              <w:rPr>
                <w:noProof/>
                <w:webHidden/>
              </w:rPr>
              <w:fldChar w:fldCharType="end"/>
            </w:r>
          </w:hyperlink>
        </w:p>
        <w:p w14:paraId="033F70E0" w14:textId="1CDF0F23" w:rsidR="00AA198E" w:rsidRPr="00AA198E" w:rsidRDefault="00AF48E6">
          <w:pPr>
            <w:pStyle w:val="TDC2"/>
            <w:rPr>
              <w:rFonts w:asciiTheme="minorHAnsi" w:eastAsiaTheme="minorEastAsia" w:hAnsiTheme="minorHAnsi" w:cstheme="minorBidi"/>
              <w:kern w:val="0"/>
              <w:sz w:val="22"/>
              <w:lang w:bidi="ar-SA"/>
            </w:rPr>
          </w:pPr>
          <w:hyperlink w:anchor="_Toc99106982" w:history="1">
            <w:r w:rsidR="00AA198E" w:rsidRPr="00AA198E">
              <w:rPr>
                <w:rStyle w:val="Hipervnculo"/>
              </w:rPr>
              <w:t>2.11.</w:t>
            </w:r>
            <w:r w:rsidR="00AA198E" w:rsidRPr="00AA198E">
              <w:rPr>
                <w:rFonts w:asciiTheme="minorHAnsi" w:eastAsiaTheme="minorEastAsia" w:hAnsiTheme="minorHAnsi" w:cstheme="minorBidi"/>
                <w:kern w:val="0"/>
                <w:sz w:val="22"/>
                <w:lang w:bidi="ar-SA"/>
              </w:rPr>
              <w:tab/>
            </w:r>
            <w:r w:rsidR="00AA198E" w:rsidRPr="00AA198E">
              <w:rPr>
                <w:rStyle w:val="Hipervnculo"/>
              </w:rPr>
              <w:t>Relaciones con las Corts Valencianes</w:t>
            </w:r>
            <w:r w:rsidR="00AA198E" w:rsidRPr="00AA198E">
              <w:rPr>
                <w:webHidden/>
              </w:rPr>
              <w:tab/>
            </w:r>
            <w:r w:rsidR="00AA198E" w:rsidRPr="00AA198E">
              <w:rPr>
                <w:webHidden/>
              </w:rPr>
              <w:fldChar w:fldCharType="begin" w:fldLock="1"/>
            </w:r>
            <w:r w:rsidR="00AA198E" w:rsidRPr="00AA198E">
              <w:rPr>
                <w:webHidden/>
              </w:rPr>
              <w:instrText xml:space="preserve"> PAGEREF _Toc99106982 \h </w:instrText>
            </w:r>
            <w:r w:rsidR="00AA198E" w:rsidRPr="00AA198E">
              <w:rPr>
                <w:webHidden/>
              </w:rPr>
            </w:r>
            <w:r w:rsidR="00AA198E" w:rsidRPr="00AA198E">
              <w:rPr>
                <w:webHidden/>
              </w:rPr>
              <w:fldChar w:fldCharType="separate"/>
            </w:r>
            <w:r w:rsidR="00AA198E" w:rsidRPr="00AA198E">
              <w:rPr>
                <w:webHidden/>
              </w:rPr>
              <w:t>52</w:t>
            </w:r>
            <w:r w:rsidR="00AA198E" w:rsidRPr="00AA198E">
              <w:rPr>
                <w:webHidden/>
              </w:rPr>
              <w:fldChar w:fldCharType="end"/>
            </w:r>
          </w:hyperlink>
        </w:p>
        <w:p w14:paraId="33D9EC9C" w14:textId="56CAB7E1" w:rsidR="00AA198E" w:rsidRPr="00AA198E" w:rsidRDefault="00AF48E6">
          <w:pPr>
            <w:pStyle w:val="TDC3"/>
            <w:rPr>
              <w:iCs w:val="0"/>
              <w:noProof/>
              <w:sz w:val="22"/>
              <w:szCs w:val="22"/>
              <w:lang w:eastAsia="es-ES"/>
            </w:rPr>
          </w:pPr>
          <w:hyperlink w:anchor="_Toc99106983" w:history="1">
            <w:r w:rsidR="00AA198E" w:rsidRPr="00AA198E">
              <w:rPr>
                <w:rStyle w:val="Hipervnculo"/>
                <w:rFonts w:ascii="Arial" w:eastAsia="Times New Roman" w:hAnsi="Arial" w:cs="Arial"/>
                <w:noProof/>
              </w:rPr>
              <w:t>2.11.1.</w:t>
            </w:r>
            <w:r w:rsidR="00AA198E" w:rsidRPr="00AA198E">
              <w:rPr>
                <w:iCs w:val="0"/>
                <w:noProof/>
                <w:sz w:val="22"/>
                <w:szCs w:val="22"/>
                <w:lang w:eastAsia="es-ES"/>
              </w:rPr>
              <w:tab/>
            </w:r>
            <w:r w:rsidR="00AA198E" w:rsidRPr="00AA198E">
              <w:rPr>
                <w:rStyle w:val="Hipervnculo"/>
                <w:rFonts w:ascii="Arial" w:eastAsia="Times New Roman" w:hAnsi="Arial" w:cs="Arial"/>
                <w:noProof/>
              </w:rPr>
              <w:t>Entrega de la Memoria 2020</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_Toc99106983 \h </w:instrText>
            </w:r>
            <w:r w:rsidR="00AA198E" w:rsidRPr="00AA198E">
              <w:rPr>
                <w:noProof/>
                <w:webHidden/>
              </w:rPr>
            </w:r>
            <w:r w:rsidR="00AA198E" w:rsidRPr="00AA198E">
              <w:rPr>
                <w:noProof/>
                <w:webHidden/>
              </w:rPr>
              <w:fldChar w:fldCharType="separate"/>
            </w:r>
            <w:r w:rsidR="00AA198E" w:rsidRPr="00AA198E">
              <w:rPr>
                <w:noProof/>
                <w:webHidden/>
              </w:rPr>
              <w:t>53</w:t>
            </w:r>
            <w:r w:rsidR="00AA198E" w:rsidRPr="00AA198E">
              <w:rPr>
                <w:noProof/>
                <w:webHidden/>
              </w:rPr>
              <w:fldChar w:fldCharType="end"/>
            </w:r>
          </w:hyperlink>
        </w:p>
        <w:p w14:paraId="4A56EF18" w14:textId="4F278E31" w:rsidR="00AA198E" w:rsidRPr="00AA198E" w:rsidRDefault="00AF48E6">
          <w:pPr>
            <w:pStyle w:val="TDC3"/>
            <w:rPr>
              <w:iCs w:val="0"/>
              <w:noProof/>
              <w:sz w:val="22"/>
              <w:szCs w:val="22"/>
              <w:lang w:eastAsia="es-ES"/>
            </w:rPr>
          </w:pPr>
          <w:hyperlink w:anchor="_Toc99106984" w:history="1">
            <w:r w:rsidR="00AA198E" w:rsidRPr="00AA198E">
              <w:rPr>
                <w:rStyle w:val="Hipervnculo"/>
                <w:rFonts w:ascii="Arial" w:eastAsia="Times New Roman" w:hAnsi="Arial" w:cs="Arial"/>
                <w:noProof/>
              </w:rPr>
              <w:t>2.11.2.</w:t>
            </w:r>
            <w:r w:rsidR="00AA198E" w:rsidRPr="00AA198E">
              <w:rPr>
                <w:iCs w:val="0"/>
                <w:noProof/>
                <w:sz w:val="22"/>
                <w:szCs w:val="22"/>
                <w:lang w:eastAsia="es-ES"/>
              </w:rPr>
              <w:tab/>
            </w:r>
            <w:r w:rsidR="00AA198E" w:rsidRPr="00AA198E">
              <w:rPr>
                <w:rStyle w:val="Hipervnculo"/>
                <w:rFonts w:ascii="Arial" w:eastAsia="Times New Roman" w:hAnsi="Arial" w:cs="Arial"/>
                <w:noProof/>
              </w:rPr>
              <w:t>Comparecencias del director ante Comisiones parlamentarias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_Toc99106984 \h </w:instrText>
            </w:r>
            <w:r w:rsidR="00AA198E" w:rsidRPr="00AA198E">
              <w:rPr>
                <w:noProof/>
                <w:webHidden/>
              </w:rPr>
            </w:r>
            <w:r w:rsidR="00AA198E" w:rsidRPr="00AA198E">
              <w:rPr>
                <w:noProof/>
                <w:webHidden/>
              </w:rPr>
              <w:fldChar w:fldCharType="separate"/>
            </w:r>
            <w:r w:rsidR="00AA198E" w:rsidRPr="00AA198E">
              <w:rPr>
                <w:noProof/>
                <w:webHidden/>
              </w:rPr>
              <w:t>53</w:t>
            </w:r>
            <w:r w:rsidR="00AA198E" w:rsidRPr="00AA198E">
              <w:rPr>
                <w:noProof/>
                <w:webHidden/>
              </w:rPr>
              <w:fldChar w:fldCharType="end"/>
            </w:r>
          </w:hyperlink>
        </w:p>
        <w:p w14:paraId="041F5512" w14:textId="3524709E" w:rsidR="00AA198E" w:rsidRPr="00AA198E" w:rsidRDefault="00AF48E6">
          <w:pPr>
            <w:pStyle w:val="TDC2"/>
            <w:rPr>
              <w:rFonts w:asciiTheme="minorHAnsi" w:eastAsiaTheme="minorEastAsia" w:hAnsiTheme="minorHAnsi" w:cstheme="minorBidi"/>
              <w:kern w:val="0"/>
              <w:sz w:val="22"/>
              <w:lang w:bidi="ar-SA"/>
            </w:rPr>
          </w:pPr>
          <w:hyperlink w:anchor="_Toc99106985" w:history="1">
            <w:r w:rsidR="00AA198E" w:rsidRPr="00AA198E">
              <w:rPr>
                <w:rStyle w:val="Hipervnculo"/>
              </w:rPr>
              <w:t>2.12.</w:t>
            </w:r>
            <w:r w:rsidR="00AA198E" w:rsidRPr="00AA198E">
              <w:rPr>
                <w:rFonts w:asciiTheme="minorHAnsi" w:eastAsiaTheme="minorEastAsia" w:hAnsiTheme="minorHAnsi" w:cstheme="minorBidi"/>
                <w:kern w:val="0"/>
                <w:sz w:val="22"/>
                <w:lang w:bidi="ar-SA"/>
              </w:rPr>
              <w:tab/>
            </w:r>
            <w:r w:rsidR="00AA198E" w:rsidRPr="00AA198E">
              <w:rPr>
                <w:rStyle w:val="Hipervnculo"/>
              </w:rPr>
              <w:t>Relaciones con otras instituciones</w:t>
            </w:r>
            <w:r w:rsidR="00AA198E" w:rsidRPr="00AA198E">
              <w:rPr>
                <w:webHidden/>
              </w:rPr>
              <w:tab/>
            </w:r>
            <w:r w:rsidR="00AA198E" w:rsidRPr="00AA198E">
              <w:rPr>
                <w:webHidden/>
              </w:rPr>
              <w:fldChar w:fldCharType="begin" w:fldLock="1"/>
            </w:r>
            <w:r w:rsidR="00AA198E" w:rsidRPr="00AA198E">
              <w:rPr>
                <w:webHidden/>
              </w:rPr>
              <w:instrText xml:space="preserve"> PAGEREF _Toc99106985 \h </w:instrText>
            </w:r>
            <w:r w:rsidR="00AA198E" w:rsidRPr="00AA198E">
              <w:rPr>
                <w:webHidden/>
              </w:rPr>
            </w:r>
            <w:r w:rsidR="00AA198E" w:rsidRPr="00AA198E">
              <w:rPr>
                <w:webHidden/>
              </w:rPr>
              <w:fldChar w:fldCharType="separate"/>
            </w:r>
            <w:r w:rsidR="00AA198E" w:rsidRPr="00AA198E">
              <w:rPr>
                <w:webHidden/>
              </w:rPr>
              <w:t>54</w:t>
            </w:r>
            <w:r w:rsidR="00AA198E" w:rsidRPr="00AA198E">
              <w:rPr>
                <w:webHidden/>
              </w:rPr>
              <w:fldChar w:fldCharType="end"/>
            </w:r>
          </w:hyperlink>
        </w:p>
        <w:p w14:paraId="410F55DA" w14:textId="588B3B0B" w:rsidR="00AA198E" w:rsidRPr="00AA198E" w:rsidRDefault="00AF48E6">
          <w:pPr>
            <w:pStyle w:val="TDC3"/>
            <w:rPr>
              <w:iCs w:val="0"/>
              <w:noProof/>
              <w:sz w:val="22"/>
              <w:szCs w:val="22"/>
              <w:lang w:eastAsia="es-ES"/>
            </w:rPr>
          </w:pPr>
          <w:hyperlink w:anchor="_Toc99106986" w:history="1">
            <w:r w:rsidR="00AA198E" w:rsidRPr="00AA198E">
              <w:rPr>
                <w:rStyle w:val="Hipervnculo"/>
                <w:rFonts w:ascii="Arial" w:eastAsia="Times New Roman" w:hAnsi="Arial" w:cs="Arial"/>
                <w:noProof/>
              </w:rPr>
              <w:t>2.12.1.</w:t>
            </w:r>
            <w:r w:rsidR="00AA198E" w:rsidRPr="00AA198E">
              <w:rPr>
                <w:iCs w:val="0"/>
                <w:noProof/>
                <w:sz w:val="22"/>
                <w:szCs w:val="22"/>
                <w:lang w:eastAsia="es-ES"/>
              </w:rPr>
              <w:tab/>
            </w:r>
            <w:r w:rsidR="00AA198E" w:rsidRPr="00AA198E">
              <w:rPr>
                <w:rStyle w:val="Hipervnculo"/>
                <w:rFonts w:ascii="Arial" w:eastAsia="Times New Roman" w:hAnsi="Arial" w:cs="Arial"/>
                <w:noProof/>
              </w:rPr>
              <w:t>Eusko Legebitzarra / Parlamento Vasco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_Toc99106986 \h </w:instrText>
            </w:r>
            <w:r w:rsidR="00AA198E" w:rsidRPr="00AA198E">
              <w:rPr>
                <w:noProof/>
                <w:webHidden/>
              </w:rPr>
            </w:r>
            <w:r w:rsidR="00AA198E" w:rsidRPr="00AA198E">
              <w:rPr>
                <w:noProof/>
                <w:webHidden/>
              </w:rPr>
              <w:fldChar w:fldCharType="separate"/>
            </w:r>
            <w:r w:rsidR="00AA198E" w:rsidRPr="00AA198E">
              <w:rPr>
                <w:noProof/>
                <w:webHidden/>
              </w:rPr>
              <w:t>54</w:t>
            </w:r>
            <w:r w:rsidR="00AA198E" w:rsidRPr="00AA198E">
              <w:rPr>
                <w:noProof/>
                <w:webHidden/>
              </w:rPr>
              <w:fldChar w:fldCharType="end"/>
            </w:r>
          </w:hyperlink>
        </w:p>
        <w:p w14:paraId="045D5C86" w14:textId="658450DF" w:rsidR="00AA198E" w:rsidRPr="00AA198E" w:rsidRDefault="00AF48E6">
          <w:pPr>
            <w:pStyle w:val="TDC2"/>
            <w:rPr>
              <w:rFonts w:asciiTheme="minorHAnsi" w:eastAsiaTheme="minorEastAsia" w:hAnsiTheme="minorHAnsi" w:cstheme="minorBidi"/>
              <w:kern w:val="0"/>
              <w:sz w:val="22"/>
              <w:lang w:bidi="ar-SA"/>
            </w:rPr>
          </w:pPr>
          <w:hyperlink w:anchor="_Toc99106987" w:history="1">
            <w:r w:rsidR="00AA198E" w:rsidRPr="00AA198E">
              <w:rPr>
                <w:rStyle w:val="Hipervnculo"/>
              </w:rPr>
              <w:t>2.13.</w:t>
            </w:r>
            <w:r w:rsidR="00AA198E" w:rsidRPr="00AA198E">
              <w:rPr>
                <w:rFonts w:asciiTheme="minorHAnsi" w:eastAsiaTheme="minorEastAsia" w:hAnsiTheme="minorHAnsi" w:cstheme="minorBidi"/>
                <w:kern w:val="0"/>
                <w:sz w:val="22"/>
                <w:lang w:bidi="ar-SA"/>
              </w:rPr>
              <w:tab/>
            </w:r>
            <w:r w:rsidR="00AA198E" w:rsidRPr="00AA198E">
              <w:rPr>
                <w:rStyle w:val="Hipervnculo"/>
              </w:rPr>
              <w:t>Publicaciones en boletines oficiales</w:t>
            </w:r>
            <w:r w:rsidR="00AA198E" w:rsidRPr="00AA198E">
              <w:rPr>
                <w:webHidden/>
              </w:rPr>
              <w:tab/>
            </w:r>
            <w:r w:rsidR="00AA198E" w:rsidRPr="00AA198E">
              <w:rPr>
                <w:webHidden/>
              </w:rPr>
              <w:fldChar w:fldCharType="begin" w:fldLock="1"/>
            </w:r>
            <w:r w:rsidR="00AA198E" w:rsidRPr="00AA198E">
              <w:rPr>
                <w:webHidden/>
              </w:rPr>
              <w:instrText xml:space="preserve"> PAGEREF _Toc99106987 \h </w:instrText>
            </w:r>
            <w:r w:rsidR="00AA198E" w:rsidRPr="00AA198E">
              <w:rPr>
                <w:webHidden/>
              </w:rPr>
            </w:r>
            <w:r w:rsidR="00AA198E" w:rsidRPr="00AA198E">
              <w:rPr>
                <w:webHidden/>
              </w:rPr>
              <w:fldChar w:fldCharType="separate"/>
            </w:r>
            <w:r w:rsidR="00AA198E" w:rsidRPr="00AA198E">
              <w:rPr>
                <w:webHidden/>
              </w:rPr>
              <w:t>55</w:t>
            </w:r>
            <w:r w:rsidR="00AA198E" w:rsidRPr="00AA198E">
              <w:rPr>
                <w:webHidden/>
              </w:rPr>
              <w:fldChar w:fldCharType="end"/>
            </w:r>
          </w:hyperlink>
        </w:p>
        <w:p w14:paraId="0CB3295F" w14:textId="62D5932A" w:rsidR="00AA198E" w:rsidRPr="00AA198E" w:rsidRDefault="00AF48E6" w:rsidP="00AA198E">
          <w:pPr>
            <w:pStyle w:val="TDC1"/>
            <w:rPr>
              <w:rFonts w:asciiTheme="minorHAnsi" w:eastAsiaTheme="minorEastAsia" w:hAnsiTheme="minorHAnsi" w:cstheme="minorBidi"/>
              <w:kern w:val="0"/>
              <w:sz w:val="22"/>
              <w:szCs w:val="22"/>
              <w:lang w:bidi="ar-SA"/>
            </w:rPr>
          </w:pPr>
          <w:hyperlink w:anchor="_Toc99106988" w:history="1">
            <w:r w:rsidR="00AA198E" w:rsidRPr="00AA198E">
              <w:rPr>
                <w:rStyle w:val="Hipervnculo"/>
                <w:rFonts w:eastAsia="Times New Roman"/>
              </w:rPr>
              <w:t>3.</w:t>
            </w:r>
            <w:r w:rsidR="00AA198E" w:rsidRPr="00AA198E">
              <w:rPr>
                <w:rFonts w:asciiTheme="minorHAnsi" w:eastAsiaTheme="minorEastAsia" w:hAnsiTheme="minorHAnsi" w:cstheme="minorBidi"/>
                <w:kern w:val="0"/>
                <w:sz w:val="22"/>
                <w:szCs w:val="22"/>
                <w:lang w:bidi="ar-SA"/>
              </w:rPr>
              <w:tab/>
            </w:r>
            <w:r w:rsidR="00AA198E" w:rsidRPr="00AA198E">
              <w:rPr>
                <w:rStyle w:val="Hipervnculo"/>
                <w:rFonts w:eastAsia="Times New Roman"/>
              </w:rPr>
              <w:t xml:space="preserve">Marco normativo, </w:t>
            </w:r>
            <w:r w:rsidR="00336E76">
              <w:rPr>
                <w:rStyle w:val="Hipervnculo"/>
                <w:rFonts w:eastAsia="Times New Roman"/>
              </w:rPr>
              <w:t>p</w:t>
            </w:r>
            <w:r w:rsidR="00AA198E" w:rsidRPr="00AA198E">
              <w:rPr>
                <w:rStyle w:val="Hipervnculo"/>
                <w:rFonts w:eastAsia="Times New Roman"/>
              </w:rPr>
              <w:t xml:space="preserve">rotección de las </w:t>
            </w:r>
            <w:r w:rsidR="00336E76">
              <w:rPr>
                <w:rStyle w:val="Hipervnculo"/>
                <w:rFonts w:eastAsia="Times New Roman"/>
              </w:rPr>
              <w:t>p</w:t>
            </w:r>
            <w:r w:rsidR="00AA198E" w:rsidRPr="00AA198E">
              <w:rPr>
                <w:rStyle w:val="Hipervnculo"/>
                <w:rFonts w:eastAsia="Times New Roman"/>
              </w:rPr>
              <w:t xml:space="preserve">ersonas </w:t>
            </w:r>
            <w:r w:rsidR="00336E76">
              <w:rPr>
                <w:rStyle w:val="Hipervnculo"/>
                <w:rFonts w:eastAsia="Times New Roman"/>
              </w:rPr>
              <w:t>d</w:t>
            </w:r>
            <w:r w:rsidR="00AA198E" w:rsidRPr="00AA198E">
              <w:rPr>
                <w:rStyle w:val="Hipervnculo"/>
                <w:rFonts w:eastAsia="Times New Roman"/>
              </w:rPr>
              <w:t xml:space="preserve">enunciantes y </w:t>
            </w:r>
            <w:r w:rsidR="00336E76">
              <w:rPr>
                <w:rStyle w:val="Hipervnculo"/>
                <w:rFonts w:eastAsia="Times New Roman"/>
              </w:rPr>
              <w:t>a</w:t>
            </w:r>
            <w:r w:rsidR="00AA198E" w:rsidRPr="00AA198E">
              <w:rPr>
                <w:rStyle w:val="Hipervnculo"/>
                <w:rFonts w:eastAsia="Times New Roman"/>
              </w:rPr>
              <w:t xml:space="preserve">suntos </w:t>
            </w:r>
            <w:r w:rsidR="00336E76">
              <w:rPr>
                <w:rStyle w:val="Hipervnculo"/>
                <w:rFonts w:eastAsia="Times New Roman"/>
              </w:rPr>
              <w:t>j</w:t>
            </w:r>
            <w:r w:rsidR="00AA198E" w:rsidRPr="00AA198E">
              <w:rPr>
                <w:rStyle w:val="Hipervnculo"/>
                <w:rFonts w:eastAsia="Times New Roman"/>
              </w:rPr>
              <w:t>urídicos</w:t>
            </w:r>
            <w:r w:rsidR="00AA198E" w:rsidRPr="00AA198E">
              <w:rPr>
                <w:webHidden/>
              </w:rPr>
              <w:tab/>
            </w:r>
            <w:r w:rsidR="00AA198E" w:rsidRPr="00AA198E">
              <w:rPr>
                <w:webHidden/>
              </w:rPr>
              <w:fldChar w:fldCharType="begin" w:fldLock="1"/>
            </w:r>
            <w:r w:rsidR="00AA198E" w:rsidRPr="00AA198E">
              <w:rPr>
                <w:webHidden/>
              </w:rPr>
              <w:instrText xml:space="preserve"> PAGEREF _Toc99106988 \h </w:instrText>
            </w:r>
            <w:r w:rsidR="00AA198E" w:rsidRPr="00AA198E">
              <w:rPr>
                <w:webHidden/>
              </w:rPr>
            </w:r>
            <w:r w:rsidR="00AA198E" w:rsidRPr="00AA198E">
              <w:rPr>
                <w:webHidden/>
              </w:rPr>
              <w:fldChar w:fldCharType="separate"/>
            </w:r>
            <w:r w:rsidR="00AA198E" w:rsidRPr="00AA198E">
              <w:rPr>
                <w:webHidden/>
              </w:rPr>
              <w:t>59</w:t>
            </w:r>
            <w:r w:rsidR="00AA198E" w:rsidRPr="00AA198E">
              <w:rPr>
                <w:webHidden/>
              </w:rPr>
              <w:fldChar w:fldCharType="end"/>
            </w:r>
          </w:hyperlink>
        </w:p>
        <w:p w14:paraId="5046C6D3" w14:textId="7677FEA6" w:rsidR="00AA198E" w:rsidRPr="00AA198E" w:rsidRDefault="00AF48E6">
          <w:pPr>
            <w:pStyle w:val="TDC2"/>
            <w:rPr>
              <w:rFonts w:asciiTheme="minorHAnsi" w:eastAsiaTheme="minorEastAsia" w:hAnsiTheme="minorHAnsi" w:cstheme="minorBidi"/>
              <w:kern w:val="0"/>
              <w:sz w:val="22"/>
              <w:lang w:bidi="ar-SA"/>
            </w:rPr>
          </w:pPr>
          <w:hyperlink w:anchor="_Toc99106989" w:history="1">
            <w:r w:rsidR="00AA198E" w:rsidRPr="00AA198E">
              <w:rPr>
                <w:rStyle w:val="Hipervnculo"/>
              </w:rPr>
              <w:t>3.1.</w:t>
            </w:r>
            <w:r w:rsidR="00AA198E" w:rsidRPr="00AA198E">
              <w:rPr>
                <w:rFonts w:asciiTheme="minorHAnsi" w:eastAsiaTheme="minorEastAsia" w:hAnsiTheme="minorHAnsi" w:cstheme="minorBidi"/>
                <w:kern w:val="0"/>
                <w:sz w:val="22"/>
                <w:lang w:bidi="ar-SA"/>
              </w:rPr>
              <w:tab/>
            </w:r>
            <w:r w:rsidR="00AA198E" w:rsidRPr="00AA198E">
              <w:rPr>
                <w:rStyle w:val="Hipervnculo"/>
              </w:rPr>
              <w:t>Funciones</w:t>
            </w:r>
            <w:r w:rsidR="00AA198E" w:rsidRPr="00AA198E">
              <w:rPr>
                <w:webHidden/>
              </w:rPr>
              <w:tab/>
            </w:r>
            <w:r w:rsidR="00AA198E" w:rsidRPr="00AA198E">
              <w:rPr>
                <w:webHidden/>
              </w:rPr>
              <w:fldChar w:fldCharType="begin" w:fldLock="1"/>
            </w:r>
            <w:r w:rsidR="00AA198E" w:rsidRPr="00AA198E">
              <w:rPr>
                <w:webHidden/>
              </w:rPr>
              <w:instrText xml:space="preserve"> PAGEREF _Toc99106989 \h </w:instrText>
            </w:r>
            <w:r w:rsidR="00AA198E" w:rsidRPr="00AA198E">
              <w:rPr>
                <w:webHidden/>
              </w:rPr>
            </w:r>
            <w:r w:rsidR="00AA198E" w:rsidRPr="00AA198E">
              <w:rPr>
                <w:webHidden/>
              </w:rPr>
              <w:fldChar w:fldCharType="separate"/>
            </w:r>
            <w:r w:rsidR="00AA198E" w:rsidRPr="00AA198E">
              <w:rPr>
                <w:webHidden/>
              </w:rPr>
              <w:t>59</w:t>
            </w:r>
            <w:r w:rsidR="00AA198E" w:rsidRPr="00AA198E">
              <w:rPr>
                <w:webHidden/>
              </w:rPr>
              <w:fldChar w:fldCharType="end"/>
            </w:r>
          </w:hyperlink>
        </w:p>
        <w:p w14:paraId="46467806" w14:textId="6994FB85" w:rsidR="00AA198E" w:rsidRPr="00AA198E" w:rsidRDefault="00AF48E6">
          <w:pPr>
            <w:pStyle w:val="TDC2"/>
            <w:rPr>
              <w:rFonts w:asciiTheme="minorHAnsi" w:eastAsiaTheme="minorEastAsia" w:hAnsiTheme="minorHAnsi" w:cstheme="minorBidi"/>
              <w:kern w:val="0"/>
              <w:sz w:val="22"/>
              <w:lang w:bidi="ar-SA"/>
            </w:rPr>
          </w:pPr>
          <w:hyperlink w:anchor="_Toc99106990" w:history="1">
            <w:r w:rsidR="00AA198E" w:rsidRPr="00AA198E">
              <w:rPr>
                <w:rStyle w:val="Hipervnculo"/>
              </w:rPr>
              <w:t>3.2.</w:t>
            </w:r>
            <w:r w:rsidR="00AA198E" w:rsidRPr="00AA198E">
              <w:rPr>
                <w:rFonts w:asciiTheme="minorHAnsi" w:eastAsiaTheme="minorEastAsia" w:hAnsiTheme="minorHAnsi" w:cstheme="minorBidi"/>
                <w:kern w:val="0"/>
                <w:sz w:val="22"/>
                <w:lang w:bidi="ar-SA"/>
              </w:rPr>
              <w:tab/>
            </w:r>
            <w:r w:rsidR="00AA198E" w:rsidRPr="00AA198E">
              <w:rPr>
                <w:rStyle w:val="Hipervnculo"/>
              </w:rPr>
              <w:t>Marco normativo</w:t>
            </w:r>
            <w:r w:rsidR="00AA198E" w:rsidRPr="00AA198E">
              <w:rPr>
                <w:webHidden/>
              </w:rPr>
              <w:tab/>
            </w:r>
            <w:r w:rsidR="00AA198E" w:rsidRPr="00AA198E">
              <w:rPr>
                <w:webHidden/>
              </w:rPr>
              <w:fldChar w:fldCharType="begin" w:fldLock="1"/>
            </w:r>
            <w:r w:rsidR="00AA198E" w:rsidRPr="00AA198E">
              <w:rPr>
                <w:webHidden/>
              </w:rPr>
              <w:instrText xml:space="preserve"> PAGEREF _Toc99106990 \h </w:instrText>
            </w:r>
            <w:r w:rsidR="00AA198E" w:rsidRPr="00AA198E">
              <w:rPr>
                <w:webHidden/>
              </w:rPr>
            </w:r>
            <w:r w:rsidR="00AA198E" w:rsidRPr="00AA198E">
              <w:rPr>
                <w:webHidden/>
              </w:rPr>
              <w:fldChar w:fldCharType="separate"/>
            </w:r>
            <w:r w:rsidR="00AA198E" w:rsidRPr="00AA198E">
              <w:rPr>
                <w:webHidden/>
              </w:rPr>
              <w:t>61</w:t>
            </w:r>
            <w:r w:rsidR="00AA198E" w:rsidRPr="00AA198E">
              <w:rPr>
                <w:webHidden/>
              </w:rPr>
              <w:fldChar w:fldCharType="end"/>
            </w:r>
          </w:hyperlink>
        </w:p>
        <w:p w14:paraId="18776330" w14:textId="76F19EEF" w:rsidR="00AA198E" w:rsidRPr="00AA198E" w:rsidRDefault="00AF48E6">
          <w:pPr>
            <w:pStyle w:val="TDC3"/>
            <w:rPr>
              <w:iCs w:val="0"/>
              <w:noProof/>
              <w:sz w:val="22"/>
              <w:szCs w:val="22"/>
              <w:lang w:eastAsia="es-ES"/>
            </w:rPr>
          </w:pPr>
          <w:hyperlink w:anchor="_Toc99106991" w:history="1">
            <w:r w:rsidR="00AA198E" w:rsidRPr="00AA198E">
              <w:rPr>
                <w:rStyle w:val="Hipervnculo"/>
                <w:rFonts w:ascii="Arial" w:eastAsia="Times New Roman" w:hAnsi="Arial" w:cs="Arial"/>
                <w:noProof/>
              </w:rPr>
              <w:t>3.2.1.</w:t>
            </w:r>
            <w:r w:rsidR="00AA198E" w:rsidRPr="00AA198E">
              <w:rPr>
                <w:iCs w:val="0"/>
                <w:noProof/>
                <w:sz w:val="22"/>
                <w:szCs w:val="22"/>
                <w:lang w:eastAsia="es-ES"/>
              </w:rPr>
              <w:tab/>
            </w:r>
            <w:r w:rsidR="00AA198E" w:rsidRPr="00AA198E">
              <w:rPr>
                <w:rStyle w:val="Hipervnculo"/>
                <w:rFonts w:ascii="Arial" w:eastAsia="Times New Roman" w:hAnsi="Arial" w:cs="Arial"/>
                <w:noProof/>
              </w:rPr>
              <w:t>Normativa de aplicación AVAF</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_Toc99106991 \h </w:instrText>
            </w:r>
            <w:r w:rsidR="00AA198E" w:rsidRPr="00AA198E">
              <w:rPr>
                <w:noProof/>
                <w:webHidden/>
              </w:rPr>
            </w:r>
            <w:r w:rsidR="00AA198E" w:rsidRPr="00AA198E">
              <w:rPr>
                <w:noProof/>
                <w:webHidden/>
              </w:rPr>
              <w:fldChar w:fldCharType="separate"/>
            </w:r>
            <w:r w:rsidR="00AA198E" w:rsidRPr="00AA198E">
              <w:rPr>
                <w:noProof/>
                <w:webHidden/>
              </w:rPr>
              <w:t>61</w:t>
            </w:r>
            <w:r w:rsidR="00AA198E" w:rsidRPr="00AA198E">
              <w:rPr>
                <w:noProof/>
                <w:webHidden/>
              </w:rPr>
              <w:fldChar w:fldCharType="end"/>
            </w:r>
          </w:hyperlink>
        </w:p>
        <w:p w14:paraId="3724D638" w14:textId="18B694F5" w:rsidR="00AA198E" w:rsidRPr="00AA198E" w:rsidRDefault="00AF48E6">
          <w:pPr>
            <w:pStyle w:val="TDC3"/>
            <w:rPr>
              <w:iCs w:val="0"/>
              <w:noProof/>
              <w:sz w:val="22"/>
              <w:szCs w:val="22"/>
              <w:lang w:eastAsia="es-ES"/>
            </w:rPr>
          </w:pPr>
          <w:hyperlink w:anchor="_Toc99106992" w:history="1">
            <w:r w:rsidR="00AA198E" w:rsidRPr="00AA198E">
              <w:rPr>
                <w:rStyle w:val="Hipervnculo"/>
                <w:rFonts w:ascii="Arial" w:eastAsia="Times New Roman" w:hAnsi="Arial" w:cs="Arial"/>
                <w:noProof/>
              </w:rPr>
              <w:t>3.2.2.</w:t>
            </w:r>
            <w:r w:rsidR="00AA198E" w:rsidRPr="00AA198E">
              <w:rPr>
                <w:iCs w:val="0"/>
                <w:noProof/>
                <w:sz w:val="22"/>
                <w:szCs w:val="22"/>
                <w:lang w:eastAsia="es-ES"/>
              </w:rPr>
              <w:tab/>
            </w:r>
            <w:r w:rsidR="00AA198E" w:rsidRPr="00AA198E">
              <w:rPr>
                <w:rStyle w:val="Hipervnculo"/>
                <w:rFonts w:ascii="Arial" w:eastAsia="Times New Roman" w:hAnsi="Arial" w:cs="Arial"/>
                <w:noProof/>
              </w:rPr>
              <w:t>Plan anual normativo AVAF</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_Toc99106992 \h </w:instrText>
            </w:r>
            <w:r w:rsidR="00AA198E" w:rsidRPr="00AA198E">
              <w:rPr>
                <w:noProof/>
                <w:webHidden/>
              </w:rPr>
            </w:r>
            <w:r w:rsidR="00AA198E" w:rsidRPr="00AA198E">
              <w:rPr>
                <w:noProof/>
                <w:webHidden/>
              </w:rPr>
              <w:fldChar w:fldCharType="separate"/>
            </w:r>
            <w:r w:rsidR="00AA198E" w:rsidRPr="00AA198E">
              <w:rPr>
                <w:noProof/>
                <w:webHidden/>
              </w:rPr>
              <w:t>65</w:t>
            </w:r>
            <w:r w:rsidR="00AA198E" w:rsidRPr="00AA198E">
              <w:rPr>
                <w:noProof/>
                <w:webHidden/>
              </w:rPr>
              <w:fldChar w:fldCharType="end"/>
            </w:r>
          </w:hyperlink>
        </w:p>
        <w:p w14:paraId="1B3AFB83" w14:textId="2EDD4E35" w:rsidR="00AA198E" w:rsidRPr="00AA198E" w:rsidRDefault="00AF48E6">
          <w:pPr>
            <w:pStyle w:val="TDC3"/>
            <w:rPr>
              <w:iCs w:val="0"/>
              <w:noProof/>
              <w:sz w:val="22"/>
              <w:szCs w:val="22"/>
              <w:lang w:eastAsia="es-ES"/>
            </w:rPr>
          </w:pPr>
          <w:hyperlink w:anchor="_Toc99106993" w:history="1">
            <w:r w:rsidR="00AA198E" w:rsidRPr="00AA198E">
              <w:rPr>
                <w:rStyle w:val="Hipervnculo"/>
                <w:rFonts w:ascii="Arial" w:eastAsia="Times New Roman" w:hAnsi="Arial" w:cs="Arial"/>
                <w:noProof/>
              </w:rPr>
              <w:t>3.2.3.</w:t>
            </w:r>
            <w:r w:rsidR="00AA198E" w:rsidRPr="00AA198E">
              <w:rPr>
                <w:iCs w:val="0"/>
                <w:noProof/>
                <w:sz w:val="22"/>
                <w:szCs w:val="22"/>
                <w:lang w:eastAsia="es-ES"/>
              </w:rPr>
              <w:tab/>
            </w:r>
            <w:r w:rsidR="00AA198E" w:rsidRPr="00AA198E">
              <w:rPr>
                <w:rStyle w:val="Hipervnculo"/>
                <w:rFonts w:ascii="Arial" w:eastAsia="Times New Roman" w:hAnsi="Arial" w:cs="Arial"/>
                <w:noProof/>
              </w:rPr>
              <w:t>Directiva (UE) 2019/1937 del Parlamento Europeo y del Consejo de 23 de octubre de 2019, relativa a la protección de las personas que informan sobre infracciones del Derecho de la Unión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_Toc99106993 \h </w:instrText>
            </w:r>
            <w:r w:rsidR="00AA198E" w:rsidRPr="00AA198E">
              <w:rPr>
                <w:noProof/>
                <w:webHidden/>
              </w:rPr>
            </w:r>
            <w:r w:rsidR="00AA198E" w:rsidRPr="00AA198E">
              <w:rPr>
                <w:noProof/>
                <w:webHidden/>
              </w:rPr>
              <w:fldChar w:fldCharType="separate"/>
            </w:r>
            <w:r w:rsidR="00AA198E" w:rsidRPr="00AA198E">
              <w:rPr>
                <w:noProof/>
                <w:webHidden/>
              </w:rPr>
              <w:t>67</w:t>
            </w:r>
            <w:r w:rsidR="00AA198E" w:rsidRPr="00AA198E">
              <w:rPr>
                <w:noProof/>
                <w:webHidden/>
              </w:rPr>
              <w:fldChar w:fldCharType="end"/>
            </w:r>
          </w:hyperlink>
        </w:p>
        <w:p w14:paraId="40CF89E9" w14:textId="02452755" w:rsidR="00AA198E" w:rsidRPr="00AA198E" w:rsidRDefault="00AF48E6">
          <w:pPr>
            <w:pStyle w:val="TDC3"/>
            <w:rPr>
              <w:iCs w:val="0"/>
              <w:noProof/>
              <w:sz w:val="22"/>
              <w:szCs w:val="22"/>
              <w:lang w:eastAsia="es-ES"/>
            </w:rPr>
          </w:pPr>
          <w:hyperlink w:anchor="_Toc99106994" w:history="1">
            <w:r w:rsidR="00AA198E" w:rsidRPr="00AA198E">
              <w:rPr>
                <w:rStyle w:val="Hipervnculo"/>
                <w:rFonts w:ascii="Arial" w:eastAsia="Times New Roman" w:hAnsi="Arial" w:cs="Arial"/>
                <w:noProof/>
              </w:rPr>
              <w:t>3.2.4.</w:t>
            </w:r>
            <w:r w:rsidR="00AA198E" w:rsidRPr="00AA198E">
              <w:rPr>
                <w:iCs w:val="0"/>
                <w:noProof/>
                <w:sz w:val="22"/>
                <w:szCs w:val="22"/>
                <w:lang w:eastAsia="es-ES"/>
              </w:rPr>
              <w:tab/>
            </w:r>
            <w:r w:rsidR="00AA198E" w:rsidRPr="00AA198E">
              <w:rPr>
                <w:rStyle w:val="Hipervnculo"/>
                <w:rFonts w:ascii="Arial" w:eastAsia="Times New Roman" w:hAnsi="Arial" w:cs="Arial"/>
                <w:noProof/>
              </w:rPr>
              <w:t>Declaraciones institucionales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_Toc99106994 \h </w:instrText>
            </w:r>
            <w:r w:rsidR="00AA198E" w:rsidRPr="00AA198E">
              <w:rPr>
                <w:noProof/>
                <w:webHidden/>
              </w:rPr>
            </w:r>
            <w:r w:rsidR="00AA198E" w:rsidRPr="00AA198E">
              <w:rPr>
                <w:noProof/>
                <w:webHidden/>
              </w:rPr>
              <w:fldChar w:fldCharType="separate"/>
            </w:r>
            <w:r w:rsidR="00AA198E" w:rsidRPr="00AA198E">
              <w:rPr>
                <w:noProof/>
                <w:webHidden/>
              </w:rPr>
              <w:t>75</w:t>
            </w:r>
            <w:r w:rsidR="00AA198E" w:rsidRPr="00AA198E">
              <w:rPr>
                <w:noProof/>
                <w:webHidden/>
              </w:rPr>
              <w:fldChar w:fldCharType="end"/>
            </w:r>
          </w:hyperlink>
        </w:p>
        <w:p w14:paraId="74EA87C2" w14:textId="322EB03A" w:rsidR="00AA198E" w:rsidRPr="00AA198E" w:rsidRDefault="00AF48E6">
          <w:pPr>
            <w:pStyle w:val="TDC3"/>
            <w:rPr>
              <w:iCs w:val="0"/>
              <w:noProof/>
              <w:sz w:val="22"/>
              <w:szCs w:val="22"/>
              <w:lang w:eastAsia="es-ES"/>
            </w:rPr>
          </w:pPr>
          <w:hyperlink w:anchor="_Toc99106995" w:history="1">
            <w:r w:rsidR="00AA198E" w:rsidRPr="00AA198E">
              <w:rPr>
                <w:rStyle w:val="Hipervnculo"/>
                <w:rFonts w:ascii="Arial" w:eastAsia="Times New Roman" w:hAnsi="Arial" w:cs="Arial"/>
                <w:noProof/>
              </w:rPr>
              <w:t>3.2.5.</w:t>
            </w:r>
            <w:r w:rsidR="00AA198E" w:rsidRPr="00AA198E">
              <w:rPr>
                <w:iCs w:val="0"/>
                <w:noProof/>
                <w:sz w:val="22"/>
                <w:szCs w:val="22"/>
                <w:lang w:eastAsia="es-ES"/>
              </w:rPr>
              <w:tab/>
            </w:r>
            <w:r w:rsidR="00AA198E" w:rsidRPr="00AA198E">
              <w:rPr>
                <w:rStyle w:val="Hipervnculo"/>
                <w:rFonts w:ascii="Arial" w:eastAsia="Times New Roman" w:hAnsi="Arial" w:cs="Arial"/>
                <w:noProof/>
              </w:rPr>
              <w:t>Alegaciones y aportaciones a proyectos normativos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_Toc99106995 \h </w:instrText>
            </w:r>
            <w:r w:rsidR="00AA198E" w:rsidRPr="00AA198E">
              <w:rPr>
                <w:noProof/>
                <w:webHidden/>
              </w:rPr>
            </w:r>
            <w:r w:rsidR="00AA198E" w:rsidRPr="00AA198E">
              <w:rPr>
                <w:noProof/>
                <w:webHidden/>
              </w:rPr>
              <w:fldChar w:fldCharType="separate"/>
            </w:r>
            <w:r w:rsidR="00AA198E" w:rsidRPr="00AA198E">
              <w:rPr>
                <w:noProof/>
                <w:webHidden/>
              </w:rPr>
              <w:t>83</w:t>
            </w:r>
            <w:r w:rsidR="00AA198E" w:rsidRPr="00AA198E">
              <w:rPr>
                <w:noProof/>
                <w:webHidden/>
              </w:rPr>
              <w:fldChar w:fldCharType="end"/>
            </w:r>
          </w:hyperlink>
        </w:p>
        <w:p w14:paraId="64670EB1" w14:textId="7A1384D8" w:rsidR="00AA198E" w:rsidRPr="00AA198E" w:rsidRDefault="00AF48E6">
          <w:pPr>
            <w:pStyle w:val="TDC3"/>
            <w:rPr>
              <w:iCs w:val="0"/>
              <w:noProof/>
              <w:sz w:val="22"/>
              <w:szCs w:val="22"/>
              <w:lang w:eastAsia="es-ES"/>
            </w:rPr>
          </w:pPr>
          <w:hyperlink w:anchor="_Toc99106996" w:history="1">
            <w:r w:rsidR="00AA198E" w:rsidRPr="00AA198E">
              <w:rPr>
                <w:rStyle w:val="Hipervnculo"/>
                <w:rFonts w:ascii="Arial" w:eastAsia="Times New Roman" w:hAnsi="Arial" w:cs="Arial"/>
                <w:noProof/>
              </w:rPr>
              <w:t>3.2.6.</w:t>
            </w:r>
            <w:r w:rsidR="00AA198E" w:rsidRPr="00AA198E">
              <w:rPr>
                <w:iCs w:val="0"/>
                <w:noProof/>
                <w:sz w:val="22"/>
                <w:szCs w:val="22"/>
                <w:lang w:eastAsia="es-ES"/>
              </w:rPr>
              <w:tab/>
            </w:r>
            <w:r w:rsidR="00AA198E" w:rsidRPr="00AA198E">
              <w:rPr>
                <w:rStyle w:val="Hipervnculo"/>
                <w:rFonts w:ascii="Arial" w:eastAsia="Times New Roman" w:hAnsi="Arial" w:cs="Arial"/>
                <w:noProof/>
              </w:rPr>
              <w:t>Otras referencias destacadas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_Toc99106996 \h </w:instrText>
            </w:r>
            <w:r w:rsidR="00AA198E" w:rsidRPr="00AA198E">
              <w:rPr>
                <w:noProof/>
                <w:webHidden/>
              </w:rPr>
            </w:r>
            <w:r w:rsidR="00AA198E" w:rsidRPr="00AA198E">
              <w:rPr>
                <w:noProof/>
                <w:webHidden/>
              </w:rPr>
              <w:fldChar w:fldCharType="separate"/>
            </w:r>
            <w:r w:rsidR="00AA198E" w:rsidRPr="00AA198E">
              <w:rPr>
                <w:noProof/>
                <w:webHidden/>
              </w:rPr>
              <w:t>96</w:t>
            </w:r>
            <w:r w:rsidR="00AA198E" w:rsidRPr="00AA198E">
              <w:rPr>
                <w:noProof/>
                <w:webHidden/>
              </w:rPr>
              <w:fldChar w:fldCharType="end"/>
            </w:r>
          </w:hyperlink>
        </w:p>
        <w:p w14:paraId="60AB87D2" w14:textId="0FD66088" w:rsidR="00AA198E" w:rsidRPr="00AA198E" w:rsidRDefault="00AF48E6">
          <w:pPr>
            <w:pStyle w:val="TDC2"/>
            <w:rPr>
              <w:rFonts w:asciiTheme="minorHAnsi" w:eastAsiaTheme="minorEastAsia" w:hAnsiTheme="minorHAnsi" w:cstheme="minorBidi"/>
              <w:kern w:val="0"/>
              <w:sz w:val="22"/>
              <w:lang w:bidi="ar-SA"/>
            </w:rPr>
          </w:pPr>
          <w:hyperlink w:anchor="_Toc99106997" w:history="1">
            <w:r w:rsidR="00AA198E" w:rsidRPr="00AA198E">
              <w:rPr>
                <w:rStyle w:val="Hipervnculo"/>
              </w:rPr>
              <w:t>3.3.</w:t>
            </w:r>
            <w:r w:rsidR="00AA198E" w:rsidRPr="00AA198E">
              <w:rPr>
                <w:rFonts w:asciiTheme="minorHAnsi" w:eastAsiaTheme="minorEastAsia" w:hAnsiTheme="minorHAnsi" w:cstheme="minorBidi"/>
                <w:kern w:val="0"/>
                <w:sz w:val="22"/>
                <w:lang w:bidi="ar-SA"/>
              </w:rPr>
              <w:tab/>
            </w:r>
            <w:r w:rsidR="00AA198E" w:rsidRPr="00AA198E">
              <w:rPr>
                <w:rStyle w:val="Hipervnculo"/>
              </w:rPr>
              <w:t>Protección de las personas denunciantes, informadoras o alertadoras de fraude o corrupción</w:t>
            </w:r>
            <w:r w:rsidR="00AA198E" w:rsidRPr="00AA198E">
              <w:rPr>
                <w:webHidden/>
              </w:rPr>
              <w:tab/>
            </w:r>
            <w:r w:rsidR="00AA198E" w:rsidRPr="00AA198E">
              <w:rPr>
                <w:webHidden/>
              </w:rPr>
              <w:fldChar w:fldCharType="begin" w:fldLock="1"/>
            </w:r>
            <w:r w:rsidR="00AA198E" w:rsidRPr="00AA198E">
              <w:rPr>
                <w:webHidden/>
              </w:rPr>
              <w:instrText xml:space="preserve"> PAGEREF _Toc99106997 \h </w:instrText>
            </w:r>
            <w:r w:rsidR="00AA198E" w:rsidRPr="00AA198E">
              <w:rPr>
                <w:webHidden/>
              </w:rPr>
            </w:r>
            <w:r w:rsidR="00AA198E" w:rsidRPr="00AA198E">
              <w:rPr>
                <w:webHidden/>
              </w:rPr>
              <w:fldChar w:fldCharType="separate"/>
            </w:r>
            <w:r w:rsidR="00AA198E" w:rsidRPr="00AA198E">
              <w:rPr>
                <w:webHidden/>
              </w:rPr>
              <w:t>101</w:t>
            </w:r>
            <w:r w:rsidR="00AA198E" w:rsidRPr="00AA198E">
              <w:rPr>
                <w:webHidden/>
              </w:rPr>
              <w:fldChar w:fldCharType="end"/>
            </w:r>
          </w:hyperlink>
        </w:p>
        <w:p w14:paraId="2F86763B" w14:textId="67CA28B6" w:rsidR="00AA198E" w:rsidRPr="00AA198E" w:rsidRDefault="00AF48E6">
          <w:pPr>
            <w:pStyle w:val="TDC3"/>
            <w:rPr>
              <w:iCs w:val="0"/>
              <w:noProof/>
              <w:sz w:val="22"/>
              <w:szCs w:val="22"/>
              <w:lang w:eastAsia="es-ES"/>
            </w:rPr>
          </w:pPr>
          <w:hyperlink w:anchor="_Toc99106998" w:history="1">
            <w:r w:rsidR="00AA198E" w:rsidRPr="00AA198E">
              <w:rPr>
                <w:rStyle w:val="Hipervnculo"/>
                <w:rFonts w:ascii="Arial" w:eastAsia="Times New Roman" w:hAnsi="Arial" w:cs="Arial"/>
                <w:noProof/>
              </w:rPr>
              <w:t>3.3.1.</w:t>
            </w:r>
            <w:r w:rsidR="00AA198E" w:rsidRPr="00AA198E">
              <w:rPr>
                <w:iCs w:val="0"/>
                <w:noProof/>
                <w:sz w:val="22"/>
                <w:szCs w:val="22"/>
                <w:lang w:eastAsia="es-ES"/>
              </w:rPr>
              <w:tab/>
            </w:r>
            <w:r w:rsidR="00AA198E" w:rsidRPr="00AA198E">
              <w:rPr>
                <w:rStyle w:val="Hipervnculo"/>
                <w:rFonts w:ascii="Arial" w:eastAsia="Times New Roman" w:hAnsi="Arial" w:cs="Arial"/>
                <w:noProof/>
              </w:rPr>
              <w:t>Estatuto de protección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_Toc99106998 \h </w:instrText>
            </w:r>
            <w:r w:rsidR="00AA198E" w:rsidRPr="00AA198E">
              <w:rPr>
                <w:noProof/>
                <w:webHidden/>
              </w:rPr>
            </w:r>
            <w:r w:rsidR="00AA198E" w:rsidRPr="00AA198E">
              <w:rPr>
                <w:noProof/>
                <w:webHidden/>
              </w:rPr>
              <w:fldChar w:fldCharType="separate"/>
            </w:r>
            <w:r w:rsidR="00AA198E" w:rsidRPr="00AA198E">
              <w:rPr>
                <w:noProof/>
                <w:webHidden/>
              </w:rPr>
              <w:t>101</w:t>
            </w:r>
            <w:r w:rsidR="00AA198E" w:rsidRPr="00AA198E">
              <w:rPr>
                <w:noProof/>
                <w:webHidden/>
              </w:rPr>
              <w:fldChar w:fldCharType="end"/>
            </w:r>
          </w:hyperlink>
        </w:p>
        <w:p w14:paraId="54728156" w14:textId="48C07320" w:rsidR="00AA198E" w:rsidRPr="00AA198E" w:rsidRDefault="00AF48E6">
          <w:pPr>
            <w:pStyle w:val="TDC3"/>
            <w:rPr>
              <w:iCs w:val="0"/>
              <w:noProof/>
              <w:sz w:val="22"/>
              <w:szCs w:val="22"/>
              <w:lang w:eastAsia="es-ES"/>
            </w:rPr>
          </w:pPr>
          <w:hyperlink w:anchor="_Toc99106999" w:history="1">
            <w:r w:rsidR="00AA198E" w:rsidRPr="00AA198E">
              <w:rPr>
                <w:rStyle w:val="Hipervnculo"/>
                <w:rFonts w:ascii="Arial" w:eastAsia="Times New Roman" w:hAnsi="Arial" w:cs="Arial"/>
                <w:noProof/>
              </w:rPr>
              <w:t>3.3.2.</w:t>
            </w:r>
            <w:r w:rsidR="00AA198E" w:rsidRPr="00AA198E">
              <w:rPr>
                <w:iCs w:val="0"/>
                <w:noProof/>
                <w:sz w:val="22"/>
                <w:szCs w:val="22"/>
                <w:lang w:eastAsia="es-ES"/>
              </w:rPr>
              <w:tab/>
            </w:r>
            <w:r w:rsidR="00AA198E" w:rsidRPr="00AA198E">
              <w:rPr>
                <w:rStyle w:val="Hipervnculo"/>
                <w:rFonts w:ascii="Arial" w:eastAsia="Times New Roman" w:hAnsi="Arial" w:cs="Arial"/>
                <w:noProof/>
              </w:rPr>
              <w:t>Seguimiento de la protección de las personas denunciantes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_Toc99106999 \h </w:instrText>
            </w:r>
            <w:r w:rsidR="00AA198E" w:rsidRPr="00AA198E">
              <w:rPr>
                <w:noProof/>
                <w:webHidden/>
              </w:rPr>
            </w:r>
            <w:r w:rsidR="00AA198E" w:rsidRPr="00AA198E">
              <w:rPr>
                <w:noProof/>
                <w:webHidden/>
              </w:rPr>
              <w:fldChar w:fldCharType="separate"/>
            </w:r>
            <w:r w:rsidR="00AA198E" w:rsidRPr="00AA198E">
              <w:rPr>
                <w:noProof/>
                <w:webHidden/>
              </w:rPr>
              <w:t>104</w:t>
            </w:r>
            <w:r w:rsidR="00AA198E" w:rsidRPr="00AA198E">
              <w:rPr>
                <w:noProof/>
                <w:webHidden/>
              </w:rPr>
              <w:fldChar w:fldCharType="end"/>
            </w:r>
          </w:hyperlink>
        </w:p>
        <w:p w14:paraId="47D89A28" w14:textId="6B1467D8" w:rsidR="00AA198E" w:rsidRPr="00AA198E" w:rsidRDefault="00AF48E6">
          <w:pPr>
            <w:pStyle w:val="TDC3"/>
            <w:rPr>
              <w:iCs w:val="0"/>
              <w:noProof/>
              <w:sz w:val="22"/>
              <w:szCs w:val="22"/>
              <w:lang w:eastAsia="es-ES"/>
            </w:rPr>
          </w:pPr>
          <w:hyperlink w:anchor="_Toc99107000" w:history="1">
            <w:r w:rsidR="00AA198E" w:rsidRPr="00AA198E">
              <w:rPr>
                <w:rStyle w:val="Hipervnculo"/>
                <w:rFonts w:ascii="Arial" w:eastAsia="Times New Roman" w:hAnsi="Arial" w:cs="Arial"/>
                <w:noProof/>
              </w:rPr>
              <w:t>3.3.3.</w:t>
            </w:r>
            <w:r w:rsidR="00AA198E" w:rsidRPr="00AA198E">
              <w:rPr>
                <w:iCs w:val="0"/>
                <w:noProof/>
                <w:sz w:val="22"/>
                <w:szCs w:val="22"/>
                <w:lang w:eastAsia="es-ES"/>
              </w:rPr>
              <w:tab/>
            </w:r>
            <w:r w:rsidR="00AA198E" w:rsidRPr="00AA198E">
              <w:rPr>
                <w:rStyle w:val="Hipervnculo"/>
                <w:rFonts w:ascii="Arial" w:eastAsia="Times New Roman" w:hAnsi="Arial" w:cs="Arial"/>
                <w:noProof/>
              </w:rPr>
              <w:t>Resultados estadísticos de la protección de personas denunciantes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_Toc99107000 \h </w:instrText>
            </w:r>
            <w:r w:rsidR="00AA198E" w:rsidRPr="00AA198E">
              <w:rPr>
                <w:noProof/>
                <w:webHidden/>
              </w:rPr>
            </w:r>
            <w:r w:rsidR="00AA198E" w:rsidRPr="00AA198E">
              <w:rPr>
                <w:noProof/>
                <w:webHidden/>
              </w:rPr>
              <w:fldChar w:fldCharType="separate"/>
            </w:r>
            <w:r w:rsidR="00AA198E" w:rsidRPr="00AA198E">
              <w:rPr>
                <w:noProof/>
                <w:webHidden/>
              </w:rPr>
              <w:t>121</w:t>
            </w:r>
            <w:r w:rsidR="00AA198E" w:rsidRPr="00AA198E">
              <w:rPr>
                <w:noProof/>
                <w:webHidden/>
              </w:rPr>
              <w:fldChar w:fldCharType="end"/>
            </w:r>
          </w:hyperlink>
        </w:p>
        <w:p w14:paraId="5B9EC92C" w14:textId="2B27AB1F" w:rsidR="00AA198E" w:rsidRPr="00AA198E" w:rsidRDefault="00AF48E6">
          <w:pPr>
            <w:pStyle w:val="TDC2"/>
            <w:rPr>
              <w:rFonts w:asciiTheme="minorHAnsi" w:eastAsiaTheme="minorEastAsia" w:hAnsiTheme="minorHAnsi" w:cstheme="minorBidi"/>
              <w:kern w:val="0"/>
              <w:sz w:val="22"/>
              <w:lang w:bidi="ar-SA"/>
            </w:rPr>
          </w:pPr>
          <w:hyperlink w:anchor="_Toc99107001" w:history="1">
            <w:r w:rsidR="00AA198E" w:rsidRPr="00AA198E">
              <w:rPr>
                <w:rStyle w:val="Hipervnculo"/>
              </w:rPr>
              <w:t>3.4.</w:t>
            </w:r>
            <w:r w:rsidR="00AA198E" w:rsidRPr="00AA198E">
              <w:rPr>
                <w:rFonts w:asciiTheme="minorHAnsi" w:eastAsiaTheme="minorEastAsia" w:hAnsiTheme="minorHAnsi" w:cstheme="minorBidi"/>
                <w:kern w:val="0"/>
                <w:sz w:val="22"/>
                <w:lang w:bidi="ar-SA"/>
              </w:rPr>
              <w:tab/>
            </w:r>
            <w:r w:rsidR="00AA198E" w:rsidRPr="00AA198E">
              <w:rPr>
                <w:rStyle w:val="Hipervnculo"/>
              </w:rPr>
              <w:t>Otros asuntos jurídicos</w:t>
            </w:r>
            <w:r w:rsidR="00AA198E" w:rsidRPr="00AA198E">
              <w:rPr>
                <w:webHidden/>
              </w:rPr>
              <w:tab/>
            </w:r>
            <w:r w:rsidR="00AA198E" w:rsidRPr="00AA198E">
              <w:rPr>
                <w:webHidden/>
              </w:rPr>
              <w:fldChar w:fldCharType="begin" w:fldLock="1"/>
            </w:r>
            <w:r w:rsidR="00AA198E" w:rsidRPr="00AA198E">
              <w:rPr>
                <w:webHidden/>
              </w:rPr>
              <w:instrText xml:space="preserve"> PAGEREF _Toc99107001 \h </w:instrText>
            </w:r>
            <w:r w:rsidR="00AA198E" w:rsidRPr="00AA198E">
              <w:rPr>
                <w:webHidden/>
              </w:rPr>
            </w:r>
            <w:r w:rsidR="00AA198E" w:rsidRPr="00AA198E">
              <w:rPr>
                <w:webHidden/>
              </w:rPr>
              <w:fldChar w:fldCharType="separate"/>
            </w:r>
            <w:r w:rsidR="00AA198E" w:rsidRPr="00AA198E">
              <w:rPr>
                <w:webHidden/>
              </w:rPr>
              <w:t>127</w:t>
            </w:r>
            <w:r w:rsidR="00AA198E" w:rsidRPr="00AA198E">
              <w:rPr>
                <w:webHidden/>
              </w:rPr>
              <w:fldChar w:fldCharType="end"/>
            </w:r>
          </w:hyperlink>
        </w:p>
        <w:p w14:paraId="75987240" w14:textId="126208C9" w:rsidR="00AA198E" w:rsidRPr="00AA198E" w:rsidRDefault="00AF48E6">
          <w:pPr>
            <w:pStyle w:val="TDC3"/>
            <w:rPr>
              <w:iCs w:val="0"/>
              <w:noProof/>
              <w:sz w:val="22"/>
              <w:szCs w:val="22"/>
              <w:lang w:eastAsia="es-ES"/>
            </w:rPr>
          </w:pPr>
          <w:hyperlink w:anchor="_Toc99107002" w:history="1">
            <w:r w:rsidR="00AA198E" w:rsidRPr="00AA198E">
              <w:rPr>
                <w:rStyle w:val="Hipervnculo"/>
                <w:rFonts w:ascii="Arial" w:eastAsia="Times New Roman" w:hAnsi="Arial" w:cs="Arial"/>
                <w:noProof/>
              </w:rPr>
              <w:t>3.4.1.</w:t>
            </w:r>
            <w:r w:rsidR="00AA198E" w:rsidRPr="00AA198E">
              <w:rPr>
                <w:iCs w:val="0"/>
                <w:noProof/>
                <w:sz w:val="22"/>
                <w:szCs w:val="22"/>
                <w:lang w:eastAsia="es-ES"/>
              </w:rPr>
              <w:tab/>
            </w:r>
            <w:r w:rsidR="00AA198E" w:rsidRPr="00AA198E">
              <w:rPr>
                <w:rStyle w:val="Hipervnculo"/>
                <w:rFonts w:ascii="Arial" w:eastAsia="Times New Roman" w:hAnsi="Arial" w:cs="Arial"/>
                <w:noProof/>
              </w:rPr>
              <w:t>Asesoramiento jurídico, secretaría de órganos colegiados y otros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_Toc99107002 \h </w:instrText>
            </w:r>
            <w:r w:rsidR="00AA198E" w:rsidRPr="00AA198E">
              <w:rPr>
                <w:noProof/>
                <w:webHidden/>
              </w:rPr>
            </w:r>
            <w:r w:rsidR="00AA198E" w:rsidRPr="00AA198E">
              <w:rPr>
                <w:noProof/>
                <w:webHidden/>
              </w:rPr>
              <w:fldChar w:fldCharType="separate"/>
            </w:r>
            <w:r w:rsidR="00AA198E" w:rsidRPr="00AA198E">
              <w:rPr>
                <w:noProof/>
                <w:webHidden/>
              </w:rPr>
              <w:t>127</w:t>
            </w:r>
            <w:r w:rsidR="00AA198E" w:rsidRPr="00AA198E">
              <w:rPr>
                <w:noProof/>
                <w:webHidden/>
              </w:rPr>
              <w:fldChar w:fldCharType="end"/>
            </w:r>
          </w:hyperlink>
        </w:p>
        <w:p w14:paraId="7463F636" w14:textId="1BF022C9" w:rsidR="00AA198E" w:rsidRPr="00AA198E" w:rsidRDefault="00AF48E6">
          <w:pPr>
            <w:pStyle w:val="TDC3"/>
            <w:rPr>
              <w:iCs w:val="0"/>
              <w:noProof/>
              <w:sz w:val="22"/>
              <w:szCs w:val="22"/>
              <w:lang w:eastAsia="es-ES"/>
            </w:rPr>
          </w:pPr>
          <w:hyperlink w:anchor="_Toc99107003" w:history="1">
            <w:r w:rsidR="00AA198E" w:rsidRPr="00AA198E">
              <w:rPr>
                <w:rStyle w:val="Hipervnculo"/>
                <w:rFonts w:ascii="Arial" w:eastAsia="Times New Roman" w:hAnsi="Arial" w:cs="Arial"/>
                <w:noProof/>
              </w:rPr>
              <w:t>3.4.2.</w:t>
            </w:r>
            <w:r w:rsidR="00AA198E" w:rsidRPr="00AA198E">
              <w:rPr>
                <w:iCs w:val="0"/>
                <w:noProof/>
                <w:sz w:val="22"/>
                <w:szCs w:val="22"/>
                <w:lang w:eastAsia="es-ES"/>
              </w:rPr>
              <w:tab/>
            </w:r>
            <w:r w:rsidR="00AA198E" w:rsidRPr="00AA198E">
              <w:rPr>
                <w:rStyle w:val="Hipervnculo"/>
                <w:rFonts w:ascii="Arial" w:eastAsia="Times New Roman" w:hAnsi="Arial" w:cs="Arial"/>
                <w:noProof/>
              </w:rPr>
              <w:t>Convenios y otras colaboraciones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_Toc99107003 \h </w:instrText>
            </w:r>
            <w:r w:rsidR="00AA198E" w:rsidRPr="00AA198E">
              <w:rPr>
                <w:noProof/>
                <w:webHidden/>
              </w:rPr>
            </w:r>
            <w:r w:rsidR="00AA198E" w:rsidRPr="00AA198E">
              <w:rPr>
                <w:noProof/>
                <w:webHidden/>
              </w:rPr>
              <w:fldChar w:fldCharType="separate"/>
            </w:r>
            <w:r w:rsidR="00AA198E" w:rsidRPr="00AA198E">
              <w:rPr>
                <w:noProof/>
                <w:webHidden/>
              </w:rPr>
              <w:t>129</w:t>
            </w:r>
            <w:r w:rsidR="00AA198E" w:rsidRPr="00AA198E">
              <w:rPr>
                <w:noProof/>
                <w:webHidden/>
              </w:rPr>
              <w:fldChar w:fldCharType="end"/>
            </w:r>
          </w:hyperlink>
        </w:p>
        <w:p w14:paraId="39E96449" w14:textId="56C5A33B" w:rsidR="00AA198E" w:rsidRPr="00AA198E" w:rsidRDefault="00AF48E6">
          <w:pPr>
            <w:pStyle w:val="TDC3"/>
            <w:rPr>
              <w:iCs w:val="0"/>
              <w:noProof/>
              <w:sz w:val="22"/>
              <w:szCs w:val="22"/>
              <w:lang w:eastAsia="es-ES"/>
            </w:rPr>
          </w:pPr>
          <w:hyperlink w:anchor="_Toc99107004" w:history="1">
            <w:r w:rsidR="00AA198E" w:rsidRPr="00AA198E">
              <w:rPr>
                <w:rStyle w:val="Hipervnculo"/>
                <w:rFonts w:ascii="Arial" w:eastAsia="Times New Roman" w:hAnsi="Arial" w:cs="Arial"/>
                <w:noProof/>
              </w:rPr>
              <w:t>3.4.3.</w:t>
            </w:r>
            <w:r w:rsidR="00AA198E" w:rsidRPr="00AA198E">
              <w:rPr>
                <w:iCs w:val="0"/>
                <w:noProof/>
                <w:sz w:val="22"/>
                <w:szCs w:val="22"/>
                <w:lang w:eastAsia="es-ES"/>
              </w:rPr>
              <w:tab/>
            </w:r>
            <w:r w:rsidR="00AA198E" w:rsidRPr="00AA198E">
              <w:rPr>
                <w:rStyle w:val="Hipervnculo"/>
                <w:rFonts w:ascii="Arial" w:eastAsia="Times New Roman" w:hAnsi="Arial" w:cs="Arial"/>
                <w:noProof/>
              </w:rPr>
              <w:t>Potestad sancionadora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_Toc99107004 \h </w:instrText>
            </w:r>
            <w:r w:rsidR="00AA198E" w:rsidRPr="00AA198E">
              <w:rPr>
                <w:noProof/>
                <w:webHidden/>
              </w:rPr>
            </w:r>
            <w:r w:rsidR="00AA198E" w:rsidRPr="00AA198E">
              <w:rPr>
                <w:noProof/>
                <w:webHidden/>
              </w:rPr>
              <w:fldChar w:fldCharType="separate"/>
            </w:r>
            <w:r w:rsidR="00AA198E" w:rsidRPr="00AA198E">
              <w:rPr>
                <w:noProof/>
                <w:webHidden/>
              </w:rPr>
              <w:t>133</w:t>
            </w:r>
            <w:r w:rsidR="00AA198E" w:rsidRPr="00AA198E">
              <w:rPr>
                <w:noProof/>
                <w:webHidden/>
              </w:rPr>
              <w:fldChar w:fldCharType="end"/>
            </w:r>
          </w:hyperlink>
        </w:p>
        <w:p w14:paraId="49B9294C" w14:textId="38BE5F4C" w:rsidR="00AA198E" w:rsidRPr="00AA198E" w:rsidRDefault="00AF48E6">
          <w:pPr>
            <w:pStyle w:val="TDC3"/>
            <w:rPr>
              <w:iCs w:val="0"/>
              <w:noProof/>
              <w:sz w:val="22"/>
              <w:szCs w:val="22"/>
              <w:lang w:eastAsia="es-ES"/>
            </w:rPr>
          </w:pPr>
          <w:hyperlink w:anchor="_Toc99107005" w:history="1">
            <w:r w:rsidR="00AA198E" w:rsidRPr="00AA198E">
              <w:rPr>
                <w:rStyle w:val="Hipervnculo"/>
                <w:rFonts w:ascii="Arial" w:eastAsia="Times New Roman" w:hAnsi="Arial" w:cs="Arial"/>
                <w:noProof/>
              </w:rPr>
              <w:t>3.4.4.</w:t>
            </w:r>
            <w:r w:rsidR="00AA198E" w:rsidRPr="00AA198E">
              <w:rPr>
                <w:iCs w:val="0"/>
                <w:noProof/>
                <w:sz w:val="22"/>
                <w:szCs w:val="22"/>
                <w:lang w:eastAsia="es-ES"/>
              </w:rPr>
              <w:tab/>
            </w:r>
            <w:r w:rsidR="00AA198E" w:rsidRPr="00AA198E">
              <w:rPr>
                <w:rStyle w:val="Hipervnculo"/>
                <w:rFonts w:ascii="Arial" w:eastAsia="Times New Roman" w:hAnsi="Arial" w:cs="Arial"/>
                <w:noProof/>
              </w:rPr>
              <w:t>Procedimientos judiciales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_Toc99107005 \h </w:instrText>
            </w:r>
            <w:r w:rsidR="00AA198E" w:rsidRPr="00AA198E">
              <w:rPr>
                <w:noProof/>
                <w:webHidden/>
              </w:rPr>
            </w:r>
            <w:r w:rsidR="00AA198E" w:rsidRPr="00AA198E">
              <w:rPr>
                <w:noProof/>
                <w:webHidden/>
              </w:rPr>
              <w:fldChar w:fldCharType="separate"/>
            </w:r>
            <w:r w:rsidR="00AA198E" w:rsidRPr="00AA198E">
              <w:rPr>
                <w:noProof/>
                <w:webHidden/>
              </w:rPr>
              <w:t>134</w:t>
            </w:r>
            <w:r w:rsidR="00AA198E" w:rsidRPr="00AA198E">
              <w:rPr>
                <w:noProof/>
                <w:webHidden/>
              </w:rPr>
              <w:fldChar w:fldCharType="end"/>
            </w:r>
          </w:hyperlink>
        </w:p>
        <w:p w14:paraId="5F722E36" w14:textId="029DB56F" w:rsidR="00AA198E" w:rsidRPr="00AA198E" w:rsidRDefault="00AF48E6">
          <w:pPr>
            <w:pStyle w:val="TDC3"/>
            <w:rPr>
              <w:iCs w:val="0"/>
              <w:noProof/>
              <w:sz w:val="22"/>
              <w:szCs w:val="22"/>
              <w:lang w:eastAsia="es-ES"/>
            </w:rPr>
          </w:pPr>
          <w:hyperlink w:anchor="_Toc99107006" w:history="1">
            <w:r w:rsidR="00AA198E" w:rsidRPr="00AA198E">
              <w:rPr>
                <w:rStyle w:val="Hipervnculo"/>
                <w:rFonts w:ascii="Arial" w:eastAsia="Times New Roman" w:hAnsi="Arial" w:cs="Arial"/>
                <w:noProof/>
              </w:rPr>
              <w:t>3.4.5.</w:t>
            </w:r>
            <w:r w:rsidR="00AA198E" w:rsidRPr="00AA198E">
              <w:rPr>
                <w:iCs w:val="0"/>
                <w:noProof/>
                <w:sz w:val="22"/>
                <w:szCs w:val="22"/>
                <w:lang w:eastAsia="es-ES"/>
              </w:rPr>
              <w:tab/>
            </w:r>
            <w:r w:rsidR="00AA198E" w:rsidRPr="00AA198E">
              <w:rPr>
                <w:rStyle w:val="Hipervnculo"/>
                <w:rFonts w:ascii="Arial" w:eastAsia="Times New Roman" w:hAnsi="Arial" w:cs="Arial"/>
                <w:noProof/>
              </w:rPr>
              <w:t>Relaciones con las Corts Valencianes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_Toc99107006 \h </w:instrText>
            </w:r>
            <w:r w:rsidR="00AA198E" w:rsidRPr="00AA198E">
              <w:rPr>
                <w:noProof/>
                <w:webHidden/>
              </w:rPr>
            </w:r>
            <w:r w:rsidR="00AA198E" w:rsidRPr="00AA198E">
              <w:rPr>
                <w:noProof/>
                <w:webHidden/>
              </w:rPr>
              <w:fldChar w:fldCharType="separate"/>
            </w:r>
            <w:r w:rsidR="00AA198E" w:rsidRPr="00AA198E">
              <w:rPr>
                <w:noProof/>
                <w:webHidden/>
              </w:rPr>
              <w:t>135</w:t>
            </w:r>
            <w:r w:rsidR="00AA198E" w:rsidRPr="00AA198E">
              <w:rPr>
                <w:noProof/>
                <w:webHidden/>
              </w:rPr>
              <w:fldChar w:fldCharType="end"/>
            </w:r>
          </w:hyperlink>
        </w:p>
        <w:p w14:paraId="3A63B325" w14:textId="7CC6B7FA" w:rsidR="00AA198E" w:rsidRPr="00AA198E" w:rsidRDefault="00AF48E6" w:rsidP="00AA198E">
          <w:pPr>
            <w:pStyle w:val="TDC1"/>
            <w:rPr>
              <w:rFonts w:asciiTheme="minorHAnsi" w:eastAsiaTheme="minorEastAsia" w:hAnsiTheme="minorHAnsi" w:cstheme="minorBidi"/>
              <w:kern w:val="0"/>
              <w:sz w:val="22"/>
              <w:szCs w:val="22"/>
              <w:lang w:bidi="ar-SA"/>
            </w:rPr>
          </w:pPr>
          <w:hyperlink w:anchor="_Toc99107007" w:history="1">
            <w:r w:rsidR="00AA198E" w:rsidRPr="00AA198E">
              <w:rPr>
                <w:rStyle w:val="Hipervnculo"/>
                <w:rFonts w:eastAsia="Times New Roman"/>
              </w:rPr>
              <w:t>4.</w:t>
            </w:r>
            <w:r w:rsidR="00AA198E" w:rsidRPr="00AA198E">
              <w:rPr>
                <w:rFonts w:asciiTheme="minorHAnsi" w:eastAsiaTheme="minorEastAsia" w:hAnsiTheme="minorHAnsi" w:cstheme="minorBidi"/>
                <w:kern w:val="0"/>
                <w:sz w:val="22"/>
                <w:szCs w:val="22"/>
                <w:lang w:bidi="ar-SA"/>
              </w:rPr>
              <w:tab/>
            </w:r>
            <w:r w:rsidR="00AA198E" w:rsidRPr="00AA198E">
              <w:rPr>
                <w:rStyle w:val="Hipervnculo"/>
                <w:rFonts w:eastAsia="Times New Roman"/>
              </w:rPr>
              <w:t xml:space="preserve">Análisis e  </w:t>
            </w:r>
            <w:r w:rsidR="00336E76">
              <w:rPr>
                <w:rStyle w:val="Hipervnculo"/>
                <w:rFonts w:eastAsia="Times New Roman"/>
              </w:rPr>
              <w:t>i</w:t>
            </w:r>
            <w:r w:rsidR="00AA198E" w:rsidRPr="00AA198E">
              <w:rPr>
                <w:rStyle w:val="Hipervnculo"/>
                <w:rFonts w:eastAsia="Times New Roman"/>
              </w:rPr>
              <w:t>nvestigación</w:t>
            </w:r>
            <w:r w:rsidR="00AA198E" w:rsidRPr="00AA198E">
              <w:rPr>
                <w:webHidden/>
              </w:rPr>
              <w:tab/>
            </w:r>
            <w:r w:rsidR="00AA198E" w:rsidRPr="00AA198E">
              <w:rPr>
                <w:webHidden/>
              </w:rPr>
              <w:fldChar w:fldCharType="begin" w:fldLock="1"/>
            </w:r>
            <w:r w:rsidR="00AA198E" w:rsidRPr="00AA198E">
              <w:rPr>
                <w:webHidden/>
              </w:rPr>
              <w:instrText xml:space="preserve"> PAGEREF _Toc99107007 \h </w:instrText>
            </w:r>
            <w:r w:rsidR="00AA198E" w:rsidRPr="00AA198E">
              <w:rPr>
                <w:webHidden/>
              </w:rPr>
            </w:r>
            <w:r w:rsidR="00AA198E" w:rsidRPr="00AA198E">
              <w:rPr>
                <w:webHidden/>
              </w:rPr>
              <w:fldChar w:fldCharType="separate"/>
            </w:r>
            <w:r w:rsidR="00AA198E" w:rsidRPr="00AA198E">
              <w:rPr>
                <w:webHidden/>
              </w:rPr>
              <w:t>139</w:t>
            </w:r>
            <w:r w:rsidR="00AA198E" w:rsidRPr="00AA198E">
              <w:rPr>
                <w:webHidden/>
              </w:rPr>
              <w:fldChar w:fldCharType="end"/>
            </w:r>
          </w:hyperlink>
        </w:p>
        <w:p w14:paraId="1DDC7101" w14:textId="1D6BCC3D" w:rsidR="00AA198E" w:rsidRPr="00AA198E" w:rsidRDefault="00AF48E6">
          <w:pPr>
            <w:pStyle w:val="TDC2"/>
            <w:rPr>
              <w:rFonts w:asciiTheme="minorHAnsi" w:eastAsiaTheme="minorEastAsia" w:hAnsiTheme="minorHAnsi" w:cstheme="minorBidi"/>
              <w:kern w:val="0"/>
              <w:sz w:val="22"/>
              <w:lang w:bidi="ar-SA"/>
            </w:rPr>
          </w:pPr>
          <w:hyperlink w:anchor="_Toc99107008" w:history="1">
            <w:r w:rsidR="00AA198E" w:rsidRPr="00AA198E">
              <w:rPr>
                <w:rStyle w:val="Hipervnculo"/>
              </w:rPr>
              <w:t>4.1.</w:t>
            </w:r>
            <w:r w:rsidR="00AA198E" w:rsidRPr="00AA198E">
              <w:rPr>
                <w:rFonts w:asciiTheme="minorHAnsi" w:eastAsiaTheme="minorEastAsia" w:hAnsiTheme="minorHAnsi" w:cstheme="minorBidi"/>
                <w:kern w:val="0"/>
                <w:sz w:val="22"/>
                <w:lang w:bidi="ar-SA"/>
              </w:rPr>
              <w:tab/>
            </w:r>
            <w:r w:rsidR="00AA198E" w:rsidRPr="00AA198E">
              <w:rPr>
                <w:rStyle w:val="Hipervnculo"/>
              </w:rPr>
              <w:t>Presentación</w:t>
            </w:r>
            <w:r w:rsidR="00AA198E" w:rsidRPr="00AA198E">
              <w:rPr>
                <w:webHidden/>
              </w:rPr>
              <w:tab/>
            </w:r>
            <w:r w:rsidR="00AA198E" w:rsidRPr="00AA198E">
              <w:rPr>
                <w:webHidden/>
              </w:rPr>
              <w:fldChar w:fldCharType="begin" w:fldLock="1"/>
            </w:r>
            <w:r w:rsidR="00AA198E" w:rsidRPr="00AA198E">
              <w:rPr>
                <w:webHidden/>
              </w:rPr>
              <w:instrText xml:space="preserve"> PAGEREF _Toc99107008 \h </w:instrText>
            </w:r>
            <w:r w:rsidR="00AA198E" w:rsidRPr="00AA198E">
              <w:rPr>
                <w:webHidden/>
              </w:rPr>
            </w:r>
            <w:r w:rsidR="00AA198E" w:rsidRPr="00AA198E">
              <w:rPr>
                <w:webHidden/>
              </w:rPr>
              <w:fldChar w:fldCharType="separate"/>
            </w:r>
            <w:r w:rsidR="00AA198E" w:rsidRPr="00AA198E">
              <w:rPr>
                <w:webHidden/>
              </w:rPr>
              <w:t>139</w:t>
            </w:r>
            <w:r w:rsidR="00AA198E" w:rsidRPr="00AA198E">
              <w:rPr>
                <w:webHidden/>
              </w:rPr>
              <w:fldChar w:fldCharType="end"/>
            </w:r>
          </w:hyperlink>
        </w:p>
        <w:p w14:paraId="2CE7EFAF" w14:textId="6644F5E2" w:rsidR="00AA198E" w:rsidRPr="00AA198E" w:rsidRDefault="00AF48E6">
          <w:pPr>
            <w:pStyle w:val="TDC2"/>
            <w:rPr>
              <w:rFonts w:asciiTheme="minorHAnsi" w:eastAsiaTheme="minorEastAsia" w:hAnsiTheme="minorHAnsi" w:cstheme="minorBidi"/>
              <w:kern w:val="0"/>
              <w:sz w:val="22"/>
              <w:lang w:bidi="ar-SA"/>
            </w:rPr>
          </w:pPr>
          <w:hyperlink w:anchor="_Toc99107009" w:history="1">
            <w:r w:rsidR="00AA198E" w:rsidRPr="00AA198E">
              <w:rPr>
                <w:rStyle w:val="Hipervnculo"/>
              </w:rPr>
              <w:t>4.2.</w:t>
            </w:r>
            <w:r w:rsidR="00AA198E" w:rsidRPr="00AA198E">
              <w:rPr>
                <w:rFonts w:asciiTheme="minorHAnsi" w:eastAsiaTheme="minorEastAsia" w:hAnsiTheme="minorHAnsi" w:cstheme="minorBidi"/>
                <w:kern w:val="0"/>
                <w:sz w:val="22"/>
                <w:lang w:bidi="ar-SA"/>
              </w:rPr>
              <w:tab/>
            </w:r>
            <w:r w:rsidR="00AA198E" w:rsidRPr="00AA198E">
              <w:rPr>
                <w:rStyle w:val="Hipervnculo"/>
              </w:rPr>
              <w:t>Denuncias presentadas, clasificaciones y evolución</w:t>
            </w:r>
            <w:r w:rsidR="00AA198E" w:rsidRPr="00AA198E">
              <w:rPr>
                <w:webHidden/>
              </w:rPr>
              <w:tab/>
            </w:r>
            <w:r w:rsidR="00AA198E" w:rsidRPr="00AA198E">
              <w:rPr>
                <w:webHidden/>
              </w:rPr>
              <w:fldChar w:fldCharType="begin" w:fldLock="1"/>
            </w:r>
            <w:r w:rsidR="00AA198E" w:rsidRPr="00AA198E">
              <w:rPr>
                <w:webHidden/>
              </w:rPr>
              <w:instrText xml:space="preserve"> PAGEREF _Toc99107009 \h </w:instrText>
            </w:r>
            <w:r w:rsidR="00AA198E" w:rsidRPr="00AA198E">
              <w:rPr>
                <w:webHidden/>
              </w:rPr>
            </w:r>
            <w:r w:rsidR="00AA198E" w:rsidRPr="00AA198E">
              <w:rPr>
                <w:webHidden/>
              </w:rPr>
              <w:fldChar w:fldCharType="separate"/>
            </w:r>
            <w:r w:rsidR="00AA198E" w:rsidRPr="00AA198E">
              <w:rPr>
                <w:webHidden/>
              </w:rPr>
              <w:t>142</w:t>
            </w:r>
            <w:r w:rsidR="00AA198E" w:rsidRPr="00AA198E">
              <w:rPr>
                <w:webHidden/>
              </w:rPr>
              <w:fldChar w:fldCharType="end"/>
            </w:r>
          </w:hyperlink>
        </w:p>
        <w:p w14:paraId="58E2C884" w14:textId="582CE625" w:rsidR="00AA198E" w:rsidRPr="00AA198E" w:rsidRDefault="00AF48E6">
          <w:pPr>
            <w:pStyle w:val="TDC3"/>
            <w:rPr>
              <w:iCs w:val="0"/>
              <w:noProof/>
              <w:sz w:val="22"/>
              <w:szCs w:val="22"/>
              <w:lang w:eastAsia="es-ES"/>
            </w:rPr>
          </w:pPr>
          <w:hyperlink w:anchor="_Toc99107010" w:history="1">
            <w:r w:rsidR="00AA198E" w:rsidRPr="00AA198E">
              <w:rPr>
                <w:rStyle w:val="Hipervnculo"/>
                <w:rFonts w:ascii="Arial" w:eastAsia="Times New Roman" w:hAnsi="Arial" w:cs="Arial"/>
                <w:noProof/>
              </w:rPr>
              <w:t>4.2.1.</w:t>
            </w:r>
            <w:r w:rsidR="00AA198E" w:rsidRPr="00AA198E">
              <w:rPr>
                <w:iCs w:val="0"/>
                <w:noProof/>
                <w:sz w:val="22"/>
                <w:szCs w:val="22"/>
                <w:lang w:eastAsia="es-ES"/>
              </w:rPr>
              <w:tab/>
            </w:r>
            <w:r w:rsidR="00AA198E" w:rsidRPr="00AA198E">
              <w:rPr>
                <w:rStyle w:val="Hipervnculo"/>
                <w:rFonts w:ascii="Arial" w:eastAsia="Times New Roman" w:hAnsi="Arial" w:cs="Arial"/>
                <w:noProof/>
              </w:rPr>
              <w:t>Denuncias presentadas por ámbito subjetivo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_Toc99107010 \h </w:instrText>
            </w:r>
            <w:r w:rsidR="00AA198E" w:rsidRPr="00AA198E">
              <w:rPr>
                <w:noProof/>
                <w:webHidden/>
              </w:rPr>
            </w:r>
            <w:r w:rsidR="00AA198E" w:rsidRPr="00AA198E">
              <w:rPr>
                <w:noProof/>
                <w:webHidden/>
              </w:rPr>
              <w:fldChar w:fldCharType="separate"/>
            </w:r>
            <w:r w:rsidR="00AA198E" w:rsidRPr="00AA198E">
              <w:rPr>
                <w:noProof/>
                <w:webHidden/>
              </w:rPr>
              <w:t>142</w:t>
            </w:r>
            <w:r w:rsidR="00AA198E" w:rsidRPr="00AA198E">
              <w:rPr>
                <w:noProof/>
                <w:webHidden/>
              </w:rPr>
              <w:fldChar w:fldCharType="end"/>
            </w:r>
          </w:hyperlink>
        </w:p>
        <w:p w14:paraId="0F3355C9" w14:textId="4B8C887C" w:rsidR="00AA198E" w:rsidRPr="00AA198E" w:rsidRDefault="00AF48E6">
          <w:pPr>
            <w:pStyle w:val="TDC3"/>
            <w:rPr>
              <w:iCs w:val="0"/>
              <w:noProof/>
              <w:sz w:val="22"/>
              <w:szCs w:val="22"/>
              <w:lang w:eastAsia="es-ES"/>
            </w:rPr>
          </w:pPr>
          <w:hyperlink w:anchor="_Toc99107011" w:history="1">
            <w:r w:rsidR="00AA198E" w:rsidRPr="00AA198E">
              <w:rPr>
                <w:rStyle w:val="Hipervnculo"/>
                <w:rFonts w:ascii="Arial" w:eastAsia="Times New Roman" w:hAnsi="Arial" w:cs="Arial"/>
                <w:noProof/>
                <w:lang w:eastAsia="es-ES"/>
              </w:rPr>
              <w:t>4.2.2.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Denuncias presentadas según el canal de comunicación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_Toc99107011 \h </w:instrText>
            </w:r>
            <w:r w:rsidR="00AA198E" w:rsidRPr="00AA198E">
              <w:rPr>
                <w:noProof/>
                <w:webHidden/>
              </w:rPr>
            </w:r>
            <w:r w:rsidR="00AA198E" w:rsidRPr="00AA198E">
              <w:rPr>
                <w:noProof/>
                <w:webHidden/>
              </w:rPr>
              <w:fldChar w:fldCharType="separate"/>
            </w:r>
            <w:r w:rsidR="00AA198E" w:rsidRPr="00AA198E">
              <w:rPr>
                <w:noProof/>
                <w:webHidden/>
              </w:rPr>
              <w:t>144</w:t>
            </w:r>
            <w:r w:rsidR="00AA198E" w:rsidRPr="00AA198E">
              <w:rPr>
                <w:noProof/>
                <w:webHidden/>
              </w:rPr>
              <w:fldChar w:fldCharType="end"/>
            </w:r>
          </w:hyperlink>
        </w:p>
        <w:p w14:paraId="3F6EADBA" w14:textId="662D98A2" w:rsidR="00AA198E" w:rsidRPr="00AA198E" w:rsidRDefault="00AF48E6">
          <w:pPr>
            <w:pStyle w:val="TDC3"/>
            <w:rPr>
              <w:iCs w:val="0"/>
              <w:noProof/>
              <w:sz w:val="22"/>
              <w:szCs w:val="22"/>
              <w:lang w:eastAsia="es-ES"/>
            </w:rPr>
          </w:pPr>
          <w:hyperlink w:anchor="_Toc99107012" w:history="1">
            <w:r w:rsidR="00AA198E" w:rsidRPr="00AA198E">
              <w:rPr>
                <w:rStyle w:val="Hipervnculo"/>
                <w:rFonts w:ascii="Arial" w:eastAsia="Times New Roman" w:hAnsi="Arial" w:cs="Arial"/>
                <w:noProof/>
                <w:lang w:eastAsia="es-ES"/>
              </w:rPr>
              <w:t>4.2.3.</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Denuncias presentadas según el territorio de afectación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_Toc99107012 \h </w:instrText>
            </w:r>
            <w:r w:rsidR="00AA198E" w:rsidRPr="00AA198E">
              <w:rPr>
                <w:noProof/>
                <w:webHidden/>
              </w:rPr>
            </w:r>
            <w:r w:rsidR="00AA198E" w:rsidRPr="00AA198E">
              <w:rPr>
                <w:noProof/>
                <w:webHidden/>
              </w:rPr>
              <w:fldChar w:fldCharType="separate"/>
            </w:r>
            <w:r w:rsidR="00AA198E" w:rsidRPr="00AA198E">
              <w:rPr>
                <w:noProof/>
                <w:webHidden/>
              </w:rPr>
              <w:t>146</w:t>
            </w:r>
            <w:r w:rsidR="00AA198E" w:rsidRPr="00AA198E">
              <w:rPr>
                <w:noProof/>
                <w:webHidden/>
              </w:rPr>
              <w:fldChar w:fldCharType="end"/>
            </w:r>
          </w:hyperlink>
        </w:p>
        <w:p w14:paraId="140B8AC5" w14:textId="52FC9ED2" w:rsidR="00AA198E" w:rsidRPr="00AA198E" w:rsidRDefault="00AF48E6">
          <w:pPr>
            <w:pStyle w:val="TDC3"/>
            <w:rPr>
              <w:iCs w:val="0"/>
              <w:noProof/>
              <w:sz w:val="22"/>
              <w:szCs w:val="22"/>
              <w:lang w:eastAsia="es-ES"/>
            </w:rPr>
          </w:pPr>
          <w:hyperlink w:anchor="_Toc99107013" w:history="1">
            <w:r w:rsidR="00AA198E" w:rsidRPr="00AA198E">
              <w:rPr>
                <w:rStyle w:val="Hipervnculo"/>
                <w:rFonts w:ascii="Arial" w:eastAsia="Times New Roman" w:hAnsi="Arial" w:cs="Arial"/>
                <w:noProof/>
                <w:lang w:eastAsia="es-ES"/>
              </w:rPr>
              <w:t>4.2.4.</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Denuncias presentadas según el ámbito material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_Toc99107013 \h </w:instrText>
            </w:r>
            <w:r w:rsidR="00AA198E" w:rsidRPr="00AA198E">
              <w:rPr>
                <w:noProof/>
                <w:webHidden/>
              </w:rPr>
            </w:r>
            <w:r w:rsidR="00AA198E" w:rsidRPr="00AA198E">
              <w:rPr>
                <w:noProof/>
                <w:webHidden/>
              </w:rPr>
              <w:fldChar w:fldCharType="separate"/>
            </w:r>
            <w:r w:rsidR="00AA198E" w:rsidRPr="00AA198E">
              <w:rPr>
                <w:noProof/>
                <w:webHidden/>
              </w:rPr>
              <w:t>147</w:t>
            </w:r>
            <w:r w:rsidR="00AA198E" w:rsidRPr="00AA198E">
              <w:rPr>
                <w:noProof/>
                <w:webHidden/>
              </w:rPr>
              <w:fldChar w:fldCharType="end"/>
            </w:r>
          </w:hyperlink>
        </w:p>
        <w:p w14:paraId="19D76503" w14:textId="4335A02C" w:rsidR="00AA198E" w:rsidRPr="00AA198E" w:rsidRDefault="00AF48E6">
          <w:pPr>
            <w:pStyle w:val="TDC3"/>
            <w:rPr>
              <w:iCs w:val="0"/>
              <w:noProof/>
              <w:sz w:val="22"/>
              <w:szCs w:val="22"/>
              <w:lang w:eastAsia="es-ES"/>
            </w:rPr>
          </w:pPr>
          <w:hyperlink w:anchor="_Toc99107014" w:history="1">
            <w:r w:rsidR="00AA198E" w:rsidRPr="00AA198E">
              <w:rPr>
                <w:rStyle w:val="Hipervnculo"/>
                <w:rFonts w:ascii="Arial" w:eastAsia="Times New Roman" w:hAnsi="Arial" w:cs="Arial"/>
                <w:noProof/>
                <w:lang w:eastAsia="es-ES"/>
              </w:rPr>
              <w:t>4.2.5.</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Denuncias presentadas según la tipología, condición o naturaleza del comunicante</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_Toc99107014 \h </w:instrText>
            </w:r>
            <w:r w:rsidR="00AA198E" w:rsidRPr="00AA198E">
              <w:rPr>
                <w:noProof/>
                <w:webHidden/>
              </w:rPr>
            </w:r>
            <w:r w:rsidR="00AA198E" w:rsidRPr="00AA198E">
              <w:rPr>
                <w:noProof/>
                <w:webHidden/>
              </w:rPr>
              <w:fldChar w:fldCharType="separate"/>
            </w:r>
            <w:r w:rsidR="00AA198E" w:rsidRPr="00AA198E">
              <w:rPr>
                <w:noProof/>
                <w:webHidden/>
              </w:rPr>
              <w:t>150</w:t>
            </w:r>
            <w:r w:rsidR="00AA198E" w:rsidRPr="00AA198E">
              <w:rPr>
                <w:noProof/>
                <w:webHidden/>
              </w:rPr>
              <w:fldChar w:fldCharType="end"/>
            </w:r>
          </w:hyperlink>
        </w:p>
        <w:p w14:paraId="774AD577" w14:textId="0551B654" w:rsidR="00AA198E" w:rsidRPr="00AA198E" w:rsidRDefault="00AF48E6">
          <w:pPr>
            <w:pStyle w:val="TDC3"/>
            <w:rPr>
              <w:iCs w:val="0"/>
              <w:noProof/>
              <w:sz w:val="22"/>
              <w:szCs w:val="22"/>
              <w:lang w:eastAsia="es-ES"/>
            </w:rPr>
          </w:pPr>
          <w:hyperlink w:anchor="_Toc99107015" w:history="1">
            <w:r w:rsidR="00AA198E" w:rsidRPr="00AA198E">
              <w:rPr>
                <w:rStyle w:val="Hipervnculo"/>
                <w:rFonts w:ascii="Arial" w:eastAsia="Times New Roman" w:hAnsi="Arial" w:cs="Arial"/>
                <w:noProof/>
                <w:lang w:eastAsia="es-ES"/>
              </w:rPr>
              <w:t>4.2.6.</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Denuncias de personas físicas clasificadas por género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_Toc99107015 \h </w:instrText>
            </w:r>
            <w:r w:rsidR="00AA198E" w:rsidRPr="00AA198E">
              <w:rPr>
                <w:noProof/>
                <w:webHidden/>
              </w:rPr>
            </w:r>
            <w:r w:rsidR="00AA198E" w:rsidRPr="00AA198E">
              <w:rPr>
                <w:noProof/>
                <w:webHidden/>
              </w:rPr>
              <w:fldChar w:fldCharType="separate"/>
            </w:r>
            <w:r w:rsidR="00AA198E" w:rsidRPr="00AA198E">
              <w:rPr>
                <w:noProof/>
                <w:webHidden/>
              </w:rPr>
              <w:t>151</w:t>
            </w:r>
            <w:r w:rsidR="00AA198E" w:rsidRPr="00AA198E">
              <w:rPr>
                <w:noProof/>
                <w:webHidden/>
              </w:rPr>
              <w:fldChar w:fldCharType="end"/>
            </w:r>
          </w:hyperlink>
        </w:p>
        <w:p w14:paraId="0CEC2AF9" w14:textId="5058125E" w:rsidR="00AA198E" w:rsidRPr="00AA198E" w:rsidRDefault="00AF48E6">
          <w:pPr>
            <w:pStyle w:val="TDC2"/>
            <w:rPr>
              <w:rFonts w:asciiTheme="minorHAnsi" w:eastAsiaTheme="minorEastAsia" w:hAnsiTheme="minorHAnsi" w:cstheme="minorBidi"/>
              <w:kern w:val="0"/>
              <w:sz w:val="22"/>
              <w:lang w:bidi="ar-SA"/>
            </w:rPr>
          </w:pPr>
          <w:hyperlink w:anchor="_Toc99107016" w:history="1">
            <w:r w:rsidR="00AA198E" w:rsidRPr="00AA198E">
              <w:rPr>
                <w:rStyle w:val="Hipervnculo"/>
              </w:rPr>
              <w:t>4.3.</w:t>
            </w:r>
            <w:r w:rsidR="00AA198E" w:rsidRPr="00AA198E">
              <w:rPr>
                <w:rFonts w:asciiTheme="minorHAnsi" w:eastAsiaTheme="minorEastAsia" w:hAnsiTheme="minorHAnsi" w:cstheme="minorBidi"/>
                <w:kern w:val="0"/>
                <w:sz w:val="22"/>
                <w:lang w:bidi="ar-SA"/>
              </w:rPr>
              <w:tab/>
            </w:r>
            <w:r w:rsidR="00AA198E" w:rsidRPr="00AA198E">
              <w:rPr>
                <w:rStyle w:val="Hipervnculo"/>
              </w:rPr>
              <w:t>Seguimiento de la gestión de los expedientes de investigación durante el año 2021 y evolución</w:t>
            </w:r>
            <w:r w:rsidR="00AA198E" w:rsidRPr="00AA198E">
              <w:rPr>
                <w:webHidden/>
              </w:rPr>
              <w:tab/>
            </w:r>
            <w:r w:rsidR="00AA198E" w:rsidRPr="00AA198E">
              <w:rPr>
                <w:webHidden/>
              </w:rPr>
              <w:fldChar w:fldCharType="begin" w:fldLock="1"/>
            </w:r>
            <w:r w:rsidR="00AA198E" w:rsidRPr="00AA198E">
              <w:rPr>
                <w:webHidden/>
              </w:rPr>
              <w:instrText xml:space="preserve"> PAGEREF _Toc99107016 \h </w:instrText>
            </w:r>
            <w:r w:rsidR="00AA198E" w:rsidRPr="00AA198E">
              <w:rPr>
                <w:webHidden/>
              </w:rPr>
            </w:r>
            <w:r w:rsidR="00AA198E" w:rsidRPr="00AA198E">
              <w:rPr>
                <w:webHidden/>
              </w:rPr>
              <w:fldChar w:fldCharType="separate"/>
            </w:r>
            <w:r w:rsidR="00AA198E" w:rsidRPr="00AA198E">
              <w:rPr>
                <w:webHidden/>
              </w:rPr>
              <w:t>152</w:t>
            </w:r>
            <w:r w:rsidR="00AA198E" w:rsidRPr="00AA198E">
              <w:rPr>
                <w:webHidden/>
              </w:rPr>
              <w:fldChar w:fldCharType="end"/>
            </w:r>
          </w:hyperlink>
        </w:p>
        <w:p w14:paraId="5B3945EE" w14:textId="14A48925" w:rsidR="00AA198E" w:rsidRPr="00AA198E" w:rsidRDefault="00AF48E6">
          <w:pPr>
            <w:pStyle w:val="TDC2"/>
            <w:rPr>
              <w:rFonts w:asciiTheme="minorHAnsi" w:eastAsiaTheme="minorEastAsia" w:hAnsiTheme="minorHAnsi" w:cstheme="minorBidi"/>
              <w:kern w:val="0"/>
              <w:sz w:val="22"/>
              <w:lang w:bidi="ar-SA"/>
            </w:rPr>
          </w:pPr>
          <w:hyperlink w:anchor="_Toc99107017" w:history="1">
            <w:r w:rsidR="00AA198E" w:rsidRPr="00AA198E">
              <w:rPr>
                <w:rStyle w:val="Hipervnculo"/>
              </w:rPr>
              <w:t>4.4.</w:t>
            </w:r>
            <w:r w:rsidR="00AA198E" w:rsidRPr="00AA198E">
              <w:rPr>
                <w:rFonts w:asciiTheme="minorHAnsi" w:eastAsiaTheme="minorEastAsia" w:hAnsiTheme="minorHAnsi" w:cstheme="minorBidi"/>
                <w:kern w:val="0"/>
                <w:sz w:val="22"/>
                <w:lang w:bidi="ar-SA"/>
              </w:rPr>
              <w:tab/>
            </w:r>
            <w:r w:rsidR="00AA198E" w:rsidRPr="00AA198E">
              <w:rPr>
                <w:rStyle w:val="Hipervnculo"/>
              </w:rPr>
              <w:t>Resumen de las investigaciones finalizadas en 2021</w:t>
            </w:r>
            <w:r w:rsidR="00AA198E" w:rsidRPr="00AA198E">
              <w:rPr>
                <w:webHidden/>
              </w:rPr>
              <w:tab/>
            </w:r>
            <w:r w:rsidR="00AA198E" w:rsidRPr="00AA198E">
              <w:rPr>
                <w:webHidden/>
              </w:rPr>
              <w:fldChar w:fldCharType="begin" w:fldLock="1"/>
            </w:r>
            <w:r w:rsidR="00AA198E" w:rsidRPr="00AA198E">
              <w:rPr>
                <w:webHidden/>
              </w:rPr>
              <w:instrText xml:space="preserve"> PAGEREF _Toc99107017 \h </w:instrText>
            </w:r>
            <w:r w:rsidR="00AA198E" w:rsidRPr="00AA198E">
              <w:rPr>
                <w:webHidden/>
              </w:rPr>
            </w:r>
            <w:r w:rsidR="00AA198E" w:rsidRPr="00AA198E">
              <w:rPr>
                <w:webHidden/>
              </w:rPr>
              <w:fldChar w:fldCharType="separate"/>
            </w:r>
            <w:r w:rsidR="00AA198E" w:rsidRPr="00AA198E">
              <w:rPr>
                <w:webHidden/>
              </w:rPr>
              <w:t>155</w:t>
            </w:r>
            <w:r w:rsidR="00AA198E" w:rsidRPr="00AA198E">
              <w:rPr>
                <w:webHidden/>
              </w:rPr>
              <w:fldChar w:fldCharType="end"/>
            </w:r>
          </w:hyperlink>
        </w:p>
        <w:p w14:paraId="3F3CB37F" w14:textId="164D376F" w:rsidR="00AA198E" w:rsidRPr="00AA198E" w:rsidRDefault="00AF48E6">
          <w:pPr>
            <w:pStyle w:val="TDC3"/>
            <w:rPr>
              <w:iCs w:val="0"/>
              <w:noProof/>
              <w:sz w:val="22"/>
              <w:szCs w:val="22"/>
              <w:lang w:eastAsia="es-ES"/>
            </w:rPr>
          </w:pPr>
          <w:hyperlink w:anchor="_Toc99107018" w:history="1">
            <w:r w:rsidR="00AA198E" w:rsidRPr="00AA198E">
              <w:rPr>
                <w:rStyle w:val="Hipervnculo"/>
                <w:rFonts w:ascii="Arial" w:eastAsia="Times New Roman" w:hAnsi="Arial" w:cs="Arial"/>
                <w:noProof/>
                <w:lang w:eastAsia="es-ES"/>
              </w:rPr>
              <w:t>4.4.1.</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València. Contratación de obras de la cubierta del teatro “El Musical”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_Toc99107018 \h </w:instrText>
            </w:r>
            <w:r w:rsidR="00AA198E" w:rsidRPr="00AA198E">
              <w:rPr>
                <w:noProof/>
                <w:webHidden/>
              </w:rPr>
            </w:r>
            <w:r w:rsidR="00AA198E" w:rsidRPr="00AA198E">
              <w:rPr>
                <w:noProof/>
                <w:webHidden/>
              </w:rPr>
              <w:fldChar w:fldCharType="separate"/>
            </w:r>
            <w:r w:rsidR="00AA198E" w:rsidRPr="00AA198E">
              <w:rPr>
                <w:noProof/>
                <w:webHidden/>
              </w:rPr>
              <w:t>156</w:t>
            </w:r>
            <w:r w:rsidR="00AA198E" w:rsidRPr="00AA198E">
              <w:rPr>
                <w:noProof/>
                <w:webHidden/>
              </w:rPr>
              <w:fldChar w:fldCharType="end"/>
            </w:r>
          </w:hyperlink>
        </w:p>
        <w:p w14:paraId="16BEE887" w14:textId="261F2345" w:rsidR="00AA198E" w:rsidRPr="00AA198E" w:rsidRDefault="00AF48E6">
          <w:pPr>
            <w:pStyle w:val="TDC3"/>
            <w:rPr>
              <w:iCs w:val="0"/>
              <w:noProof/>
              <w:sz w:val="22"/>
              <w:szCs w:val="22"/>
              <w:lang w:eastAsia="es-ES"/>
            </w:rPr>
          </w:pPr>
          <w:hyperlink w:anchor="_Toc99107019" w:history="1">
            <w:r w:rsidR="00AA198E" w:rsidRPr="00AA198E">
              <w:rPr>
                <w:rStyle w:val="Hipervnculo"/>
                <w:rFonts w:ascii="Arial" w:eastAsia="Times New Roman" w:hAnsi="Arial" w:cs="Arial"/>
                <w:noProof/>
                <w:lang w:eastAsia="es-ES"/>
              </w:rPr>
              <w:t>4.4.2.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Diputación Provincial de Valencia, Ayuntamiento de Sueca, Ayuntamiento de Paterna, DGAL. Provisión puestos FHCN de la Diputación Provincial de Valencia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_Toc99107019 \h </w:instrText>
            </w:r>
            <w:r w:rsidR="00AA198E" w:rsidRPr="00AA198E">
              <w:rPr>
                <w:noProof/>
                <w:webHidden/>
              </w:rPr>
            </w:r>
            <w:r w:rsidR="00AA198E" w:rsidRPr="00AA198E">
              <w:rPr>
                <w:noProof/>
                <w:webHidden/>
              </w:rPr>
              <w:fldChar w:fldCharType="separate"/>
            </w:r>
            <w:r w:rsidR="00AA198E" w:rsidRPr="00AA198E">
              <w:rPr>
                <w:noProof/>
                <w:webHidden/>
              </w:rPr>
              <w:t>157</w:t>
            </w:r>
            <w:r w:rsidR="00AA198E" w:rsidRPr="00AA198E">
              <w:rPr>
                <w:noProof/>
                <w:webHidden/>
              </w:rPr>
              <w:fldChar w:fldCharType="end"/>
            </w:r>
          </w:hyperlink>
        </w:p>
        <w:p w14:paraId="34EB5145" w14:textId="377822AF" w:rsidR="00AA198E" w:rsidRPr="00AA198E" w:rsidRDefault="00AF48E6">
          <w:pPr>
            <w:pStyle w:val="TDC3"/>
            <w:rPr>
              <w:iCs w:val="0"/>
              <w:noProof/>
              <w:sz w:val="22"/>
              <w:szCs w:val="22"/>
              <w:lang w:eastAsia="es-ES"/>
            </w:rPr>
          </w:pPr>
          <w:hyperlink w:anchor="_Toc99107020" w:history="1">
            <w:r w:rsidR="00AA198E" w:rsidRPr="00AA198E">
              <w:rPr>
                <w:rStyle w:val="Hipervnculo"/>
                <w:rFonts w:ascii="Arial" w:eastAsia="Times New Roman" w:hAnsi="Arial" w:cs="Arial"/>
                <w:noProof/>
                <w:lang w:eastAsia="es-ES"/>
              </w:rPr>
              <w:t>4.4.3.</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Institut Valencià de Cultura. Irregularidades en la gestión de personal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_Toc99107020 \h </w:instrText>
            </w:r>
            <w:r w:rsidR="00AA198E" w:rsidRPr="00AA198E">
              <w:rPr>
                <w:noProof/>
                <w:webHidden/>
              </w:rPr>
            </w:r>
            <w:r w:rsidR="00AA198E" w:rsidRPr="00AA198E">
              <w:rPr>
                <w:noProof/>
                <w:webHidden/>
              </w:rPr>
              <w:fldChar w:fldCharType="separate"/>
            </w:r>
            <w:r w:rsidR="00AA198E" w:rsidRPr="00AA198E">
              <w:rPr>
                <w:noProof/>
                <w:webHidden/>
              </w:rPr>
              <w:t>159</w:t>
            </w:r>
            <w:r w:rsidR="00AA198E" w:rsidRPr="00AA198E">
              <w:rPr>
                <w:noProof/>
                <w:webHidden/>
              </w:rPr>
              <w:fldChar w:fldCharType="end"/>
            </w:r>
          </w:hyperlink>
        </w:p>
        <w:p w14:paraId="42998FD2" w14:textId="4A7BE705" w:rsidR="00AA198E" w:rsidRPr="00AA198E" w:rsidRDefault="00AF48E6">
          <w:pPr>
            <w:pStyle w:val="TDC3"/>
            <w:rPr>
              <w:iCs w:val="0"/>
              <w:noProof/>
              <w:sz w:val="22"/>
              <w:szCs w:val="22"/>
              <w:lang w:eastAsia="es-ES"/>
            </w:rPr>
          </w:pPr>
          <w:hyperlink w:anchor="_Toc99107021" w:history="1">
            <w:r w:rsidR="00AA198E" w:rsidRPr="00AA198E">
              <w:rPr>
                <w:rStyle w:val="Hipervnculo"/>
                <w:rFonts w:ascii="Arial" w:eastAsia="Times New Roman" w:hAnsi="Arial" w:cs="Arial"/>
                <w:noProof/>
                <w:lang w:eastAsia="es-ES"/>
              </w:rPr>
              <w:t>4.4.4.</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Cofrentes. Diversas irregularidades en procedimientos de contratación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_Toc99107021 \h </w:instrText>
            </w:r>
            <w:r w:rsidR="00AA198E" w:rsidRPr="00AA198E">
              <w:rPr>
                <w:noProof/>
                <w:webHidden/>
              </w:rPr>
            </w:r>
            <w:r w:rsidR="00AA198E" w:rsidRPr="00AA198E">
              <w:rPr>
                <w:noProof/>
                <w:webHidden/>
              </w:rPr>
              <w:fldChar w:fldCharType="separate"/>
            </w:r>
            <w:r w:rsidR="00AA198E" w:rsidRPr="00AA198E">
              <w:rPr>
                <w:noProof/>
                <w:webHidden/>
              </w:rPr>
              <w:t>160</w:t>
            </w:r>
            <w:r w:rsidR="00AA198E" w:rsidRPr="00AA198E">
              <w:rPr>
                <w:noProof/>
                <w:webHidden/>
              </w:rPr>
              <w:fldChar w:fldCharType="end"/>
            </w:r>
          </w:hyperlink>
        </w:p>
        <w:p w14:paraId="182F3745" w14:textId="084BFE85" w:rsidR="00AA198E" w:rsidRPr="00AA198E" w:rsidRDefault="00AF48E6">
          <w:pPr>
            <w:pStyle w:val="TDC3"/>
            <w:rPr>
              <w:iCs w:val="0"/>
              <w:noProof/>
              <w:sz w:val="22"/>
              <w:szCs w:val="22"/>
              <w:lang w:eastAsia="es-ES"/>
            </w:rPr>
          </w:pPr>
          <w:hyperlink w:anchor="_Toc99107022" w:history="1">
            <w:r w:rsidR="00AA198E" w:rsidRPr="00AA198E">
              <w:rPr>
                <w:rStyle w:val="Hipervnculo"/>
                <w:rFonts w:ascii="Arial" w:eastAsia="Times New Roman" w:hAnsi="Arial" w:cs="Arial"/>
                <w:noProof/>
                <w:lang w:eastAsia="es-ES"/>
              </w:rPr>
              <w:t>4.4.5.</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València. Responsabilidad administrativa y/o contable</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_Toc99107022 \h </w:instrText>
            </w:r>
            <w:r w:rsidR="00AA198E" w:rsidRPr="00AA198E">
              <w:rPr>
                <w:noProof/>
                <w:webHidden/>
              </w:rPr>
            </w:r>
            <w:r w:rsidR="00AA198E" w:rsidRPr="00AA198E">
              <w:rPr>
                <w:noProof/>
                <w:webHidden/>
              </w:rPr>
              <w:fldChar w:fldCharType="separate"/>
            </w:r>
            <w:r w:rsidR="00AA198E" w:rsidRPr="00AA198E">
              <w:rPr>
                <w:noProof/>
                <w:webHidden/>
              </w:rPr>
              <w:t>161</w:t>
            </w:r>
            <w:r w:rsidR="00AA198E" w:rsidRPr="00AA198E">
              <w:rPr>
                <w:noProof/>
                <w:webHidden/>
              </w:rPr>
              <w:fldChar w:fldCharType="end"/>
            </w:r>
          </w:hyperlink>
        </w:p>
        <w:p w14:paraId="66680C95" w14:textId="2ED6184D" w:rsidR="00AA198E" w:rsidRPr="00AA198E" w:rsidRDefault="00AF48E6">
          <w:pPr>
            <w:pStyle w:val="TDC3"/>
            <w:rPr>
              <w:iCs w:val="0"/>
              <w:noProof/>
              <w:sz w:val="22"/>
              <w:szCs w:val="22"/>
              <w:lang w:eastAsia="es-ES"/>
            </w:rPr>
          </w:pPr>
          <w:hyperlink w:anchor="_Toc99107023" w:history="1">
            <w:r w:rsidR="00AA198E" w:rsidRPr="00AA198E">
              <w:rPr>
                <w:rStyle w:val="Hipervnculo"/>
                <w:rFonts w:ascii="Arial" w:eastAsia="Times New Roman" w:hAnsi="Arial" w:cs="Arial"/>
                <w:noProof/>
                <w:lang w:eastAsia="es-ES"/>
              </w:rPr>
              <w:t>4.4.6.</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Cullera. Oposiciones Policía Local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_Toc99107023 \h </w:instrText>
            </w:r>
            <w:r w:rsidR="00AA198E" w:rsidRPr="00AA198E">
              <w:rPr>
                <w:noProof/>
                <w:webHidden/>
              </w:rPr>
            </w:r>
            <w:r w:rsidR="00AA198E" w:rsidRPr="00AA198E">
              <w:rPr>
                <w:noProof/>
                <w:webHidden/>
              </w:rPr>
              <w:fldChar w:fldCharType="separate"/>
            </w:r>
            <w:r w:rsidR="00AA198E" w:rsidRPr="00AA198E">
              <w:rPr>
                <w:noProof/>
                <w:webHidden/>
              </w:rPr>
              <w:t>161</w:t>
            </w:r>
            <w:r w:rsidR="00AA198E" w:rsidRPr="00AA198E">
              <w:rPr>
                <w:noProof/>
                <w:webHidden/>
              </w:rPr>
              <w:fldChar w:fldCharType="end"/>
            </w:r>
          </w:hyperlink>
        </w:p>
        <w:p w14:paraId="40B7AB03" w14:textId="2070CAF4" w:rsidR="00AA198E" w:rsidRPr="00AA198E" w:rsidRDefault="00AF48E6">
          <w:pPr>
            <w:pStyle w:val="TDC3"/>
            <w:rPr>
              <w:iCs w:val="0"/>
              <w:noProof/>
              <w:sz w:val="22"/>
              <w:szCs w:val="22"/>
              <w:lang w:eastAsia="es-ES"/>
            </w:rPr>
          </w:pPr>
          <w:hyperlink w:anchor="_Toc99107024" w:history="1">
            <w:r w:rsidR="00AA198E" w:rsidRPr="00AA198E">
              <w:rPr>
                <w:rStyle w:val="Hipervnculo"/>
                <w:rFonts w:ascii="Arial" w:eastAsia="Times New Roman" w:hAnsi="Arial" w:cs="Arial"/>
                <w:noProof/>
                <w:lang w:eastAsia="es-ES"/>
              </w:rPr>
              <w:t>4.4.7.</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Rojales. Irregularidades en el pago de servicios extraordinarios a funcionarios con dedicación exclusiva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_Toc99107024 \h </w:instrText>
            </w:r>
            <w:r w:rsidR="00AA198E" w:rsidRPr="00AA198E">
              <w:rPr>
                <w:noProof/>
                <w:webHidden/>
              </w:rPr>
            </w:r>
            <w:r w:rsidR="00AA198E" w:rsidRPr="00AA198E">
              <w:rPr>
                <w:noProof/>
                <w:webHidden/>
              </w:rPr>
              <w:fldChar w:fldCharType="separate"/>
            </w:r>
            <w:r w:rsidR="00AA198E" w:rsidRPr="00AA198E">
              <w:rPr>
                <w:noProof/>
                <w:webHidden/>
              </w:rPr>
              <w:t>163</w:t>
            </w:r>
            <w:r w:rsidR="00AA198E" w:rsidRPr="00AA198E">
              <w:rPr>
                <w:noProof/>
                <w:webHidden/>
              </w:rPr>
              <w:fldChar w:fldCharType="end"/>
            </w:r>
          </w:hyperlink>
        </w:p>
        <w:p w14:paraId="612867BB" w14:textId="6AC2B723" w:rsidR="00AA198E" w:rsidRPr="00AA198E" w:rsidRDefault="00AF48E6">
          <w:pPr>
            <w:pStyle w:val="TDC3"/>
            <w:rPr>
              <w:iCs w:val="0"/>
              <w:noProof/>
              <w:sz w:val="22"/>
              <w:szCs w:val="22"/>
              <w:lang w:eastAsia="es-ES"/>
            </w:rPr>
          </w:pPr>
          <w:hyperlink w:anchor="_Toc99107025" w:history="1">
            <w:r w:rsidR="00AA198E" w:rsidRPr="00AA198E">
              <w:rPr>
                <w:rStyle w:val="Hipervnculo"/>
                <w:rFonts w:ascii="Arial" w:eastAsia="Times New Roman" w:hAnsi="Arial" w:cs="Arial"/>
                <w:noProof/>
                <w:lang w:eastAsia="es-ES"/>
              </w:rPr>
              <w:t>4.4.8.</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Camporrobles. Contratación menor</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_Toc99107025 \h </w:instrText>
            </w:r>
            <w:r w:rsidR="00AA198E" w:rsidRPr="00AA198E">
              <w:rPr>
                <w:noProof/>
                <w:webHidden/>
              </w:rPr>
            </w:r>
            <w:r w:rsidR="00AA198E" w:rsidRPr="00AA198E">
              <w:rPr>
                <w:noProof/>
                <w:webHidden/>
              </w:rPr>
              <w:fldChar w:fldCharType="separate"/>
            </w:r>
            <w:r w:rsidR="00AA198E" w:rsidRPr="00AA198E">
              <w:rPr>
                <w:noProof/>
                <w:webHidden/>
              </w:rPr>
              <w:t>164</w:t>
            </w:r>
            <w:r w:rsidR="00AA198E" w:rsidRPr="00AA198E">
              <w:rPr>
                <w:noProof/>
                <w:webHidden/>
              </w:rPr>
              <w:fldChar w:fldCharType="end"/>
            </w:r>
          </w:hyperlink>
        </w:p>
        <w:p w14:paraId="6620625F" w14:textId="49F519F7" w:rsidR="00AA198E" w:rsidRPr="00AA198E" w:rsidRDefault="00AF48E6">
          <w:pPr>
            <w:pStyle w:val="TDC3"/>
            <w:rPr>
              <w:iCs w:val="0"/>
              <w:noProof/>
              <w:sz w:val="22"/>
              <w:szCs w:val="22"/>
              <w:lang w:eastAsia="es-ES"/>
            </w:rPr>
          </w:pPr>
          <w:hyperlink w:anchor="_Toc99107026" w:history="1">
            <w:r w:rsidR="00AA198E" w:rsidRPr="00AA198E">
              <w:rPr>
                <w:rStyle w:val="Hipervnculo"/>
                <w:rFonts w:ascii="Arial" w:eastAsia="Times New Roman" w:hAnsi="Arial" w:cs="Arial"/>
                <w:noProof/>
                <w:lang w:eastAsia="es-ES"/>
              </w:rPr>
              <w:t>4.4.9.</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València. Justificación de subvención acción contra el hambre fuera de plazo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_Toc99107026 \h </w:instrText>
            </w:r>
            <w:r w:rsidR="00AA198E" w:rsidRPr="00AA198E">
              <w:rPr>
                <w:noProof/>
                <w:webHidden/>
              </w:rPr>
            </w:r>
            <w:r w:rsidR="00AA198E" w:rsidRPr="00AA198E">
              <w:rPr>
                <w:noProof/>
                <w:webHidden/>
              </w:rPr>
              <w:fldChar w:fldCharType="separate"/>
            </w:r>
            <w:r w:rsidR="00AA198E" w:rsidRPr="00AA198E">
              <w:rPr>
                <w:noProof/>
                <w:webHidden/>
              </w:rPr>
              <w:t>165</w:t>
            </w:r>
            <w:r w:rsidR="00AA198E" w:rsidRPr="00AA198E">
              <w:rPr>
                <w:noProof/>
                <w:webHidden/>
              </w:rPr>
              <w:fldChar w:fldCharType="end"/>
            </w:r>
          </w:hyperlink>
        </w:p>
        <w:p w14:paraId="036AD6DE" w14:textId="567C9F7F" w:rsidR="00AA198E" w:rsidRPr="00AA198E" w:rsidRDefault="00AF48E6">
          <w:pPr>
            <w:pStyle w:val="TDC3"/>
            <w:rPr>
              <w:iCs w:val="0"/>
              <w:noProof/>
              <w:sz w:val="22"/>
              <w:szCs w:val="22"/>
              <w:lang w:eastAsia="es-ES"/>
            </w:rPr>
          </w:pPr>
          <w:hyperlink w:anchor="_Toc99107027" w:history="1">
            <w:r w:rsidR="00AA198E" w:rsidRPr="00AA198E">
              <w:rPr>
                <w:rStyle w:val="Hipervnculo"/>
                <w:rFonts w:ascii="Arial" w:eastAsia="Times New Roman" w:hAnsi="Arial" w:cs="Arial"/>
                <w:noProof/>
                <w:lang w:eastAsia="es-ES"/>
              </w:rPr>
              <w:t>4.4.10.</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Rojales. Irregularidades en el contrato servicio de organización de las fiestas Virgen del Rosario 2019-2020 negociado sin publicidad</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_Toc99107027 \h </w:instrText>
            </w:r>
            <w:r w:rsidR="00AA198E" w:rsidRPr="00AA198E">
              <w:rPr>
                <w:noProof/>
                <w:webHidden/>
              </w:rPr>
            </w:r>
            <w:r w:rsidR="00AA198E" w:rsidRPr="00AA198E">
              <w:rPr>
                <w:noProof/>
                <w:webHidden/>
              </w:rPr>
              <w:fldChar w:fldCharType="separate"/>
            </w:r>
            <w:r w:rsidR="00AA198E" w:rsidRPr="00AA198E">
              <w:rPr>
                <w:noProof/>
                <w:webHidden/>
              </w:rPr>
              <w:t>165</w:t>
            </w:r>
            <w:r w:rsidR="00AA198E" w:rsidRPr="00AA198E">
              <w:rPr>
                <w:noProof/>
                <w:webHidden/>
              </w:rPr>
              <w:fldChar w:fldCharType="end"/>
            </w:r>
          </w:hyperlink>
        </w:p>
        <w:p w14:paraId="34C1BBE5" w14:textId="36230A76" w:rsidR="00AA198E" w:rsidRPr="00AA198E" w:rsidRDefault="00AF48E6">
          <w:pPr>
            <w:pStyle w:val="TDC3"/>
            <w:rPr>
              <w:iCs w:val="0"/>
              <w:noProof/>
              <w:sz w:val="22"/>
              <w:szCs w:val="22"/>
              <w:lang w:eastAsia="es-ES"/>
            </w:rPr>
          </w:pPr>
          <w:hyperlink w:anchor="_Toc99107028" w:history="1">
            <w:r w:rsidR="00AA198E" w:rsidRPr="00AA198E">
              <w:rPr>
                <w:rStyle w:val="Hipervnculo"/>
                <w:rFonts w:ascii="Arial" w:eastAsia="Times New Roman" w:hAnsi="Arial" w:cs="Arial"/>
                <w:noProof/>
                <w:lang w:eastAsia="es-ES"/>
              </w:rPr>
              <w:t>4.4.11.</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València. Organismo Autónomo Municipal de Parques y Jardines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_Toc99107028 \h </w:instrText>
            </w:r>
            <w:r w:rsidR="00AA198E" w:rsidRPr="00AA198E">
              <w:rPr>
                <w:noProof/>
                <w:webHidden/>
              </w:rPr>
            </w:r>
            <w:r w:rsidR="00AA198E" w:rsidRPr="00AA198E">
              <w:rPr>
                <w:noProof/>
                <w:webHidden/>
              </w:rPr>
              <w:fldChar w:fldCharType="separate"/>
            </w:r>
            <w:r w:rsidR="00AA198E" w:rsidRPr="00AA198E">
              <w:rPr>
                <w:noProof/>
                <w:webHidden/>
              </w:rPr>
              <w:t>166</w:t>
            </w:r>
            <w:r w:rsidR="00AA198E" w:rsidRPr="00AA198E">
              <w:rPr>
                <w:noProof/>
                <w:webHidden/>
              </w:rPr>
              <w:fldChar w:fldCharType="end"/>
            </w:r>
          </w:hyperlink>
        </w:p>
        <w:p w14:paraId="07521158" w14:textId="2DF27893" w:rsidR="00AA198E" w:rsidRPr="00AA198E" w:rsidRDefault="00AF48E6">
          <w:pPr>
            <w:pStyle w:val="TDC3"/>
            <w:rPr>
              <w:iCs w:val="0"/>
              <w:noProof/>
              <w:sz w:val="22"/>
              <w:szCs w:val="22"/>
              <w:lang w:eastAsia="es-ES"/>
            </w:rPr>
          </w:pPr>
          <w:hyperlink w:anchor="_Toc99107029" w:history="1">
            <w:r w:rsidR="00AA198E" w:rsidRPr="00AA198E">
              <w:rPr>
                <w:rStyle w:val="Hipervnculo"/>
                <w:rFonts w:ascii="Arial" w:eastAsia="Times New Roman" w:hAnsi="Arial" w:cs="Arial"/>
                <w:noProof/>
                <w:lang w:eastAsia="es-ES"/>
              </w:rPr>
              <w:t>4.4.12.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Callosa del Segura. Proceso selectivo Intendente de la Policía Local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_Toc99107029 \h </w:instrText>
            </w:r>
            <w:r w:rsidR="00AA198E" w:rsidRPr="00AA198E">
              <w:rPr>
                <w:noProof/>
                <w:webHidden/>
              </w:rPr>
            </w:r>
            <w:r w:rsidR="00AA198E" w:rsidRPr="00AA198E">
              <w:rPr>
                <w:noProof/>
                <w:webHidden/>
              </w:rPr>
              <w:fldChar w:fldCharType="separate"/>
            </w:r>
            <w:r w:rsidR="00AA198E" w:rsidRPr="00AA198E">
              <w:rPr>
                <w:noProof/>
                <w:webHidden/>
              </w:rPr>
              <w:t>167</w:t>
            </w:r>
            <w:r w:rsidR="00AA198E" w:rsidRPr="00AA198E">
              <w:rPr>
                <w:noProof/>
                <w:webHidden/>
              </w:rPr>
              <w:fldChar w:fldCharType="end"/>
            </w:r>
          </w:hyperlink>
        </w:p>
        <w:p w14:paraId="72700594" w14:textId="551FA9FF" w:rsidR="00AA198E" w:rsidRPr="00AA198E" w:rsidRDefault="00AF48E6">
          <w:pPr>
            <w:pStyle w:val="TDC3"/>
            <w:rPr>
              <w:iCs w:val="0"/>
              <w:noProof/>
              <w:sz w:val="22"/>
              <w:szCs w:val="22"/>
              <w:lang w:eastAsia="es-ES"/>
            </w:rPr>
          </w:pPr>
          <w:hyperlink w:anchor="_Toc99107030" w:history="1">
            <w:r w:rsidR="00AA198E" w:rsidRPr="00AA198E">
              <w:rPr>
                <w:rStyle w:val="Hipervnculo"/>
                <w:rFonts w:ascii="Arial" w:eastAsia="Times New Roman" w:hAnsi="Arial" w:cs="Arial"/>
                <w:noProof/>
                <w:lang w:eastAsia="es-ES"/>
              </w:rPr>
              <w:t>4.4.13.</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Calpe. Subvención encubierta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_Toc99107030 \h </w:instrText>
            </w:r>
            <w:r w:rsidR="00AA198E" w:rsidRPr="00AA198E">
              <w:rPr>
                <w:noProof/>
                <w:webHidden/>
              </w:rPr>
            </w:r>
            <w:r w:rsidR="00AA198E" w:rsidRPr="00AA198E">
              <w:rPr>
                <w:noProof/>
                <w:webHidden/>
              </w:rPr>
              <w:fldChar w:fldCharType="separate"/>
            </w:r>
            <w:r w:rsidR="00AA198E" w:rsidRPr="00AA198E">
              <w:rPr>
                <w:noProof/>
                <w:webHidden/>
              </w:rPr>
              <w:t>168</w:t>
            </w:r>
            <w:r w:rsidR="00AA198E" w:rsidRPr="00AA198E">
              <w:rPr>
                <w:noProof/>
                <w:webHidden/>
              </w:rPr>
              <w:fldChar w:fldCharType="end"/>
            </w:r>
          </w:hyperlink>
        </w:p>
        <w:p w14:paraId="4E92E9D6" w14:textId="7E906DF3" w:rsidR="00AA198E" w:rsidRPr="00AA198E" w:rsidRDefault="00AF48E6">
          <w:pPr>
            <w:pStyle w:val="TDC3"/>
            <w:rPr>
              <w:iCs w:val="0"/>
              <w:noProof/>
              <w:sz w:val="22"/>
              <w:szCs w:val="22"/>
              <w:lang w:eastAsia="es-ES"/>
            </w:rPr>
          </w:pPr>
          <w:hyperlink w:anchor="_Toc99107031" w:history="1">
            <w:r w:rsidR="00AA198E" w:rsidRPr="00AA198E">
              <w:rPr>
                <w:rStyle w:val="Hipervnculo"/>
                <w:rFonts w:ascii="Arial" w:eastAsia="Times New Roman" w:hAnsi="Arial" w:cs="Arial"/>
                <w:noProof/>
                <w:lang w:eastAsia="es-ES"/>
              </w:rPr>
              <w:t>4.4.14.</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Cofrentes. Fraccionamiento de contratos relativos al Parque y tobogán acuático en la piscina municipal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_Toc99107031 \h </w:instrText>
            </w:r>
            <w:r w:rsidR="00AA198E" w:rsidRPr="00AA198E">
              <w:rPr>
                <w:noProof/>
                <w:webHidden/>
              </w:rPr>
            </w:r>
            <w:r w:rsidR="00AA198E" w:rsidRPr="00AA198E">
              <w:rPr>
                <w:noProof/>
                <w:webHidden/>
              </w:rPr>
              <w:fldChar w:fldCharType="separate"/>
            </w:r>
            <w:r w:rsidR="00AA198E" w:rsidRPr="00AA198E">
              <w:rPr>
                <w:noProof/>
                <w:webHidden/>
              </w:rPr>
              <w:t>169</w:t>
            </w:r>
            <w:r w:rsidR="00AA198E" w:rsidRPr="00AA198E">
              <w:rPr>
                <w:noProof/>
                <w:webHidden/>
              </w:rPr>
              <w:fldChar w:fldCharType="end"/>
            </w:r>
          </w:hyperlink>
        </w:p>
        <w:p w14:paraId="7521A64F" w14:textId="040BFF1E" w:rsidR="00AA198E" w:rsidRPr="00AA198E" w:rsidRDefault="00AF48E6">
          <w:pPr>
            <w:pStyle w:val="TDC3"/>
            <w:rPr>
              <w:iCs w:val="0"/>
              <w:noProof/>
              <w:sz w:val="22"/>
              <w:szCs w:val="22"/>
              <w:lang w:eastAsia="es-ES"/>
            </w:rPr>
          </w:pPr>
          <w:hyperlink w:anchor="_Toc99107032" w:history="1">
            <w:r w:rsidR="00AA198E" w:rsidRPr="00AA198E">
              <w:rPr>
                <w:rStyle w:val="Hipervnculo"/>
                <w:rFonts w:ascii="Arial" w:eastAsia="Times New Roman" w:hAnsi="Arial" w:cs="Arial"/>
                <w:noProof/>
                <w:lang w:eastAsia="es-ES"/>
              </w:rPr>
              <w:t>4.4.15.</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DIVALTERRA, S.A. Fraccionamiento de contratos de servicios de auditoría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_Toc99107032 \h </w:instrText>
            </w:r>
            <w:r w:rsidR="00AA198E" w:rsidRPr="00AA198E">
              <w:rPr>
                <w:noProof/>
                <w:webHidden/>
              </w:rPr>
            </w:r>
            <w:r w:rsidR="00AA198E" w:rsidRPr="00AA198E">
              <w:rPr>
                <w:noProof/>
                <w:webHidden/>
              </w:rPr>
              <w:fldChar w:fldCharType="separate"/>
            </w:r>
            <w:r w:rsidR="00AA198E" w:rsidRPr="00AA198E">
              <w:rPr>
                <w:noProof/>
                <w:webHidden/>
              </w:rPr>
              <w:t>170</w:t>
            </w:r>
            <w:r w:rsidR="00AA198E" w:rsidRPr="00AA198E">
              <w:rPr>
                <w:noProof/>
                <w:webHidden/>
              </w:rPr>
              <w:fldChar w:fldCharType="end"/>
            </w:r>
          </w:hyperlink>
        </w:p>
        <w:p w14:paraId="26F6104C" w14:textId="701136C1" w:rsidR="00AA198E" w:rsidRPr="00AA198E" w:rsidRDefault="00AF48E6">
          <w:pPr>
            <w:pStyle w:val="TDC3"/>
            <w:rPr>
              <w:iCs w:val="0"/>
              <w:noProof/>
              <w:sz w:val="22"/>
              <w:szCs w:val="22"/>
              <w:lang w:eastAsia="es-ES"/>
            </w:rPr>
          </w:pPr>
          <w:hyperlink w:anchor="_Toc99107033" w:history="1">
            <w:r w:rsidR="00AA198E" w:rsidRPr="00AA198E">
              <w:rPr>
                <w:rStyle w:val="Hipervnculo"/>
                <w:rFonts w:ascii="Arial" w:eastAsia="Times New Roman" w:hAnsi="Arial" w:cs="Arial"/>
                <w:noProof/>
                <w:lang w:eastAsia="es-ES"/>
              </w:rPr>
              <w:t>4.4.16.</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Facultad de Derecho Universitat de València. Incompatibilidad de personal docente</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_Toc99107033 \h </w:instrText>
            </w:r>
            <w:r w:rsidR="00AA198E" w:rsidRPr="00AA198E">
              <w:rPr>
                <w:noProof/>
                <w:webHidden/>
              </w:rPr>
            </w:r>
            <w:r w:rsidR="00AA198E" w:rsidRPr="00AA198E">
              <w:rPr>
                <w:noProof/>
                <w:webHidden/>
              </w:rPr>
              <w:fldChar w:fldCharType="separate"/>
            </w:r>
            <w:r w:rsidR="00AA198E" w:rsidRPr="00AA198E">
              <w:rPr>
                <w:noProof/>
                <w:webHidden/>
              </w:rPr>
              <w:t>171</w:t>
            </w:r>
            <w:r w:rsidR="00AA198E" w:rsidRPr="00AA198E">
              <w:rPr>
                <w:noProof/>
                <w:webHidden/>
              </w:rPr>
              <w:fldChar w:fldCharType="end"/>
            </w:r>
          </w:hyperlink>
        </w:p>
        <w:p w14:paraId="48DC0727" w14:textId="0C3A993E" w:rsidR="00AA198E" w:rsidRPr="00AA198E" w:rsidRDefault="00AF48E6">
          <w:pPr>
            <w:pStyle w:val="TDC3"/>
            <w:rPr>
              <w:iCs w:val="0"/>
              <w:noProof/>
              <w:sz w:val="22"/>
              <w:szCs w:val="22"/>
              <w:lang w:eastAsia="es-ES"/>
            </w:rPr>
          </w:pPr>
          <w:hyperlink w:anchor="_Toc99107034" w:history="1">
            <w:r w:rsidR="00AA198E" w:rsidRPr="00AA198E">
              <w:rPr>
                <w:rStyle w:val="Hipervnculo"/>
                <w:rFonts w:ascii="Arial" w:eastAsia="Times New Roman" w:hAnsi="Arial" w:cs="Arial"/>
                <w:noProof/>
                <w:lang w:eastAsia="es-ES"/>
              </w:rPr>
              <w:t>4.4.17.</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Fundación de la Comunidad Valenciana para la Atención de las Víctimas del Delito y para el encuentro familiar (FAVIDE). Falta de rendición de cuentas y ausencia actuaciones por el Protectorado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_Toc99107034 \h </w:instrText>
            </w:r>
            <w:r w:rsidR="00AA198E" w:rsidRPr="00AA198E">
              <w:rPr>
                <w:noProof/>
                <w:webHidden/>
              </w:rPr>
            </w:r>
            <w:r w:rsidR="00AA198E" w:rsidRPr="00AA198E">
              <w:rPr>
                <w:noProof/>
                <w:webHidden/>
              </w:rPr>
              <w:fldChar w:fldCharType="separate"/>
            </w:r>
            <w:r w:rsidR="00AA198E" w:rsidRPr="00AA198E">
              <w:rPr>
                <w:noProof/>
                <w:webHidden/>
              </w:rPr>
              <w:t>173</w:t>
            </w:r>
            <w:r w:rsidR="00AA198E" w:rsidRPr="00AA198E">
              <w:rPr>
                <w:noProof/>
                <w:webHidden/>
              </w:rPr>
              <w:fldChar w:fldCharType="end"/>
            </w:r>
          </w:hyperlink>
        </w:p>
        <w:p w14:paraId="3C0B5150" w14:textId="698F76D5" w:rsidR="00AA198E" w:rsidRPr="00AA198E" w:rsidRDefault="00AF48E6">
          <w:pPr>
            <w:pStyle w:val="TDC3"/>
            <w:rPr>
              <w:iCs w:val="0"/>
              <w:noProof/>
              <w:sz w:val="22"/>
              <w:szCs w:val="22"/>
              <w:lang w:eastAsia="es-ES"/>
            </w:rPr>
          </w:pPr>
          <w:hyperlink w:anchor="_Toc99107035" w:history="1">
            <w:r w:rsidR="00AA198E" w:rsidRPr="00AA198E">
              <w:rPr>
                <w:rStyle w:val="Hipervnculo"/>
                <w:rFonts w:ascii="Arial" w:eastAsia="Times New Roman" w:hAnsi="Arial" w:cs="Arial"/>
                <w:noProof/>
                <w:lang w:eastAsia="es-ES"/>
              </w:rPr>
              <w:t>4.4.18.</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València. Prestación de servicios sin contrato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_Toc99107035 \h </w:instrText>
            </w:r>
            <w:r w:rsidR="00AA198E" w:rsidRPr="00AA198E">
              <w:rPr>
                <w:noProof/>
                <w:webHidden/>
              </w:rPr>
            </w:r>
            <w:r w:rsidR="00AA198E" w:rsidRPr="00AA198E">
              <w:rPr>
                <w:noProof/>
                <w:webHidden/>
              </w:rPr>
              <w:fldChar w:fldCharType="separate"/>
            </w:r>
            <w:r w:rsidR="00AA198E" w:rsidRPr="00AA198E">
              <w:rPr>
                <w:noProof/>
                <w:webHidden/>
              </w:rPr>
              <w:t>174</w:t>
            </w:r>
            <w:r w:rsidR="00AA198E" w:rsidRPr="00AA198E">
              <w:rPr>
                <w:noProof/>
                <w:webHidden/>
              </w:rPr>
              <w:fldChar w:fldCharType="end"/>
            </w:r>
          </w:hyperlink>
        </w:p>
        <w:p w14:paraId="193B445B" w14:textId="0E35D761" w:rsidR="00AA198E" w:rsidRPr="00AA198E" w:rsidRDefault="00AF48E6">
          <w:pPr>
            <w:pStyle w:val="TDC3"/>
            <w:rPr>
              <w:iCs w:val="0"/>
              <w:noProof/>
              <w:sz w:val="22"/>
              <w:szCs w:val="22"/>
              <w:lang w:eastAsia="es-ES"/>
            </w:rPr>
          </w:pPr>
          <w:hyperlink w:anchor="_Toc99107036" w:history="1">
            <w:r w:rsidR="00AA198E" w:rsidRPr="00AA198E">
              <w:rPr>
                <w:rStyle w:val="Hipervnculo"/>
                <w:rFonts w:ascii="Arial" w:eastAsia="Times New Roman" w:hAnsi="Arial" w:cs="Arial"/>
                <w:noProof/>
                <w:lang w:eastAsia="es-ES"/>
              </w:rPr>
              <w:t>4.4.19.</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Fundación Universidad Jaume I- Empresa. Indemnización despido de gerente y nuevo nombramiento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_Toc99107036 \h </w:instrText>
            </w:r>
            <w:r w:rsidR="00AA198E" w:rsidRPr="00AA198E">
              <w:rPr>
                <w:noProof/>
                <w:webHidden/>
              </w:rPr>
            </w:r>
            <w:r w:rsidR="00AA198E" w:rsidRPr="00AA198E">
              <w:rPr>
                <w:noProof/>
                <w:webHidden/>
              </w:rPr>
              <w:fldChar w:fldCharType="separate"/>
            </w:r>
            <w:r w:rsidR="00AA198E" w:rsidRPr="00AA198E">
              <w:rPr>
                <w:noProof/>
                <w:webHidden/>
              </w:rPr>
              <w:t>174</w:t>
            </w:r>
            <w:r w:rsidR="00AA198E" w:rsidRPr="00AA198E">
              <w:rPr>
                <w:noProof/>
                <w:webHidden/>
              </w:rPr>
              <w:fldChar w:fldCharType="end"/>
            </w:r>
          </w:hyperlink>
        </w:p>
        <w:p w14:paraId="11BA05D1" w14:textId="31EB6F70" w:rsidR="00AA198E" w:rsidRPr="00AA198E" w:rsidRDefault="00AF48E6">
          <w:pPr>
            <w:pStyle w:val="TDC3"/>
            <w:rPr>
              <w:iCs w:val="0"/>
              <w:noProof/>
              <w:sz w:val="22"/>
              <w:szCs w:val="22"/>
              <w:lang w:eastAsia="es-ES"/>
            </w:rPr>
          </w:pPr>
          <w:hyperlink w:anchor="_Toc99107037" w:history="1">
            <w:r w:rsidR="00AA198E" w:rsidRPr="00AA198E">
              <w:rPr>
                <w:rStyle w:val="Hipervnculo"/>
                <w:rFonts w:ascii="Arial" w:eastAsia="Times New Roman" w:hAnsi="Arial" w:cs="Arial"/>
                <w:noProof/>
                <w:lang w:eastAsia="es-ES"/>
              </w:rPr>
              <w:t>4.4.20.</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Sedaví. Proceso selectivo Policía Local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_Toc99107037 \h </w:instrText>
            </w:r>
            <w:r w:rsidR="00AA198E" w:rsidRPr="00AA198E">
              <w:rPr>
                <w:noProof/>
                <w:webHidden/>
              </w:rPr>
            </w:r>
            <w:r w:rsidR="00AA198E" w:rsidRPr="00AA198E">
              <w:rPr>
                <w:noProof/>
                <w:webHidden/>
              </w:rPr>
              <w:fldChar w:fldCharType="separate"/>
            </w:r>
            <w:r w:rsidR="00AA198E" w:rsidRPr="00AA198E">
              <w:rPr>
                <w:noProof/>
                <w:webHidden/>
              </w:rPr>
              <w:t>175</w:t>
            </w:r>
            <w:r w:rsidR="00AA198E" w:rsidRPr="00AA198E">
              <w:rPr>
                <w:noProof/>
                <w:webHidden/>
              </w:rPr>
              <w:fldChar w:fldCharType="end"/>
            </w:r>
          </w:hyperlink>
        </w:p>
        <w:p w14:paraId="287DE397" w14:textId="39AA1669" w:rsidR="00AA198E" w:rsidRPr="00AA198E" w:rsidRDefault="00AF48E6">
          <w:pPr>
            <w:pStyle w:val="TDC3"/>
            <w:rPr>
              <w:iCs w:val="0"/>
              <w:noProof/>
              <w:sz w:val="22"/>
              <w:szCs w:val="22"/>
              <w:lang w:eastAsia="es-ES"/>
            </w:rPr>
          </w:pPr>
          <w:hyperlink w:anchor="_Toc99107038" w:history="1">
            <w:r w:rsidR="00AA198E" w:rsidRPr="00AA198E">
              <w:rPr>
                <w:rStyle w:val="Hipervnculo"/>
                <w:rFonts w:ascii="Arial" w:eastAsia="Times New Roman" w:hAnsi="Arial" w:cs="Arial"/>
                <w:noProof/>
                <w:lang w:eastAsia="es-ES"/>
              </w:rPr>
              <w:t>4.4.21.</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Conselleria de Educación, Cultura y Deporte. Pagos irregulares en la reforma del IES Botánico Cavanilles de la Vall d’Uixó</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_Toc99107038 \h </w:instrText>
            </w:r>
            <w:r w:rsidR="00AA198E" w:rsidRPr="00AA198E">
              <w:rPr>
                <w:noProof/>
                <w:webHidden/>
              </w:rPr>
            </w:r>
            <w:r w:rsidR="00AA198E" w:rsidRPr="00AA198E">
              <w:rPr>
                <w:noProof/>
                <w:webHidden/>
              </w:rPr>
              <w:fldChar w:fldCharType="separate"/>
            </w:r>
            <w:r w:rsidR="00AA198E" w:rsidRPr="00AA198E">
              <w:rPr>
                <w:noProof/>
                <w:webHidden/>
              </w:rPr>
              <w:t>176</w:t>
            </w:r>
            <w:r w:rsidR="00AA198E" w:rsidRPr="00AA198E">
              <w:rPr>
                <w:noProof/>
                <w:webHidden/>
              </w:rPr>
              <w:fldChar w:fldCharType="end"/>
            </w:r>
          </w:hyperlink>
        </w:p>
        <w:p w14:paraId="0090E855" w14:textId="00956E89" w:rsidR="00AA198E" w:rsidRPr="00AA198E" w:rsidRDefault="00AF48E6">
          <w:pPr>
            <w:pStyle w:val="TDC3"/>
            <w:rPr>
              <w:iCs w:val="0"/>
              <w:noProof/>
              <w:sz w:val="22"/>
              <w:szCs w:val="22"/>
              <w:lang w:eastAsia="es-ES"/>
            </w:rPr>
          </w:pPr>
          <w:hyperlink w:anchor="_Toc99107039" w:history="1">
            <w:r w:rsidR="00AA198E" w:rsidRPr="00AA198E">
              <w:rPr>
                <w:rStyle w:val="Hipervnculo"/>
                <w:rFonts w:ascii="Arial" w:eastAsia="Times New Roman" w:hAnsi="Arial" w:cs="Arial"/>
                <w:noProof/>
                <w:lang w:eastAsia="es-ES"/>
              </w:rPr>
              <w:t>4.4.22.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Vinaròs. Pago de facturas con reparos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_Toc99107039 \h </w:instrText>
            </w:r>
            <w:r w:rsidR="00AA198E" w:rsidRPr="00AA198E">
              <w:rPr>
                <w:noProof/>
                <w:webHidden/>
              </w:rPr>
            </w:r>
            <w:r w:rsidR="00AA198E" w:rsidRPr="00AA198E">
              <w:rPr>
                <w:noProof/>
                <w:webHidden/>
              </w:rPr>
              <w:fldChar w:fldCharType="separate"/>
            </w:r>
            <w:r w:rsidR="00AA198E" w:rsidRPr="00AA198E">
              <w:rPr>
                <w:noProof/>
                <w:webHidden/>
              </w:rPr>
              <w:t>177</w:t>
            </w:r>
            <w:r w:rsidR="00AA198E" w:rsidRPr="00AA198E">
              <w:rPr>
                <w:noProof/>
                <w:webHidden/>
              </w:rPr>
              <w:fldChar w:fldCharType="end"/>
            </w:r>
          </w:hyperlink>
        </w:p>
        <w:p w14:paraId="522DBB80" w14:textId="74D42D16" w:rsidR="00AA198E" w:rsidRPr="00AA198E" w:rsidRDefault="00AF48E6">
          <w:pPr>
            <w:pStyle w:val="TDC3"/>
            <w:rPr>
              <w:iCs w:val="0"/>
              <w:noProof/>
              <w:sz w:val="22"/>
              <w:szCs w:val="22"/>
              <w:lang w:eastAsia="es-ES"/>
            </w:rPr>
          </w:pPr>
          <w:hyperlink w:anchor="_Toc99107040" w:history="1">
            <w:r w:rsidR="00AA198E" w:rsidRPr="00AA198E">
              <w:rPr>
                <w:rStyle w:val="Hipervnculo"/>
                <w:rFonts w:ascii="Arial" w:eastAsia="Times New Roman" w:hAnsi="Arial" w:cs="Arial"/>
                <w:noProof/>
                <w:lang w:eastAsia="es-ES"/>
              </w:rPr>
              <w:t>4.4.23.</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Los Montesinos. Contratación administrativa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_Toc99107040 \h </w:instrText>
            </w:r>
            <w:r w:rsidR="00AA198E" w:rsidRPr="00AA198E">
              <w:rPr>
                <w:noProof/>
                <w:webHidden/>
              </w:rPr>
            </w:r>
            <w:r w:rsidR="00AA198E" w:rsidRPr="00AA198E">
              <w:rPr>
                <w:noProof/>
                <w:webHidden/>
              </w:rPr>
              <w:fldChar w:fldCharType="separate"/>
            </w:r>
            <w:r w:rsidR="00AA198E" w:rsidRPr="00AA198E">
              <w:rPr>
                <w:noProof/>
                <w:webHidden/>
              </w:rPr>
              <w:t>178</w:t>
            </w:r>
            <w:r w:rsidR="00AA198E" w:rsidRPr="00AA198E">
              <w:rPr>
                <w:noProof/>
                <w:webHidden/>
              </w:rPr>
              <w:fldChar w:fldCharType="end"/>
            </w:r>
          </w:hyperlink>
        </w:p>
        <w:p w14:paraId="3F7F074D" w14:textId="5DD07447" w:rsidR="00AA198E" w:rsidRPr="00AA198E" w:rsidRDefault="00AF48E6">
          <w:pPr>
            <w:pStyle w:val="TDC3"/>
            <w:rPr>
              <w:iCs w:val="0"/>
              <w:noProof/>
              <w:sz w:val="22"/>
              <w:szCs w:val="22"/>
              <w:lang w:eastAsia="es-ES"/>
            </w:rPr>
          </w:pPr>
          <w:hyperlink w:anchor="_Toc99107041" w:history="1">
            <w:r w:rsidR="00AA198E" w:rsidRPr="00AA198E">
              <w:rPr>
                <w:rStyle w:val="Hipervnculo"/>
                <w:rFonts w:ascii="Arial" w:eastAsia="Times New Roman" w:hAnsi="Arial" w:cs="Arial"/>
                <w:noProof/>
                <w:lang w:eastAsia="es-ES"/>
              </w:rPr>
              <w:t>4.4.24.</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Diputación de Castellón. Irregularidades en la contratación del personal de empresas interpuestas prestadoras de servicios, en favor de familiares de cargos electos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_Toc99107041 \h </w:instrText>
            </w:r>
            <w:r w:rsidR="00AA198E" w:rsidRPr="00AA198E">
              <w:rPr>
                <w:noProof/>
                <w:webHidden/>
              </w:rPr>
            </w:r>
            <w:r w:rsidR="00AA198E" w:rsidRPr="00AA198E">
              <w:rPr>
                <w:noProof/>
                <w:webHidden/>
              </w:rPr>
              <w:fldChar w:fldCharType="separate"/>
            </w:r>
            <w:r w:rsidR="00AA198E" w:rsidRPr="00AA198E">
              <w:rPr>
                <w:noProof/>
                <w:webHidden/>
              </w:rPr>
              <w:t>180</w:t>
            </w:r>
            <w:r w:rsidR="00AA198E" w:rsidRPr="00AA198E">
              <w:rPr>
                <w:noProof/>
                <w:webHidden/>
              </w:rPr>
              <w:fldChar w:fldCharType="end"/>
            </w:r>
          </w:hyperlink>
        </w:p>
        <w:p w14:paraId="0747E633" w14:textId="236BBC3A" w:rsidR="00AA198E" w:rsidRPr="00AA198E" w:rsidRDefault="00AF48E6">
          <w:pPr>
            <w:pStyle w:val="TDC3"/>
            <w:rPr>
              <w:iCs w:val="0"/>
              <w:noProof/>
              <w:sz w:val="22"/>
              <w:szCs w:val="22"/>
              <w:lang w:eastAsia="es-ES"/>
            </w:rPr>
          </w:pPr>
          <w:hyperlink w:anchor="_Toc99107042" w:history="1">
            <w:r w:rsidR="00AA198E" w:rsidRPr="00AA198E">
              <w:rPr>
                <w:rStyle w:val="Hipervnculo"/>
                <w:rFonts w:ascii="Arial" w:eastAsia="Times New Roman" w:hAnsi="Arial" w:cs="Arial"/>
                <w:noProof/>
                <w:lang w:eastAsia="es-ES"/>
              </w:rPr>
              <w:t>4.4.25.</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Institut Valencià de la Joventut (IVAJ). Comisiones de servicio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_Toc99107042 \h </w:instrText>
            </w:r>
            <w:r w:rsidR="00AA198E" w:rsidRPr="00AA198E">
              <w:rPr>
                <w:noProof/>
                <w:webHidden/>
              </w:rPr>
            </w:r>
            <w:r w:rsidR="00AA198E" w:rsidRPr="00AA198E">
              <w:rPr>
                <w:noProof/>
                <w:webHidden/>
              </w:rPr>
              <w:fldChar w:fldCharType="separate"/>
            </w:r>
            <w:r w:rsidR="00AA198E" w:rsidRPr="00AA198E">
              <w:rPr>
                <w:noProof/>
                <w:webHidden/>
              </w:rPr>
              <w:t>180</w:t>
            </w:r>
            <w:r w:rsidR="00AA198E" w:rsidRPr="00AA198E">
              <w:rPr>
                <w:noProof/>
                <w:webHidden/>
              </w:rPr>
              <w:fldChar w:fldCharType="end"/>
            </w:r>
          </w:hyperlink>
        </w:p>
        <w:p w14:paraId="6C56E21B" w14:textId="0ACCE397" w:rsidR="00AA198E" w:rsidRPr="00AA198E" w:rsidRDefault="00AF48E6">
          <w:pPr>
            <w:pStyle w:val="TDC3"/>
            <w:rPr>
              <w:iCs w:val="0"/>
              <w:noProof/>
              <w:sz w:val="22"/>
              <w:szCs w:val="22"/>
              <w:lang w:eastAsia="es-ES"/>
            </w:rPr>
          </w:pPr>
          <w:hyperlink w:anchor="_Toc99107043" w:history="1">
            <w:r w:rsidR="00AA198E" w:rsidRPr="00AA198E">
              <w:rPr>
                <w:rStyle w:val="Hipervnculo"/>
                <w:rFonts w:ascii="Arial" w:eastAsia="Times New Roman" w:hAnsi="Arial" w:cs="Arial"/>
                <w:noProof/>
                <w:lang w:eastAsia="es-ES"/>
              </w:rPr>
              <w:t>4.4.26.</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València. Contratación campañas publicitarias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_Toc99107043 \h </w:instrText>
            </w:r>
            <w:r w:rsidR="00AA198E" w:rsidRPr="00AA198E">
              <w:rPr>
                <w:noProof/>
                <w:webHidden/>
              </w:rPr>
            </w:r>
            <w:r w:rsidR="00AA198E" w:rsidRPr="00AA198E">
              <w:rPr>
                <w:noProof/>
                <w:webHidden/>
              </w:rPr>
              <w:fldChar w:fldCharType="separate"/>
            </w:r>
            <w:r w:rsidR="00AA198E" w:rsidRPr="00AA198E">
              <w:rPr>
                <w:noProof/>
                <w:webHidden/>
              </w:rPr>
              <w:t>181</w:t>
            </w:r>
            <w:r w:rsidR="00AA198E" w:rsidRPr="00AA198E">
              <w:rPr>
                <w:noProof/>
                <w:webHidden/>
              </w:rPr>
              <w:fldChar w:fldCharType="end"/>
            </w:r>
          </w:hyperlink>
        </w:p>
        <w:p w14:paraId="5C2D0CC2" w14:textId="5D63BB5F" w:rsidR="00AA198E" w:rsidRPr="00AA198E" w:rsidRDefault="00AF48E6">
          <w:pPr>
            <w:pStyle w:val="TDC3"/>
            <w:rPr>
              <w:iCs w:val="0"/>
              <w:noProof/>
              <w:sz w:val="22"/>
              <w:szCs w:val="22"/>
              <w:lang w:eastAsia="es-ES"/>
            </w:rPr>
          </w:pPr>
          <w:hyperlink w:anchor="_Toc99107044" w:history="1">
            <w:r w:rsidR="00AA198E" w:rsidRPr="00AA198E">
              <w:rPr>
                <w:rStyle w:val="Hipervnculo"/>
                <w:rFonts w:ascii="Arial" w:eastAsia="Times New Roman" w:hAnsi="Arial" w:cs="Arial"/>
                <w:noProof/>
                <w:lang w:eastAsia="es-ES"/>
              </w:rPr>
              <w:t>4.4.27.</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Benissa. Irregularidades en materia de personal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_Toc99107044 \h </w:instrText>
            </w:r>
            <w:r w:rsidR="00AA198E" w:rsidRPr="00AA198E">
              <w:rPr>
                <w:noProof/>
                <w:webHidden/>
              </w:rPr>
            </w:r>
            <w:r w:rsidR="00AA198E" w:rsidRPr="00AA198E">
              <w:rPr>
                <w:noProof/>
                <w:webHidden/>
              </w:rPr>
              <w:fldChar w:fldCharType="separate"/>
            </w:r>
            <w:r w:rsidR="00AA198E" w:rsidRPr="00AA198E">
              <w:rPr>
                <w:noProof/>
                <w:webHidden/>
              </w:rPr>
              <w:t>182</w:t>
            </w:r>
            <w:r w:rsidR="00AA198E" w:rsidRPr="00AA198E">
              <w:rPr>
                <w:noProof/>
                <w:webHidden/>
              </w:rPr>
              <w:fldChar w:fldCharType="end"/>
            </w:r>
          </w:hyperlink>
        </w:p>
        <w:p w14:paraId="474F5E7F" w14:textId="27E5E8A5" w:rsidR="00AA198E" w:rsidRPr="00AA198E" w:rsidRDefault="00AF48E6">
          <w:pPr>
            <w:pStyle w:val="TDC3"/>
            <w:rPr>
              <w:iCs w:val="0"/>
              <w:noProof/>
              <w:sz w:val="22"/>
              <w:szCs w:val="22"/>
              <w:lang w:eastAsia="es-ES"/>
            </w:rPr>
          </w:pPr>
          <w:hyperlink w:anchor="_Toc99107045" w:history="1">
            <w:r w:rsidR="00AA198E" w:rsidRPr="00AA198E">
              <w:rPr>
                <w:rStyle w:val="Hipervnculo"/>
                <w:rFonts w:ascii="Arial" w:eastAsia="Times New Roman" w:hAnsi="Arial" w:cs="Arial"/>
                <w:noProof/>
                <w:lang w:eastAsia="es-ES"/>
              </w:rPr>
              <w:t>4.4.28.</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Ciutat de les Arts i de les Ciències (CACSA). Irregularidades en materia contractual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_Toc99107045 \h </w:instrText>
            </w:r>
            <w:r w:rsidR="00AA198E" w:rsidRPr="00AA198E">
              <w:rPr>
                <w:noProof/>
                <w:webHidden/>
              </w:rPr>
            </w:r>
            <w:r w:rsidR="00AA198E" w:rsidRPr="00AA198E">
              <w:rPr>
                <w:noProof/>
                <w:webHidden/>
              </w:rPr>
              <w:fldChar w:fldCharType="separate"/>
            </w:r>
            <w:r w:rsidR="00AA198E" w:rsidRPr="00AA198E">
              <w:rPr>
                <w:noProof/>
                <w:webHidden/>
              </w:rPr>
              <w:t>183</w:t>
            </w:r>
            <w:r w:rsidR="00AA198E" w:rsidRPr="00AA198E">
              <w:rPr>
                <w:noProof/>
                <w:webHidden/>
              </w:rPr>
              <w:fldChar w:fldCharType="end"/>
            </w:r>
          </w:hyperlink>
        </w:p>
        <w:p w14:paraId="4AE8F6D1" w14:textId="0CA0204C" w:rsidR="00AA198E" w:rsidRPr="00AA198E" w:rsidRDefault="00AF48E6">
          <w:pPr>
            <w:pStyle w:val="TDC3"/>
            <w:rPr>
              <w:iCs w:val="0"/>
              <w:noProof/>
              <w:sz w:val="22"/>
              <w:szCs w:val="22"/>
              <w:lang w:eastAsia="es-ES"/>
            </w:rPr>
          </w:pPr>
          <w:hyperlink w:anchor="_Toc99107046" w:history="1">
            <w:r w:rsidR="00AA198E" w:rsidRPr="00AA198E">
              <w:rPr>
                <w:rStyle w:val="Hipervnculo"/>
                <w:rFonts w:ascii="Arial" w:eastAsia="Times New Roman" w:hAnsi="Arial" w:cs="Arial"/>
                <w:noProof/>
                <w:lang w:eastAsia="es-ES"/>
              </w:rPr>
              <w:t>4.4.29.</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Aigües i Sanejament de Sueca. Contratación del gerente</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_Toc99107046 \h </w:instrText>
            </w:r>
            <w:r w:rsidR="00AA198E" w:rsidRPr="00AA198E">
              <w:rPr>
                <w:noProof/>
                <w:webHidden/>
              </w:rPr>
            </w:r>
            <w:r w:rsidR="00AA198E" w:rsidRPr="00AA198E">
              <w:rPr>
                <w:noProof/>
                <w:webHidden/>
              </w:rPr>
              <w:fldChar w:fldCharType="separate"/>
            </w:r>
            <w:r w:rsidR="00AA198E" w:rsidRPr="00AA198E">
              <w:rPr>
                <w:noProof/>
                <w:webHidden/>
              </w:rPr>
              <w:t>184</w:t>
            </w:r>
            <w:r w:rsidR="00AA198E" w:rsidRPr="00AA198E">
              <w:rPr>
                <w:noProof/>
                <w:webHidden/>
              </w:rPr>
              <w:fldChar w:fldCharType="end"/>
            </w:r>
          </w:hyperlink>
        </w:p>
        <w:p w14:paraId="6651911B" w14:textId="12E3BA8A" w:rsidR="00AA198E" w:rsidRPr="00AA198E" w:rsidRDefault="00AF48E6">
          <w:pPr>
            <w:pStyle w:val="TDC3"/>
            <w:rPr>
              <w:iCs w:val="0"/>
              <w:noProof/>
              <w:sz w:val="22"/>
              <w:szCs w:val="22"/>
              <w:lang w:eastAsia="es-ES"/>
            </w:rPr>
          </w:pPr>
          <w:hyperlink w:anchor="_Toc99107047" w:history="1">
            <w:r w:rsidR="00AA198E" w:rsidRPr="00AA198E">
              <w:rPr>
                <w:rStyle w:val="Hipervnculo"/>
                <w:rFonts w:ascii="Arial" w:eastAsia="Times New Roman" w:hAnsi="Arial" w:cs="Arial"/>
                <w:noProof/>
                <w:lang w:eastAsia="es-ES"/>
              </w:rPr>
              <w:t>4.4.30.</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Generalitat Valenciana. Irregularidades en el desarrollo de las pruebas selectivas de acceso al Cuerpo superior técnico de Administración General, Convocatoria 22/15</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_Toc99107047 \h </w:instrText>
            </w:r>
            <w:r w:rsidR="00AA198E" w:rsidRPr="00AA198E">
              <w:rPr>
                <w:noProof/>
                <w:webHidden/>
              </w:rPr>
            </w:r>
            <w:r w:rsidR="00AA198E" w:rsidRPr="00AA198E">
              <w:rPr>
                <w:noProof/>
                <w:webHidden/>
              </w:rPr>
              <w:fldChar w:fldCharType="separate"/>
            </w:r>
            <w:r w:rsidR="00AA198E" w:rsidRPr="00AA198E">
              <w:rPr>
                <w:noProof/>
                <w:webHidden/>
              </w:rPr>
              <w:t>184</w:t>
            </w:r>
            <w:r w:rsidR="00AA198E" w:rsidRPr="00AA198E">
              <w:rPr>
                <w:noProof/>
                <w:webHidden/>
              </w:rPr>
              <w:fldChar w:fldCharType="end"/>
            </w:r>
          </w:hyperlink>
        </w:p>
        <w:p w14:paraId="6238A933" w14:textId="7CF4623D" w:rsidR="00AA198E" w:rsidRPr="00AA198E" w:rsidRDefault="00AF48E6">
          <w:pPr>
            <w:pStyle w:val="TDC3"/>
            <w:rPr>
              <w:iCs w:val="0"/>
              <w:noProof/>
              <w:sz w:val="22"/>
              <w:szCs w:val="22"/>
              <w:lang w:eastAsia="es-ES"/>
            </w:rPr>
          </w:pPr>
          <w:hyperlink w:anchor="_Toc99107048" w:history="1">
            <w:r w:rsidR="00AA198E" w:rsidRPr="00AA198E">
              <w:rPr>
                <w:rStyle w:val="Hipervnculo"/>
                <w:rFonts w:ascii="Arial" w:eastAsia="Times New Roman" w:hAnsi="Arial" w:cs="Arial"/>
                <w:noProof/>
                <w:lang w:eastAsia="es-ES"/>
              </w:rPr>
              <w:t>4.4.31.</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Canet d’en Berenguer. Procesos selectivos Policía Local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_Toc99107048 \h </w:instrText>
            </w:r>
            <w:r w:rsidR="00AA198E" w:rsidRPr="00AA198E">
              <w:rPr>
                <w:noProof/>
                <w:webHidden/>
              </w:rPr>
            </w:r>
            <w:r w:rsidR="00AA198E" w:rsidRPr="00AA198E">
              <w:rPr>
                <w:noProof/>
                <w:webHidden/>
              </w:rPr>
              <w:fldChar w:fldCharType="separate"/>
            </w:r>
            <w:r w:rsidR="00AA198E" w:rsidRPr="00AA198E">
              <w:rPr>
                <w:noProof/>
                <w:webHidden/>
              </w:rPr>
              <w:t>186</w:t>
            </w:r>
            <w:r w:rsidR="00AA198E" w:rsidRPr="00AA198E">
              <w:rPr>
                <w:noProof/>
                <w:webHidden/>
              </w:rPr>
              <w:fldChar w:fldCharType="end"/>
            </w:r>
          </w:hyperlink>
        </w:p>
        <w:p w14:paraId="32BFF50D" w14:textId="556C63DE" w:rsidR="00AA198E" w:rsidRPr="00AA198E" w:rsidRDefault="00AF48E6">
          <w:pPr>
            <w:pStyle w:val="TDC3"/>
            <w:rPr>
              <w:iCs w:val="0"/>
              <w:noProof/>
              <w:sz w:val="22"/>
              <w:szCs w:val="22"/>
              <w:lang w:eastAsia="es-ES"/>
            </w:rPr>
          </w:pPr>
          <w:hyperlink w:anchor="_Toc99107049" w:history="1">
            <w:r w:rsidR="00AA198E" w:rsidRPr="00AA198E">
              <w:rPr>
                <w:rStyle w:val="Hipervnculo"/>
                <w:rFonts w:ascii="Arial" w:eastAsia="Times New Roman" w:hAnsi="Arial" w:cs="Arial"/>
                <w:noProof/>
                <w:lang w:eastAsia="es-ES"/>
              </w:rPr>
              <w:t>4.4.32.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Benirredrà. Irregularidades en materia de acceso al empleo público, en proceso selectivo de provisión de plaza, por turno libre, de policía local (convocatoria del ejercicio 2019)</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_Toc99107049 \h </w:instrText>
            </w:r>
            <w:r w:rsidR="00AA198E" w:rsidRPr="00AA198E">
              <w:rPr>
                <w:noProof/>
                <w:webHidden/>
              </w:rPr>
            </w:r>
            <w:r w:rsidR="00AA198E" w:rsidRPr="00AA198E">
              <w:rPr>
                <w:noProof/>
                <w:webHidden/>
              </w:rPr>
              <w:fldChar w:fldCharType="separate"/>
            </w:r>
            <w:r w:rsidR="00AA198E" w:rsidRPr="00AA198E">
              <w:rPr>
                <w:noProof/>
                <w:webHidden/>
              </w:rPr>
              <w:t>186</w:t>
            </w:r>
            <w:r w:rsidR="00AA198E" w:rsidRPr="00AA198E">
              <w:rPr>
                <w:noProof/>
                <w:webHidden/>
              </w:rPr>
              <w:fldChar w:fldCharType="end"/>
            </w:r>
          </w:hyperlink>
        </w:p>
        <w:p w14:paraId="0928C04E" w14:textId="3F241A04" w:rsidR="00AA198E" w:rsidRPr="00AA198E" w:rsidRDefault="00AF48E6">
          <w:pPr>
            <w:pStyle w:val="TDC3"/>
            <w:rPr>
              <w:iCs w:val="0"/>
              <w:noProof/>
              <w:sz w:val="22"/>
              <w:szCs w:val="22"/>
              <w:lang w:eastAsia="es-ES"/>
            </w:rPr>
          </w:pPr>
          <w:hyperlink w:anchor="_Toc99107050" w:history="1">
            <w:r w:rsidR="00AA198E" w:rsidRPr="00AA198E">
              <w:rPr>
                <w:rStyle w:val="Hipervnculo"/>
                <w:rFonts w:ascii="Arial" w:eastAsia="Times New Roman" w:hAnsi="Arial" w:cs="Arial"/>
                <w:noProof/>
                <w:lang w:eastAsia="es-ES"/>
              </w:rPr>
              <w:t>4.4.33.</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La Yesa. Irregularidades contractuales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_Toc99107050 \h </w:instrText>
            </w:r>
            <w:r w:rsidR="00AA198E" w:rsidRPr="00AA198E">
              <w:rPr>
                <w:noProof/>
                <w:webHidden/>
              </w:rPr>
            </w:r>
            <w:r w:rsidR="00AA198E" w:rsidRPr="00AA198E">
              <w:rPr>
                <w:noProof/>
                <w:webHidden/>
              </w:rPr>
              <w:fldChar w:fldCharType="separate"/>
            </w:r>
            <w:r w:rsidR="00AA198E" w:rsidRPr="00AA198E">
              <w:rPr>
                <w:noProof/>
                <w:webHidden/>
              </w:rPr>
              <w:t>188</w:t>
            </w:r>
            <w:r w:rsidR="00AA198E" w:rsidRPr="00AA198E">
              <w:rPr>
                <w:noProof/>
                <w:webHidden/>
              </w:rPr>
              <w:fldChar w:fldCharType="end"/>
            </w:r>
          </w:hyperlink>
        </w:p>
        <w:p w14:paraId="7B6615DF" w14:textId="26AF2B91" w:rsidR="00AA198E" w:rsidRPr="00AA198E" w:rsidRDefault="00AF48E6">
          <w:pPr>
            <w:pStyle w:val="TDC3"/>
            <w:rPr>
              <w:iCs w:val="0"/>
              <w:noProof/>
              <w:sz w:val="22"/>
              <w:szCs w:val="22"/>
              <w:lang w:eastAsia="es-ES"/>
            </w:rPr>
          </w:pPr>
          <w:hyperlink w:anchor="_Toc99107051" w:history="1">
            <w:r w:rsidR="00AA198E" w:rsidRPr="00AA198E">
              <w:rPr>
                <w:rStyle w:val="Hipervnculo"/>
                <w:rFonts w:ascii="Arial" w:eastAsia="Times New Roman" w:hAnsi="Arial" w:cs="Arial"/>
                <w:noProof/>
                <w:lang w:eastAsia="es-ES"/>
              </w:rPr>
              <w:t>4.4.34.</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Conselleria de Agricultura. Dirección General Desarrollo Rural y Política Agraria Común (PAC)</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_Toc99107051 \h </w:instrText>
            </w:r>
            <w:r w:rsidR="00AA198E" w:rsidRPr="00AA198E">
              <w:rPr>
                <w:noProof/>
                <w:webHidden/>
              </w:rPr>
            </w:r>
            <w:r w:rsidR="00AA198E" w:rsidRPr="00AA198E">
              <w:rPr>
                <w:noProof/>
                <w:webHidden/>
              </w:rPr>
              <w:fldChar w:fldCharType="separate"/>
            </w:r>
            <w:r w:rsidR="00AA198E" w:rsidRPr="00AA198E">
              <w:rPr>
                <w:noProof/>
                <w:webHidden/>
              </w:rPr>
              <w:t>190</w:t>
            </w:r>
            <w:r w:rsidR="00AA198E" w:rsidRPr="00AA198E">
              <w:rPr>
                <w:noProof/>
                <w:webHidden/>
              </w:rPr>
              <w:fldChar w:fldCharType="end"/>
            </w:r>
          </w:hyperlink>
        </w:p>
        <w:p w14:paraId="16620C4B" w14:textId="321EEDE3" w:rsidR="00AA198E" w:rsidRPr="00AA198E" w:rsidRDefault="00AF48E6">
          <w:pPr>
            <w:pStyle w:val="TDC3"/>
            <w:rPr>
              <w:iCs w:val="0"/>
              <w:noProof/>
              <w:sz w:val="22"/>
              <w:szCs w:val="22"/>
              <w:lang w:eastAsia="es-ES"/>
            </w:rPr>
          </w:pPr>
          <w:hyperlink w:anchor="_Toc99107052" w:history="1">
            <w:r w:rsidR="00AA198E" w:rsidRPr="00AA198E">
              <w:rPr>
                <w:rStyle w:val="Hipervnculo"/>
                <w:rFonts w:ascii="Arial" w:eastAsia="Times New Roman" w:hAnsi="Arial" w:cs="Arial"/>
                <w:noProof/>
                <w:lang w:eastAsia="es-ES"/>
              </w:rPr>
              <w:t>4.4.35.</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Construcciones e Infraestructuras Educativas de la Generalitat Valenciana, S.A. (CIEGSA). Irregularidades en materia de contratación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_Toc99107052 \h </w:instrText>
            </w:r>
            <w:r w:rsidR="00AA198E" w:rsidRPr="00AA198E">
              <w:rPr>
                <w:noProof/>
                <w:webHidden/>
              </w:rPr>
            </w:r>
            <w:r w:rsidR="00AA198E" w:rsidRPr="00AA198E">
              <w:rPr>
                <w:noProof/>
                <w:webHidden/>
              </w:rPr>
              <w:fldChar w:fldCharType="separate"/>
            </w:r>
            <w:r w:rsidR="00AA198E" w:rsidRPr="00AA198E">
              <w:rPr>
                <w:noProof/>
                <w:webHidden/>
              </w:rPr>
              <w:t>191</w:t>
            </w:r>
            <w:r w:rsidR="00AA198E" w:rsidRPr="00AA198E">
              <w:rPr>
                <w:noProof/>
                <w:webHidden/>
              </w:rPr>
              <w:fldChar w:fldCharType="end"/>
            </w:r>
          </w:hyperlink>
        </w:p>
        <w:p w14:paraId="4A7E4B86" w14:textId="15BB77C6" w:rsidR="00AA198E" w:rsidRPr="00AA198E" w:rsidRDefault="00AF48E6">
          <w:pPr>
            <w:pStyle w:val="TDC3"/>
            <w:rPr>
              <w:iCs w:val="0"/>
              <w:noProof/>
              <w:sz w:val="22"/>
              <w:szCs w:val="22"/>
              <w:lang w:eastAsia="es-ES"/>
            </w:rPr>
          </w:pPr>
          <w:hyperlink w:anchor="_Toc99107053" w:history="1">
            <w:r w:rsidR="00AA198E" w:rsidRPr="00AA198E">
              <w:rPr>
                <w:rStyle w:val="Hipervnculo"/>
                <w:rFonts w:ascii="Arial" w:eastAsia="Times New Roman" w:hAnsi="Arial" w:cs="Arial"/>
                <w:noProof/>
                <w:lang w:eastAsia="es-ES"/>
              </w:rPr>
              <w:t>4.4.36.</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Vicepresidencia y Conselleria de Igualdad y Políticas Inclusivas. Gestión de residencias de tercera edad y mayores dependientes por la situación de pandemia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_Toc99107053 \h </w:instrText>
            </w:r>
            <w:r w:rsidR="00AA198E" w:rsidRPr="00AA198E">
              <w:rPr>
                <w:noProof/>
                <w:webHidden/>
              </w:rPr>
            </w:r>
            <w:r w:rsidR="00AA198E" w:rsidRPr="00AA198E">
              <w:rPr>
                <w:noProof/>
                <w:webHidden/>
              </w:rPr>
              <w:fldChar w:fldCharType="separate"/>
            </w:r>
            <w:r w:rsidR="00AA198E" w:rsidRPr="00AA198E">
              <w:rPr>
                <w:noProof/>
                <w:webHidden/>
              </w:rPr>
              <w:t>192</w:t>
            </w:r>
            <w:r w:rsidR="00AA198E" w:rsidRPr="00AA198E">
              <w:rPr>
                <w:noProof/>
                <w:webHidden/>
              </w:rPr>
              <w:fldChar w:fldCharType="end"/>
            </w:r>
          </w:hyperlink>
        </w:p>
        <w:p w14:paraId="6A2428F2" w14:textId="346D73A9" w:rsidR="00AA198E" w:rsidRPr="00AA198E" w:rsidRDefault="00AF48E6">
          <w:pPr>
            <w:pStyle w:val="TDC3"/>
            <w:rPr>
              <w:iCs w:val="0"/>
              <w:noProof/>
              <w:sz w:val="22"/>
              <w:szCs w:val="22"/>
              <w:lang w:eastAsia="es-ES"/>
            </w:rPr>
          </w:pPr>
          <w:hyperlink w:anchor="_Toc99107054" w:history="1">
            <w:r w:rsidR="00AA198E" w:rsidRPr="00AA198E">
              <w:rPr>
                <w:rStyle w:val="Hipervnculo"/>
                <w:rFonts w:ascii="Arial" w:eastAsia="Times New Roman" w:hAnsi="Arial" w:cs="Arial"/>
                <w:noProof/>
                <w:lang w:eastAsia="es-ES"/>
              </w:rPr>
              <w:t>4.4.37.</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València. Complementos al sueldo de los concejales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_Toc99107054 \h </w:instrText>
            </w:r>
            <w:r w:rsidR="00AA198E" w:rsidRPr="00AA198E">
              <w:rPr>
                <w:noProof/>
                <w:webHidden/>
              </w:rPr>
            </w:r>
            <w:r w:rsidR="00AA198E" w:rsidRPr="00AA198E">
              <w:rPr>
                <w:noProof/>
                <w:webHidden/>
              </w:rPr>
              <w:fldChar w:fldCharType="separate"/>
            </w:r>
            <w:r w:rsidR="00AA198E" w:rsidRPr="00AA198E">
              <w:rPr>
                <w:noProof/>
                <w:webHidden/>
              </w:rPr>
              <w:t>194</w:t>
            </w:r>
            <w:r w:rsidR="00AA198E" w:rsidRPr="00AA198E">
              <w:rPr>
                <w:noProof/>
                <w:webHidden/>
              </w:rPr>
              <w:fldChar w:fldCharType="end"/>
            </w:r>
          </w:hyperlink>
        </w:p>
        <w:p w14:paraId="0843C0E1" w14:textId="6DE4B785" w:rsidR="00AA198E" w:rsidRPr="00AA198E" w:rsidRDefault="00AF48E6">
          <w:pPr>
            <w:pStyle w:val="TDC3"/>
            <w:rPr>
              <w:iCs w:val="0"/>
              <w:noProof/>
              <w:sz w:val="22"/>
              <w:szCs w:val="22"/>
              <w:lang w:eastAsia="es-ES"/>
            </w:rPr>
          </w:pPr>
          <w:hyperlink w:anchor="_Toc99107055" w:history="1">
            <w:r w:rsidR="00AA198E" w:rsidRPr="00AA198E">
              <w:rPr>
                <w:rStyle w:val="Hipervnculo"/>
                <w:rFonts w:ascii="Arial" w:eastAsia="Times New Roman" w:hAnsi="Arial" w:cs="Arial"/>
                <w:noProof/>
                <w:lang w:eastAsia="es-ES"/>
              </w:rPr>
              <w:t>4.4.38.</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València. Nombramiento de personal de asesoría jurídica y acumulación de funciones de letrado mayor</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_Toc99107055 \h </w:instrText>
            </w:r>
            <w:r w:rsidR="00AA198E" w:rsidRPr="00AA198E">
              <w:rPr>
                <w:noProof/>
                <w:webHidden/>
              </w:rPr>
            </w:r>
            <w:r w:rsidR="00AA198E" w:rsidRPr="00AA198E">
              <w:rPr>
                <w:noProof/>
                <w:webHidden/>
              </w:rPr>
              <w:fldChar w:fldCharType="separate"/>
            </w:r>
            <w:r w:rsidR="00AA198E" w:rsidRPr="00AA198E">
              <w:rPr>
                <w:noProof/>
                <w:webHidden/>
              </w:rPr>
              <w:t>194</w:t>
            </w:r>
            <w:r w:rsidR="00AA198E" w:rsidRPr="00AA198E">
              <w:rPr>
                <w:noProof/>
                <w:webHidden/>
              </w:rPr>
              <w:fldChar w:fldCharType="end"/>
            </w:r>
          </w:hyperlink>
        </w:p>
        <w:p w14:paraId="2A4B3FF9" w14:textId="6B3C0686" w:rsidR="00AA198E" w:rsidRPr="00AA198E" w:rsidRDefault="00AF48E6">
          <w:pPr>
            <w:pStyle w:val="TDC3"/>
            <w:rPr>
              <w:iCs w:val="0"/>
              <w:noProof/>
              <w:sz w:val="22"/>
              <w:szCs w:val="22"/>
              <w:lang w:eastAsia="es-ES"/>
            </w:rPr>
          </w:pPr>
          <w:hyperlink w:anchor="_Toc99107056" w:history="1">
            <w:r w:rsidR="00AA198E" w:rsidRPr="00AA198E">
              <w:rPr>
                <w:rStyle w:val="Hipervnculo"/>
                <w:rFonts w:ascii="Arial" w:eastAsia="Times New Roman" w:hAnsi="Arial" w:cs="Arial"/>
                <w:noProof/>
                <w:lang w:eastAsia="es-ES"/>
              </w:rPr>
              <w:t>4.4.39.</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Benidorm. Trato de favor en la tramitación de la devolución de un vehículo retirado por la grúa municipal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_Toc99107056 \h </w:instrText>
            </w:r>
            <w:r w:rsidR="00AA198E" w:rsidRPr="00AA198E">
              <w:rPr>
                <w:noProof/>
                <w:webHidden/>
              </w:rPr>
            </w:r>
            <w:r w:rsidR="00AA198E" w:rsidRPr="00AA198E">
              <w:rPr>
                <w:noProof/>
                <w:webHidden/>
              </w:rPr>
              <w:fldChar w:fldCharType="separate"/>
            </w:r>
            <w:r w:rsidR="00AA198E" w:rsidRPr="00AA198E">
              <w:rPr>
                <w:noProof/>
                <w:webHidden/>
              </w:rPr>
              <w:t>196</w:t>
            </w:r>
            <w:r w:rsidR="00AA198E" w:rsidRPr="00AA198E">
              <w:rPr>
                <w:noProof/>
                <w:webHidden/>
              </w:rPr>
              <w:fldChar w:fldCharType="end"/>
            </w:r>
          </w:hyperlink>
        </w:p>
        <w:p w14:paraId="23E1EAD5" w14:textId="34C5DD84" w:rsidR="00AA198E" w:rsidRPr="00AA198E" w:rsidRDefault="00AF48E6">
          <w:pPr>
            <w:pStyle w:val="TDC3"/>
            <w:rPr>
              <w:iCs w:val="0"/>
              <w:noProof/>
              <w:sz w:val="22"/>
              <w:szCs w:val="22"/>
              <w:lang w:eastAsia="es-ES"/>
            </w:rPr>
          </w:pPr>
          <w:hyperlink w:anchor="_Toc99107057" w:history="1">
            <w:r w:rsidR="00AA198E" w:rsidRPr="00AA198E">
              <w:rPr>
                <w:rStyle w:val="Hipervnculo"/>
                <w:rFonts w:ascii="Arial" w:eastAsia="Times New Roman" w:hAnsi="Arial" w:cs="Arial"/>
                <w:noProof/>
                <w:lang w:eastAsia="es-ES"/>
              </w:rPr>
              <w:t>4.4.40.</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València. Encargo directo Servicio de estacionamiento regulado de aparcamiento de vehículos (ORA)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_Toc99107057 \h </w:instrText>
            </w:r>
            <w:r w:rsidR="00AA198E" w:rsidRPr="00AA198E">
              <w:rPr>
                <w:noProof/>
                <w:webHidden/>
              </w:rPr>
            </w:r>
            <w:r w:rsidR="00AA198E" w:rsidRPr="00AA198E">
              <w:rPr>
                <w:noProof/>
                <w:webHidden/>
              </w:rPr>
              <w:fldChar w:fldCharType="separate"/>
            </w:r>
            <w:r w:rsidR="00AA198E" w:rsidRPr="00AA198E">
              <w:rPr>
                <w:noProof/>
                <w:webHidden/>
              </w:rPr>
              <w:t>197</w:t>
            </w:r>
            <w:r w:rsidR="00AA198E" w:rsidRPr="00AA198E">
              <w:rPr>
                <w:noProof/>
                <w:webHidden/>
              </w:rPr>
              <w:fldChar w:fldCharType="end"/>
            </w:r>
          </w:hyperlink>
        </w:p>
        <w:p w14:paraId="2CFAA9C6" w14:textId="1D4BD295" w:rsidR="00AA198E" w:rsidRPr="00AA198E" w:rsidRDefault="00AF48E6">
          <w:pPr>
            <w:pStyle w:val="TDC3"/>
            <w:rPr>
              <w:iCs w:val="0"/>
              <w:noProof/>
              <w:sz w:val="22"/>
              <w:szCs w:val="22"/>
              <w:lang w:eastAsia="es-ES"/>
            </w:rPr>
          </w:pPr>
          <w:hyperlink w:anchor="_Toc99107058" w:history="1">
            <w:r w:rsidR="00AA198E" w:rsidRPr="00AA198E">
              <w:rPr>
                <w:rStyle w:val="Hipervnculo"/>
                <w:rFonts w:ascii="Arial" w:eastAsia="Times New Roman" w:hAnsi="Arial" w:cs="Arial"/>
                <w:noProof/>
                <w:lang w:eastAsia="es-ES"/>
              </w:rPr>
              <w:t>4.4.41.</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Diputación Provincial de Castellón. Remuneraciones del personal de la Diputación Provincial de Castellón en Consorcios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_Toc99107058 \h </w:instrText>
            </w:r>
            <w:r w:rsidR="00AA198E" w:rsidRPr="00AA198E">
              <w:rPr>
                <w:noProof/>
                <w:webHidden/>
              </w:rPr>
            </w:r>
            <w:r w:rsidR="00AA198E" w:rsidRPr="00AA198E">
              <w:rPr>
                <w:noProof/>
                <w:webHidden/>
              </w:rPr>
              <w:fldChar w:fldCharType="separate"/>
            </w:r>
            <w:r w:rsidR="00AA198E" w:rsidRPr="00AA198E">
              <w:rPr>
                <w:noProof/>
                <w:webHidden/>
              </w:rPr>
              <w:t>198</w:t>
            </w:r>
            <w:r w:rsidR="00AA198E" w:rsidRPr="00AA198E">
              <w:rPr>
                <w:noProof/>
                <w:webHidden/>
              </w:rPr>
              <w:fldChar w:fldCharType="end"/>
            </w:r>
          </w:hyperlink>
        </w:p>
        <w:p w14:paraId="274FD3D8" w14:textId="655595D4" w:rsidR="00AA198E" w:rsidRPr="00AA198E" w:rsidRDefault="00AF48E6">
          <w:pPr>
            <w:pStyle w:val="TDC3"/>
            <w:rPr>
              <w:iCs w:val="0"/>
              <w:noProof/>
              <w:sz w:val="22"/>
              <w:szCs w:val="22"/>
              <w:lang w:eastAsia="es-ES"/>
            </w:rPr>
          </w:pPr>
          <w:hyperlink w:anchor="_Toc99107059" w:history="1">
            <w:r w:rsidR="00AA198E" w:rsidRPr="00AA198E">
              <w:rPr>
                <w:rStyle w:val="Hipervnculo"/>
                <w:rFonts w:ascii="Arial" w:eastAsia="Times New Roman" w:hAnsi="Arial" w:cs="Arial"/>
                <w:noProof/>
                <w:lang w:eastAsia="es-ES"/>
              </w:rPr>
              <w:t>4.4.42.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La Serratella, Foment La Serratella, SL. Alquiler de hotel municipal por 250 euros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_Toc99107059 \h </w:instrText>
            </w:r>
            <w:r w:rsidR="00AA198E" w:rsidRPr="00AA198E">
              <w:rPr>
                <w:noProof/>
                <w:webHidden/>
              </w:rPr>
            </w:r>
            <w:r w:rsidR="00AA198E" w:rsidRPr="00AA198E">
              <w:rPr>
                <w:noProof/>
                <w:webHidden/>
              </w:rPr>
              <w:fldChar w:fldCharType="separate"/>
            </w:r>
            <w:r w:rsidR="00AA198E" w:rsidRPr="00AA198E">
              <w:rPr>
                <w:noProof/>
                <w:webHidden/>
              </w:rPr>
              <w:t>199</w:t>
            </w:r>
            <w:r w:rsidR="00AA198E" w:rsidRPr="00AA198E">
              <w:rPr>
                <w:noProof/>
                <w:webHidden/>
              </w:rPr>
              <w:fldChar w:fldCharType="end"/>
            </w:r>
          </w:hyperlink>
        </w:p>
        <w:p w14:paraId="3C7EC0D0" w14:textId="12C71E70" w:rsidR="00AA198E" w:rsidRPr="00AA198E" w:rsidRDefault="00AF48E6">
          <w:pPr>
            <w:pStyle w:val="TDC3"/>
            <w:rPr>
              <w:iCs w:val="0"/>
              <w:noProof/>
              <w:sz w:val="22"/>
              <w:szCs w:val="22"/>
              <w:lang w:eastAsia="es-ES"/>
            </w:rPr>
          </w:pPr>
          <w:hyperlink w:anchor="_Toc99107060" w:history="1">
            <w:r w:rsidR="00AA198E" w:rsidRPr="00AA198E">
              <w:rPr>
                <w:rStyle w:val="Hipervnculo"/>
                <w:rFonts w:ascii="Arial" w:eastAsia="Times New Roman" w:hAnsi="Arial" w:cs="Arial"/>
                <w:noProof/>
                <w:lang w:eastAsia="es-ES"/>
              </w:rPr>
              <w:t>4.4.43.</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València – Junta Central Fallera. Irregularidades en materia de contratación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_Toc99107060 \h </w:instrText>
            </w:r>
            <w:r w:rsidR="00AA198E" w:rsidRPr="00AA198E">
              <w:rPr>
                <w:noProof/>
                <w:webHidden/>
              </w:rPr>
            </w:r>
            <w:r w:rsidR="00AA198E" w:rsidRPr="00AA198E">
              <w:rPr>
                <w:noProof/>
                <w:webHidden/>
              </w:rPr>
              <w:fldChar w:fldCharType="separate"/>
            </w:r>
            <w:r w:rsidR="00AA198E" w:rsidRPr="00AA198E">
              <w:rPr>
                <w:noProof/>
                <w:webHidden/>
              </w:rPr>
              <w:t>200</w:t>
            </w:r>
            <w:r w:rsidR="00AA198E" w:rsidRPr="00AA198E">
              <w:rPr>
                <w:noProof/>
                <w:webHidden/>
              </w:rPr>
              <w:fldChar w:fldCharType="end"/>
            </w:r>
          </w:hyperlink>
        </w:p>
        <w:p w14:paraId="65B7C001" w14:textId="7AB9294D" w:rsidR="00AA198E" w:rsidRPr="00AA198E" w:rsidRDefault="00AF48E6">
          <w:pPr>
            <w:pStyle w:val="TDC3"/>
            <w:rPr>
              <w:iCs w:val="0"/>
              <w:noProof/>
              <w:sz w:val="22"/>
              <w:szCs w:val="22"/>
              <w:lang w:eastAsia="es-ES"/>
            </w:rPr>
          </w:pPr>
          <w:hyperlink w:anchor="_Toc99107061" w:history="1">
            <w:r w:rsidR="00AA198E" w:rsidRPr="00AA198E">
              <w:rPr>
                <w:rStyle w:val="Hipervnculo"/>
                <w:rFonts w:ascii="Arial" w:eastAsia="Times New Roman" w:hAnsi="Arial" w:cs="Arial"/>
                <w:noProof/>
                <w:lang w:eastAsia="es-ES"/>
              </w:rPr>
              <w:t>4.4.44.</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Fundación para la Investigación Instituto Sanitario La Fe (IIS – La FE). Irregularidades en materia de contratación de personal laboral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_Toc99107061 \h </w:instrText>
            </w:r>
            <w:r w:rsidR="00AA198E" w:rsidRPr="00AA198E">
              <w:rPr>
                <w:noProof/>
                <w:webHidden/>
              </w:rPr>
            </w:r>
            <w:r w:rsidR="00AA198E" w:rsidRPr="00AA198E">
              <w:rPr>
                <w:noProof/>
                <w:webHidden/>
              </w:rPr>
              <w:fldChar w:fldCharType="separate"/>
            </w:r>
            <w:r w:rsidR="00AA198E" w:rsidRPr="00AA198E">
              <w:rPr>
                <w:noProof/>
                <w:webHidden/>
              </w:rPr>
              <w:t>201</w:t>
            </w:r>
            <w:r w:rsidR="00AA198E" w:rsidRPr="00AA198E">
              <w:rPr>
                <w:noProof/>
                <w:webHidden/>
              </w:rPr>
              <w:fldChar w:fldCharType="end"/>
            </w:r>
          </w:hyperlink>
        </w:p>
        <w:p w14:paraId="554DDB66" w14:textId="2E455803" w:rsidR="00AA198E" w:rsidRPr="00AA198E" w:rsidRDefault="00AF48E6">
          <w:pPr>
            <w:pStyle w:val="TDC3"/>
            <w:rPr>
              <w:iCs w:val="0"/>
              <w:noProof/>
              <w:sz w:val="22"/>
              <w:szCs w:val="22"/>
              <w:lang w:eastAsia="es-ES"/>
            </w:rPr>
          </w:pPr>
          <w:hyperlink w:anchor="_Toc99107062" w:history="1">
            <w:r w:rsidR="00AA198E" w:rsidRPr="00AA198E">
              <w:rPr>
                <w:rStyle w:val="Hipervnculo"/>
                <w:rFonts w:ascii="Arial" w:eastAsia="Times New Roman" w:hAnsi="Arial" w:cs="Arial"/>
                <w:noProof/>
                <w:lang w:eastAsia="es-ES"/>
              </w:rPr>
              <w:t>4.4.45.</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Gavarda. Incompatibilidad cargos electos dedicación exclusiva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_Toc99107062 \h </w:instrText>
            </w:r>
            <w:r w:rsidR="00AA198E" w:rsidRPr="00AA198E">
              <w:rPr>
                <w:noProof/>
                <w:webHidden/>
              </w:rPr>
            </w:r>
            <w:r w:rsidR="00AA198E" w:rsidRPr="00AA198E">
              <w:rPr>
                <w:noProof/>
                <w:webHidden/>
              </w:rPr>
              <w:fldChar w:fldCharType="separate"/>
            </w:r>
            <w:r w:rsidR="00AA198E" w:rsidRPr="00AA198E">
              <w:rPr>
                <w:noProof/>
                <w:webHidden/>
              </w:rPr>
              <w:t>203</w:t>
            </w:r>
            <w:r w:rsidR="00AA198E" w:rsidRPr="00AA198E">
              <w:rPr>
                <w:noProof/>
                <w:webHidden/>
              </w:rPr>
              <w:fldChar w:fldCharType="end"/>
            </w:r>
          </w:hyperlink>
        </w:p>
        <w:p w14:paraId="26E6CD9E" w14:textId="483B933C" w:rsidR="00AA198E" w:rsidRPr="00AA198E" w:rsidRDefault="00AF48E6">
          <w:pPr>
            <w:pStyle w:val="TDC3"/>
            <w:rPr>
              <w:iCs w:val="0"/>
              <w:noProof/>
              <w:sz w:val="22"/>
              <w:szCs w:val="22"/>
              <w:lang w:eastAsia="es-ES"/>
            </w:rPr>
          </w:pPr>
          <w:hyperlink w:anchor="_Toc99107063" w:history="1">
            <w:r w:rsidR="00AA198E" w:rsidRPr="00AA198E">
              <w:rPr>
                <w:rStyle w:val="Hipervnculo"/>
                <w:rFonts w:ascii="Arial" w:eastAsia="Times New Roman" w:hAnsi="Arial" w:cs="Arial"/>
                <w:noProof/>
                <w:lang w:eastAsia="es-ES"/>
              </w:rPr>
              <w:t>4.4.46.</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Aras de los Olmos. Acceso al empleo público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_Toc99107063 \h </w:instrText>
            </w:r>
            <w:r w:rsidR="00AA198E" w:rsidRPr="00AA198E">
              <w:rPr>
                <w:noProof/>
                <w:webHidden/>
              </w:rPr>
            </w:r>
            <w:r w:rsidR="00AA198E" w:rsidRPr="00AA198E">
              <w:rPr>
                <w:noProof/>
                <w:webHidden/>
              </w:rPr>
              <w:fldChar w:fldCharType="separate"/>
            </w:r>
            <w:r w:rsidR="00AA198E" w:rsidRPr="00AA198E">
              <w:rPr>
                <w:noProof/>
                <w:webHidden/>
              </w:rPr>
              <w:t>203</w:t>
            </w:r>
            <w:r w:rsidR="00AA198E" w:rsidRPr="00AA198E">
              <w:rPr>
                <w:noProof/>
                <w:webHidden/>
              </w:rPr>
              <w:fldChar w:fldCharType="end"/>
            </w:r>
          </w:hyperlink>
        </w:p>
        <w:p w14:paraId="7F6B0002" w14:textId="4D2E8128" w:rsidR="00AA198E" w:rsidRPr="00AA198E" w:rsidRDefault="00AF48E6">
          <w:pPr>
            <w:pStyle w:val="TDC3"/>
            <w:rPr>
              <w:iCs w:val="0"/>
              <w:noProof/>
              <w:sz w:val="22"/>
              <w:szCs w:val="22"/>
              <w:lang w:eastAsia="es-ES"/>
            </w:rPr>
          </w:pPr>
          <w:hyperlink w:anchor="_Toc99107064" w:history="1">
            <w:r w:rsidR="00AA198E" w:rsidRPr="00AA198E">
              <w:rPr>
                <w:rStyle w:val="Hipervnculo"/>
                <w:rFonts w:ascii="Arial" w:eastAsia="Times New Roman" w:hAnsi="Arial" w:cs="Arial"/>
                <w:noProof/>
                <w:lang w:eastAsia="es-ES"/>
              </w:rPr>
              <w:t>4.4.47.</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Castelló de Rugat. Irregularidades contratación administrativa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_Toc99107064 \h </w:instrText>
            </w:r>
            <w:r w:rsidR="00AA198E" w:rsidRPr="00AA198E">
              <w:rPr>
                <w:noProof/>
                <w:webHidden/>
              </w:rPr>
            </w:r>
            <w:r w:rsidR="00AA198E" w:rsidRPr="00AA198E">
              <w:rPr>
                <w:noProof/>
                <w:webHidden/>
              </w:rPr>
              <w:fldChar w:fldCharType="separate"/>
            </w:r>
            <w:r w:rsidR="00AA198E" w:rsidRPr="00AA198E">
              <w:rPr>
                <w:noProof/>
                <w:webHidden/>
              </w:rPr>
              <w:t>204</w:t>
            </w:r>
            <w:r w:rsidR="00AA198E" w:rsidRPr="00AA198E">
              <w:rPr>
                <w:noProof/>
                <w:webHidden/>
              </w:rPr>
              <w:fldChar w:fldCharType="end"/>
            </w:r>
          </w:hyperlink>
        </w:p>
        <w:p w14:paraId="46EC5638" w14:textId="58A8D09C" w:rsidR="00AA198E" w:rsidRPr="00AA198E" w:rsidRDefault="00AF48E6">
          <w:pPr>
            <w:pStyle w:val="TDC3"/>
            <w:rPr>
              <w:iCs w:val="0"/>
              <w:noProof/>
              <w:sz w:val="22"/>
              <w:szCs w:val="22"/>
              <w:lang w:eastAsia="es-ES"/>
            </w:rPr>
          </w:pPr>
          <w:hyperlink w:anchor="_Toc99107065" w:history="1">
            <w:r w:rsidR="00AA198E" w:rsidRPr="00AA198E">
              <w:rPr>
                <w:rStyle w:val="Hipervnculo"/>
                <w:rFonts w:ascii="Arial" w:eastAsia="Times New Roman" w:hAnsi="Arial" w:cs="Arial"/>
                <w:noProof/>
                <w:lang w:eastAsia="es-ES"/>
              </w:rPr>
              <w:t>4.4.48.</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Descripción: Instituto Valenciano de Arte Moderno (IVAM). Irregularidades en el proceso de selección del gerente</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_Toc99107065 \h </w:instrText>
            </w:r>
            <w:r w:rsidR="00AA198E" w:rsidRPr="00AA198E">
              <w:rPr>
                <w:noProof/>
                <w:webHidden/>
              </w:rPr>
            </w:r>
            <w:r w:rsidR="00AA198E" w:rsidRPr="00AA198E">
              <w:rPr>
                <w:noProof/>
                <w:webHidden/>
              </w:rPr>
              <w:fldChar w:fldCharType="separate"/>
            </w:r>
            <w:r w:rsidR="00AA198E" w:rsidRPr="00AA198E">
              <w:rPr>
                <w:noProof/>
                <w:webHidden/>
              </w:rPr>
              <w:t>206</w:t>
            </w:r>
            <w:r w:rsidR="00AA198E" w:rsidRPr="00AA198E">
              <w:rPr>
                <w:noProof/>
                <w:webHidden/>
              </w:rPr>
              <w:fldChar w:fldCharType="end"/>
            </w:r>
          </w:hyperlink>
        </w:p>
        <w:p w14:paraId="73B4882B" w14:textId="5F26DFFC" w:rsidR="00AA198E" w:rsidRPr="00AA198E" w:rsidRDefault="00AF48E6">
          <w:pPr>
            <w:pStyle w:val="TDC3"/>
            <w:rPr>
              <w:iCs w:val="0"/>
              <w:noProof/>
              <w:sz w:val="22"/>
              <w:szCs w:val="22"/>
              <w:lang w:eastAsia="es-ES"/>
            </w:rPr>
          </w:pPr>
          <w:hyperlink w:anchor="_Toc99107066" w:history="1">
            <w:r w:rsidR="00AA198E" w:rsidRPr="00AA198E">
              <w:rPr>
                <w:rStyle w:val="Hipervnculo"/>
                <w:rFonts w:ascii="Arial" w:eastAsia="Times New Roman" w:hAnsi="Arial" w:cs="Arial"/>
                <w:noProof/>
                <w:lang w:eastAsia="es-ES"/>
              </w:rPr>
              <w:t>4.4.49.</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Turís. Comisiones de servicio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_Toc99107066 \h </w:instrText>
            </w:r>
            <w:r w:rsidR="00AA198E" w:rsidRPr="00AA198E">
              <w:rPr>
                <w:noProof/>
                <w:webHidden/>
              </w:rPr>
            </w:r>
            <w:r w:rsidR="00AA198E" w:rsidRPr="00AA198E">
              <w:rPr>
                <w:noProof/>
                <w:webHidden/>
              </w:rPr>
              <w:fldChar w:fldCharType="separate"/>
            </w:r>
            <w:r w:rsidR="00AA198E" w:rsidRPr="00AA198E">
              <w:rPr>
                <w:noProof/>
                <w:webHidden/>
              </w:rPr>
              <w:t>206</w:t>
            </w:r>
            <w:r w:rsidR="00AA198E" w:rsidRPr="00AA198E">
              <w:rPr>
                <w:noProof/>
                <w:webHidden/>
              </w:rPr>
              <w:fldChar w:fldCharType="end"/>
            </w:r>
          </w:hyperlink>
        </w:p>
        <w:p w14:paraId="6FD8D40D" w14:textId="2EC3D531" w:rsidR="00AA198E" w:rsidRPr="00AA198E" w:rsidRDefault="00AF48E6">
          <w:pPr>
            <w:pStyle w:val="TDC3"/>
            <w:rPr>
              <w:iCs w:val="0"/>
              <w:noProof/>
              <w:sz w:val="22"/>
              <w:szCs w:val="22"/>
              <w:lang w:eastAsia="es-ES"/>
            </w:rPr>
          </w:pPr>
          <w:hyperlink w:anchor="_Toc99107067" w:history="1">
            <w:r w:rsidR="00AA198E" w:rsidRPr="00AA198E">
              <w:rPr>
                <w:rStyle w:val="Hipervnculo"/>
                <w:rFonts w:ascii="Arial" w:eastAsia="Times New Roman" w:hAnsi="Arial" w:cs="Arial"/>
                <w:noProof/>
                <w:lang w:eastAsia="es-ES"/>
              </w:rPr>
              <w:t>4.4.50.</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Orba. Irregularidades contractuales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_Toc99107067 \h </w:instrText>
            </w:r>
            <w:r w:rsidR="00AA198E" w:rsidRPr="00AA198E">
              <w:rPr>
                <w:noProof/>
                <w:webHidden/>
              </w:rPr>
            </w:r>
            <w:r w:rsidR="00AA198E" w:rsidRPr="00AA198E">
              <w:rPr>
                <w:noProof/>
                <w:webHidden/>
              </w:rPr>
              <w:fldChar w:fldCharType="separate"/>
            </w:r>
            <w:r w:rsidR="00AA198E" w:rsidRPr="00AA198E">
              <w:rPr>
                <w:noProof/>
                <w:webHidden/>
              </w:rPr>
              <w:t>207</w:t>
            </w:r>
            <w:r w:rsidR="00AA198E" w:rsidRPr="00AA198E">
              <w:rPr>
                <w:noProof/>
                <w:webHidden/>
              </w:rPr>
              <w:fldChar w:fldCharType="end"/>
            </w:r>
          </w:hyperlink>
        </w:p>
        <w:p w14:paraId="6C4BEF6E" w14:textId="601D0FB1" w:rsidR="00AA198E" w:rsidRPr="00AA198E" w:rsidRDefault="00AF48E6">
          <w:pPr>
            <w:pStyle w:val="TDC3"/>
            <w:rPr>
              <w:iCs w:val="0"/>
              <w:noProof/>
              <w:sz w:val="22"/>
              <w:szCs w:val="22"/>
              <w:lang w:eastAsia="es-ES"/>
            </w:rPr>
          </w:pPr>
          <w:hyperlink w:anchor="_Toc99107068" w:history="1">
            <w:r w:rsidR="00AA198E" w:rsidRPr="00AA198E">
              <w:rPr>
                <w:rStyle w:val="Hipervnculo"/>
                <w:rFonts w:ascii="Arial" w:eastAsia="Times New Roman" w:hAnsi="Arial" w:cs="Arial"/>
                <w:noProof/>
                <w:lang w:eastAsia="es-ES"/>
              </w:rPr>
              <w:t>4.4.51.</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Sueca. Irregularidades en materia de contratación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_Toc99107068 \h </w:instrText>
            </w:r>
            <w:r w:rsidR="00AA198E" w:rsidRPr="00AA198E">
              <w:rPr>
                <w:noProof/>
                <w:webHidden/>
              </w:rPr>
            </w:r>
            <w:r w:rsidR="00AA198E" w:rsidRPr="00AA198E">
              <w:rPr>
                <w:noProof/>
                <w:webHidden/>
              </w:rPr>
              <w:fldChar w:fldCharType="separate"/>
            </w:r>
            <w:r w:rsidR="00AA198E" w:rsidRPr="00AA198E">
              <w:rPr>
                <w:noProof/>
                <w:webHidden/>
              </w:rPr>
              <w:t>210</w:t>
            </w:r>
            <w:r w:rsidR="00AA198E" w:rsidRPr="00AA198E">
              <w:rPr>
                <w:noProof/>
                <w:webHidden/>
              </w:rPr>
              <w:fldChar w:fldCharType="end"/>
            </w:r>
          </w:hyperlink>
        </w:p>
        <w:p w14:paraId="382D40C7" w14:textId="245AD75A" w:rsidR="00AA198E" w:rsidRPr="00AA198E" w:rsidRDefault="00AF48E6">
          <w:pPr>
            <w:pStyle w:val="TDC3"/>
            <w:rPr>
              <w:iCs w:val="0"/>
              <w:noProof/>
              <w:sz w:val="22"/>
              <w:szCs w:val="22"/>
              <w:lang w:eastAsia="es-ES"/>
            </w:rPr>
          </w:pPr>
          <w:hyperlink w:anchor="_Toc99107069" w:history="1">
            <w:r w:rsidR="00AA198E" w:rsidRPr="00AA198E">
              <w:rPr>
                <w:rStyle w:val="Hipervnculo"/>
                <w:rFonts w:ascii="Arial" w:eastAsia="Times New Roman" w:hAnsi="Arial" w:cs="Arial"/>
                <w:noProof/>
                <w:lang w:eastAsia="es-ES"/>
              </w:rPr>
              <w:t>4.4.52.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Consorci de Museus. Irregularidades en materia de personal y contratación pública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_Toc99107069 \h </w:instrText>
            </w:r>
            <w:r w:rsidR="00AA198E" w:rsidRPr="00AA198E">
              <w:rPr>
                <w:noProof/>
                <w:webHidden/>
              </w:rPr>
            </w:r>
            <w:r w:rsidR="00AA198E" w:rsidRPr="00AA198E">
              <w:rPr>
                <w:noProof/>
                <w:webHidden/>
              </w:rPr>
              <w:fldChar w:fldCharType="separate"/>
            </w:r>
            <w:r w:rsidR="00AA198E" w:rsidRPr="00AA198E">
              <w:rPr>
                <w:noProof/>
                <w:webHidden/>
              </w:rPr>
              <w:t>212</w:t>
            </w:r>
            <w:r w:rsidR="00AA198E" w:rsidRPr="00AA198E">
              <w:rPr>
                <w:noProof/>
                <w:webHidden/>
              </w:rPr>
              <w:fldChar w:fldCharType="end"/>
            </w:r>
          </w:hyperlink>
        </w:p>
        <w:p w14:paraId="3B1AE8D6" w14:textId="626028C9" w:rsidR="00AA198E" w:rsidRPr="00AA198E" w:rsidRDefault="00AF48E6">
          <w:pPr>
            <w:pStyle w:val="TDC3"/>
            <w:rPr>
              <w:iCs w:val="0"/>
              <w:noProof/>
              <w:sz w:val="22"/>
              <w:szCs w:val="22"/>
              <w:lang w:eastAsia="es-ES"/>
            </w:rPr>
          </w:pPr>
          <w:hyperlink w:anchor="_Toc99107070" w:history="1">
            <w:r w:rsidR="00AA198E" w:rsidRPr="00AA198E">
              <w:rPr>
                <w:rStyle w:val="Hipervnculo"/>
                <w:rFonts w:ascii="Arial" w:eastAsia="Times New Roman" w:hAnsi="Arial" w:cs="Arial"/>
                <w:noProof/>
                <w:lang w:eastAsia="es-ES"/>
              </w:rPr>
              <w:t>4.4.53.</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Relaciones Internacionales de la Universidad de Alicante S.A. Irregularidades en la contratación por “Taller Digital de Establecimiento de Textos Literarios y Científicos, S.A.”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_Toc99107070 \h </w:instrText>
            </w:r>
            <w:r w:rsidR="00AA198E" w:rsidRPr="00AA198E">
              <w:rPr>
                <w:noProof/>
                <w:webHidden/>
              </w:rPr>
            </w:r>
            <w:r w:rsidR="00AA198E" w:rsidRPr="00AA198E">
              <w:rPr>
                <w:noProof/>
                <w:webHidden/>
              </w:rPr>
              <w:fldChar w:fldCharType="separate"/>
            </w:r>
            <w:r w:rsidR="00AA198E" w:rsidRPr="00AA198E">
              <w:rPr>
                <w:noProof/>
                <w:webHidden/>
              </w:rPr>
              <w:t>213</w:t>
            </w:r>
            <w:r w:rsidR="00AA198E" w:rsidRPr="00AA198E">
              <w:rPr>
                <w:noProof/>
                <w:webHidden/>
              </w:rPr>
              <w:fldChar w:fldCharType="end"/>
            </w:r>
          </w:hyperlink>
        </w:p>
        <w:p w14:paraId="12632BB8" w14:textId="36C8178F" w:rsidR="00AA198E" w:rsidRPr="00AA198E" w:rsidRDefault="00AF48E6">
          <w:pPr>
            <w:pStyle w:val="TDC3"/>
            <w:rPr>
              <w:iCs w:val="0"/>
              <w:noProof/>
              <w:sz w:val="22"/>
              <w:szCs w:val="22"/>
              <w:lang w:eastAsia="es-ES"/>
            </w:rPr>
          </w:pPr>
          <w:hyperlink w:anchor="_Toc99107071" w:history="1">
            <w:r w:rsidR="00AA198E" w:rsidRPr="00AA198E">
              <w:rPr>
                <w:rStyle w:val="Hipervnculo"/>
                <w:rFonts w:ascii="Arial" w:eastAsia="Times New Roman" w:hAnsi="Arial" w:cs="Arial"/>
                <w:noProof/>
                <w:lang w:eastAsia="es-ES"/>
              </w:rPr>
              <w:t>4.4.54.</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Pedralba. Irregularidades en materia de retribuciones de cargos electos, productividades de empleados/as públicos/as, contratación administrativa y acceso a la función pública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_Toc99107071 \h </w:instrText>
            </w:r>
            <w:r w:rsidR="00AA198E" w:rsidRPr="00AA198E">
              <w:rPr>
                <w:noProof/>
                <w:webHidden/>
              </w:rPr>
            </w:r>
            <w:r w:rsidR="00AA198E" w:rsidRPr="00AA198E">
              <w:rPr>
                <w:noProof/>
                <w:webHidden/>
              </w:rPr>
              <w:fldChar w:fldCharType="separate"/>
            </w:r>
            <w:r w:rsidR="00AA198E" w:rsidRPr="00AA198E">
              <w:rPr>
                <w:noProof/>
                <w:webHidden/>
              </w:rPr>
              <w:t>214</w:t>
            </w:r>
            <w:r w:rsidR="00AA198E" w:rsidRPr="00AA198E">
              <w:rPr>
                <w:noProof/>
                <w:webHidden/>
              </w:rPr>
              <w:fldChar w:fldCharType="end"/>
            </w:r>
          </w:hyperlink>
        </w:p>
        <w:p w14:paraId="0190DA62" w14:textId="2944F947" w:rsidR="00AA198E" w:rsidRPr="00AA198E" w:rsidRDefault="00AF48E6">
          <w:pPr>
            <w:pStyle w:val="TDC3"/>
            <w:rPr>
              <w:iCs w:val="0"/>
              <w:noProof/>
              <w:sz w:val="22"/>
              <w:szCs w:val="22"/>
              <w:lang w:eastAsia="es-ES"/>
            </w:rPr>
          </w:pPr>
          <w:hyperlink w:anchor="_Toc99107072" w:history="1">
            <w:r w:rsidR="00AA198E" w:rsidRPr="00AA198E">
              <w:rPr>
                <w:rStyle w:val="Hipervnculo"/>
                <w:rFonts w:ascii="Arial" w:eastAsia="Times New Roman" w:hAnsi="Arial" w:cs="Arial"/>
                <w:noProof/>
                <w:lang w:eastAsia="es-ES"/>
              </w:rPr>
              <w:t>4.4.55.</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Canet d’en Berenguer. Conflictos de interés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_Toc99107072 \h </w:instrText>
            </w:r>
            <w:r w:rsidR="00AA198E" w:rsidRPr="00AA198E">
              <w:rPr>
                <w:noProof/>
                <w:webHidden/>
              </w:rPr>
            </w:r>
            <w:r w:rsidR="00AA198E" w:rsidRPr="00AA198E">
              <w:rPr>
                <w:noProof/>
                <w:webHidden/>
              </w:rPr>
              <w:fldChar w:fldCharType="separate"/>
            </w:r>
            <w:r w:rsidR="00AA198E" w:rsidRPr="00AA198E">
              <w:rPr>
                <w:noProof/>
                <w:webHidden/>
              </w:rPr>
              <w:t>216</w:t>
            </w:r>
            <w:r w:rsidR="00AA198E" w:rsidRPr="00AA198E">
              <w:rPr>
                <w:noProof/>
                <w:webHidden/>
              </w:rPr>
              <w:fldChar w:fldCharType="end"/>
            </w:r>
          </w:hyperlink>
        </w:p>
        <w:p w14:paraId="2D169F58" w14:textId="593F86BE" w:rsidR="00AA198E" w:rsidRPr="00AA198E" w:rsidRDefault="00AF48E6">
          <w:pPr>
            <w:pStyle w:val="TDC3"/>
            <w:rPr>
              <w:iCs w:val="0"/>
              <w:noProof/>
              <w:sz w:val="22"/>
              <w:szCs w:val="22"/>
              <w:lang w:eastAsia="es-ES"/>
            </w:rPr>
          </w:pPr>
          <w:hyperlink w:anchor="_Toc99107073" w:history="1">
            <w:r w:rsidR="00AA198E" w:rsidRPr="00AA198E">
              <w:rPr>
                <w:rStyle w:val="Hipervnculo"/>
                <w:rFonts w:ascii="Arial" w:eastAsia="Times New Roman" w:hAnsi="Arial" w:cs="Arial"/>
                <w:noProof/>
                <w:lang w:eastAsia="es-ES"/>
              </w:rPr>
              <w:t>4.4.56.</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Elche. Contratación obras nuevo mercado central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_Toc99107073 \h </w:instrText>
            </w:r>
            <w:r w:rsidR="00AA198E" w:rsidRPr="00AA198E">
              <w:rPr>
                <w:noProof/>
                <w:webHidden/>
              </w:rPr>
            </w:r>
            <w:r w:rsidR="00AA198E" w:rsidRPr="00AA198E">
              <w:rPr>
                <w:noProof/>
                <w:webHidden/>
              </w:rPr>
              <w:fldChar w:fldCharType="separate"/>
            </w:r>
            <w:r w:rsidR="00AA198E" w:rsidRPr="00AA198E">
              <w:rPr>
                <w:noProof/>
                <w:webHidden/>
              </w:rPr>
              <w:t>217</w:t>
            </w:r>
            <w:r w:rsidR="00AA198E" w:rsidRPr="00AA198E">
              <w:rPr>
                <w:noProof/>
                <w:webHidden/>
              </w:rPr>
              <w:fldChar w:fldCharType="end"/>
            </w:r>
          </w:hyperlink>
        </w:p>
        <w:p w14:paraId="57EBC038" w14:textId="61699CD0" w:rsidR="00AA198E" w:rsidRPr="00AA198E" w:rsidRDefault="00AF48E6">
          <w:pPr>
            <w:pStyle w:val="TDC3"/>
            <w:rPr>
              <w:iCs w:val="0"/>
              <w:noProof/>
              <w:sz w:val="22"/>
              <w:szCs w:val="22"/>
              <w:lang w:eastAsia="es-ES"/>
            </w:rPr>
          </w:pPr>
          <w:hyperlink w:anchor="_Toc99107074" w:history="1">
            <w:r w:rsidR="00AA198E" w:rsidRPr="00AA198E">
              <w:rPr>
                <w:rStyle w:val="Hipervnculo"/>
                <w:rFonts w:ascii="Arial" w:eastAsia="Times New Roman" w:hAnsi="Arial" w:cs="Arial"/>
                <w:noProof/>
                <w:lang w:eastAsia="es-ES"/>
              </w:rPr>
              <w:t>4.4.57.</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Burriana. Irregularidades en materia urbanística y contratación pública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_Toc99107074 \h </w:instrText>
            </w:r>
            <w:r w:rsidR="00AA198E" w:rsidRPr="00AA198E">
              <w:rPr>
                <w:noProof/>
                <w:webHidden/>
              </w:rPr>
            </w:r>
            <w:r w:rsidR="00AA198E" w:rsidRPr="00AA198E">
              <w:rPr>
                <w:noProof/>
                <w:webHidden/>
              </w:rPr>
              <w:fldChar w:fldCharType="separate"/>
            </w:r>
            <w:r w:rsidR="00AA198E" w:rsidRPr="00AA198E">
              <w:rPr>
                <w:noProof/>
                <w:webHidden/>
              </w:rPr>
              <w:t>218</w:t>
            </w:r>
            <w:r w:rsidR="00AA198E" w:rsidRPr="00AA198E">
              <w:rPr>
                <w:noProof/>
                <w:webHidden/>
              </w:rPr>
              <w:fldChar w:fldCharType="end"/>
            </w:r>
          </w:hyperlink>
        </w:p>
        <w:p w14:paraId="0A3A141A" w14:textId="3517EFD5" w:rsidR="00AA198E" w:rsidRPr="00AA198E" w:rsidRDefault="00AF48E6">
          <w:pPr>
            <w:pStyle w:val="TDC3"/>
            <w:rPr>
              <w:iCs w:val="0"/>
              <w:noProof/>
              <w:sz w:val="22"/>
              <w:szCs w:val="22"/>
              <w:lang w:eastAsia="es-ES"/>
            </w:rPr>
          </w:pPr>
          <w:hyperlink w:anchor="_Toc99107075" w:history="1">
            <w:r w:rsidR="00AA198E" w:rsidRPr="00AA198E">
              <w:rPr>
                <w:rStyle w:val="Hipervnculo"/>
                <w:rFonts w:ascii="Arial" w:eastAsia="Times New Roman" w:hAnsi="Arial" w:cs="Arial"/>
                <w:noProof/>
                <w:lang w:eastAsia="es-ES"/>
              </w:rPr>
              <w:t>4.4.58.</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Presidencia de la Generalitat Valenciana. Contrato de patrocinio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_Toc99107075 \h </w:instrText>
            </w:r>
            <w:r w:rsidR="00AA198E" w:rsidRPr="00AA198E">
              <w:rPr>
                <w:noProof/>
                <w:webHidden/>
              </w:rPr>
            </w:r>
            <w:r w:rsidR="00AA198E" w:rsidRPr="00AA198E">
              <w:rPr>
                <w:noProof/>
                <w:webHidden/>
              </w:rPr>
              <w:fldChar w:fldCharType="separate"/>
            </w:r>
            <w:r w:rsidR="00AA198E" w:rsidRPr="00AA198E">
              <w:rPr>
                <w:noProof/>
                <w:webHidden/>
              </w:rPr>
              <w:t>219</w:t>
            </w:r>
            <w:r w:rsidR="00AA198E" w:rsidRPr="00AA198E">
              <w:rPr>
                <w:noProof/>
                <w:webHidden/>
              </w:rPr>
              <w:fldChar w:fldCharType="end"/>
            </w:r>
          </w:hyperlink>
        </w:p>
        <w:p w14:paraId="7121ECE1" w14:textId="02DC1369" w:rsidR="00AA198E" w:rsidRPr="00AA198E" w:rsidRDefault="00AF48E6">
          <w:pPr>
            <w:pStyle w:val="TDC3"/>
            <w:rPr>
              <w:iCs w:val="0"/>
              <w:noProof/>
              <w:sz w:val="22"/>
              <w:szCs w:val="22"/>
              <w:lang w:eastAsia="es-ES"/>
            </w:rPr>
          </w:pPr>
          <w:hyperlink w:anchor="_Toc99107076" w:history="1">
            <w:r w:rsidR="00AA198E" w:rsidRPr="00AA198E">
              <w:rPr>
                <w:rStyle w:val="Hipervnculo"/>
                <w:rFonts w:ascii="Arial" w:eastAsia="Times New Roman" w:hAnsi="Arial" w:cs="Arial"/>
                <w:noProof/>
                <w:lang w:eastAsia="es-ES"/>
              </w:rPr>
              <w:t>4.4.59.</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València. Servicio de grúa municipal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_Toc99107076 \h </w:instrText>
            </w:r>
            <w:r w:rsidR="00AA198E" w:rsidRPr="00AA198E">
              <w:rPr>
                <w:noProof/>
                <w:webHidden/>
              </w:rPr>
            </w:r>
            <w:r w:rsidR="00AA198E" w:rsidRPr="00AA198E">
              <w:rPr>
                <w:noProof/>
                <w:webHidden/>
              </w:rPr>
              <w:fldChar w:fldCharType="separate"/>
            </w:r>
            <w:r w:rsidR="00AA198E" w:rsidRPr="00AA198E">
              <w:rPr>
                <w:noProof/>
                <w:webHidden/>
              </w:rPr>
              <w:t>220</w:t>
            </w:r>
            <w:r w:rsidR="00AA198E" w:rsidRPr="00AA198E">
              <w:rPr>
                <w:noProof/>
                <w:webHidden/>
              </w:rPr>
              <w:fldChar w:fldCharType="end"/>
            </w:r>
          </w:hyperlink>
        </w:p>
        <w:p w14:paraId="3D895FDC" w14:textId="204054F0" w:rsidR="00AA198E" w:rsidRPr="00AA198E" w:rsidRDefault="00AF48E6">
          <w:pPr>
            <w:pStyle w:val="TDC3"/>
            <w:rPr>
              <w:iCs w:val="0"/>
              <w:noProof/>
              <w:sz w:val="22"/>
              <w:szCs w:val="22"/>
              <w:lang w:eastAsia="es-ES"/>
            </w:rPr>
          </w:pPr>
          <w:hyperlink w:anchor="_Toc99107077" w:history="1">
            <w:r w:rsidR="00AA198E" w:rsidRPr="00AA198E">
              <w:rPr>
                <w:rStyle w:val="Hipervnculo"/>
                <w:rFonts w:ascii="Arial" w:eastAsia="Times New Roman" w:hAnsi="Arial" w:cs="Arial"/>
                <w:noProof/>
                <w:lang w:eastAsia="es-ES"/>
              </w:rPr>
              <w:t>4.4.60.</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Callosa de Segura. Gastos realizados sin procedimiento en materia de contratación y concesión de licencia urbanística que no ampara las obras ejecutadas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_Toc99107077 \h </w:instrText>
            </w:r>
            <w:r w:rsidR="00AA198E" w:rsidRPr="00AA198E">
              <w:rPr>
                <w:noProof/>
                <w:webHidden/>
              </w:rPr>
            </w:r>
            <w:r w:rsidR="00AA198E" w:rsidRPr="00AA198E">
              <w:rPr>
                <w:noProof/>
                <w:webHidden/>
              </w:rPr>
              <w:fldChar w:fldCharType="separate"/>
            </w:r>
            <w:r w:rsidR="00AA198E" w:rsidRPr="00AA198E">
              <w:rPr>
                <w:noProof/>
                <w:webHidden/>
              </w:rPr>
              <w:t>222</w:t>
            </w:r>
            <w:r w:rsidR="00AA198E" w:rsidRPr="00AA198E">
              <w:rPr>
                <w:noProof/>
                <w:webHidden/>
              </w:rPr>
              <w:fldChar w:fldCharType="end"/>
            </w:r>
          </w:hyperlink>
        </w:p>
        <w:p w14:paraId="5A2F58F5" w14:textId="2EA6FA1C" w:rsidR="00AA198E" w:rsidRPr="00AA198E" w:rsidRDefault="00AF48E6">
          <w:pPr>
            <w:pStyle w:val="TDC3"/>
            <w:rPr>
              <w:iCs w:val="0"/>
              <w:noProof/>
              <w:sz w:val="22"/>
              <w:szCs w:val="22"/>
              <w:lang w:eastAsia="es-ES"/>
            </w:rPr>
          </w:pPr>
          <w:hyperlink w:anchor="_Toc99107078" w:history="1">
            <w:r w:rsidR="00AA198E" w:rsidRPr="00AA198E">
              <w:rPr>
                <w:rStyle w:val="Hipervnculo"/>
                <w:rFonts w:ascii="Arial" w:eastAsia="Times New Roman" w:hAnsi="Arial" w:cs="Arial"/>
                <w:noProof/>
                <w:lang w:eastAsia="es-ES"/>
              </w:rPr>
              <w:t>4.4.61.</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Corporació Valenciana de Mitjans de Comunicació (CVMC) y de la Societat Anónima de Mitjans de Comunicació de la Comunitat Valenciana (SAMC). Irregularidades nombramiento personal directivo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_Toc99107078 \h </w:instrText>
            </w:r>
            <w:r w:rsidR="00AA198E" w:rsidRPr="00AA198E">
              <w:rPr>
                <w:noProof/>
                <w:webHidden/>
              </w:rPr>
            </w:r>
            <w:r w:rsidR="00AA198E" w:rsidRPr="00AA198E">
              <w:rPr>
                <w:noProof/>
                <w:webHidden/>
              </w:rPr>
              <w:fldChar w:fldCharType="separate"/>
            </w:r>
            <w:r w:rsidR="00AA198E" w:rsidRPr="00AA198E">
              <w:rPr>
                <w:noProof/>
                <w:webHidden/>
              </w:rPr>
              <w:t>225</w:t>
            </w:r>
            <w:r w:rsidR="00AA198E" w:rsidRPr="00AA198E">
              <w:rPr>
                <w:noProof/>
                <w:webHidden/>
              </w:rPr>
              <w:fldChar w:fldCharType="end"/>
            </w:r>
          </w:hyperlink>
        </w:p>
        <w:p w14:paraId="65748744" w14:textId="6C97EB8B" w:rsidR="00AA198E" w:rsidRPr="00AA198E" w:rsidRDefault="00AF48E6">
          <w:pPr>
            <w:pStyle w:val="TDC3"/>
            <w:rPr>
              <w:iCs w:val="0"/>
              <w:noProof/>
              <w:sz w:val="22"/>
              <w:szCs w:val="22"/>
              <w:lang w:eastAsia="es-ES"/>
            </w:rPr>
          </w:pPr>
          <w:hyperlink w:anchor="_Toc99107079" w:history="1">
            <w:r w:rsidR="00AA198E" w:rsidRPr="00AA198E">
              <w:rPr>
                <w:rStyle w:val="Hipervnculo"/>
                <w:rFonts w:ascii="Arial" w:eastAsia="Times New Roman" w:hAnsi="Arial" w:cs="Arial"/>
                <w:noProof/>
                <w:lang w:eastAsia="es-ES"/>
              </w:rPr>
              <w:t>4.4.62.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València. Licencia concierto La Marina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_Toc99107079 \h </w:instrText>
            </w:r>
            <w:r w:rsidR="00AA198E" w:rsidRPr="00AA198E">
              <w:rPr>
                <w:noProof/>
                <w:webHidden/>
              </w:rPr>
            </w:r>
            <w:r w:rsidR="00AA198E" w:rsidRPr="00AA198E">
              <w:rPr>
                <w:noProof/>
                <w:webHidden/>
              </w:rPr>
              <w:fldChar w:fldCharType="separate"/>
            </w:r>
            <w:r w:rsidR="00AA198E" w:rsidRPr="00AA198E">
              <w:rPr>
                <w:noProof/>
                <w:webHidden/>
              </w:rPr>
              <w:t>227</w:t>
            </w:r>
            <w:r w:rsidR="00AA198E" w:rsidRPr="00AA198E">
              <w:rPr>
                <w:noProof/>
                <w:webHidden/>
              </w:rPr>
              <w:fldChar w:fldCharType="end"/>
            </w:r>
          </w:hyperlink>
        </w:p>
        <w:p w14:paraId="42763ADB" w14:textId="0B06BE52" w:rsidR="00AA198E" w:rsidRPr="00AA198E" w:rsidRDefault="00AF48E6">
          <w:pPr>
            <w:pStyle w:val="TDC3"/>
            <w:rPr>
              <w:iCs w:val="0"/>
              <w:noProof/>
              <w:sz w:val="22"/>
              <w:szCs w:val="22"/>
              <w:lang w:eastAsia="es-ES"/>
            </w:rPr>
          </w:pPr>
          <w:hyperlink w:anchor="_Toc99107080" w:history="1">
            <w:r w:rsidR="00AA198E" w:rsidRPr="00AA198E">
              <w:rPr>
                <w:rStyle w:val="Hipervnculo"/>
                <w:rFonts w:ascii="Arial" w:eastAsia="Times New Roman" w:hAnsi="Arial" w:cs="Arial"/>
                <w:noProof/>
                <w:lang w:eastAsia="es-ES"/>
              </w:rPr>
              <w:t>4.4.63.</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Torrevieja. Irregularidades en materia de contratación y urbanismo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_Toc99107080 \h </w:instrText>
            </w:r>
            <w:r w:rsidR="00AA198E" w:rsidRPr="00AA198E">
              <w:rPr>
                <w:noProof/>
                <w:webHidden/>
              </w:rPr>
            </w:r>
            <w:r w:rsidR="00AA198E" w:rsidRPr="00AA198E">
              <w:rPr>
                <w:noProof/>
                <w:webHidden/>
              </w:rPr>
              <w:fldChar w:fldCharType="separate"/>
            </w:r>
            <w:r w:rsidR="00AA198E" w:rsidRPr="00AA198E">
              <w:rPr>
                <w:noProof/>
                <w:webHidden/>
              </w:rPr>
              <w:t>228</w:t>
            </w:r>
            <w:r w:rsidR="00AA198E" w:rsidRPr="00AA198E">
              <w:rPr>
                <w:noProof/>
                <w:webHidden/>
              </w:rPr>
              <w:fldChar w:fldCharType="end"/>
            </w:r>
          </w:hyperlink>
        </w:p>
        <w:p w14:paraId="4CBCC6C3" w14:textId="79EE102A" w:rsidR="00AA198E" w:rsidRPr="00AA198E" w:rsidRDefault="00AF48E6">
          <w:pPr>
            <w:pStyle w:val="TDC3"/>
            <w:rPr>
              <w:iCs w:val="0"/>
              <w:noProof/>
              <w:sz w:val="22"/>
              <w:szCs w:val="22"/>
              <w:lang w:eastAsia="es-ES"/>
            </w:rPr>
          </w:pPr>
          <w:hyperlink w:anchor="_Toc99107081" w:history="1">
            <w:r w:rsidR="00AA198E" w:rsidRPr="00AA198E">
              <w:rPr>
                <w:rStyle w:val="Hipervnculo"/>
                <w:rFonts w:ascii="Arial" w:eastAsia="Times New Roman" w:hAnsi="Arial" w:cs="Arial"/>
                <w:noProof/>
                <w:lang w:eastAsia="es-ES"/>
              </w:rPr>
              <w:t>4.4.64.</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Tous. Incompatibilidades arquitecto municipal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_Toc99107081 \h </w:instrText>
            </w:r>
            <w:r w:rsidR="00AA198E" w:rsidRPr="00AA198E">
              <w:rPr>
                <w:noProof/>
                <w:webHidden/>
              </w:rPr>
            </w:r>
            <w:r w:rsidR="00AA198E" w:rsidRPr="00AA198E">
              <w:rPr>
                <w:noProof/>
                <w:webHidden/>
              </w:rPr>
              <w:fldChar w:fldCharType="separate"/>
            </w:r>
            <w:r w:rsidR="00AA198E" w:rsidRPr="00AA198E">
              <w:rPr>
                <w:noProof/>
                <w:webHidden/>
              </w:rPr>
              <w:t>229</w:t>
            </w:r>
            <w:r w:rsidR="00AA198E" w:rsidRPr="00AA198E">
              <w:rPr>
                <w:noProof/>
                <w:webHidden/>
              </w:rPr>
              <w:fldChar w:fldCharType="end"/>
            </w:r>
          </w:hyperlink>
        </w:p>
        <w:p w14:paraId="01221391" w14:textId="1A335117" w:rsidR="00AA198E" w:rsidRPr="00AA198E" w:rsidRDefault="00AF48E6">
          <w:pPr>
            <w:pStyle w:val="TDC3"/>
            <w:rPr>
              <w:iCs w:val="0"/>
              <w:noProof/>
              <w:sz w:val="22"/>
              <w:szCs w:val="22"/>
              <w:lang w:eastAsia="es-ES"/>
            </w:rPr>
          </w:pPr>
          <w:hyperlink w:anchor="_Toc99107082" w:history="1">
            <w:r w:rsidR="00AA198E" w:rsidRPr="00AA198E">
              <w:rPr>
                <w:rStyle w:val="Hipervnculo"/>
                <w:rFonts w:ascii="Arial" w:eastAsia="Times New Roman" w:hAnsi="Arial" w:cs="Arial"/>
                <w:noProof/>
                <w:lang w:eastAsia="es-ES"/>
              </w:rPr>
              <w:t>4.4.65.</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Tous. Incompatibilidades ingeniero municipal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_Toc99107082 \h </w:instrText>
            </w:r>
            <w:r w:rsidR="00AA198E" w:rsidRPr="00AA198E">
              <w:rPr>
                <w:noProof/>
                <w:webHidden/>
              </w:rPr>
            </w:r>
            <w:r w:rsidR="00AA198E" w:rsidRPr="00AA198E">
              <w:rPr>
                <w:noProof/>
                <w:webHidden/>
              </w:rPr>
              <w:fldChar w:fldCharType="separate"/>
            </w:r>
            <w:r w:rsidR="00AA198E" w:rsidRPr="00AA198E">
              <w:rPr>
                <w:noProof/>
                <w:webHidden/>
              </w:rPr>
              <w:t>230</w:t>
            </w:r>
            <w:r w:rsidR="00AA198E" w:rsidRPr="00AA198E">
              <w:rPr>
                <w:noProof/>
                <w:webHidden/>
              </w:rPr>
              <w:fldChar w:fldCharType="end"/>
            </w:r>
          </w:hyperlink>
        </w:p>
        <w:p w14:paraId="1355444C" w14:textId="70206CAC" w:rsidR="00AA198E" w:rsidRPr="00AA198E" w:rsidRDefault="00AF48E6">
          <w:pPr>
            <w:pStyle w:val="TDC3"/>
            <w:rPr>
              <w:iCs w:val="0"/>
              <w:noProof/>
              <w:sz w:val="22"/>
              <w:szCs w:val="22"/>
              <w:lang w:eastAsia="es-ES"/>
            </w:rPr>
          </w:pPr>
          <w:hyperlink w:anchor="_Toc99107083" w:history="1">
            <w:r w:rsidR="00AA198E" w:rsidRPr="00AA198E">
              <w:rPr>
                <w:rStyle w:val="Hipervnculo"/>
                <w:rFonts w:ascii="Arial" w:eastAsia="Times New Roman" w:hAnsi="Arial" w:cs="Arial"/>
                <w:noProof/>
                <w:lang w:eastAsia="es-ES"/>
              </w:rPr>
              <w:t>4.4.66.</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Albaida. Irregularidades en materia de acceso al empleo público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_Toc99107083 \h </w:instrText>
            </w:r>
            <w:r w:rsidR="00AA198E" w:rsidRPr="00AA198E">
              <w:rPr>
                <w:noProof/>
                <w:webHidden/>
              </w:rPr>
            </w:r>
            <w:r w:rsidR="00AA198E" w:rsidRPr="00AA198E">
              <w:rPr>
                <w:noProof/>
                <w:webHidden/>
              </w:rPr>
              <w:fldChar w:fldCharType="separate"/>
            </w:r>
            <w:r w:rsidR="00AA198E" w:rsidRPr="00AA198E">
              <w:rPr>
                <w:noProof/>
                <w:webHidden/>
              </w:rPr>
              <w:t>231</w:t>
            </w:r>
            <w:r w:rsidR="00AA198E" w:rsidRPr="00AA198E">
              <w:rPr>
                <w:noProof/>
                <w:webHidden/>
              </w:rPr>
              <w:fldChar w:fldCharType="end"/>
            </w:r>
          </w:hyperlink>
        </w:p>
        <w:p w14:paraId="4929C7F0" w14:textId="0A869F49" w:rsidR="00AA198E" w:rsidRPr="00AA198E" w:rsidRDefault="00AF48E6">
          <w:pPr>
            <w:pStyle w:val="TDC3"/>
            <w:rPr>
              <w:iCs w:val="0"/>
              <w:noProof/>
              <w:sz w:val="22"/>
              <w:szCs w:val="22"/>
              <w:lang w:eastAsia="es-ES"/>
            </w:rPr>
          </w:pPr>
          <w:hyperlink w:anchor="_Toc99107084" w:history="1">
            <w:r w:rsidR="00AA198E" w:rsidRPr="00AA198E">
              <w:rPr>
                <w:rStyle w:val="Hipervnculo"/>
                <w:rFonts w:ascii="Arial" w:eastAsia="Times New Roman" w:hAnsi="Arial" w:cs="Arial"/>
                <w:noProof/>
                <w:lang w:eastAsia="es-ES"/>
              </w:rPr>
              <w:t>4.4.67.</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Diputación Provincial de Valencia. Modificación de la forma de provisión de funcionarios de administración local con habilitación de carácter nacional  (FHCN)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_Toc99107084 \h </w:instrText>
            </w:r>
            <w:r w:rsidR="00AA198E" w:rsidRPr="00AA198E">
              <w:rPr>
                <w:noProof/>
                <w:webHidden/>
              </w:rPr>
            </w:r>
            <w:r w:rsidR="00AA198E" w:rsidRPr="00AA198E">
              <w:rPr>
                <w:noProof/>
                <w:webHidden/>
              </w:rPr>
              <w:fldChar w:fldCharType="separate"/>
            </w:r>
            <w:r w:rsidR="00AA198E" w:rsidRPr="00AA198E">
              <w:rPr>
                <w:noProof/>
                <w:webHidden/>
              </w:rPr>
              <w:t>232</w:t>
            </w:r>
            <w:r w:rsidR="00AA198E" w:rsidRPr="00AA198E">
              <w:rPr>
                <w:noProof/>
                <w:webHidden/>
              </w:rPr>
              <w:fldChar w:fldCharType="end"/>
            </w:r>
          </w:hyperlink>
        </w:p>
        <w:p w14:paraId="62E82D98" w14:textId="3CC03736" w:rsidR="00AA198E" w:rsidRPr="00AA198E" w:rsidRDefault="00AF48E6">
          <w:pPr>
            <w:pStyle w:val="TDC3"/>
            <w:rPr>
              <w:iCs w:val="0"/>
              <w:noProof/>
              <w:sz w:val="22"/>
              <w:szCs w:val="22"/>
              <w:lang w:eastAsia="es-ES"/>
            </w:rPr>
          </w:pPr>
          <w:hyperlink w:anchor="_Toc99107085" w:history="1">
            <w:r w:rsidR="00AA198E" w:rsidRPr="00AA198E">
              <w:rPr>
                <w:rStyle w:val="Hipervnculo"/>
                <w:rFonts w:ascii="Arial" w:eastAsia="Times New Roman" w:hAnsi="Arial" w:cs="Arial"/>
                <w:noProof/>
                <w:lang w:eastAsia="es-ES"/>
              </w:rPr>
              <w:t>4.4.68.</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Tous. Adquisición de la báscula municipal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_Toc99107085 \h </w:instrText>
            </w:r>
            <w:r w:rsidR="00AA198E" w:rsidRPr="00AA198E">
              <w:rPr>
                <w:noProof/>
                <w:webHidden/>
              </w:rPr>
            </w:r>
            <w:r w:rsidR="00AA198E" w:rsidRPr="00AA198E">
              <w:rPr>
                <w:noProof/>
                <w:webHidden/>
              </w:rPr>
              <w:fldChar w:fldCharType="separate"/>
            </w:r>
            <w:r w:rsidR="00AA198E" w:rsidRPr="00AA198E">
              <w:rPr>
                <w:noProof/>
                <w:webHidden/>
              </w:rPr>
              <w:t>233</w:t>
            </w:r>
            <w:r w:rsidR="00AA198E" w:rsidRPr="00AA198E">
              <w:rPr>
                <w:noProof/>
                <w:webHidden/>
              </w:rPr>
              <w:fldChar w:fldCharType="end"/>
            </w:r>
          </w:hyperlink>
        </w:p>
        <w:p w14:paraId="002A1BDB" w14:textId="768B7C6E" w:rsidR="00AA198E" w:rsidRPr="00AA198E" w:rsidRDefault="00AF48E6">
          <w:pPr>
            <w:pStyle w:val="TDC3"/>
            <w:rPr>
              <w:iCs w:val="0"/>
              <w:noProof/>
              <w:sz w:val="22"/>
              <w:szCs w:val="22"/>
              <w:lang w:eastAsia="es-ES"/>
            </w:rPr>
          </w:pPr>
          <w:hyperlink w:anchor="_Toc99107086" w:history="1">
            <w:r w:rsidR="00AA198E" w:rsidRPr="00AA198E">
              <w:rPr>
                <w:rStyle w:val="Hipervnculo"/>
                <w:rFonts w:ascii="Arial" w:eastAsia="Times New Roman" w:hAnsi="Arial" w:cs="Arial"/>
                <w:noProof/>
                <w:lang w:eastAsia="es-ES"/>
              </w:rPr>
              <w:t>4.4.69.</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Orihuela. Cesión del derecho de superficie</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_Toc99107086 \h </w:instrText>
            </w:r>
            <w:r w:rsidR="00AA198E" w:rsidRPr="00AA198E">
              <w:rPr>
                <w:noProof/>
                <w:webHidden/>
              </w:rPr>
            </w:r>
            <w:r w:rsidR="00AA198E" w:rsidRPr="00AA198E">
              <w:rPr>
                <w:noProof/>
                <w:webHidden/>
              </w:rPr>
              <w:fldChar w:fldCharType="separate"/>
            </w:r>
            <w:r w:rsidR="00AA198E" w:rsidRPr="00AA198E">
              <w:rPr>
                <w:noProof/>
                <w:webHidden/>
              </w:rPr>
              <w:t>234</w:t>
            </w:r>
            <w:r w:rsidR="00AA198E" w:rsidRPr="00AA198E">
              <w:rPr>
                <w:noProof/>
                <w:webHidden/>
              </w:rPr>
              <w:fldChar w:fldCharType="end"/>
            </w:r>
          </w:hyperlink>
        </w:p>
        <w:p w14:paraId="6A7B48CB" w14:textId="474DE806" w:rsidR="00AA198E" w:rsidRPr="00AA198E" w:rsidRDefault="00AF48E6">
          <w:pPr>
            <w:pStyle w:val="TDC3"/>
            <w:rPr>
              <w:iCs w:val="0"/>
              <w:noProof/>
              <w:sz w:val="22"/>
              <w:szCs w:val="22"/>
              <w:lang w:eastAsia="es-ES"/>
            </w:rPr>
          </w:pPr>
          <w:hyperlink w:anchor="_Toc99107087" w:history="1">
            <w:r w:rsidR="00AA198E" w:rsidRPr="00AA198E">
              <w:rPr>
                <w:rStyle w:val="Hipervnculo"/>
                <w:rFonts w:ascii="Arial" w:eastAsia="Times New Roman" w:hAnsi="Arial" w:cs="Arial"/>
                <w:noProof/>
                <w:lang w:eastAsia="es-ES"/>
              </w:rPr>
              <w:t>4.4.70.</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Chiva. Utilización sin título del teatro municipal Astoria.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_Toc99107087 \h </w:instrText>
            </w:r>
            <w:r w:rsidR="00AA198E" w:rsidRPr="00AA198E">
              <w:rPr>
                <w:noProof/>
                <w:webHidden/>
              </w:rPr>
            </w:r>
            <w:r w:rsidR="00AA198E" w:rsidRPr="00AA198E">
              <w:rPr>
                <w:noProof/>
                <w:webHidden/>
              </w:rPr>
              <w:fldChar w:fldCharType="separate"/>
            </w:r>
            <w:r w:rsidR="00AA198E" w:rsidRPr="00AA198E">
              <w:rPr>
                <w:noProof/>
                <w:webHidden/>
              </w:rPr>
              <w:t>234</w:t>
            </w:r>
            <w:r w:rsidR="00AA198E" w:rsidRPr="00AA198E">
              <w:rPr>
                <w:noProof/>
                <w:webHidden/>
              </w:rPr>
              <w:fldChar w:fldCharType="end"/>
            </w:r>
          </w:hyperlink>
        </w:p>
        <w:p w14:paraId="16A48258" w14:textId="04CC7854" w:rsidR="00AA198E" w:rsidRPr="00AA198E" w:rsidRDefault="00AF48E6">
          <w:pPr>
            <w:pStyle w:val="TDC3"/>
            <w:rPr>
              <w:iCs w:val="0"/>
              <w:noProof/>
              <w:sz w:val="22"/>
              <w:szCs w:val="22"/>
              <w:lang w:eastAsia="es-ES"/>
            </w:rPr>
          </w:pPr>
          <w:hyperlink w:anchor="_Toc99107088" w:history="1">
            <w:r w:rsidR="00AA198E" w:rsidRPr="00AA198E">
              <w:rPr>
                <w:rStyle w:val="Hipervnculo"/>
                <w:rFonts w:ascii="Arial" w:eastAsia="Times New Roman" w:hAnsi="Arial" w:cs="Arial"/>
                <w:noProof/>
                <w:lang w:eastAsia="es-ES"/>
              </w:rPr>
              <w:t>4.4.71.</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Turís. Irregularidades acceso empleo público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_Toc99107088 \h </w:instrText>
            </w:r>
            <w:r w:rsidR="00AA198E" w:rsidRPr="00AA198E">
              <w:rPr>
                <w:noProof/>
                <w:webHidden/>
              </w:rPr>
            </w:r>
            <w:r w:rsidR="00AA198E" w:rsidRPr="00AA198E">
              <w:rPr>
                <w:noProof/>
                <w:webHidden/>
              </w:rPr>
              <w:fldChar w:fldCharType="separate"/>
            </w:r>
            <w:r w:rsidR="00AA198E" w:rsidRPr="00AA198E">
              <w:rPr>
                <w:noProof/>
                <w:webHidden/>
              </w:rPr>
              <w:t>236</w:t>
            </w:r>
            <w:r w:rsidR="00AA198E" w:rsidRPr="00AA198E">
              <w:rPr>
                <w:noProof/>
                <w:webHidden/>
              </w:rPr>
              <w:fldChar w:fldCharType="end"/>
            </w:r>
          </w:hyperlink>
        </w:p>
        <w:p w14:paraId="40292FBA" w14:textId="24321F06" w:rsidR="00AA198E" w:rsidRPr="00AA198E" w:rsidRDefault="00AF48E6">
          <w:pPr>
            <w:pStyle w:val="TDC3"/>
            <w:rPr>
              <w:iCs w:val="0"/>
              <w:noProof/>
              <w:sz w:val="22"/>
              <w:szCs w:val="22"/>
              <w:lang w:eastAsia="es-ES"/>
            </w:rPr>
          </w:pPr>
          <w:hyperlink w:anchor="_Toc99107089" w:history="1">
            <w:r w:rsidR="00AA198E" w:rsidRPr="00AA198E">
              <w:rPr>
                <w:rStyle w:val="Hipervnculo"/>
                <w:rFonts w:ascii="Arial" w:eastAsia="Times New Roman" w:hAnsi="Arial" w:cs="Arial"/>
                <w:noProof/>
                <w:lang w:eastAsia="es-ES"/>
              </w:rPr>
              <w:t>4.4.72.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Denominación: Ayuntamiento de Benidorm. Hoteles abiertos al público sin licencia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_Toc99107089 \h </w:instrText>
            </w:r>
            <w:r w:rsidR="00AA198E" w:rsidRPr="00AA198E">
              <w:rPr>
                <w:noProof/>
                <w:webHidden/>
              </w:rPr>
            </w:r>
            <w:r w:rsidR="00AA198E" w:rsidRPr="00AA198E">
              <w:rPr>
                <w:noProof/>
                <w:webHidden/>
              </w:rPr>
              <w:fldChar w:fldCharType="separate"/>
            </w:r>
            <w:r w:rsidR="00AA198E" w:rsidRPr="00AA198E">
              <w:rPr>
                <w:noProof/>
                <w:webHidden/>
              </w:rPr>
              <w:t>237</w:t>
            </w:r>
            <w:r w:rsidR="00AA198E" w:rsidRPr="00AA198E">
              <w:rPr>
                <w:noProof/>
                <w:webHidden/>
              </w:rPr>
              <w:fldChar w:fldCharType="end"/>
            </w:r>
          </w:hyperlink>
        </w:p>
        <w:p w14:paraId="0718D089" w14:textId="747425E9" w:rsidR="00AA198E" w:rsidRPr="00AA198E" w:rsidRDefault="00AF48E6">
          <w:pPr>
            <w:pStyle w:val="TDC2"/>
            <w:rPr>
              <w:rFonts w:asciiTheme="minorHAnsi" w:eastAsiaTheme="minorEastAsia" w:hAnsiTheme="minorHAnsi" w:cstheme="minorBidi"/>
              <w:kern w:val="0"/>
              <w:sz w:val="22"/>
              <w:lang w:bidi="ar-SA"/>
            </w:rPr>
          </w:pPr>
          <w:hyperlink w:anchor="_Toc99107090" w:history="1">
            <w:r w:rsidR="00AA198E" w:rsidRPr="00AA198E">
              <w:rPr>
                <w:rStyle w:val="Hipervnculo"/>
              </w:rPr>
              <w:t>4.5.</w:t>
            </w:r>
            <w:r w:rsidR="00AA198E" w:rsidRPr="00AA198E">
              <w:rPr>
                <w:rFonts w:asciiTheme="minorHAnsi" w:eastAsiaTheme="minorEastAsia" w:hAnsiTheme="minorHAnsi" w:cstheme="minorBidi"/>
                <w:kern w:val="0"/>
                <w:sz w:val="22"/>
                <w:lang w:bidi="ar-SA"/>
              </w:rPr>
              <w:tab/>
            </w:r>
            <w:r w:rsidR="00AA198E" w:rsidRPr="00AA198E">
              <w:rPr>
                <w:rStyle w:val="Hipervnculo"/>
              </w:rPr>
              <w:t>Administraciones y entidades que no han aceptado las recomendaciones de la Agencia en las investigaciones finalizadas</w:t>
            </w:r>
            <w:r w:rsidR="00AA198E" w:rsidRPr="00AA198E">
              <w:rPr>
                <w:webHidden/>
              </w:rPr>
              <w:tab/>
            </w:r>
            <w:r w:rsidR="00AA198E" w:rsidRPr="00AA198E">
              <w:rPr>
                <w:webHidden/>
              </w:rPr>
              <w:fldChar w:fldCharType="begin" w:fldLock="1"/>
            </w:r>
            <w:r w:rsidR="00AA198E" w:rsidRPr="00AA198E">
              <w:rPr>
                <w:webHidden/>
              </w:rPr>
              <w:instrText xml:space="preserve"> PAGEREF _Toc99107090 \h </w:instrText>
            </w:r>
            <w:r w:rsidR="00AA198E" w:rsidRPr="00AA198E">
              <w:rPr>
                <w:webHidden/>
              </w:rPr>
            </w:r>
            <w:r w:rsidR="00AA198E" w:rsidRPr="00AA198E">
              <w:rPr>
                <w:webHidden/>
              </w:rPr>
              <w:fldChar w:fldCharType="separate"/>
            </w:r>
            <w:r w:rsidR="00AA198E" w:rsidRPr="00AA198E">
              <w:rPr>
                <w:webHidden/>
              </w:rPr>
              <w:t>243</w:t>
            </w:r>
            <w:r w:rsidR="00AA198E" w:rsidRPr="00AA198E">
              <w:rPr>
                <w:webHidden/>
              </w:rPr>
              <w:fldChar w:fldCharType="end"/>
            </w:r>
          </w:hyperlink>
        </w:p>
        <w:p w14:paraId="5E04C2B4" w14:textId="43707A56" w:rsidR="00AA198E" w:rsidRPr="00AA198E" w:rsidRDefault="00AF48E6">
          <w:pPr>
            <w:pStyle w:val="TDC3"/>
            <w:rPr>
              <w:iCs w:val="0"/>
              <w:noProof/>
              <w:sz w:val="22"/>
              <w:szCs w:val="22"/>
              <w:lang w:eastAsia="es-ES"/>
            </w:rPr>
          </w:pPr>
          <w:hyperlink w:anchor="_Toc99107091" w:history="1">
            <w:r w:rsidR="00AA198E" w:rsidRPr="00AA198E">
              <w:rPr>
                <w:rStyle w:val="Hipervnculo"/>
                <w:rFonts w:ascii="Arial" w:eastAsia="Times New Roman" w:hAnsi="Arial" w:cs="Arial"/>
                <w:noProof/>
                <w:lang w:eastAsia="es-ES"/>
              </w:rPr>
              <w:t>4.5.1.</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Incumplimientos de recomendaciones del Ayuntamiento de València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_Toc99107091 \h </w:instrText>
            </w:r>
            <w:r w:rsidR="00AA198E" w:rsidRPr="00AA198E">
              <w:rPr>
                <w:noProof/>
                <w:webHidden/>
              </w:rPr>
            </w:r>
            <w:r w:rsidR="00AA198E" w:rsidRPr="00AA198E">
              <w:rPr>
                <w:noProof/>
                <w:webHidden/>
              </w:rPr>
              <w:fldChar w:fldCharType="separate"/>
            </w:r>
            <w:r w:rsidR="00AA198E" w:rsidRPr="00AA198E">
              <w:rPr>
                <w:noProof/>
                <w:webHidden/>
              </w:rPr>
              <w:t>243</w:t>
            </w:r>
            <w:r w:rsidR="00AA198E" w:rsidRPr="00AA198E">
              <w:rPr>
                <w:noProof/>
                <w:webHidden/>
              </w:rPr>
              <w:fldChar w:fldCharType="end"/>
            </w:r>
          </w:hyperlink>
        </w:p>
        <w:p w14:paraId="77AE504C" w14:textId="5C9852A7" w:rsidR="00AA198E" w:rsidRPr="00AA198E" w:rsidRDefault="00AF48E6">
          <w:pPr>
            <w:pStyle w:val="TDC3"/>
            <w:rPr>
              <w:iCs w:val="0"/>
              <w:noProof/>
              <w:sz w:val="22"/>
              <w:szCs w:val="22"/>
              <w:lang w:eastAsia="es-ES"/>
            </w:rPr>
          </w:pPr>
          <w:hyperlink w:anchor="_Toc99107092" w:history="1">
            <w:r w:rsidR="00AA198E" w:rsidRPr="00AA198E">
              <w:rPr>
                <w:rStyle w:val="Hipervnculo"/>
                <w:rFonts w:ascii="Arial" w:eastAsia="Times New Roman" w:hAnsi="Arial" w:cs="Arial"/>
                <w:noProof/>
                <w:lang w:eastAsia="es-ES"/>
              </w:rPr>
              <w:t>4.5.2.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Incumplimientos de recomendaciones del Ayuntamiento de Cofrentes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_Toc99107092 \h </w:instrText>
            </w:r>
            <w:r w:rsidR="00AA198E" w:rsidRPr="00AA198E">
              <w:rPr>
                <w:noProof/>
                <w:webHidden/>
              </w:rPr>
            </w:r>
            <w:r w:rsidR="00AA198E" w:rsidRPr="00AA198E">
              <w:rPr>
                <w:noProof/>
                <w:webHidden/>
              </w:rPr>
              <w:fldChar w:fldCharType="separate"/>
            </w:r>
            <w:r w:rsidR="00AA198E" w:rsidRPr="00AA198E">
              <w:rPr>
                <w:noProof/>
                <w:webHidden/>
              </w:rPr>
              <w:t>244</w:t>
            </w:r>
            <w:r w:rsidR="00AA198E" w:rsidRPr="00AA198E">
              <w:rPr>
                <w:noProof/>
                <w:webHidden/>
              </w:rPr>
              <w:fldChar w:fldCharType="end"/>
            </w:r>
          </w:hyperlink>
        </w:p>
        <w:p w14:paraId="754B7CCD" w14:textId="62E5A135" w:rsidR="00AA198E" w:rsidRPr="00AA198E" w:rsidRDefault="00AF48E6">
          <w:pPr>
            <w:pStyle w:val="TDC3"/>
            <w:rPr>
              <w:iCs w:val="0"/>
              <w:noProof/>
              <w:sz w:val="22"/>
              <w:szCs w:val="22"/>
              <w:lang w:eastAsia="es-ES"/>
            </w:rPr>
          </w:pPr>
          <w:hyperlink w:anchor="_Toc99107093" w:history="1">
            <w:r w:rsidR="00AA198E" w:rsidRPr="00AA198E">
              <w:rPr>
                <w:rStyle w:val="Hipervnculo"/>
                <w:rFonts w:ascii="Arial" w:eastAsia="Times New Roman" w:hAnsi="Arial" w:cs="Arial"/>
                <w:noProof/>
                <w:lang w:eastAsia="es-ES"/>
              </w:rPr>
              <w:t>4.5.3.</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Incumplimientos de recomendaciones del Ayuntamiento de Rojales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_Toc99107093 \h </w:instrText>
            </w:r>
            <w:r w:rsidR="00AA198E" w:rsidRPr="00AA198E">
              <w:rPr>
                <w:noProof/>
                <w:webHidden/>
              </w:rPr>
            </w:r>
            <w:r w:rsidR="00AA198E" w:rsidRPr="00AA198E">
              <w:rPr>
                <w:noProof/>
                <w:webHidden/>
              </w:rPr>
              <w:fldChar w:fldCharType="separate"/>
            </w:r>
            <w:r w:rsidR="00AA198E" w:rsidRPr="00AA198E">
              <w:rPr>
                <w:noProof/>
                <w:webHidden/>
              </w:rPr>
              <w:t>245</w:t>
            </w:r>
            <w:r w:rsidR="00AA198E" w:rsidRPr="00AA198E">
              <w:rPr>
                <w:noProof/>
                <w:webHidden/>
              </w:rPr>
              <w:fldChar w:fldCharType="end"/>
            </w:r>
          </w:hyperlink>
        </w:p>
        <w:p w14:paraId="6BFFB4CA" w14:textId="766AE33B" w:rsidR="00AA198E" w:rsidRPr="00AA198E" w:rsidRDefault="00AF48E6">
          <w:pPr>
            <w:pStyle w:val="TDC3"/>
            <w:rPr>
              <w:iCs w:val="0"/>
              <w:noProof/>
              <w:sz w:val="22"/>
              <w:szCs w:val="22"/>
              <w:lang w:eastAsia="es-ES"/>
            </w:rPr>
          </w:pPr>
          <w:hyperlink w:anchor="_Toc99107094" w:history="1">
            <w:r w:rsidR="00AA198E" w:rsidRPr="00AA198E">
              <w:rPr>
                <w:rStyle w:val="Hipervnculo"/>
                <w:rFonts w:ascii="Arial" w:eastAsia="Times New Roman" w:hAnsi="Arial" w:cs="Arial"/>
                <w:noProof/>
                <w:lang w:eastAsia="es-ES"/>
              </w:rPr>
              <w:t>4.5.4.</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Incumplimientos de recomendaciones del Institut Valencià de Cultura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_Toc99107094 \h </w:instrText>
            </w:r>
            <w:r w:rsidR="00AA198E" w:rsidRPr="00AA198E">
              <w:rPr>
                <w:noProof/>
                <w:webHidden/>
              </w:rPr>
            </w:r>
            <w:r w:rsidR="00AA198E" w:rsidRPr="00AA198E">
              <w:rPr>
                <w:noProof/>
                <w:webHidden/>
              </w:rPr>
              <w:fldChar w:fldCharType="separate"/>
            </w:r>
            <w:r w:rsidR="00AA198E" w:rsidRPr="00AA198E">
              <w:rPr>
                <w:noProof/>
                <w:webHidden/>
              </w:rPr>
              <w:t>246</w:t>
            </w:r>
            <w:r w:rsidR="00AA198E" w:rsidRPr="00AA198E">
              <w:rPr>
                <w:noProof/>
                <w:webHidden/>
              </w:rPr>
              <w:fldChar w:fldCharType="end"/>
            </w:r>
          </w:hyperlink>
        </w:p>
        <w:p w14:paraId="4BC78E03" w14:textId="5FE4463B" w:rsidR="00AA198E" w:rsidRPr="00AA198E" w:rsidRDefault="00AF48E6">
          <w:pPr>
            <w:pStyle w:val="TDC2"/>
            <w:rPr>
              <w:rFonts w:asciiTheme="minorHAnsi" w:eastAsiaTheme="minorEastAsia" w:hAnsiTheme="minorHAnsi" w:cstheme="minorBidi"/>
              <w:kern w:val="0"/>
              <w:sz w:val="22"/>
              <w:lang w:bidi="ar-SA"/>
            </w:rPr>
          </w:pPr>
          <w:hyperlink w:anchor="_Toc99107095" w:history="1">
            <w:r w:rsidR="00AA198E" w:rsidRPr="00AA198E">
              <w:rPr>
                <w:rStyle w:val="Hipervnculo"/>
              </w:rPr>
              <w:t>4.6.</w:t>
            </w:r>
            <w:r w:rsidR="00AA198E" w:rsidRPr="00AA198E">
              <w:rPr>
                <w:rFonts w:asciiTheme="minorHAnsi" w:eastAsiaTheme="minorEastAsia" w:hAnsiTheme="minorHAnsi" w:cstheme="minorBidi"/>
                <w:kern w:val="0"/>
                <w:sz w:val="22"/>
                <w:lang w:bidi="ar-SA"/>
              </w:rPr>
              <w:tab/>
            </w:r>
            <w:r w:rsidR="00AA198E" w:rsidRPr="00AA198E">
              <w:rPr>
                <w:rStyle w:val="Hipervnculo"/>
              </w:rPr>
              <w:t>Colaboración con otras instituciones</w:t>
            </w:r>
            <w:r w:rsidR="00AA198E" w:rsidRPr="00AA198E">
              <w:rPr>
                <w:webHidden/>
              </w:rPr>
              <w:tab/>
            </w:r>
            <w:r w:rsidR="00AA198E" w:rsidRPr="00AA198E">
              <w:rPr>
                <w:webHidden/>
              </w:rPr>
              <w:fldChar w:fldCharType="begin" w:fldLock="1"/>
            </w:r>
            <w:r w:rsidR="00AA198E" w:rsidRPr="00AA198E">
              <w:rPr>
                <w:webHidden/>
              </w:rPr>
              <w:instrText xml:space="preserve"> PAGEREF _Toc99107095 \h </w:instrText>
            </w:r>
            <w:r w:rsidR="00AA198E" w:rsidRPr="00AA198E">
              <w:rPr>
                <w:webHidden/>
              </w:rPr>
            </w:r>
            <w:r w:rsidR="00AA198E" w:rsidRPr="00AA198E">
              <w:rPr>
                <w:webHidden/>
              </w:rPr>
              <w:fldChar w:fldCharType="separate"/>
            </w:r>
            <w:r w:rsidR="00AA198E" w:rsidRPr="00AA198E">
              <w:rPr>
                <w:webHidden/>
              </w:rPr>
              <w:t>247</w:t>
            </w:r>
            <w:r w:rsidR="00AA198E" w:rsidRPr="00AA198E">
              <w:rPr>
                <w:webHidden/>
              </w:rPr>
              <w:fldChar w:fldCharType="end"/>
            </w:r>
          </w:hyperlink>
        </w:p>
        <w:p w14:paraId="419FE0D5" w14:textId="30BB57D3" w:rsidR="00AA198E" w:rsidRPr="00AA198E" w:rsidRDefault="00AF48E6">
          <w:pPr>
            <w:pStyle w:val="TDC2"/>
            <w:rPr>
              <w:rFonts w:asciiTheme="minorHAnsi" w:eastAsiaTheme="minorEastAsia" w:hAnsiTheme="minorHAnsi" w:cstheme="minorBidi"/>
              <w:kern w:val="0"/>
              <w:sz w:val="22"/>
              <w:lang w:bidi="ar-SA"/>
            </w:rPr>
          </w:pPr>
          <w:hyperlink w:anchor="_Toc99107096" w:history="1">
            <w:r w:rsidR="00AA198E" w:rsidRPr="00AA198E">
              <w:rPr>
                <w:rStyle w:val="Hipervnculo"/>
              </w:rPr>
              <w:t>4.7.</w:t>
            </w:r>
            <w:r w:rsidR="00AA198E" w:rsidRPr="00AA198E">
              <w:rPr>
                <w:rFonts w:asciiTheme="minorHAnsi" w:eastAsiaTheme="minorEastAsia" w:hAnsiTheme="minorHAnsi" w:cstheme="minorBidi"/>
                <w:kern w:val="0"/>
                <w:sz w:val="22"/>
                <w:lang w:bidi="ar-SA"/>
              </w:rPr>
              <w:tab/>
            </w:r>
            <w:r w:rsidR="00AA198E" w:rsidRPr="00AA198E">
              <w:rPr>
                <w:rStyle w:val="Hipervnculo"/>
              </w:rPr>
              <w:t>Sistemas de información</w:t>
            </w:r>
            <w:r w:rsidR="00AA198E" w:rsidRPr="00AA198E">
              <w:rPr>
                <w:webHidden/>
              </w:rPr>
              <w:tab/>
            </w:r>
            <w:r w:rsidR="00AA198E" w:rsidRPr="00AA198E">
              <w:rPr>
                <w:webHidden/>
              </w:rPr>
              <w:fldChar w:fldCharType="begin" w:fldLock="1"/>
            </w:r>
            <w:r w:rsidR="00AA198E" w:rsidRPr="00AA198E">
              <w:rPr>
                <w:webHidden/>
              </w:rPr>
              <w:instrText xml:space="preserve"> PAGEREF _Toc99107096 \h </w:instrText>
            </w:r>
            <w:r w:rsidR="00AA198E" w:rsidRPr="00AA198E">
              <w:rPr>
                <w:webHidden/>
              </w:rPr>
            </w:r>
            <w:r w:rsidR="00AA198E" w:rsidRPr="00AA198E">
              <w:rPr>
                <w:webHidden/>
              </w:rPr>
              <w:fldChar w:fldCharType="separate"/>
            </w:r>
            <w:r w:rsidR="00AA198E" w:rsidRPr="00AA198E">
              <w:rPr>
                <w:webHidden/>
              </w:rPr>
              <w:t>248</w:t>
            </w:r>
            <w:r w:rsidR="00AA198E" w:rsidRPr="00AA198E">
              <w:rPr>
                <w:webHidden/>
              </w:rPr>
              <w:fldChar w:fldCharType="end"/>
            </w:r>
          </w:hyperlink>
        </w:p>
        <w:p w14:paraId="2D8119C1" w14:textId="5FC878E5" w:rsidR="00AA198E" w:rsidRPr="00AA198E" w:rsidRDefault="00AF48E6" w:rsidP="00AA198E">
          <w:pPr>
            <w:pStyle w:val="TDC1"/>
            <w:rPr>
              <w:rFonts w:asciiTheme="minorHAnsi" w:eastAsiaTheme="minorEastAsia" w:hAnsiTheme="minorHAnsi" w:cstheme="minorBidi"/>
              <w:kern w:val="0"/>
              <w:sz w:val="22"/>
              <w:szCs w:val="22"/>
              <w:lang w:bidi="ar-SA"/>
            </w:rPr>
          </w:pPr>
          <w:hyperlink w:anchor="_Toc99107097" w:history="1">
            <w:r w:rsidR="00AA198E" w:rsidRPr="00AA198E">
              <w:rPr>
                <w:rStyle w:val="Hipervnculo"/>
                <w:rFonts w:eastAsia="Times New Roman"/>
              </w:rPr>
              <w:t>5.</w:t>
            </w:r>
            <w:r w:rsidR="00AA198E" w:rsidRPr="00AA198E">
              <w:rPr>
                <w:rFonts w:asciiTheme="minorHAnsi" w:eastAsiaTheme="minorEastAsia" w:hAnsiTheme="minorHAnsi" w:cstheme="minorBidi"/>
                <w:kern w:val="0"/>
                <w:sz w:val="22"/>
                <w:szCs w:val="22"/>
                <w:lang w:bidi="ar-SA"/>
              </w:rPr>
              <w:tab/>
            </w:r>
            <w:r w:rsidR="00AA198E" w:rsidRPr="00AA198E">
              <w:rPr>
                <w:rStyle w:val="Hipervnculo"/>
                <w:rFonts w:eastAsia="Times New Roman"/>
              </w:rPr>
              <w:t>Prevención,  formación y documentación</w:t>
            </w:r>
            <w:r w:rsidR="00AA198E" w:rsidRPr="00AA198E">
              <w:rPr>
                <w:webHidden/>
              </w:rPr>
              <w:tab/>
            </w:r>
            <w:r w:rsidR="00AA198E" w:rsidRPr="00AA198E">
              <w:rPr>
                <w:webHidden/>
              </w:rPr>
              <w:fldChar w:fldCharType="begin" w:fldLock="1"/>
            </w:r>
            <w:r w:rsidR="00AA198E" w:rsidRPr="00AA198E">
              <w:rPr>
                <w:webHidden/>
              </w:rPr>
              <w:instrText xml:space="preserve"> PAGEREF _Toc99107097 \h </w:instrText>
            </w:r>
            <w:r w:rsidR="00AA198E" w:rsidRPr="00AA198E">
              <w:rPr>
                <w:webHidden/>
              </w:rPr>
            </w:r>
            <w:r w:rsidR="00AA198E" w:rsidRPr="00AA198E">
              <w:rPr>
                <w:webHidden/>
              </w:rPr>
              <w:fldChar w:fldCharType="separate"/>
            </w:r>
            <w:r w:rsidR="00AA198E" w:rsidRPr="00AA198E">
              <w:rPr>
                <w:webHidden/>
              </w:rPr>
              <w:t>251</w:t>
            </w:r>
            <w:r w:rsidR="00AA198E" w:rsidRPr="00AA198E">
              <w:rPr>
                <w:webHidden/>
              </w:rPr>
              <w:fldChar w:fldCharType="end"/>
            </w:r>
          </w:hyperlink>
        </w:p>
        <w:p w14:paraId="4CC5DACD" w14:textId="58C00682" w:rsidR="00AA198E" w:rsidRPr="00AA198E" w:rsidRDefault="00AF48E6">
          <w:pPr>
            <w:pStyle w:val="TDC2"/>
            <w:rPr>
              <w:rFonts w:asciiTheme="minorHAnsi" w:eastAsiaTheme="minorEastAsia" w:hAnsiTheme="minorHAnsi" w:cstheme="minorBidi"/>
              <w:kern w:val="0"/>
              <w:sz w:val="22"/>
              <w:lang w:bidi="ar-SA"/>
            </w:rPr>
          </w:pPr>
          <w:hyperlink w:anchor="_Toc99107098" w:history="1">
            <w:r w:rsidR="00AA198E" w:rsidRPr="00AA198E">
              <w:rPr>
                <w:rStyle w:val="Hipervnculo"/>
              </w:rPr>
              <w:t>5.1.</w:t>
            </w:r>
            <w:r w:rsidR="00AA198E" w:rsidRPr="00AA198E">
              <w:rPr>
                <w:rFonts w:asciiTheme="minorHAnsi" w:eastAsiaTheme="minorEastAsia" w:hAnsiTheme="minorHAnsi" w:cstheme="minorBidi"/>
                <w:kern w:val="0"/>
                <w:sz w:val="22"/>
                <w:lang w:bidi="ar-SA"/>
              </w:rPr>
              <w:tab/>
            </w:r>
            <w:r w:rsidR="00AA198E" w:rsidRPr="00AA198E">
              <w:rPr>
                <w:rStyle w:val="Hipervnculo"/>
              </w:rPr>
              <w:t>Introducción</w:t>
            </w:r>
            <w:r w:rsidR="00AA198E" w:rsidRPr="00AA198E">
              <w:rPr>
                <w:webHidden/>
              </w:rPr>
              <w:tab/>
            </w:r>
            <w:r w:rsidR="00AA198E" w:rsidRPr="00AA198E">
              <w:rPr>
                <w:webHidden/>
              </w:rPr>
              <w:fldChar w:fldCharType="begin" w:fldLock="1"/>
            </w:r>
            <w:r w:rsidR="00AA198E" w:rsidRPr="00AA198E">
              <w:rPr>
                <w:webHidden/>
              </w:rPr>
              <w:instrText xml:space="preserve"> PAGEREF _Toc99107098 \h </w:instrText>
            </w:r>
            <w:r w:rsidR="00AA198E" w:rsidRPr="00AA198E">
              <w:rPr>
                <w:webHidden/>
              </w:rPr>
            </w:r>
            <w:r w:rsidR="00AA198E" w:rsidRPr="00AA198E">
              <w:rPr>
                <w:webHidden/>
              </w:rPr>
              <w:fldChar w:fldCharType="separate"/>
            </w:r>
            <w:r w:rsidR="00AA198E" w:rsidRPr="00AA198E">
              <w:rPr>
                <w:webHidden/>
              </w:rPr>
              <w:t>251</w:t>
            </w:r>
            <w:r w:rsidR="00AA198E" w:rsidRPr="00AA198E">
              <w:rPr>
                <w:webHidden/>
              </w:rPr>
              <w:fldChar w:fldCharType="end"/>
            </w:r>
          </w:hyperlink>
        </w:p>
        <w:p w14:paraId="5D67D492" w14:textId="30C28589" w:rsidR="00AA198E" w:rsidRPr="00AA198E" w:rsidRDefault="00AF48E6">
          <w:pPr>
            <w:pStyle w:val="TDC2"/>
            <w:rPr>
              <w:rFonts w:asciiTheme="minorHAnsi" w:eastAsiaTheme="minorEastAsia" w:hAnsiTheme="minorHAnsi" w:cstheme="minorBidi"/>
              <w:kern w:val="0"/>
              <w:sz w:val="22"/>
              <w:lang w:bidi="ar-SA"/>
            </w:rPr>
          </w:pPr>
          <w:hyperlink w:anchor="_Toc99107099" w:history="1">
            <w:r w:rsidR="00AA198E" w:rsidRPr="00AA198E">
              <w:rPr>
                <w:rStyle w:val="Hipervnculo"/>
              </w:rPr>
              <w:t>5.2.</w:t>
            </w:r>
            <w:r w:rsidR="00AA198E" w:rsidRPr="00AA198E">
              <w:rPr>
                <w:rFonts w:asciiTheme="minorHAnsi" w:eastAsiaTheme="minorEastAsia" w:hAnsiTheme="minorHAnsi" w:cstheme="minorBidi"/>
                <w:kern w:val="0"/>
                <w:sz w:val="22"/>
                <w:lang w:bidi="ar-SA"/>
              </w:rPr>
              <w:tab/>
            </w:r>
            <w:r w:rsidR="00AA198E" w:rsidRPr="00AA198E">
              <w:rPr>
                <w:rStyle w:val="Hipervnculo"/>
              </w:rPr>
              <w:t>Prevención</w:t>
            </w:r>
            <w:r w:rsidR="00AA198E" w:rsidRPr="00AA198E">
              <w:rPr>
                <w:webHidden/>
              </w:rPr>
              <w:tab/>
            </w:r>
            <w:r w:rsidR="00AA198E" w:rsidRPr="00AA198E">
              <w:rPr>
                <w:webHidden/>
              </w:rPr>
              <w:fldChar w:fldCharType="begin" w:fldLock="1"/>
            </w:r>
            <w:r w:rsidR="00AA198E" w:rsidRPr="00AA198E">
              <w:rPr>
                <w:webHidden/>
              </w:rPr>
              <w:instrText xml:space="preserve"> PAGEREF _Toc99107099 \h </w:instrText>
            </w:r>
            <w:r w:rsidR="00AA198E" w:rsidRPr="00AA198E">
              <w:rPr>
                <w:webHidden/>
              </w:rPr>
            </w:r>
            <w:r w:rsidR="00AA198E" w:rsidRPr="00AA198E">
              <w:rPr>
                <w:webHidden/>
              </w:rPr>
              <w:fldChar w:fldCharType="separate"/>
            </w:r>
            <w:r w:rsidR="00AA198E" w:rsidRPr="00AA198E">
              <w:rPr>
                <w:webHidden/>
              </w:rPr>
              <w:t>253</w:t>
            </w:r>
            <w:r w:rsidR="00AA198E" w:rsidRPr="00AA198E">
              <w:rPr>
                <w:webHidden/>
              </w:rPr>
              <w:fldChar w:fldCharType="end"/>
            </w:r>
          </w:hyperlink>
        </w:p>
        <w:p w14:paraId="7352C6AB" w14:textId="21F560F4" w:rsidR="00AA198E" w:rsidRPr="00AA198E" w:rsidRDefault="00AF48E6">
          <w:pPr>
            <w:pStyle w:val="TDC3"/>
            <w:rPr>
              <w:iCs w:val="0"/>
              <w:noProof/>
              <w:sz w:val="22"/>
              <w:szCs w:val="22"/>
              <w:lang w:eastAsia="es-ES"/>
            </w:rPr>
          </w:pPr>
          <w:hyperlink w:anchor="_Toc99107100" w:history="1">
            <w:r w:rsidR="00AA198E" w:rsidRPr="00AA198E">
              <w:rPr>
                <w:rStyle w:val="Hipervnculo"/>
                <w:rFonts w:ascii="Arial" w:eastAsia="Times New Roman" w:hAnsi="Arial" w:cs="Arial"/>
                <w:noProof/>
                <w:lang w:eastAsia="es-ES"/>
              </w:rPr>
              <w:t>5.2.1.</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Misión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_Toc99107100 \h </w:instrText>
            </w:r>
            <w:r w:rsidR="00AA198E" w:rsidRPr="00AA198E">
              <w:rPr>
                <w:noProof/>
                <w:webHidden/>
              </w:rPr>
            </w:r>
            <w:r w:rsidR="00AA198E" w:rsidRPr="00AA198E">
              <w:rPr>
                <w:noProof/>
                <w:webHidden/>
              </w:rPr>
              <w:fldChar w:fldCharType="separate"/>
            </w:r>
            <w:r w:rsidR="00AA198E" w:rsidRPr="00AA198E">
              <w:rPr>
                <w:noProof/>
                <w:webHidden/>
              </w:rPr>
              <w:t>253</w:t>
            </w:r>
            <w:r w:rsidR="00AA198E" w:rsidRPr="00AA198E">
              <w:rPr>
                <w:noProof/>
                <w:webHidden/>
              </w:rPr>
              <w:fldChar w:fldCharType="end"/>
            </w:r>
          </w:hyperlink>
        </w:p>
        <w:p w14:paraId="499C81F6" w14:textId="1CDA5096" w:rsidR="00AA198E" w:rsidRPr="00AA198E" w:rsidRDefault="00AF48E6">
          <w:pPr>
            <w:pStyle w:val="TDC3"/>
            <w:rPr>
              <w:iCs w:val="0"/>
              <w:noProof/>
              <w:sz w:val="22"/>
              <w:szCs w:val="22"/>
              <w:lang w:eastAsia="es-ES"/>
            </w:rPr>
          </w:pPr>
          <w:hyperlink w:anchor="_Toc99107101" w:history="1">
            <w:r w:rsidR="00AA198E" w:rsidRPr="00AA198E">
              <w:rPr>
                <w:rStyle w:val="Hipervnculo"/>
                <w:rFonts w:ascii="Arial" w:eastAsia="Times New Roman" w:hAnsi="Arial" w:cs="Arial"/>
                <w:noProof/>
                <w:lang w:eastAsia="es-ES"/>
              </w:rPr>
              <w:t>5.2.2.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Desarrollo del Plan Estratégico de Prevención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_Toc99107101 \h </w:instrText>
            </w:r>
            <w:r w:rsidR="00AA198E" w:rsidRPr="00AA198E">
              <w:rPr>
                <w:noProof/>
                <w:webHidden/>
              </w:rPr>
            </w:r>
            <w:r w:rsidR="00AA198E" w:rsidRPr="00AA198E">
              <w:rPr>
                <w:noProof/>
                <w:webHidden/>
              </w:rPr>
              <w:fldChar w:fldCharType="separate"/>
            </w:r>
            <w:r w:rsidR="00AA198E" w:rsidRPr="00AA198E">
              <w:rPr>
                <w:noProof/>
                <w:webHidden/>
              </w:rPr>
              <w:t>254</w:t>
            </w:r>
            <w:r w:rsidR="00AA198E" w:rsidRPr="00AA198E">
              <w:rPr>
                <w:noProof/>
                <w:webHidden/>
              </w:rPr>
              <w:fldChar w:fldCharType="end"/>
            </w:r>
          </w:hyperlink>
        </w:p>
        <w:p w14:paraId="14328D51" w14:textId="75527B73" w:rsidR="00AA198E" w:rsidRPr="00AA198E" w:rsidRDefault="00AF48E6">
          <w:pPr>
            <w:pStyle w:val="TDC3"/>
            <w:rPr>
              <w:iCs w:val="0"/>
              <w:noProof/>
              <w:sz w:val="22"/>
              <w:szCs w:val="22"/>
              <w:lang w:eastAsia="es-ES"/>
            </w:rPr>
          </w:pPr>
          <w:hyperlink w:anchor="_Toc99107102" w:history="1">
            <w:r w:rsidR="00AA198E" w:rsidRPr="00AA198E">
              <w:rPr>
                <w:rStyle w:val="Hipervnculo"/>
                <w:rFonts w:ascii="Arial" w:eastAsia="Times New Roman" w:hAnsi="Arial" w:cs="Arial"/>
                <w:noProof/>
                <w:lang w:eastAsia="es-ES"/>
              </w:rPr>
              <w:t>5.2.3.</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Recomendaciones, guías y manuales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_Toc99107102 \h </w:instrText>
            </w:r>
            <w:r w:rsidR="00AA198E" w:rsidRPr="00AA198E">
              <w:rPr>
                <w:noProof/>
                <w:webHidden/>
              </w:rPr>
            </w:r>
            <w:r w:rsidR="00AA198E" w:rsidRPr="00AA198E">
              <w:rPr>
                <w:noProof/>
                <w:webHidden/>
              </w:rPr>
              <w:fldChar w:fldCharType="separate"/>
            </w:r>
            <w:r w:rsidR="00AA198E" w:rsidRPr="00AA198E">
              <w:rPr>
                <w:noProof/>
                <w:webHidden/>
              </w:rPr>
              <w:t>255</w:t>
            </w:r>
            <w:r w:rsidR="00AA198E" w:rsidRPr="00AA198E">
              <w:rPr>
                <w:noProof/>
                <w:webHidden/>
              </w:rPr>
              <w:fldChar w:fldCharType="end"/>
            </w:r>
          </w:hyperlink>
        </w:p>
        <w:p w14:paraId="726412D2" w14:textId="4C7A76C3" w:rsidR="00AA198E" w:rsidRPr="00AA198E" w:rsidRDefault="00AF48E6">
          <w:pPr>
            <w:pStyle w:val="TDC3"/>
            <w:rPr>
              <w:iCs w:val="0"/>
              <w:noProof/>
              <w:sz w:val="22"/>
              <w:szCs w:val="22"/>
              <w:lang w:eastAsia="es-ES"/>
            </w:rPr>
          </w:pPr>
          <w:hyperlink w:anchor="_Toc99107103" w:history="1">
            <w:r w:rsidR="00AA198E" w:rsidRPr="00AA198E">
              <w:rPr>
                <w:rStyle w:val="Hipervnculo"/>
                <w:rFonts w:ascii="Arial" w:eastAsia="Times New Roman" w:hAnsi="Arial" w:cs="Arial"/>
                <w:noProof/>
                <w:lang w:eastAsia="es-ES"/>
              </w:rPr>
              <w:t>5.2.4.</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Propuestas sobre disposiciones normativas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_Toc99107103 \h </w:instrText>
            </w:r>
            <w:r w:rsidR="00AA198E" w:rsidRPr="00AA198E">
              <w:rPr>
                <w:noProof/>
                <w:webHidden/>
              </w:rPr>
            </w:r>
            <w:r w:rsidR="00AA198E" w:rsidRPr="00AA198E">
              <w:rPr>
                <w:noProof/>
                <w:webHidden/>
              </w:rPr>
              <w:fldChar w:fldCharType="separate"/>
            </w:r>
            <w:r w:rsidR="00AA198E" w:rsidRPr="00AA198E">
              <w:rPr>
                <w:noProof/>
                <w:webHidden/>
              </w:rPr>
              <w:t>261</w:t>
            </w:r>
            <w:r w:rsidR="00AA198E" w:rsidRPr="00AA198E">
              <w:rPr>
                <w:noProof/>
                <w:webHidden/>
              </w:rPr>
              <w:fldChar w:fldCharType="end"/>
            </w:r>
          </w:hyperlink>
        </w:p>
        <w:p w14:paraId="0432FD8D" w14:textId="448C3038" w:rsidR="00AA198E" w:rsidRPr="00AA198E" w:rsidRDefault="00AF48E6">
          <w:pPr>
            <w:pStyle w:val="TDC3"/>
            <w:rPr>
              <w:iCs w:val="0"/>
              <w:noProof/>
              <w:sz w:val="22"/>
              <w:szCs w:val="22"/>
              <w:lang w:eastAsia="es-ES"/>
            </w:rPr>
          </w:pPr>
          <w:hyperlink w:anchor="_Toc99107104" w:history="1">
            <w:r w:rsidR="00AA198E" w:rsidRPr="00AA198E">
              <w:rPr>
                <w:rStyle w:val="Hipervnculo"/>
                <w:rFonts w:ascii="Arial" w:eastAsia="Times New Roman" w:hAnsi="Arial" w:cs="Arial"/>
                <w:noProof/>
                <w:lang w:eastAsia="es-ES"/>
              </w:rPr>
              <w:t>5.2.5.</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Identificación de riesgos de corrupción y estrategia de integridad pública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_Toc99107104 \h </w:instrText>
            </w:r>
            <w:r w:rsidR="00AA198E" w:rsidRPr="00AA198E">
              <w:rPr>
                <w:noProof/>
                <w:webHidden/>
              </w:rPr>
            </w:r>
            <w:r w:rsidR="00AA198E" w:rsidRPr="00AA198E">
              <w:rPr>
                <w:noProof/>
                <w:webHidden/>
              </w:rPr>
              <w:fldChar w:fldCharType="separate"/>
            </w:r>
            <w:r w:rsidR="00AA198E" w:rsidRPr="00AA198E">
              <w:rPr>
                <w:noProof/>
                <w:webHidden/>
              </w:rPr>
              <w:t>264</w:t>
            </w:r>
            <w:r w:rsidR="00AA198E" w:rsidRPr="00AA198E">
              <w:rPr>
                <w:noProof/>
                <w:webHidden/>
              </w:rPr>
              <w:fldChar w:fldCharType="end"/>
            </w:r>
          </w:hyperlink>
        </w:p>
        <w:p w14:paraId="3335B60F" w14:textId="0D162E82" w:rsidR="00AA198E" w:rsidRPr="00AA198E" w:rsidRDefault="00AF48E6">
          <w:pPr>
            <w:pStyle w:val="TDC3"/>
            <w:rPr>
              <w:iCs w:val="0"/>
              <w:noProof/>
              <w:sz w:val="22"/>
              <w:szCs w:val="22"/>
              <w:lang w:eastAsia="es-ES"/>
            </w:rPr>
          </w:pPr>
          <w:hyperlink w:anchor="_Toc99107105" w:history="1">
            <w:r w:rsidR="00AA198E" w:rsidRPr="00AA198E">
              <w:rPr>
                <w:rStyle w:val="Hipervnculo"/>
                <w:rFonts w:ascii="Arial" w:eastAsia="Times New Roman" w:hAnsi="Arial" w:cs="Arial"/>
                <w:noProof/>
                <w:lang w:eastAsia="es-ES"/>
              </w:rPr>
              <w:t>5.2.6.</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Consultoría, difusión y otras actividades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_Toc99107105 \h </w:instrText>
            </w:r>
            <w:r w:rsidR="00AA198E" w:rsidRPr="00AA198E">
              <w:rPr>
                <w:noProof/>
                <w:webHidden/>
              </w:rPr>
            </w:r>
            <w:r w:rsidR="00AA198E" w:rsidRPr="00AA198E">
              <w:rPr>
                <w:noProof/>
                <w:webHidden/>
              </w:rPr>
              <w:fldChar w:fldCharType="separate"/>
            </w:r>
            <w:r w:rsidR="00AA198E" w:rsidRPr="00AA198E">
              <w:rPr>
                <w:noProof/>
                <w:webHidden/>
              </w:rPr>
              <w:t>267</w:t>
            </w:r>
            <w:r w:rsidR="00AA198E" w:rsidRPr="00AA198E">
              <w:rPr>
                <w:noProof/>
                <w:webHidden/>
              </w:rPr>
              <w:fldChar w:fldCharType="end"/>
            </w:r>
          </w:hyperlink>
        </w:p>
        <w:p w14:paraId="2E961AE4" w14:textId="1FCDAF77" w:rsidR="00AA198E" w:rsidRPr="00AA198E" w:rsidRDefault="00AF48E6">
          <w:pPr>
            <w:pStyle w:val="TDC2"/>
            <w:rPr>
              <w:rFonts w:asciiTheme="minorHAnsi" w:eastAsiaTheme="minorEastAsia" w:hAnsiTheme="minorHAnsi" w:cstheme="minorBidi"/>
              <w:kern w:val="0"/>
              <w:sz w:val="22"/>
              <w:lang w:bidi="ar-SA"/>
            </w:rPr>
          </w:pPr>
          <w:hyperlink w:anchor="_Toc99107106" w:history="1">
            <w:r w:rsidR="00AA198E" w:rsidRPr="00AA198E">
              <w:rPr>
                <w:rStyle w:val="Hipervnculo"/>
              </w:rPr>
              <w:t>5.3.</w:t>
            </w:r>
            <w:r w:rsidR="00AA198E" w:rsidRPr="00AA198E">
              <w:rPr>
                <w:rFonts w:asciiTheme="minorHAnsi" w:eastAsiaTheme="minorEastAsia" w:hAnsiTheme="minorHAnsi" w:cstheme="minorBidi"/>
                <w:kern w:val="0"/>
                <w:sz w:val="22"/>
                <w:lang w:bidi="ar-SA"/>
              </w:rPr>
              <w:tab/>
            </w:r>
            <w:r w:rsidR="00AA198E" w:rsidRPr="00AA198E">
              <w:rPr>
                <w:rStyle w:val="Hipervnculo"/>
              </w:rPr>
              <w:t>Formación</w:t>
            </w:r>
            <w:r w:rsidR="00AA198E" w:rsidRPr="00AA198E">
              <w:rPr>
                <w:webHidden/>
              </w:rPr>
              <w:tab/>
            </w:r>
            <w:r w:rsidR="00AA198E" w:rsidRPr="00AA198E">
              <w:rPr>
                <w:webHidden/>
              </w:rPr>
              <w:fldChar w:fldCharType="begin" w:fldLock="1"/>
            </w:r>
            <w:r w:rsidR="00AA198E" w:rsidRPr="00AA198E">
              <w:rPr>
                <w:webHidden/>
              </w:rPr>
              <w:instrText xml:space="preserve"> PAGEREF _Toc99107106 \h </w:instrText>
            </w:r>
            <w:r w:rsidR="00AA198E" w:rsidRPr="00AA198E">
              <w:rPr>
                <w:webHidden/>
              </w:rPr>
            </w:r>
            <w:r w:rsidR="00AA198E" w:rsidRPr="00AA198E">
              <w:rPr>
                <w:webHidden/>
              </w:rPr>
              <w:fldChar w:fldCharType="separate"/>
            </w:r>
            <w:r w:rsidR="00AA198E" w:rsidRPr="00AA198E">
              <w:rPr>
                <w:webHidden/>
              </w:rPr>
              <w:t>270</w:t>
            </w:r>
            <w:r w:rsidR="00AA198E" w:rsidRPr="00AA198E">
              <w:rPr>
                <w:webHidden/>
              </w:rPr>
              <w:fldChar w:fldCharType="end"/>
            </w:r>
          </w:hyperlink>
        </w:p>
        <w:p w14:paraId="4F927492" w14:textId="0E16CCAF" w:rsidR="00AA198E" w:rsidRPr="00AA198E" w:rsidRDefault="00AF48E6">
          <w:pPr>
            <w:pStyle w:val="TDC3"/>
            <w:rPr>
              <w:iCs w:val="0"/>
              <w:noProof/>
              <w:sz w:val="22"/>
              <w:szCs w:val="22"/>
              <w:lang w:eastAsia="es-ES"/>
            </w:rPr>
          </w:pPr>
          <w:hyperlink w:anchor="_Toc99107107" w:history="1">
            <w:r w:rsidR="00AA198E" w:rsidRPr="00AA198E">
              <w:rPr>
                <w:rStyle w:val="Hipervnculo"/>
                <w:rFonts w:ascii="Arial" w:eastAsia="Times New Roman" w:hAnsi="Arial" w:cs="Arial"/>
                <w:noProof/>
                <w:lang w:eastAsia="es-ES"/>
              </w:rPr>
              <w:t>5.3.1.</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Funciones del Servicio de Formación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_Toc99107107 \h </w:instrText>
            </w:r>
            <w:r w:rsidR="00AA198E" w:rsidRPr="00AA198E">
              <w:rPr>
                <w:noProof/>
                <w:webHidden/>
              </w:rPr>
            </w:r>
            <w:r w:rsidR="00AA198E" w:rsidRPr="00AA198E">
              <w:rPr>
                <w:noProof/>
                <w:webHidden/>
              </w:rPr>
              <w:fldChar w:fldCharType="separate"/>
            </w:r>
            <w:r w:rsidR="00AA198E" w:rsidRPr="00AA198E">
              <w:rPr>
                <w:noProof/>
                <w:webHidden/>
              </w:rPr>
              <w:t>270</w:t>
            </w:r>
            <w:r w:rsidR="00AA198E" w:rsidRPr="00AA198E">
              <w:rPr>
                <w:noProof/>
                <w:webHidden/>
              </w:rPr>
              <w:fldChar w:fldCharType="end"/>
            </w:r>
          </w:hyperlink>
        </w:p>
        <w:p w14:paraId="408ED36A" w14:textId="495A1EFB" w:rsidR="00AA198E" w:rsidRPr="00AA198E" w:rsidRDefault="00AF48E6">
          <w:pPr>
            <w:pStyle w:val="TDC3"/>
            <w:rPr>
              <w:iCs w:val="0"/>
              <w:noProof/>
              <w:sz w:val="22"/>
              <w:szCs w:val="22"/>
              <w:lang w:eastAsia="es-ES"/>
            </w:rPr>
          </w:pPr>
          <w:hyperlink w:anchor="_Toc99107108" w:history="1">
            <w:r w:rsidR="00AA198E" w:rsidRPr="00AA198E">
              <w:rPr>
                <w:rStyle w:val="Hipervnculo"/>
                <w:rFonts w:ascii="Arial" w:eastAsia="Times New Roman" w:hAnsi="Arial" w:cs="Arial"/>
                <w:noProof/>
                <w:lang w:eastAsia="es-ES"/>
              </w:rPr>
              <w:t>5.3.2.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Plan Estratégico de Formación 2021-2024</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_Toc99107108 \h </w:instrText>
            </w:r>
            <w:r w:rsidR="00AA198E" w:rsidRPr="00AA198E">
              <w:rPr>
                <w:noProof/>
                <w:webHidden/>
              </w:rPr>
            </w:r>
            <w:r w:rsidR="00AA198E" w:rsidRPr="00AA198E">
              <w:rPr>
                <w:noProof/>
                <w:webHidden/>
              </w:rPr>
              <w:fldChar w:fldCharType="separate"/>
            </w:r>
            <w:r w:rsidR="00AA198E" w:rsidRPr="00AA198E">
              <w:rPr>
                <w:noProof/>
                <w:webHidden/>
              </w:rPr>
              <w:t>270</w:t>
            </w:r>
            <w:r w:rsidR="00AA198E" w:rsidRPr="00AA198E">
              <w:rPr>
                <w:noProof/>
                <w:webHidden/>
              </w:rPr>
              <w:fldChar w:fldCharType="end"/>
            </w:r>
          </w:hyperlink>
        </w:p>
        <w:p w14:paraId="42516332" w14:textId="14799BF0" w:rsidR="00AA198E" w:rsidRPr="00AA198E" w:rsidRDefault="00AF48E6">
          <w:pPr>
            <w:pStyle w:val="TDC3"/>
            <w:rPr>
              <w:iCs w:val="0"/>
              <w:noProof/>
              <w:sz w:val="22"/>
              <w:szCs w:val="22"/>
              <w:lang w:eastAsia="es-ES"/>
            </w:rPr>
          </w:pPr>
          <w:hyperlink w:anchor="_Toc99107109" w:history="1">
            <w:r w:rsidR="00AA198E" w:rsidRPr="00AA198E">
              <w:rPr>
                <w:rStyle w:val="Hipervnculo"/>
                <w:rFonts w:ascii="Arial" w:eastAsia="Times New Roman" w:hAnsi="Arial" w:cs="Arial"/>
                <w:noProof/>
                <w:lang w:eastAsia="es-ES"/>
              </w:rPr>
              <w:t>5.3.3.</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Apoyo a la formación interna de carácter general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_Toc99107109 \h </w:instrText>
            </w:r>
            <w:r w:rsidR="00AA198E" w:rsidRPr="00AA198E">
              <w:rPr>
                <w:noProof/>
                <w:webHidden/>
              </w:rPr>
            </w:r>
            <w:r w:rsidR="00AA198E" w:rsidRPr="00AA198E">
              <w:rPr>
                <w:noProof/>
                <w:webHidden/>
              </w:rPr>
              <w:fldChar w:fldCharType="separate"/>
            </w:r>
            <w:r w:rsidR="00AA198E" w:rsidRPr="00AA198E">
              <w:rPr>
                <w:noProof/>
                <w:webHidden/>
              </w:rPr>
              <w:t>274</w:t>
            </w:r>
            <w:r w:rsidR="00AA198E" w:rsidRPr="00AA198E">
              <w:rPr>
                <w:noProof/>
                <w:webHidden/>
              </w:rPr>
              <w:fldChar w:fldCharType="end"/>
            </w:r>
          </w:hyperlink>
        </w:p>
        <w:p w14:paraId="47575F43" w14:textId="60AAF22D" w:rsidR="00AA198E" w:rsidRPr="00AA198E" w:rsidRDefault="00AF48E6">
          <w:pPr>
            <w:pStyle w:val="TDC3"/>
            <w:rPr>
              <w:iCs w:val="0"/>
              <w:noProof/>
              <w:sz w:val="22"/>
              <w:szCs w:val="22"/>
              <w:lang w:eastAsia="es-ES"/>
            </w:rPr>
          </w:pPr>
          <w:hyperlink w:anchor="_Toc99107110" w:history="1">
            <w:r w:rsidR="00AA198E" w:rsidRPr="00AA198E">
              <w:rPr>
                <w:rStyle w:val="Hipervnculo"/>
                <w:rFonts w:ascii="Arial" w:eastAsia="Times New Roman" w:hAnsi="Arial" w:cs="Arial"/>
                <w:noProof/>
                <w:lang w:eastAsia="es-ES"/>
              </w:rPr>
              <w:t>5.3.4.</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Actividades de formación cívica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_Toc99107110 \h </w:instrText>
            </w:r>
            <w:r w:rsidR="00AA198E" w:rsidRPr="00AA198E">
              <w:rPr>
                <w:noProof/>
                <w:webHidden/>
              </w:rPr>
            </w:r>
            <w:r w:rsidR="00AA198E" w:rsidRPr="00AA198E">
              <w:rPr>
                <w:noProof/>
                <w:webHidden/>
              </w:rPr>
              <w:fldChar w:fldCharType="separate"/>
            </w:r>
            <w:r w:rsidR="00AA198E" w:rsidRPr="00AA198E">
              <w:rPr>
                <w:noProof/>
                <w:webHidden/>
              </w:rPr>
              <w:t>274</w:t>
            </w:r>
            <w:r w:rsidR="00AA198E" w:rsidRPr="00AA198E">
              <w:rPr>
                <w:noProof/>
                <w:webHidden/>
              </w:rPr>
              <w:fldChar w:fldCharType="end"/>
            </w:r>
          </w:hyperlink>
        </w:p>
        <w:p w14:paraId="7DEE6EF8" w14:textId="4B9C2983" w:rsidR="00AA198E" w:rsidRPr="00AA198E" w:rsidRDefault="00AF48E6">
          <w:pPr>
            <w:pStyle w:val="TDC3"/>
            <w:rPr>
              <w:iCs w:val="0"/>
              <w:noProof/>
              <w:sz w:val="22"/>
              <w:szCs w:val="22"/>
              <w:lang w:eastAsia="es-ES"/>
            </w:rPr>
          </w:pPr>
          <w:hyperlink w:anchor="_Toc99107111" w:history="1">
            <w:r w:rsidR="00AA198E" w:rsidRPr="00AA198E">
              <w:rPr>
                <w:rStyle w:val="Hipervnculo"/>
                <w:rFonts w:ascii="Arial" w:eastAsia="Times New Roman" w:hAnsi="Arial" w:cs="Arial"/>
                <w:noProof/>
                <w:lang w:eastAsia="es-ES"/>
              </w:rPr>
              <w:t>5.3.5.</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Actividades de formación en la Función pública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_Toc99107111 \h </w:instrText>
            </w:r>
            <w:r w:rsidR="00AA198E" w:rsidRPr="00AA198E">
              <w:rPr>
                <w:noProof/>
                <w:webHidden/>
              </w:rPr>
            </w:r>
            <w:r w:rsidR="00AA198E" w:rsidRPr="00AA198E">
              <w:rPr>
                <w:noProof/>
                <w:webHidden/>
              </w:rPr>
              <w:fldChar w:fldCharType="separate"/>
            </w:r>
            <w:r w:rsidR="00AA198E" w:rsidRPr="00AA198E">
              <w:rPr>
                <w:noProof/>
                <w:webHidden/>
              </w:rPr>
              <w:t>282</w:t>
            </w:r>
            <w:r w:rsidR="00AA198E" w:rsidRPr="00AA198E">
              <w:rPr>
                <w:noProof/>
                <w:webHidden/>
              </w:rPr>
              <w:fldChar w:fldCharType="end"/>
            </w:r>
          </w:hyperlink>
        </w:p>
        <w:p w14:paraId="3F2413EF" w14:textId="79F61626" w:rsidR="00AA198E" w:rsidRPr="00AA198E" w:rsidRDefault="00AF48E6">
          <w:pPr>
            <w:pStyle w:val="TDC3"/>
            <w:rPr>
              <w:iCs w:val="0"/>
              <w:noProof/>
              <w:sz w:val="22"/>
              <w:szCs w:val="22"/>
              <w:lang w:eastAsia="es-ES"/>
            </w:rPr>
          </w:pPr>
          <w:hyperlink w:anchor="_Toc99107112" w:history="1">
            <w:r w:rsidR="00AA198E" w:rsidRPr="00AA198E">
              <w:rPr>
                <w:rStyle w:val="Hipervnculo"/>
                <w:rFonts w:ascii="Arial" w:eastAsia="Times New Roman" w:hAnsi="Arial" w:cs="Arial"/>
                <w:noProof/>
                <w:lang w:eastAsia="es-ES"/>
              </w:rPr>
              <w:t>5.3.6.</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Actividades en las universidades y para la ciudadanía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_Toc99107112 \h </w:instrText>
            </w:r>
            <w:r w:rsidR="00AA198E" w:rsidRPr="00AA198E">
              <w:rPr>
                <w:noProof/>
                <w:webHidden/>
              </w:rPr>
            </w:r>
            <w:r w:rsidR="00AA198E" w:rsidRPr="00AA198E">
              <w:rPr>
                <w:noProof/>
                <w:webHidden/>
              </w:rPr>
              <w:fldChar w:fldCharType="separate"/>
            </w:r>
            <w:r w:rsidR="00AA198E" w:rsidRPr="00AA198E">
              <w:rPr>
                <w:noProof/>
                <w:webHidden/>
              </w:rPr>
              <w:t>285</w:t>
            </w:r>
            <w:r w:rsidR="00AA198E" w:rsidRPr="00AA198E">
              <w:rPr>
                <w:noProof/>
                <w:webHidden/>
              </w:rPr>
              <w:fldChar w:fldCharType="end"/>
            </w:r>
          </w:hyperlink>
        </w:p>
        <w:p w14:paraId="661D8AC5" w14:textId="0EEC1A28" w:rsidR="00AA198E" w:rsidRPr="00AA198E" w:rsidRDefault="00AF48E6">
          <w:pPr>
            <w:pStyle w:val="TDC3"/>
            <w:rPr>
              <w:iCs w:val="0"/>
              <w:noProof/>
              <w:sz w:val="22"/>
              <w:szCs w:val="22"/>
              <w:lang w:eastAsia="es-ES"/>
            </w:rPr>
          </w:pPr>
          <w:hyperlink w:anchor="_Toc99107113" w:history="1">
            <w:r w:rsidR="00AA198E" w:rsidRPr="00AA198E">
              <w:rPr>
                <w:rStyle w:val="Hipervnculo"/>
                <w:rFonts w:ascii="Arial" w:eastAsia="Times New Roman" w:hAnsi="Arial" w:cs="Arial"/>
                <w:noProof/>
                <w:lang w:eastAsia="es-ES"/>
              </w:rPr>
              <w:t>5.3.7.</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Colaboraciones con diferentes instituciones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_Toc99107113 \h </w:instrText>
            </w:r>
            <w:r w:rsidR="00AA198E" w:rsidRPr="00AA198E">
              <w:rPr>
                <w:noProof/>
                <w:webHidden/>
              </w:rPr>
            </w:r>
            <w:r w:rsidR="00AA198E" w:rsidRPr="00AA198E">
              <w:rPr>
                <w:noProof/>
                <w:webHidden/>
              </w:rPr>
              <w:fldChar w:fldCharType="separate"/>
            </w:r>
            <w:r w:rsidR="00AA198E" w:rsidRPr="00AA198E">
              <w:rPr>
                <w:noProof/>
                <w:webHidden/>
              </w:rPr>
              <w:t>292</w:t>
            </w:r>
            <w:r w:rsidR="00AA198E" w:rsidRPr="00AA198E">
              <w:rPr>
                <w:noProof/>
                <w:webHidden/>
              </w:rPr>
              <w:fldChar w:fldCharType="end"/>
            </w:r>
          </w:hyperlink>
        </w:p>
        <w:p w14:paraId="16618455" w14:textId="0404C89E" w:rsidR="00AA198E" w:rsidRPr="00AA198E" w:rsidRDefault="00AF48E6">
          <w:pPr>
            <w:pStyle w:val="TDC3"/>
            <w:rPr>
              <w:iCs w:val="0"/>
              <w:noProof/>
              <w:sz w:val="22"/>
              <w:szCs w:val="22"/>
              <w:lang w:eastAsia="es-ES"/>
            </w:rPr>
          </w:pPr>
          <w:hyperlink w:anchor="_Toc99107114" w:history="1">
            <w:r w:rsidR="00AA198E" w:rsidRPr="00AA198E">
              <w:rPr>
                <w:rStyle w:val="Hipervnculo"/>
                <w:rFonts w:ascii="Arial" w:eastAsia="Times New Roman" w:hAnsi="Arial" w:cs="Arial"/>
                <w:noProof/>
                <w:lang w:eastAsia="es-ES"/>
              </w:rPr>
              <w:t>5.3.8.</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Reflexión final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_Toc99107114 \h </w:instrText>
            </w:r>
            <w:r w:rsidR="00AA198E" w:rsidRPr="00AA198E">
              <w:rPr>
                <w:noProof/>
                <w:webHidden/>
              </w:rPr>
            </w:r>
            <w:r w:rsidR="00AA198E" w:rsidRPr="00AA198E">
              <w:rPr>
                <w:noProof/>
                <w:webHidden/>
              </w:rPr>
              <w:fldChar w:fldCharType="separate"/>
            </w:r>
            <w:r w:rsidR="00AA198E" w:rsidRPr="00AA198E">
              <w:rPr>
                <w:noProof/>
                <w:webHidden/>
              </w:rPr>
              <w:t>294</w:t>
            </w:r>
            <w:r w:rsidR="00AA198E" w:rsidRPr="00AA198E">
              <w:rPr>
                <w:noProof/>
                <w:webHidden/>
              </w:rPr>
              <w:fldChar w:fldCharType="end"/>
            </w:r>
          </w:hyperlink>
        </w:p>
        <w:p w14:paraId="361E5F69" w14:textId="45A14F9A" w:rsidR="00AA198E" w:rsidRPr="00AA198E" w:rsidRDefault="00AF48E6">
          <w:pPr>
            <w:pStyle w:val="TDC2"/>
            <w:rPr>
              <w:rFonts w:asciiTheme="minorHAnsi" w:eastAsiaTheme="minorEastAsia" w:hAnsiTheme="minorHAnsi" w:cstheme="minorBidi"/>
              <w:kern w:val="0"/>
              <w:sz w:val="22"/>
              <w:lang w:bidi="ar-SA"/>
            </w:rPr>
          </w:pPr>
          <w:hyperlink w:anchor="_Toc99107115" w:history="1">
            <w:r w:rsidR="00AA198E" w:rsidRPr="00AA198E">
              <w:rPr>
                <w:rStyle w:val="Hipervnculo"/>
              </w:rPr>
              <w:t>5.4.</w:t>
            </w:r>
            <w:r w:rsidR="00AA198E" w:rsidRPr="00AA198E">
              <w:rPr>
                <w:rFonts w:asciiTheme="minorHAnsi" w:eastAsiaTheme="minorEastAsia" w:hAnsiTheme="minorHAnsi" w:cstheme="minorBidi"/>
                <w:kern w:val="0"/>
                <w:sz w:val="22"/>
                <w:lang w:bidi="ar-SA"/>
              </w:rPr>
              <w:tab/>
            </w:r>
            <w:r w:rsidR="00AA198E" w:rsidRPr="00AA198E">
              <w:rPr>
                <w:rStyle w:val="Hipervnculo"/>
              </w:rPr>
              <w:t>Documentación e informes</w:t>
            </w:r>
            <w:r w:rsidR="00AA198E" w:rsidRPr="00AA198E">
              <w:rPr>
                <w:webHidden/>
              </w:rPr>
              <w:tab/>
            </w:r>
            <w:r w:rsidR="00AA198E" w:rsidRPr="00AA198E">
              <w:rPr>
                <w:webHidden/>
              </w:rPr>
              <w:fldChar w:fldCharType="begin" w:fldLock="1"/>
            </w:r>
            <w:r w:rsidR="00AA198E" w:rsidRPr="00AA198E">
              <w:rPr>
                <w:webHidden/>
              </w:rPr>
              <w:instrText xml:space="preserve"> PAGEREF _Toc99107115 \h </w:instrText>
            </w:r>
            <w:r w:rsidR="00AA198E" w:rsidRPr="00AA198E">
              <w:rPr>
                <w:webHidden/>
              </w:rPr>
            </w:r>
            <w:r w:rsidR="00AA198E" w:rsidRPr="00AA198E">
              <w:rPr>
                <w:webHidden/>
              </w:rPr>
              <w:fldChar w:fldCharType="separate"/>
            </w:r>
            <w:r w:rsidR="00AA198E" w:rsidRPr="00AA198E">
              <w:rPr>
                <w:webHidden/>
              </w:rPr>
              <w:t>295</w:t>
            </w:r>
            <w:r w:rsidR="00AA198E" w:rsidRPr="00AA198E">
              <w:rPr>
                <w:webHidden/>
              </w:rPr>
              <w:fldChar w:fldCharType="end"/>
            </w:r>
          </w:hyperlink>
        </w:p>
        <w:p w14:paraId="463F1144" w14:textId="7436EB3F" w:rsidR="00AA198E" w:rsidRPr="00AA198E" w:rsidRDefault="00AF48E6">
          <w:pPr>
            <w:pStyle w:val="TDC3"/>
            <w:rPr>
              <w:iCs w:val="0"/>
              <w:noProof/>
              <w:sz w:val="22"/>
              <w:szCs w:val="22"/>
              <w:lang w:eastAsia="es-ES"/>
            </w:rPr>
          </w:pPr>
          <w:hyperlink w:anchor="_Toc99107116" w:history="1">
            <w:r w:rsidR="00AA198E" w:rsidRPr="00AA198E">
              <w:rPr>
                <w:rStyle w:val="Hipervnculo"/>
                <w:rFonts w:ascii="Arial" w:eastAsia="Times New Roman" w:hAnsi="Arial" w:cs="Arial"/>
                <w:noProof/>
                <w:lang w:eastAsia="es-ES"/>
              </w:rPr>
              <w:t>5.4.1.</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Introducción al Servicio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_Toc99107116 \h </w:instrText>
            </w:r>
            <w:r w:rsidR="00AA198E" w:rsidRPr="00AA198E">
              <w:rPr>
                <w:noProof/>
                <w:webHidden/>
              </w:rPr>
            </w:r>
            <w:r w:rsidR="00AA198E" w:rsidRPr="00AA198E">
              <w:rPr>
                <w:noProof/>
                <w:webHidden/>
              </w:rPr>
              <w:fldChar w:fldCharType="separate"/>
            </w:r>
            <w:r w:rsidR="00AA198E" w:rsidRPr="00AA198E">
              <w:rPr>
                <w:noProof/>
                <w:webHidden/>
              </w:rPr>
              <w:t>295</w:t>
            </w:r>
            <w:r w:rsidR="00AA198E" w:rsidRPr="00AA198E">
              <w:rPr>
                <w:noProof/>
                <w:webHidden/>
              </w:rPr>
              <w:fldChar w:fldCharType="end"/>
            </w:r>
          </w:hyperlink>
        </w:p>
        <w:p w14:paraId="7C863A89" w14:textId="225FC211" w:rsidR="00AA198E" w:rsidRPr="00AA198E" w:rsidRDefault="00AF48E6">
          <w:pPr>
            <w:pStyle w:val="TDC3"/>
            <w:rPr>
              <w:iCs w:val="0"/>
              <w:noProof/>
              <w:sz w:val="22"/>
              <w:szCs w:val="22"/>
              <w:lang w:eastAsia="es-ES"/>
            </w:rPr>
          </w:pPr>
          <w:hyperlink w:anchor="_Toc99107117" w:history="1">
            <w:r w:rsidR="00AA198E" w:rsidRPr="00AA198E">
              <w:rPr>
                <w:rStyle w:val="Hipervnculo"/>
                <w:rFonts w:ascii="Arial" w:eastAsia="Times New Roman" w:hAnsi="Arial" w:cs="Arial"/>
                <w:noProof/>
                <w:lang w:eastAsia="es-ES"/>
              </w:rPr>
              <w:t>5.4.2.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Recursos humanos y tecnológicos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_Toc99107117 \h </w:instrText>
            </w:r>
            <w:r w:rsidR="00AA198E" w:rsidRPr="00AA198E">
              <w:rPr>
                <w:noProof/>
                <w:webHidden/>
              </w:rPr>
            </w:r>
            <w:r w:rsidR="00AA198E" w:rsidRPr="00AA198E">
              <w:rPr>
                <w:noProof/>
                <w:webHidden/>
              </w:rPr>
              <w:fldChar w:fldCharType="separate"/>
            </w:r>
            <w:r w:rsidR="00AA198E" w:rsidRPr="00AA198E">
              <w:rPr>
                <w:noProof/>
                <w:webHidden/>
              </w:rPr>
              <w:t>296</w:t>
            </w:r>
            <w:r w:rsidR="00AA198E" w:rsidRPr="00AA198E">
              <w:rPr>
                <w:noProof/>
                <w:webHidden/>
              </w:rPr>
              <w:fldChar w:fldCharType="end"/>
            </w:r>
          </w:hyperlink>
        </w:p>
        <w:p w14:paraId="44809BFF" w14:textId="0B0FFE93" w:rsidR="00AA198E" w:rsidRPr="00AA198E" w:rsidRDefault="00AF48E6">
          <w:pPr>
            <w:pStyle w:val="TDC3"/>
            <w:rPr>
              <w:iCs w:val="0"/>
              <w:noProof/>
              <w:sz w:val="22"/>
              <w:szCs w:val="22"/>
              <w:lang w:eastAsia="es-ES"/>
            </w:rPr>
          </w:pPr>
          <w:hyperlink w:anchor="_Toc99107118" w:history="1">
            <w:r w:rsidR="00AA198E" w:rsidRPr="00AA198E">
              <w:rPr>
                <w:rStyle w:val="Hipervnculo"/>
                <w:rFonts w:ascii="Arial" w:eastAsia="Times New Roman" w:hAnsi="Arial" w:cs="Arial"/>
                <w:noProof/>
                <w:lang w:eastAsia="es-ES"/>
              </w:rPr>
              <w:t>5.4.3.</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Colecciones y procesos técnicos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_Toc99107118 \h </w:instrText>
            </w:r>
            <w:r w:rsidR="00AA198E" w:rsidRPr="00AA198E">
              <w:rPr>
                <w:noProof/>
                <w:webHidden/>
              </w:rPr>
            </w:r>
            <w:r w:rsidR="00AA198E" w:rsidRPr="00AA198E">
              <w:rPr>
                <w:noProof/>
                <w:webHidden/>
              </w:rPr>
              <w:fldChar w:fldCharType="separate"/>
            </w:r>
            <w:r w:rsidR="00AA198E" w:rsidRPr="00AA198E">
              <w:rPr>
                <w:noProof/>
                <w:webHidden/>
              </w:rPr>
              <w:t>296</w:t>
            </w:r>
            <w:r w:rsidR="00AA198E" w:rsidRPr="00AA198E">
              <w:rPr>
                <w:noProof/>
                <w:webHidden/>
              </w:rPr>
              <w:fldChar w:fldCharType="end"/>
            </w:r>
          </w:hyperlink>
        </w:p>
        <w:p w14:paraId="14ED53CA" w14:textId="7BB73C28" w:rsidR="00AA198E" w:rsidRPr="00AA198E" w:rsidRDefault="00AF48E6">
          <w:pPr>
            <w:pStyle w:val="TDC3"/>
            <w:rPr>
              <w:iCs w:val="0"/>
              <w:noProof/>
              <w:sz w:val="22"/>
              <w:szCs w:val="22"/>
              <w:lang w:eastAsia="es-ES"/>
            </w:rPr>
          </w:pPr>
          <w:hyperlink w:anchor="_Toc99107119" w:history="1">
            <w:r w:rsidR="00AA198E" w:rsidRPr="00AA198E">
              <w:rPr>
                <w:rStyle w:val="Hipervnculo"/>
                <w:rFonts w:ascii="Arial" w:eastAsia="Times New Roman" w:hAnsi="Arial" w:cs="Arial"/>
                <w:noProof/>
                <w:lang w:eastAsia="es-ES"/>
              </w:rPr>
              <w:t>5.4.4.</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Vigilancia del entorno y servicios de referencia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_Toc99107119 \h </w:instrText>
            </w:r>
            <w:r w:rsidR="00AA198E" w:rsidRPr="00AA198E">
              <w:rPr>
                <w:noProof/>
                <w:webHidden/>
              </w:rPr>
            </w:r>
            <w:r w:rsidR="00AA198E" w:rsidRPr="00AA198E">
              <w:rPr>
                <w:noProof/>
                <w:webHidden/>
              </w:rPr>
              <w:fldChar w:fldCharType="separate"/>
            </w:r>
            <w:r w:rsidR="00AA198E" w:rsidRPr="00AA198E">
              <w:rPr>
                <w:noProof/>
                <w:webHidden/>
              </w:rPr>
              <w:t>299</w:t>
            </w:r>
            <w:r w:rsidR="00AA198E" w:rsidRPr="00AA198E">
              <w:rPr>
                <w:noProof/>
                <w:webHidden/>
              </w:rPr>
              <w:fldChar w:fldCharType="end"/>
            </w:r>
          </w:hyperlink>
        </w:p>
        <w:p w14:paraId="6FB4312A" w14:textId="6B8AF9CF" w:rsidR="00AA198E" w:rsidRPr="00AA198E" w:rsidRDefault="00AF48E6">
          <w:pPr>
            <w:pStyle w:val="TDC3"/>
            <w:rPr>
              <w:iCs w:val="0"/>
              <w:noProof/>
              <w:sz w:val="22"/>
              <w:szCs w:val="22"/>
              <w:lang w:eastAsia="es-ES"/>
            </w:rPr>
          </w:pPr>
          <w:hyperlink w:anchor="_Toc99107120" w:history="1">
            <w:r w:rsidR="00AA198E" w:rsidRPr="00AA198E">
              <w:rPr>
                <w:rStyle w:val="Hipervnculo"/>
                <w:rFonts w:ascii="Arial" w:eastAsia="Times New Roman" w:hAnsi="Arial" w:cs="Arial"/>
                <w:noProof/>
                <w:lang w:eastAsia="es-ES"/>
              </w:rPr>
              <w:t>5.4.5.</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Política de Gestión de Documentos Electrónicos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_Toc99107120 \h </w:instrText>
            </w:r>
            <w:r w:rsidR="00AA198E" w:rsidRPr="00AA198E">
              <w:rPr>
                <w:noProof/>
                <w:webHidden/>
              </w:rPr>
            </w:r>
            <w:r w:rsidR="00AA198E" w:rsidRPr="00AA198E">
              <w:rPr>
                <w:noProof/>
                <w:webHidden/>
              </w:rPr>
              <w:fldChar w:fldCharType="separate"/>
            </w:r>
            <w:r w:rsidR="00AA198E" w:rsidRPr="00AA198E">
              <w:rPr>
                <w:noProof/>
                <w:webHidden/>
              </w:rPr>
              <w:t>300</w:t>
            </w:r>
            <w:r w:rsidR="00AA198E" w:rsidRPr="00AA198E">
              <w:rPr>
                <w:noProof/>
                <w:webHidden/>
              </w:rPr>
              <w:fldChar w:fldCharType="end"/>
            </w:r>
          </w:hyperlink>
        </w:p>
        <w:p w14:paraId="6ECF0EB8" w14:textId="30B5E87E" w:rsidR="00AA198E" w:rsidRPr="00AA198E" w:rsidRDefault="00AF48E6">
          <w:pPr>
            <w:pStyle w:val="TDC3"/>
            <w:rPr>
              <w:iCs w:val="0"/>
              <w:noProof/>
              <w:sz w:val="22"/>
              <w:szCs w:val="22"/>
              <w:lang w:eastAsia="es-ES"/>
            </w:rPr>
          </w:pPr>
          <w:hyperlink w:anchor="_Toc99107121" w:history="1">
            <w:r w:rsidR="00AA198E" w:rsidRPr="00AA198E">
              <w:rPr>
                <w:rStyle w:val="Hipervnculo"/>
                <w:rFonts w:ascii="Arial" w:eastAsia="Times New Roman" w:hAnsi="Arial" w:cs="Arial"/>
                <w:noProof/>
                <w:lang w:eastAsia="es-ES"/>
              </w:rPr>
              <w:t>5.4.6.</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Visibilización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_Toc99107121 \h </w:instrText>
            </w:r>
            <w:r w:rsidR="00AA198E" w:rsidRPr="00AA198E">
              <w:rPr>
                <w:noProof/>
                <w:webHidden/>
              </w:rPr>
            </w:r>
            <w:r w:rsidR="00AA198E" w:rsidRPr="00AA198E">
              <w:rPr>
                <w:noProof/>
                <w:webHidden/>
              </w:rPr>
              <w:fldChar w:fldCharType="separate"/>
            </w:r>
            <w:r w:rsidR="00AA198E" w:rsidRPr="00AA198E">
              <w:rPr>
                <w:noProof/>
                <w:webHidden/>
              </w:rPr>
              <w:t>300</w:t>
            </w:r>
            <w:r w:rsidR="00AA198E" w:rsidRPr="00AA198E">
              <w:rPr>
                <w:noProof/>
                <w:webHidden/>
              </w:rPr>
              <w:fldChar w:fldCharType="end"/>
            </w:r>
          </w:hyperlink>
        </w:p>
        <w:p w14:paraId="1874896E" w14:textId="4CADE2C7" w:rsidR="00AA198E" w:rsidRPr="00AA198E" w:rsidRDefault="00AF48E6">
          <w:pPr>
            <w:pStyle w:val="TDC3"/>
            <w:rPr>
              <w:iCs w:val="0"/>
              <w:noProof/>
              <w:sz w:val="22"/>
              <w:szCs w:val="22"/>
              <w:lang w:eastAsia="es-ES"/>
            </w:rPr>
          </w:pPr>
          <w:hyperlink w:anchor="_Toc99107122" w:history="1">
            <w:r w:rsidR="00AA198E" w:rsidRPr="00AA198E">
              <w:rPr>
                <w:rStyle w:val="Hipervnculo"/>
                <w:rFonts w:ascii="Arial" w:eastAsia="Times New Roman" w:hAnsi="Arial" w:cs="Arial"/>
                <w:noProof/>
                <w:lang w:eastAsia="es-ES"/>
              </w:rPr>
              <w:t>5.4.7.</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A modo de conclusión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_Toc99107122 \h </w:instrText>
            </w:r>
            <w:r w:rsidR="00AA198E" w:rsidRPr="00AA198E">
              <w:rPr>
                <w:noProof/>
                <w:webHidden/>
              </w:rPr>
            </w:r>
            <w:r w:rsidR="00AA198E" w:rsidRPr="00AA198E">
              <w:rPr>
                <w:noProof/>
                <w:webHidden/>
              </w:rPr>
              <w:fldChar w:fldCharType="separate"/>
            </w:r>
            <w:r w:rsidR="00AA198E" w:rsidRPr="00AA198E">
              <w:rPr>
                <w:noProof/>
                <w:webHidden/>
              </w:rPr>
              <w:t>310</w:t>
            </w:r>
            <w:r w:rsidR="00AA198E" w:rsidRPr="00AA198E">
              <w:rPr>
                <w:noProof/>
                <w:webHidden/>
              </w:rPr>
              <w:fldChar w:fldCharType="end"/>
            </w:r>
          </w:hyperlink>
        </w:p>
        <w:p w14:paraId="49C8F9AE" w14:textId="22122EF3" w:rsidR="00AA198E" w:rsidRPr="00AA198E" w:rsidRDefault="00AF48E6" w:rsidP="00AA198E">
          <w:pPr>
            <w:pStyle w:val="TDC1"/>
            <w:rPr>
              <w:rFonts w:asciiTheme="minorHAnsi" w:eastAsiaTheme="minorEastAsia" w:hAnsiTheme="minorHAnsi" w:cstheme="minorBidi"/>
              <w:kern w:val="0"/>
              <w:sz w:val="22"/>
              <w:szCs w:val="22"/>
              <w:lang w:bidi="ar-SA"/>
            </w:rPr>
          </w:pPr>
          <w:hyperlink w:anchor="_Toc99107123" w:history="1">
            <w:r w:rsidR="00AA198E" w:rsidRPr="00AA198E">
              <w:rPr>
                <w:rStyle w:val="Hipervnculo"/>
              </w:rPr>
              <w:t>6.</w:t>
            </w:r>
            <w:r w:rsidR="00AA198E" w:rsidRPr="00AA198E">
              <w:rPr>
                <w:rFonts w:asciiTheme="minorHAnsi" w:eastAsiaTheme="minorEastAsia" w:hAnsiTheme="minorHAnsi" w:cstheme="minorBidi"/>
                <w:kern w:val="0"/>
                <w:sz w:val="22"/>
                <w:szCs w:val="22"/>
                <w:lang w:bidi="ar-SA"/>
              </w:rPr>
              <w:tab/>
            </w:r>
            <w:r w:rsidR="00AA198E" w:rsidRPr="00AA198E">
              <w:rPr>
                <w:rStyle w:val="Hipervnculo"/>
                <w:rFonts w:eastAsia="Calibri"/>
              </w:rPr>
              <w:t>Administración, organización y recursos</w:t>
            </w:r>
            <w:r w:rsidR="00AA198E" w:rsidRPr="00AA198E">
              <w:rPr>
                <w:webHidden/>
              </w:rPr>
              <w:tab/>
            </w:r>
            <w:r w:rsidR="00AA198E" w:rsidRPr="00AA198E">
              <w:rPr>
                <w:webHidden/>
              </w:rPr>
              <w:fldChar w:fldCharType="begin" w:fldLock="1"/>
            </w:r>
            <w:r w:rsidR="00AA198E" w:rsidRPr="00AA198E">
              <w:rPr>
                <w:webHidden/>
              </w:rPr>
              <w:instrText xml:space="preserve"> PAGEREF _Toc99107123 \h </w:instrText>
            </w:r>
            <w:r w:rsidR="00AA198E" w:rsidRPr="00AA198E">
              <w:rPr>
                <w:webHidden/>
              </w:rPr>
            </w:r>
            <w:r w:rsidR="00AA198E" w:rsidRPr="00AA198E">
              <w:rPr>
                <w:webHidden/>
              </w:rPr>
              <w:fldChar w:fldCharType="separate"/>
            </w:r>
            <w:r w:rsidR="00AA198E" w:rsidRPr="00AA198E">
              <w:rPr>
                <w:webHidden/>
              </w:rPr>
              <w:t>313</w:t>
            </w:r>
            <w:r w:rsidR="00AA198E" w:rsidRPr="00AA198E">
              <w:rPr>
                <w:webHidden/>
              </w:rPr>
              <w:fldChar w:fldCharType="end"/>
            </w:r>
          </w:hyperlink>
        </w:p>
        <w:p w14:paraId="3E1F754F" w14:textId="1557DE91" w:rsidR="00AA198E" w:rsidRPr="00AA198E" w:rsidRDefault="00AF48E6">
          <w:pPr>
            <w:pStyle w:val="TDC2"/>
            <w:rPr>
              <w:rFonts w:asciiTheme="minorHAnsi" w:eastAsiaTheme="minorEastAsia" w:hAnsiTheme="minorHAnsi" w:cstheme="minorBidi"/>
              <w:kern w:val="0"/>
              <w:sz w:val="22"/>
              <w:lang w:bidi="ar-SA"/>
            </w:rPr>
          </w:pPr>
          <w:hyperlink w:anchor="_Toc99107124" w:history="1">
            <w:r w:rsidR="00AA198E" w:rsidRPr="00AA198E">
              <w:rPr>
                <w:rStyle w:val="Hipervnculo"/>
                <w:rFonts w:eastAsiaTheme="majorEastAsia"/>
              </w:rPr>
              <w:t>6.1.</w:t>
            </w:r>
            <w:r w:rsidR="00AA198E" w:rsidRPr="00AA198E">
              <w:rPr>
                <w:rFonts w:asciiTheme="minorHAnsi" w:eastAsiaTheme="minorEastAsia" w:hAnsiTheme="minorHAnsi" w:cstheme="minorBidi"/>
                <w:kern w:val="0"/>
                <w:sz w:val="22"/>
                <w:lang w:bidi="ar-SA"/>
              </w:rPr>
              <w:tab/>
            </w:r>
            <w:r w:rsidR="00AA198E" w:rsidRPr="00AA198E">
              <w:rPr>
                <w:rStyle w:val="Hipervnculo"/>
                <w:rFonts w:eastAsiaTheme="majorEastAsia"/>
              </w:rPr>
              <w:t>Introducción</w:t>
            </w:r>
            <w:r w:rsidR="00AA198E" w:rsidRPr="00AA198E">
              <w:rPr>
                <w:webHidden/>
              </w:rPr>
              <w:tab/>
            </w:r>
            <w:r w:rsidR="00AA198E" w:rsidRPr="00AA198E">
              <w:rPr>
                <w:webHidden/>
              </w:rPr>
              <w:fldChar w:fldCharType="begin" w:fldLock="1"/>
            </w:r>
            <w:r w:rsidR="00AA198E" w:rsidRPr="00AA198E">
              <w:rPr>
                <w:webHidden/>
              </w:rPr>
              <w:instrText xml:space="preserve"> PAGEREF _Toc99107124 \h </w:instrText>
            </w:r>
            <w:r w:rsidR="00AA198E" w:rsidRPr="00AA198E">
              <w:rPr>
                <w:webHidden/>
              </w:rPr>
            </w:r>
            <w:r w:rsidR="00AA198E" w:rsidRPr="00AA198E">
              <w:rPr>
                <w:webHidden/>
              </w:rPr>
              <w:fldChar w:fldCharType="separate"/>
            </w:r>
            <w:r w:rsidR="00AA198E" w:rsidRPr="00AA198E">
              <w:rPr>
                <w:webHidden/>
              </w:rPr>
              <w:t>313</w:t>
            </w:r>
            <w:r w:rsidR="00AA198E" w:rsidRPr="00AA198E">
              <w:rPr>
                <w:webHidden/>
              </w:rPr>
              <w:fldChar w:fldCharType="end"/>
            </w:r>
          </w:hyperlink>
        </w:p>
        <w:p w14:paraId="57E41D28" w14:textId="784FBAF4" w:rsidR="00AA198E" w:rsidRPr="00AA198E" w:rsidRDefault="00AF48E6">
          <w:pPr>
            <w:pStyle w:val="TDC2"/>
            <w:rPr>
              <w:rFonts w:asciiTheme="minorHAnsi" w:eastAsiaTheme="minorEastAsia" w:hAnsiTheme="minorHAnsi" w:cstheme="minorBidi"/>
              <w:kern w:val="0"/>
              <w:sz w:val="22"/>
              <w:lang w:bidi="ar-SA"/>
            </w:rPr>
          </w:pPr>
          <w:hyperlink w:anchor="_Toc99107125" w:history="1">
            <w:r w:rsidR="00AA198E" w:rsidRPr="00AA198E">
              <w:rPr>
                <w:rStyle w:val="Hipervnculo"/>
                <w:rFonts w:eastAsiaTheme="majorEastAsia"/>
              </w:rPr>
              <w:t>6.2.</w:t>
            </w:r>
            <w:r w:rsidR="00AA198E" w:rsidRPr="00AA198E">
              <w:rPr>
                <w:rFonts w:asciiTheme="minorHAnsi" w:eastAsiaTheme="minorEastAsia" w:hAnsiTheme="minorHAnsi" w:cstheme="minorBidi"/>
                <w:kern w:val="0"/>
                <w:sz w:val="22"/>
                <w:lang w:bidi="ar-SA"/>
              </w:rPr>
              <w:tab/>
            </w:r>
            <w:r w:rsidR="00AA198E" w:rsidRPr="00AA198E">
              <w:rPr>
                <w:rStyle w:val="Hipervnculo"/>
                <w:rFonts w:eastAsiaTheme="majorEastAsia"/>
              </w:rPr>
              <w:t>Estructura organizativa de la AVAF</w:t>
            </w:r>
            <w:r w:rsidR="00AA198E" w:rsidRPr="00AA198E">
              <w:rPr>
                <w:webHidden/>
              </w:rPr>
              <w:tab/>
            </w:r>
            <w:r w:rsidR="00AA198E" w:rsidRPr="00AA198E">
              <w:rPr>
                <w:webHidden/>
              </w:rPr>
              <w:fldChar w:fldCharType="begin" w:fldLock="1"/>
            </w:r>
            <w:r w:rsidR="00AA198E" w:rsidRPr="00AA198E">
              <w:rPr>
                <w:webHidden/>
              </w:rPr>
              <w:instrText xml:space="preserve"> PAGEREF _Toc99107125 \h </w:instrText>
            </w:r>
            <w:r w:rsidR="00AA198E" w:rsidRPr="00AA198E">
              <w:rPr>
                <w:webHidden/>
              </w:rPr>
            </w:r>
            <w:r w:rsidR="00AA198E" w:rsidRPr="00AA198E">
              <w:rPr>
                <w:webHidden/>
              </w:rPr>
              <w:fldChar w:fldCharType="separate"/>
            </w:r>
            <w:r w:rsidR="00AA198E" w:rsidRPr="00AA198E">
              <w:rPr>
                <w:webHidden/>
              </w:rPr>
              <w:t>315</w:t>
            </w:r>
            <w:r w:rsidR="00AA198E" w:rsidRPr="00AA198E">
              <w:rPr>
                <w:webHidden/>
              </w:rPr>
              <w:fldChar w:fldCharType="end"/>
            </w:r>
          </w:hyperlink>
        </w:p>
        <w:p w14:paraId="653F6FFB" w14:textId="459FD35B" w:rsidR="00AA198E" w:rsidRPr="00AA198E" w:rsidRDefault="00AF48E6">
          <w:pPr>
            <w:pStyle w:val="TDC3"/>
            <w:rPr>
              <w:iCs w:val="0"/>
              <w:noProof/>
              <w:sz w:val="22"/>
              <w:szCs w:val="22"/>
              <w:lang w:eastAsia="es-ES"/>
            </w:rPr>
          </w:pPr>
          <w:hyperlink w:anchor="_Toc99107126" w:history="1">
            <w:r w:rsidR="00AA198E" w:rsidRPr="00AA198E">
              <w:rPr>
                <w:rStyle w:val="Hipervnculo"/>
                <w:rFonts w:ascii="Arial" w:eastAsia="Times New Roman" w:hAnsi="Arial" w:cs="Arial"/>
                <w:noProof/>
                <w:lang w:eastAsia="es-ES"/>
              </w:rPr>
              <w:t>6.2.1.</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Organigrama de la AVAF</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_Toc99107126 \h </w:instrText>
            </w:r>
            <w:r w:rsidR="00AA198E" w:rsidRPr="00AA198E">
              <w:rPr>
                <w:noProof/>
                <w:webHidden/>
              </w:rPr>
            </w:r>
            <w:r w:rsidR="00AA198E" w:rsidRPr="00AA198E">
              <w:rPr>
                <w:noProof/>
                <w:webHidden/>
              </w:rPr>
              <w:fldChar w:fldCharType="separate"/>
            </w:r>
            <w:r w:rsidR="00AA198E" w:rsidRPr="00AA198E">
              <w:rPr>
                <w:noProof/>
                <w:webHidden/>
              </w:rPr>
              <w:t>315</w:t>
            </w:r>
            <w:r w:rsidR="00AA198E" w:rsidRPr="00AA198E">
              <w:rPr>
                <w:noProof/>
                <w:webHidden/>
              </w:rPr>
              <w:fldChar w:fldCharType="end"/>
            </w:r>
          </w:hyperlink>
        </w:p>
        <w:p w14:paraId="4DB7D1F7" w14:textId="74197DBD" w:rsidR="00AA198E" w:rsidRPr="00AA198E" w:rsidRDefault="00AF48E6">
          <w:pPr>
            <w:pStyle w:val="TDC3"/>
            <w:rPr>
              <w:iCs w:val="0"/>
              <w:noProof/>
              <w:sz w:val="22"/>
              <w:szCs w:val="22"/>
              <w:lang w:eastAsia="es-ES"/>
            </w:rPr>
          </w:pPr>
          <w:hyperlink w:anchor="_Toc99107127" w:history="1">
            <w:r w:rsidR="00AA198E" w:rsidRPr="00AA198E">
              <w:rPr>
                <w:rStyle w:val="Hipervnculo"/>
                <w:rFonts w:ascii="Arial" w:eastAsia="Times New Roman" w:hAnsi="Arial" w:cs="Arial"/>
                <w:noProof/>
                <w:lang w:eastAsia="es-ES"/>
              </w:rPr>
              <w:t>6.2.2.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Relación de Puestos de Trabajo de la AVAF</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_Toc99107127 \h </w:instrText>
            </w:r>
            <w:r w:rsidR="00AA198E" w:rsidRPr="00AA198E">
              <w:rPr>
                <w:noProof/>
                <w:webHidden/>
              </w:rPr>
            </w:r>
            <w:r w:rsidR="00AA198E" w:rsidRPr="00AA198E">
              <w:rPr>
                <w:noProof/>
                <w:webHidden/>
              </w:rPr>
              <w:fldChar w:fldCharType="separate"/>
            </w:r>
            <w:r w:rsidR="00AA198E" w:rsidRPr="00AA198E">
              <w:rPr>
                <w:noProof/>
                <w:webHidden/>
              </w:rPr>
              <w:t>315</w:t>
            </w:r>
            <w:r w:rsidR="00AA198E" w:rsidRPr="00AA198E">
              <w:rPr>
                <w:noProof/>
                <w:webHidden/>
              </w:rPr>
              <w:fldChar w:fldCharType="end"/>
            </w:r>
          </w:hyperlink>
        </w:p>
        <w:p w14:paraId="1FFECC25" w14:textId="52BAE7D8" w:rsidR="00AA198E" w:rsidRPr="00AA198E" w:rsidRDefault="00AF48E6">
          <w:pPr>
            <w:pStyle w:val="TDC2"/>
            <w:rPr>
              <w:rFonts w:asciiTheme="minorHAnsi" w:eastAsiaTheme="minorEastAsia" w:hAnsiTheme="minorHAnsi" w:cstheme="minorBidi"/>
              <w:kern w:val="0"/>
              <w:sz w:val="22"/>
              <w:lang w:bidi="ar-SA"/>
            </w:rPr>
          </w:pPr>
          <w:hyperlink w:anchor="_Toc99107128" w:history="1">
            <w:r w:rsidR="00AA198E" w:rsidRPr="00AA198E">
              <w:rPr>
                <w:rStyle w:val="Hipervnculo"/>
                <w:rFonts w:eastAsiaTheme="majorEastAsia"/>
              </w:rPr>
              <w:t>6.3.</w:t>
            </w:r>
            <w:r w:rsidR="00AA198E" w:rsidRPr="00AA198E">
              <w:rPr>
                <w:rFonts w:asciiTheme="minorHAnsi" w:eastAsiaTheme="minorEastAsia" w:hAnsiTheme="minorHAnsi" w:cstheme="minorBidi"/>
                <w:kern w:val="0"/>
                <w:sz w:val="22"/>
                <w:lang w:bidi="ar-SA"/>
              </w:rPr>
              <w:tab/>
            </w:r>
            <w:r w:rsidR="00AA198E" w:rsidRPr="00AA198E">
              <w:rPr>
                <w:rStyle w:val="Hipervnculo"/>
                <w:rFonts w:eastAsiaTheme="majorEastAsia"/>
              </w:rPr>
              <w:t>Gestión de recursos humanos</w:t>
            </w:r>
            <w:r w:rsidR="00AA198E" w:rsidRPr="00AA198E">
              <w:rPr>
                <w:webHidden/>
              </w:rPr>
              <w:tab/>
            </w:r>
            <w:r w:rsidR="00AA198E" w:rsidRPr="00AA198E">
              <w:rPr>
                <w:webHidden/>
              </w:rPr>
              <w:fldChar w:fldCharType="begin" w:fldLock="1"/>
            </w:r>
            <w:r w:rsidR="00AA198E" w:rsidRPr="00AA198E">
              <w:rPr>
                <w:webHidden/>
              </w:rPr>
              <w:instrText xml:space="preserve"> PAGEREF _Toc99107128 \h </w:instrText>
            </w:r>
            <w:r w:rsidR="00AA198E" w:rsidRPr="00AA198E">
              <w:rPr>
                <w:webHidden/>
              </w:rPr>
            </w:r>
            <w:r w:rsidR="00AA198E" w:rsidRPr="00AA198E">
              <w:rPr>
                <w:webHidden/>
              </w:rPr>
              <w:fldChar w:fldCharType="separate"/>
            </w:r>
            <w:r w:rsidR="00AA198E" w:rsidRPr="00AA198E">
              <w:rPr>
                <w:webHidden/>
              </w:rPr>
              <w:t>317</w:t>
            </w:r>
            <w:r w:rsidR="00AA198E" w:rsidRPr="00AA198E">
              <w:rPr>
                <w:webHidden/>
              </w:rPr>
              <w:fldChar w:fldCharType="end"/>
            </w:r>
          </w:hyperlink>
        </w:p>
        <w:p w14:paraId="0CEA7200" w14:textId="24FF2A32" w:rsidR="00AA198E" w:rsidRPr="00AA198E" w:rsidRDefault="00AF48E6">
          <w:pPr>
            <w:pStyle w:val="TDC2"/>
            <w:rPr>
              <w:rFonts w:asciiTheme="minorHAnsi" w:eastAsiaTheme="minorEastAsia" w:hAnsiTheme="minorHAnsi" w:cstheme="minorBidi"/>
              <w:kern w:val="0"/>
              <w:sz w:val="22"/>
              <w:lang w:bidi="ar-SA"/>
            </w:rPr>
          </w:pPr>
          <w:hyperlink w:anchor="_Toc99107129" w:history="1">
            <w:r w:rsidR="00AA198E" w:rsidRPr="00AA198E">
              <w:rPr>
                <w:rStyle w:val="Hipervnculo"/>
                <w:rFonts w:eastAsiaTheme="majorEastAsia"/>
              </w:rPr>
              <w:t>6.4.</w:t>
            </w:r>
            <w:r w:rsidR="00AA198E" w:rsidRPr="00AA198E">
              <w:rPr>
                <w:rFonts w:asciiTheme="minorHAnsi" w:eastAsiaTheme="minorEastAsia" w:hAnsiTheme="minorHAnsi" w:cstheme="minorBidi"/>
                <w:kern w:val="0"/>
                <w:sz w:val="22"/>
                <w:lang w:bidi="ar-SA"/>
              </w:rPr>
              <w:tab/>
            </w:r>
            <w:r w:rsidR="00AA198E" w:rsidRPr="00AA198E">
              <w:rPr>
                <w:rStyle w:val="Hipervnculo"/>
                <w:rFonts w:eastAsiaTheme="majorEastAsia"/>
              </w:rPr>
              <w:t>Gestión económica y contratación</w:t>
            </w:r>
            <w:r w:rsidR="00AA198E" w:rsidRPr="00AA198E">
              <w:rPr>
                <w:webHidden/>
              </w:rPr>
              <w:tab/>
            </w:r>
            <w:r w:rsidR="00AA198E" w:rsidRPr="00AA198E">
              <w:rPr>
                <w:webHidden/>
              </w:rPr>
              <w:fldChar w:fldCharType="begin" w:fldLock="1"/>
            </w:r>
            <w:r w:rsidR="00AA198E" w:rsidRPr="00AA198E">
              <w:rPr>
                <w:webHidden/>
              </w:rPr>
              <w:instrText xml:space="preserve"> PAGEREF _Toc99107129 \h </w:instrText>
            </w:r>
            <w:r w:rsidR="00AA198E" w:rsidRPr="00AA198E">
              <w:rPr>
                <w:webHidden/>
              </w:rPr>
            </w:r>
            <w:r w:rsidR="00AA198E" w:rsidRPr="00AA198E">
              <w:rPr>
                <w:webHidden/>
              </w:rPr>
              <w:fldChar w:fldCharType="separate"/>
            </w:r>
            <w:r w:rsidR="00AA198E" w:rsidRPr="00AA198E">
              <w:rPr>
                <w:webHidden/>
              </w:rPr>
              <w:t>317</w:t>
            </w:r>
            <w:r w:rsidR="00AA198E" w:rsidRPr="00AA198E">
              <w:rPr>
                <w:webHidden/>
              </w:rPr>
              <w:fldChar w:fldCharType="end"/>
            </w:r>
          </w:hyperlink>
        </w:p>
        <w:p w14:paraId="19241337" w14:textId="33B60E2D" w:rsidR="00AA198E" w:rsidRPr="00AA198E" w:rsidRDefault="00AF48E6">
          <w:pPr>
            <w:pStyle w:val="TDC3"/>
            <w:rPr>
              <w:iCs w:val="0"/>
              <w:noProof/>
              <w:sz w:val="22"/>
              <w:szCs w:val="22"/>
              <w:lang w:eastAsia="es-ES"/>
            </w:rPr>
          </w:pPr>
          <w:hyperlink w:anchor="_Toc99107130" w:history="1">
            <w:r w:rsidR="00AA198E" w:rsidRPr="00AA198E">
              <w:rPr>
                <w:rStyle w:val="Hipervnculo"/>
                <w:rFonts w:ascii="Arial" w:eastAsia="Times New Roman" w:hAnsi="Arial" w:cs="Arial"/>
                <w:noProof/>
                <w:lang w:eastAsia="es-ES"/>
              </w:rPr>
              <w:t>6.4.1.</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Ejecución presupuestaria 2021</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_Toc99107130 \h </w:instrText>
            </w:r>
            <w:r w:rsidR="00AA198E" w:rsidRPr="00AA198E">
              <w:rPr>
                <w:noProof/>
                <w:webHidden/>
              </w:rPr>
            </w:r>
            <w:r w:rsidR="00AA198E" w:rsidRPr="00AA198E">
              <w:rPr>
                <w:noProof/>
                <w:webHidden/>
              </w:rPr>
              <w:fldChar w:fldCharType="separate"/>
            </w:r>
            <w:r w:rsidR="00AA198E" w:rsidRPr="00AA198E">
              <w:rPr>
                <w:noProof/>
                <w:webHidden/>
              </w:rPr>
              <w:t>318</w:t>
            </w:r>
            <w:r w:rsidR="00AA198E" w:rsidRPr="00AA198E">
              <w:rPr>
                <w:noProof/>
                <w:webHidden/>
              </w:rPr>
              <w:fldChar w:fldCharType="end"/>
            </w:r>
          </w:hyperlink>
        </w:p>
        <w:p w14:paraId="1801D4B6" w14:textId="2B3C0043" w:rsidR="00AA198E" w:rsidRPr="00AA198E" w:rsidRDefault="00AF48E6">
          <w:pPr>
            <w:pStyle w:val="TDC3"/>
            <w:rPr>
              <w:iCs w:val="0"/>
              <w:noProof/>
              <w:sz w:val="22"/>
              <w:szCs w:val="22"/>
              <w:lang w:eastAsia="es-ES"/>
            </w:rPr>
          </w:pPr>
          <w:hyperlink w:anchor="_Toc99107131" w:history="1">
            <w:r w:rsidR="00AA198E" w:rsidRPr="00AA198E">
              <w:rPr>
                <w:rStyle w:val="Hipervnculo"/>
                <w:rFonts w:ascii="Arial" w:eastAsia="Times New Roman" w:hAnsi="Arial" w:cs="Arial"/>
                <w:noProof/>
                <w:lang w:eastAsia="es-ES"/>
              </w:rPr>
              <w:t>6.4.2.</w:t>
            </w:r>
            <w:r w:rsidR="00AA198E" w:rsidRPr="00AA198E">
              <w:rPr>
                <w:iCs w:val="0"/>
                <w:noProof/>
                <w:sz w:val="22"/>
                <w:szCs w:val="22"/>
                <w:lang w:eastAsia="es-ES"/>
              </w:rPr>
              <w:tab/>
            </w:r>
            <w:r w:rsidR="00AA198E" w:rsidRPr="00AA198E">
              <w:rPr>
                <w:rStyle w:val="Hipervnculo"/>
                <w:rFonts w:ascii="Arial" w:eastAsia="Times New Roman" w:hAnsi="Arial" w:cs="Arial"/>
                <w:noProof/>
                <w:lang w:eastAsia="es-ES"/>
              </w:rPr>
              <w:t>Contratación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_Toc99107131 \h </w:instrText>
            </w:r>
            <w:r w:rsidR="00AA198E" w:rsidRPr="00AA198E">
              <w:rPr>
                <w:noProof/>
                <w:webHidden/>
              </w:rPr>
            </w:r>
            <w:r w:rsidR="00AA198E" w:rsidRPr="00AA198E">
              <w:rPr>
                <w:noProof/>
                <w:webHidden/>
              </w:rPr>
              <w:fldChar w:fldCharType="separate"/>
            </w:r>
            <w:r w:rsidR="00AA198E" w:rsidRPr="00AA198E">
              <w:rPr>
                <w:noProof/>
                <w:webHidden/>
              </w:rPr>
              <w:t>326</w:t>
            </w:r>
            <w:r w:rsidR="00AA198E" w:rsidRPr="00AA198E">
              <w:rPr>
                <w:noProof/>
                <w:webHidden/>
              </w:rPr>
              <w:fldChar w:fldCharType="end"/>
            </w:r>
          </w:hyperlink>
        </w:p>
        <w:p w14:paraId="194A18A5" w14:textId="1EED78D6" w:rsidR="00AA198E" w:rsidRPr="00AA198E" w:rsidRDefault="00AF48E6" w:rsidP="00AA198E">
          <w:pPr>
            <w:pStyle w:val="TDC1"/>
            <w:rPr>
              <w:rFonts w:asciiTheme="minorHAnsi" w:eastAsiaTheme="minorEastAsia" w:hAnsiTheme="minorHAnsi" w:cstheme="minorBidi"/>
              <w:kern w:val="0"/>
              <w:sz w:val="22"/>
              <w:szCs w:val="22"/>
              <w:lang w:bidi="ar-SA"/>
            </w:rPr>
          </w:pPr>
          <w:hyperlink w:anchor="_Toc99107132" w:history="1">
            <w:r w:rsidR="00AA198E" w:rsidRPr="00AA198E">
              <w:rPr>
                <w:rStyle w:val="Hipervnculo"/>
              </w:rPr>
              <w:t>7.</w:t>
            </w:r>
            <w:r w:rsidR="00AA198E" w:rsidRPr="00AA198E">
              <w:rPr>
                <w:rFonts w:asciiTheme="minorHAnsi" w:eastAsiaTheme="minorEastAsia" w:hAnsiTheme="minorHAnsi" w:cstheme="minorBidi"/>
                <w:kern w:val="0"/>
                <w:sz w:val="22"/>
                <w:szCs w:val="22"/>
                <w:lang w:bidi="ar-SA"/>
              </w:rPr>
              <w:tab/>
            </w:r>
            <w:r w:rsidR="00AA198E" w:rsidRPr="00AA198E">
              <w:rPr>
                <w:rStyle w:val="Hipervnculo"/>
              </w:rPr>
              <w:t>Conclusiones y recomendaciones</w:t>
            </w:r>
            <w:r w:rsidR="00AA198E" w:rsidRPr="00AA198E">
              <w:rPr>
                <w:webHidden/>
              </w:rPr>
              <w:tab/>
            </w:r>
            <w:r w:rsidR="00AA198E" w:rsidRPr="00AA198E">
              <w:rPr>
                <w:webHidden/>
              </w:rPr>
              <w:fldChar w:fldCharType="begin" w:fldLock="1"/>
            </w:r>
            <w:r w:rsidR="00AA198E" w:rsidRPr="00AA198E">
              <w:rPr>
                <w:webHidden/>
              </w:rPr>
              <w:instrText xml:space="preserve"> PAGEREF _Toc99107132 \h </w:instrText>
            </w:r>
            <w:r w:rsidR="00AA198E" w:rsidRPr="00AA198E">
              <w:rPr>
                <w:webHidden/>
              </w:rPr>
            </w:r>
            <w:r w:rsidR="00AA198E" w:rsidRPr="00AA198E">
              <w:rPr>
                <w:webHidden/>
              </w:rPr>
              <w:fldChar w:fldCharType="separate"/>
            </w:r>
            <w:r w:rsidR="00AA198E" w:rsidRPr="00AA198E">
              <w:rPr>
                <w:webHidden/>
              </w:rPr>
              <w:t>329</w:t>
            </w:r>
            <w:r w:rsidR="00AA198E" w:rsidRPr="00AA198E">
              <w:rPr>
                <w:webHidden/>
              </w:rPr>
              <w:fldChar w:fldCharType="end"/>
            </w:r>
          </w:hyperlink>
        </w:p>
        <w:p w14:paraId="4AA03334" w14:textId="0C99847B" w:rsidR="00AA198E" w:rsidRPr="00AA198E" w:rsidRDefault="00AF48E6">
          <w:pPr>
            <w:pStyle w:val="TDC2"/>
            <w:rPr>
              <w:rFonts w:asciiTheme="minorHAnsi" w:eastAsiaTheme="minorEastAsia" w:hAnsiTheme="minorHAnsi" w:cstheme="minorBidi"/>
              <w:kern w:val="0"/>
              <w:sz w:val="22"/>
              <w:lang w:bidi="ar-SA"/>
            </w:rPr>
          </w:pPr>
          <w:hyperlink w:anchor="_Toc99107133" w:history="1">
            <w:r w:rsidR="00AA198E" w:rsidRPr="00AA198E">
              <w:rPr>
                <w:rStyle w:val="Hipervnculo"/>
                <w:rFonts w:eastAsiaTheme="majorEastAsia"/>
              </w:rPr>
              <w:t>7.1.</w:t>
            </w:r>
            <w:r w:rsidR="00AA198E" w:rsidRPr="00AA198E">
              <w:rPr>
                <w:rFonts w:asciiTheme="minorHAnsi" w:eastAsiaTheme="minorEastAsia" w:hAnsiTheme="minorHAnsi" w:cstheme="minorBidi"/>
                <w:kern w:val="0"/>
                <w:sz w:val="22"/>
                <w:lang w:bidi="ar-SA"/>
              </w:rPr>
              <w:tab/>
            </w:r>
            <w:r w:rsidR="00AA198E" w:rsidRPr="00AA198E">
              <w:rPr>
                <w:rStyle w:val="Hipervnculo"/>
                <w:rFonts w:eastAsiaTheme="majorEastAsia"/>
              </w:rPr>
              <w:t>Sobre la elusión de los principios rectores aplicables a los procesos de selección y provisión de los empleados públicos</w:t>
            </w:r>
            <w:r w:rsidR="00AA198E" w:rsidRPr="00AA198E">
              <w:rPr>
                <w:webHidden/>
              </w:rPr>
              <w:tab/>
            </w:r>
            <w:r w:rsidR="00AA198E" w:rsidRPr="00AA198E">
              <w:rPr>
                <w:webHidden/>
              </w:rPr>
              <w:fldChar w:fldCharType="begin" w:fldLock="1"/>
            </w:r>
            <w:r w:rsidR="00AA198E" w:rsidRPr="00AA198E">
              <w:rPr>
                <w:webHidden/>
              </w:rPr>
              <w:instrText xml:space="preserve"> PAGEREF _Toc99107133 \h </w:instrText>
            </w:r>
            <w:r w:rsidR="00AA198E" w:rsidRPr="00AA198E">
              <w:rPr>
                <w:webHidden/>
              </w:rPr>
            </w:r>
            <w:r w:rsidR="00AA198E" w:rsidRPr="00AA198E">
              <w:rPr>
                <w:webHidden/>
              </w:rPr>
              <w:fldChar w:fldCharType="separate"/>
            </w:r>
            <w:r w:rsidR="00AA198E" w:rsidRPr="00AA198E">
              <w:rPr>
                <w:webHidden/>
              </w:rPr>
              <w:t>329</w:t>
            </w:r>
            <w:r w:rsidR="00AA198E" w:rsidRPr="00AA198E">
              <w:rPr>
                <w:webHidden/>
              </w:rPr>
              <w:fldChar w:fldCharType="end"/>
            </w:r>
          </w:hyperlink>
        </w:p>
        <w:p w14:paraId="7ED933BE" w14:textId="6610A90A" w:rsidR="00AA198E" w:rsidRPr="00AA198E" w:rsidRDefault="00AF48E6">
          <w:pPr>
            <w:pStyle w:val="TDC2"/>
            <w:rPr>
              <w:rFonts w:asciiTheme="minorHAnsi" w:eastAsiaTheme="minorEastAsia" w:hAnsiTheme="minorHAnsi" w:cstheme="minorBidi"/>
              <w:kern w:val="0"/>
              <w:sz w:val="22"/>
              <w:lang w:bidi="ar-SA"/>
            </w:rPr>
          </w:pPr>
          <w:hyperlink w:anchor="_Toc99107134" w:history="1">
            <w:r w:rsidR="00AA198E" w:rsidRPr="00AA198E">
              <w:rPr>
                <w:rStyle w:val="Hipervnculo"/>
                <w:rFonts w:eastAsiaTheme="majorEastAsia"/>
              </w:rPr>
              <w:t>7.2.</w:t>
            </w:r>
            <w:r w:rsidR="00AA198E" w:rsidRPr="00AA198E">
              <w:rPr>
                <w:rFonts w:asciiTheme="minorHAnsi" w:eastAsiaTheme="minorEastAsia" w:hAnsiTheme="minorHAnsi" w:cstheme="minorBidi"/>
                <w:kern w:val="0"/>
                <w:sz w:val="22"/>
                <w:lang w:bidi="ar-SA"/>
              </w:rPr>
              <w:tab/>
            </w:r>
            <w:r w:rsidR="00AA198E" w:rsidRPr="00AA198E">
              <w:rPr>
                <w:rStyle w:val="Hipervnculo"/>
                <w:rFonts w:eastAsiaTheme="majorEastAsia"/>
              </w:rPr>
              <w:t>Sobre el incremento de la contratación de emergencia y el necesario control de dicho mecanismo excepcional</w:t>
            </w:r>
            <w:r w:rsidR="00AA198E" w:rsidRPr="00AA198E">
              <w:rPr>
                <w:webHidden/>
              </w:rPr>
              <w:tab/>
            </w:r>
            <w:r w:rsidR="00AA198E" w:rsidRPr="00AA198E">
              <w:rPr>
                <w:webHidden/>
              </w:rPr>
              <w:fldChar w:fldCharType="begin" w:fldLock="1"/>
            </w:r>
            <w:r w:rsidR="00AA198E" w:rsidRPr="00AA198E">
              <w:rPr>
                <w:webHidden/>
              </w:rPr>
              <w:instrText xml:space="preserve"> PAGEREF _Toc99107134 \h </w:instrText>
            </w:r>
            <w:r w:rsidR="00AA198E" w:rsidRPr="00AA198E">
              <w:rPr>
                <w:webHidden/>
              </w:rPr>
            </w:r>
            <w:r w:rsidR="00AA198E" w:rsidRPr="00AA198E">
              <w:rPr>
                <w:webHidden/>
              </w:rPr>
              <w:fldChar w:fldCharType="separate"/>
            </w:r>
            <w:r w:rsidR="00AA198E" w:rsidRPr="00AA198E">
              <w:rPr>
                <w:webHidden/>
              </w:rPr>
              <w:t>332</w:t>
            </w:r>
            <w:r w:rsidR="00AA198E" w:rsidRPr="00AA198E">
              <w:rPr>
                <w:webHidden/>
              </w:rPr>
              <w:fldChar w:fldCharType="end"/>
            </w:r>
          </w:hyperlink>
        </w:p>
        <w:p w14:paraId="6DA308C4" w14:textId="0D5E2E75" w:rsidR="00AA198E" w:rsidRPr="00AA198E" w:rsidRDefault="00AF48E6">
          <w:pPr>
            <w:pStyle w:val="TDC2"/>
            <w:rPr>
              <w:rFonts w:asciiTheme="minorHAnsi" w:eastAsiaTheme="minorEastAsia" w:hAnsiTheme="minorHAnsi" w:cstheme="minorBidi"/>
              <w:kern w:val="0"/>
              <w:sz w:val="22"/>
              <w:lang w:bidi="ar-SA"/>
            </w:rPr>
          </w:pPr>
          <w:hyperlink w:anchor="_Toc99107135" w:history="1">
            <w:r w:rsidR="00AA198E" w:rsidRPr="00AA198E">
              <w:rPr>
                <w:rStyle w:val="Hipervnculo"/>
                <w:rFonts w:eastAsiaTheme="majorEastAsia"/>
              </w:rPr>
              <w:t>7.3.</w:t>
            </w:r>
            <w:r w:rsidR="00AA198E" w:rsidRPr="00AA198E">
              <w:rPr>
                <w:rFonts w:asciiTheme="minorHAnsi" w:eastAsiaTheme="minorEastAsia" w:hAnsiTheme="minorHAnsi" w:cstheme="minorBidi"/>
                <w:kern w:val="0"/>
                <w:sz w:val="22"/>
                <w:lang w:bidi="ar-SA"/>
              </w:rPr>
              <w:tab/>
            </w:r>
            <w:r w:rsidR="00AA198E" w:rsidRPr="00AA198E">
              <w:rPr>
                <w:rStyle w:val="Hipervnculo"/>
                <w:rFonts w:eastAsiaTheme="majorEastAsia"/>
              </w:rPr>
              <w:t>Sobre el cambio de paradigma en la cultura de la gestión pública: hacia la integridad institucional</w:t>
            </w:r>
            <w:r w:rsidR="00AA198E" w:rsidRPr="00AA198E">
              <w:rPr>
                <w:webHidden/>
              </w:rPr>
              <w:tab/>
            </w:r>
            <w:r w:rsidR="00AA198E" w:rsidRPr="00AA198E">
              <w:rPr>
                <w:webHidden/>
              </w:rPr>
              <w:fldChar w:fldCharType="begin" w:fldLock="1"/>
            </w:r>
            <w:r w:rsidR="00AA198E" w:rsidRPr="00AA198E">
              <w:rPr>
                <w:webHidden/>
              </w:rPr>
              <w:instrText xml:space="preserve"> PAGEREF _Toc99107135 \h </w:instrText>
            </w:r>
            <w:r w:rsidR="00AA198E" w:rsidRPr="00AA198E">
              <w:rPr>
                <w:webHidden/>
              </w:rPr>
            </w:r>
            <w:r w:rsidR="00AA198E" w:rsidRPr="00AA198E">
              <w:rPr>
                <w:webHidden/>
              </w:rPr>
              <w:fldChar w:fldCharType="separate"/>
            </w:r>
            <w:r w:rsidR="00AA198E" w:rsidRPr="00AA198E">
              <w:rPr>
                <w:webHidden/>
              </w:rPr>
              <w:t>335</w:t>
            </w:r>
            <w:r w:rsidR="00AA198E" w:rsidRPr="00AA198E">
              <w:rPr>
                <w:webHidden/>
              </w:rPr>
              <w:fldChar w:fldCharType="end"/>
            </w:r>
          </w:hyperlink>
        </w:p>
        <w:p w14:paraId="22943413" w14:textId="162C343F" w:rsidR="00AA198E" w:rsidRPr="00AA198E" w:rsidRDefault="00AF48E6">
          <w:pPr>
            <w:pStyle w:val="TDC2"/>
            <w:rPr>
              <w:rFonts w:asciiTheme="minorHAnsi" w:eastAsiaTheme="minorEastAsia" w:hAnsiTheme="minorHAnsi" w:cstheme="minorBidi"/>
              <w:kern w:val="0"/>
              <w:sz w:val="22"/>
              <w:lang w:bidi="ar-SA"/>
            </w:rPr>
          </w:pPr>
          <w:hyperlink w:anchor="_Toc99107136" w:history="1">
            <w:r w:rsidR="00AA198E" w:rsidRPr="00AA198E">
              <w:rPr>
                <w:rStyle w:val="Hipervnculo"/>
                <w:rFonts w:eastAsiaTheme="majorEastAsia"/>
              </w:rPr>
              <w:t>7.4.</w:t>
            </w:r>
            <w:r w:rsidR="00AA198E" w:rsidRPr="00AA198E">
              <w:rPr>
                <w:rFonts w:asciiTheme="minorHAnsi" w:eastAsiaTheme="minorEastAsia" w:hAnsiTheme="minorHAnsi" w:cstheme="minorBidi"/>
                <w:kern w:val="0"/>
                <w:sz w:val="22"/>
                <w:lang w:bidi="ar-SA"/>
              </w:rPr>
              <w:tab/>
            </w:r>
            <w:r w:rsidR="00AA198E" w:rsidRPr="00AA198E">
              <w:rPr>
                <w:rStyle w:val="Hipervnculo"/>
                <w:rFonts w:eastAsiaTheme="majorEastAsia"/>
              </w:rPr>
              <w:t>Sobre la ética pública y colaboración institucional</w:t>
            </w:r>
            <w:r w:rsidR="00AA198E" w:rsidRPr="00AA198E">
              <w:rPr>
                <w:webHidden/>
              </w:rPr>
              <w:tab/>
            </w:r>
            <w:r w:rsidR="00AA198E" w:rsidRPr="00AA198E">
              <w:rPr>
                <w:webHidden/>
              </w:rPr>
              <w:fldChar w:fldCharType="begin" w:fldLock="1"/>
            </w:r>
            <w:r w:rsidR="00AA198E" w:rsidRPr="00AA198E">
              <w:rPr>
                <w:webHidden/>
              </w:rPr>
              <w:instrText xml:space="preserve"> PAGEREF _Toc99107136 \h </w:instrText>
            </w:r>
            <w:r w:rsidR="00AA198E" w:rsidRPr="00AA198E">
              <w:rPr>
                <w:webHidden/>
              </w:rPr>
            </w:r>
            <w:r w:rsidR="00AA198E" w:rsidRPr="00AA198E">
              <w:rPr>
                <w:webHidden/>
              </w:rPr>
              <w:fldChar w:fldCharType="separate"/>
            </w:r>
            <w:r w:rsidR="00AA198E" w:rsidRPr="00AA198E">
              <w:rPr>
                <w:webHidden/>
              </w:rPr>
              <w:t>338</w:t>
            </w:r>
            <w:r w:rsidR="00AA198E" w:rsidRPr="00AA198E">
              <w:rPr>
                <w:webHidden/>
              </w:rPr>
              <w:fldChar w:fldCharType="end"/>
            </w:r>
          </w:hyperlink>
        </w:p>
        <w:p w14:paraId="2A9E93E5" w14:textId="7ECB395B" w:rsidR="00AA198E" w:rsidRPr="00AA198E" w:rsidRDefault="00AF48E6">
          <w:pPr>
            <w:pStyle w:val="TDC2"/>
            <w:rPr>
              <w:rFonts w:asciiTheme="minorHAnsi" w:eastAsiaTheme="minorEastAsia" w:hAnsiTheme="minorHAnsi" w:cstheme="minorBidi"/>
              <w:kern w:val="0"/>
              <w:sz w:val="22"/>
              <w:lang w:bidi="ar-SA"/>
            </w:rPr>
          </w:pPr>
          <w:hyperlink w:anchor="_Toc99107137" w:history="1">
            <w:r w:rsidR="00AA198E" w:rsidRPr="00AA198E">
              <w:rPr>
                <w:rStyle w:val="Hipervnculo"/>
                <w:rFonts w:eastAsiaTheme="majorEastAsia"/>
              </w:rPr>
              <w:t>7.5.</w:t>
            </w:r>
            <w:r w:rsidR="00AA198E" w:rsidRPr="00AA198E">
              <w:rPr>
                <w:rFonts w:asciiTheme="minorHAnsi" w:eastAsiaTheme="minorEastAsia" w:hAnsiTheme="minorHAnsi" w:cstheme="minorBidi"/>
                <w:kern w:val="0"/>
                <w:sz w:val="22"/>
                <w:lang w:bidi="ar-SA"/>
              </w:rPr>
              <w:tab/>
            </w:r>
            <w:r w:rsidR="00AA198E" w:rsidRPr="00AA198E">
              <w:rPr>
                <w:rStyle w:val="Hipervnculo"/>
                <w:rFonts w:eastAsiaTheme="majorEastAsia"/>
              </w:rPr>
              <w:t>Sobre el efecto directo de la Directiva (UE) 2019/1937 del Parlamento Europeo y del Consejo de 23 de octubre de 2019, relativa a la protección de las personas que informan sobre infracciones del Derecho de la Unión</w:t>
            </w:r>
            <w:r w:rsidR="00AA198E" w:rsidRPr="00AA198E">
              <w:rPr>
                <w:webHidden/>
              </w:rPr>
              <w:tab/>
            </w:r>
            <w:r w:rsidR="00AA198E" w:rsidRPr="00AA198E">
              <w:rPr>
                <w:webHidden/>
              </w:rPr>
              <w:fldChar w:fldCharType="begin" w:fldLock="1"/>
            </w:r>
            <w:r w:rsidR="00AA198E" w:rsidRPr="00AA198E">
              <w:rPr>
                <w:webHidden/>
              </w:rPr>
              <w:instrText xml:space="preserve"> PAGEREF _Toc99107137 \h </w:instrText>
            </w:r>
            <w:r w:rsidR="00AA198E" w:rsidRPr="00AA198E">
              <w:rPr>
                <w:webHidden/>
              </w:rPr>
            </w:r>
            <w:r w:rsidR="00AA198E" w:rsidRPr="00AA198E">
              <w:rPr>
                <w:webHidden/>
              </w:rPr>
              <w:fldChar w:fldCharType="separate"/>
            </w:r>
            <w:r w:rsidR="00AA198E" w:rsidRPr="00AA198E">
              <w:rPr>
                <w:webHidden/>
              </w:rPr>
              <w:t>340</w:t>
            </w:r>
            <w:r w:rsidR="00AA198E" w:rsidRPr="00AA198E">
              <w:rPr>
                <w:webHidden/>
              </w:rPr>
              <w:fldChar w:fldCharType="end"/>
            </w:r>
          </w:hyperlink>
        </w:p>
        <w:p w14:paraId="209C8D9D" w14:textId="46730013" w:rsidR="00AA198E" w:rsidRPr="00AA198E" w:rsidRDefault="00AF48E6" w:rsidP="00AA198E">
          <w:pPr>
            <w:pStyle w:val="TDC1"/>
            <w:rPr>
              <w:rFonts w:asciiTheme="minorHAnsi" w:eastAsiaTheme="minorEastAsia" w:hAnsiTheme="minorHAnsi" w:cstheme="minorBidi"/>
              <w:kern w:val="0"/>
              <w:sz w:val="22"/>
              <w:szCs w:val="22"/>
              <w:lang w:bidi="ar-SA"/>
            </w:rPr>
          </w:pPr>
          <w:hyperlink w:anchor="_Toc99107138" w:history="1">
            <w:r w:rsidR="00AA198E" w:rsidRPr="00AA198E">
              <w:rPr>
                <w:rStyle w:val="Hipervnculo"/>
              </w:rPr>
              <w:t>Anexo.</w:t>
            </w:r>
            <w:r w:rsidR="00AA198E" w:rsidRPr="00AA198E">
              <w:rPr>
                <w:rFonts w:asciiTheme="minorHAnsi" w:eastAsiaTheme="minorEastAsia" w:hAnsiTheme="minorHAnsi" w:cstheme="minorBidi"/>
                <w:kern w:val="0"/>
                <w:sz w:val="22"/>
                <w:szCs w:val="22"/>
                <w:lang w:bidi="ar-SA"/>
              </w:rPr>
              <w:tab/>
            </w:r>
            <w:r w:rsidR="00AA198E" w:rsidRPr="00AA198E">
              <w:rPr>
                <w:rStyle w:val="Hipervnculo"/>
                <w:smallCaps/>
              </w:rPr>
              <w:t xml:space="preserve"> </w:t>
            </w:r>
            <w:r w:rsidR="00AA198E" w:rsidRPr="00AA198E">
              <w:rPr>
                <w:rStyle w:val="Hipervnculo"/>
              </w:rPr>
              <w:t>Código ético y de conducta de la Agencia de Prevención y Lucha contra el Fraude y la Corrupción de la Comunitat Valenciana</w:t>
            </w:r>
            <w:r w:rsidR="00AA198E" w:rsidRPr="00AA198E">
              <w:rPr>
                <w:webHidden/>
              </w:rPr>
              <w:tab/>
            </w:r>
            <w:r w:rsidR="00AA198E" w:rsidRPr="00AA198E">
              <w:rPr>
                <w:webHidden/>
              </w:rPr>
              <w:fldChar w:fldCharType="begin" w:fldLock="1"/>
            </w:r>
            <w:r w:rsidR="00AA198E" w:rsidRPr="00AA198E">
              <w:rPr>
                <w:webHidden/>
              </w:rPr>
              <w:instrText xml:space="preserve"> PAGEREF _Toc99107138 \h </w:instrText>
            </w:r>
            <w:r w:rsidR="00AA198E" w:rsidRPr="00AA198E">
              <w:rPr>
                <w:webHidden/>
              </w:rPr>
            </w:r>
            <w:r w:rsidR="00AA198E" w:rsidRPr="00AA198E">
              <w:rPr>
                <w:webHidden/>
              </w:rPr>
              <w:fldChar w:fldCharType="separate"/>
            </w:r>
            <w:r w:rsidR="00AA198E" w:rsidRPr="00AA198E">
              <w:rPr>
                <w:webHidden/>
              </w:rPr>
              <w:t>346</w:t>
            </w:r>
            <w:r w:rsidR="00AA198E" w:rsidRPr="00AA198E">
              <w:rPr>
                <w:webHidden/>
              </w:rPr>
              <w:fldChar w:fldCharType="end"/>
            </w:r>
          </w:hyperlink>
        </w:p>
        <w:p w14:paraId="0CC1BA74" w14:textId="30F17636" w:rsidR="00AD0B4D" w:rsidRPr="009202BF" w:rsidRDefault="009C4D4D" w:rsidP="003C28C4">
          <w:pPr>
            <w:jc w:val="both"/>
          </w:pPr>
          <w:r w:rsidRPr="0073640D">
            <w:rPr>
              <w:rFonts w:ascii="Arial" w:eastAsia="Droid Sans Fallback" w:hAnsi="Arial" w:cs="Arial"/>
              <w:smallCaps/>
              <w:noProof/>
              <w:kern w:val="3"/>
              <w:sz w:val="20"/>
              <w:szCs w:val="20"/>
              <w:lang w:eastAsia="zh-CN" w:bidi="hi-IN"/>
            </w:rPr>
            <w:fldChar w:fldCharType="end"/>
          </w:r>
        </w:p>
      </w:sdtContent>
    </w:sdt>
    <w:p w14:paraId="05BAF825" w14:textId="77777777" w:rsidR="00AD140C" w:rsidRPr="00973028" w:rsidRDefault="00AD140C" w:rsidP="00AD140C">
      <w:pPr>
        <w:pStyle w:val="Prrafodelista"/>
        <w:spacing w:after="0" w:line="276" w:lineRule="auto"/>
        <w:ind w:left="357"/>
        <w:jc w:val="both"/>
        <w:rPr>
          <w:rFonts w:ascii="Arial" w:hAnsi="Arial" w:cs="Arial"/>
          <w:sz w:val="20"/>
          <w:szCs w:val="20"/>
        </w:rPr>
      </w:pPr>
    </w:p>
    <w:p w14:paraId="29C76582" w14:textId="554412EE" w:rsidR="00A32227" w:rsidRPr="00973028" w:rsidRDefault="00A46175">
      <w:pPr>
        <w:rPr>
          <w:rFonts w:ascii="Arial" w:hAnsi="Arial" w:cs="Arial"/>
          <w:sz w:val="21"/>
          <w:szCs w:val="21"/>
        </w:rPr>
      </w:pPr>
      <w:r w:rsidRPr="00973028">
        <w:rPr>
          <w:rFonts w:ascii="Arial" w:hAnsi="Arial" w:cs="Arial"/>
          <w:sz w:val="21"/>
          <w:szCs w:val="21"/>
        </w:rPr>
        <w:br w:type="page"/>
      </w:r>
    </w:p>
    <w:p w14:paraId="04170D00" w14:textId="77777777" w:rsidR="002A4453" w:rsidRPr="00973028" w:rsidRDefault="002A4453">
      <w:pPr>
        <w:rPr>
          <w:rFonts w:ascii="Arial" w:hAnsi="Arial" w:cs="Arial"/>
          <w:b/>
          <w:bCs/>
          <w:color w:val="9D2235" w:themeColor="accent1"/>
          <w:sz w:val="60"/>
          <w:szCs w:val="60"/>
        </w:rPr>
      </w:pPr>
      <w:r w:rsidRPr="00973028">
        <w:rPr>
          <w:rFonts w:ascii="Arial" w:hAnsi="Arial" w:cs="Arial"/>
          <w:b/>
          <w:bCs/>
          <w:color w:val="9D2235" w:themeColor="accent1"/>
          <w:sz w:val="60"/>
          <w:szCs w:val="60"/>
        </w:rPr>
        <w:t>Índice de Tablas</w:t>
      </w:r>
    </w:p>
    <w:p w14:paraId="59BB840C" w14:textId="1109F5C6" w:rsidR="00AA198E" w:rsidRPr="00AA198E" w:rsidRDefault="002A4453">
      <w:pPr>
        <w:pStyle w:val="Tabladeilustraciones"/>
        <w:tabs>
          <w:tab w:val="right" w:leader="dot" w:pos="8494"/>
        </w:tabs>
        <w:rPr>
          <w:rFonts w:asciiTheme="minorHAnsi" w:eastAsiaTheme="minorEastAsia" w:hAnsiTheme="minorHAnsi" w:cstheme="minorBidi"/>
          <w:noProof/>
          <w:sz w:val="22"/>
          <w:szCs w:val="22"/>
          <w:lang w:eastAsia="es-ES"/>
        </w:rPr>
      </w:pPr>
      <w:r w:rsidRPr="00973028">
        <w:rPr>
          <w:rFonts w:cs="Arial"/>
          <w:color w:val="FF0000"/>
        </w:rPr>
        <w:fldChar w:fldCharType="begin" w:fldLock="1"/>
      </w:r>
      <w:r w:rsidRPr="00973028">
        <w:rPr>
          <w:rFonts w:cs="Arial"/>
          <w:color w:val="FF0000"/>
        </w:rPr>
        <w:instrText xml:space="preserve"> TOC \h \z \c "Tabla" </w:instrText>
      </w:r>
      <w:r w:rsidRPr="00973028">
        <w:rPr>
          <w:rFonts w:cs="Arial"/>
          <w:color w:val="FF0000"/>
        </w:rPr>
        <w:fldChar w:fldCharType="separate"/>
      </w:r>
      <w:hyperlink w:anchor="_Toc99107139" w:history="1">
        <w:r w:rsidR="00AA198E" w:rsidRPr="00AA198E">
          <w:rPr>
            <w:rStyle w:val="Hipervnculo"/>
            <w:rFonts w:cs="Arial"/>
            <w:noProof/>
          </w:rPr>
          <w:t>Tabla 1. Actos con participación de la Agencia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_Toc99107139 \h </w:instrText>
        </w:r>
        <w:r w:rsidR="00AA198E" w:rsidRPr="00AA198E">
          <w:rPr>
            <w:noProof/>
            <w:webHidden/>
          </w:rPr>
        </w:r>
        <w:r w:rsidR="00AA198E" w:rsidRPr="00AA198E">
          <w:rPr>
            <w:noProof/>
            <w:webHidden/>
          </w:rPr>
          <w:fldChar w:fldCharType="separate"/>
        </w:r>
        <w:r w:rsidR="00AA198E" w:rsidRPr="00AA198E">
          <w:rPr>
            <w:noProof/>
            <w:webHidden/>
          </w:rPr>
          <w:t>35</w:t>
        </w:r>
        <w:r w:rsidR="00AA198E" w:rsidRPr="00AA198E">
          <w:rPr>
            <w:noProof/>
            <w:webHidden/>
          </w:rPr>
          <w:fldChar w:fldCharType="end"/>
        </w:r>
      </w:hyperlink>
    </w:p>
    <w:p w14:paraId="09C5A0F2" w14:textId="6B5561C9"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40" w:history="1">
        <w:r w:rsidR="00AA198E" w:rsidRPr="00AA198E">
          <w:rPr>
            <w:rStyle w:val="Hipervnculo"/>
            <w:rFonts w:cs="Arial"/>
            <w:noProof/>
          </w:rPr>
          <w:t>Tabla 2. Conferencias impartidas por la Agencia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_Toc99107140 \h </w:instrText>
        </w:r>
        <w:r w:rsidR="00AA198E" w:rsidRPr="00AA198E">
          <w:rPr>
            <w:noProof/>
            <w:webHidden/>
          </w:rPr>
        </w:r>
        <w:r w:rsidR="00AA198E" w:rsidRPr="00AA198E">
          <w:rPr>
            <w:noProof/>
            <w:webHidden/>
          </w:rPr>
          <w:fldChar w:fldCharType="separate"/>
        </w:r>
        <w:r w:rsidR="00AA198E" w:rsidRPr="00AA198E">
          <w:rPr>
            <w:noProof/>
            <w:webHidden/>
          </w:rPr>
          <w:t>36</w:t>
        </w:r>
        <w:r w:rsidR="00AA198E" w:rsidRPr="00AA198E">
          <w:rPr>
            <w:noProof/>
            <w:webHidden/>
          </w:rPr>
          <w:fldChar w:fldCharType="end"/>
        </w:r>
      </w:hyperlink>
    </w:p>
    <w:p w14:paraId="7DBC1C8E" w14:textId="0D237033"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41" w:history="1">
        <w:r w:rsidR="00AA198E" w:rsidRPr="00AA198E">
          <w:rPr>
            <w:rStyle w:val="Hipervnculo"/>
            <w:rFonts w:cs="Arial"/>
            <w:noProof/>
          </w:rPr>
          <w:t>Tabla 3. Entrevistas y reuniones mantenidas por el director de la Agencia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_Toc99107141 \h </w:instrText>
        </w:r>
        <w:r w:rsidR="00AA198E" w:rsidRPr="00AA198E">
          <w:rPr>
            <w:noProof/>
            <w:webHidden/>
          </w:rPr>
        </w:r>
        <w:r w:rsidR="00AA198E" w:rsidRPr="00AA198E">
          <w:rPr>
            <w:noProof/>
            <w:webHidden/>
          </w:rPr>
          <w:fldChar w:fldCharType="separate"/>
        </w:r>
        <w:r w:rsidR="00AA198E" w:rsidRPr="00AA198E">
          <w:rPr>
            <w:noProof/>
            <w:webHidden/>
          </w:rPr>
          <w:t>39</w:t>
        </w:r>
        <w:r w:rsidR="00AA198E" w:rsidRPr="00AA198E">
          <w:rPr>
            <w:noProof/>
            <w:webHidden/>
          </w:rPr>
          <w:fldChar w:fldCharType="end"/>
        </w:r>
      </w:hyperlink>
    </w:p>
    <w:p w14:paraId="34A08014" w14:textId="1F008F11"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42" w:history="1">
        <w:r w:rsidR="00AA198E" w:rsidRPr="00AA198E">
          <w:rPr>
            <w:rStyle w:val="Hipervnculo"/>
            <w:rFonts w:cs="Arial"/>
            <w:noProof/>
          </w:rPr>
          <w:t>Tabla 4. Notas de prensa enviadas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_Toc99107142 \h </w:instrText>
        </w:r>
        <w:r w:rsidR="00AA198E" w:rsidRPr="00AA198E">
          <w:rPr>
            <w:noProof/>
            <w:webHidden/>
          </w:rPr>
        </w:r>
        <w:r w:rsidR="00AA198E" w:rsidRPr="00AA198E">
          <w:rPr>
            <w:noProof/>
            <w:webHidden/>
          </w:rPr>
          <w:fldChar w:fldCharType="separate"/>
        </w:r>
        <w:r w:rsidR="00AA198E" w:rsidRPr="00AA198E">
          <w:rPr>
            <w:noProof/>
            <w:webHidden/>
          </w:rPr>
          <w:t>49</w:t>
        </w:r>
        <w:r w:rsidR="00AA198E" w:rsidRPr="00AA198E">
          <w:rPr>
            <w:noProof/>
            <w:webHidden/>
          </w:rPr>
          <w:fldChar w:fldCharType="end"/>
        </w:r>
      </w:hyperlink>
    </w:p>
    <w:p w14:paraId="0C5E48EC" w14:textId="3FFB6513"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43" w:history="1">
        <w:r w:rsidR="00AA198E" w:rsidRPr="00AA198E">
          <w:rPr>
            <w:rStyle w:val="Hipervnculo"/>
            <w:rFonts w:cs="Arial"/>
            <w:noProof/>
          </w:rPr>
          <w:t>Tabla 5. Publicaciones en boletines oficiales año 2021</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_Toc99107143 \h </w:instrText>
        </w:r>
        <w:r w:rsidR="00AA198E" w:rsidRPr="00AA198E">
          <w:rPr>
            <w:noProof/>
            <w:webHidden/>
          </w:rPr>
        </w:r>
        <w:r w:rsidR="00AA198E" w:rsidRPr="00AA198E">
          <w:rPr>
            <w:noProof/>
            <w:webHidden/>
          </w:rPr>
          <w:fldChar w:fldCharType="separate"/>
        </w:r>
        <w:r w:rsidR="00AA198E" w:rsidRPr="00AA198E">
          <w:rPr>
            <w:noProof/>
            <w:webHidden/>
          </w:rPr>
          <w:t>55</w:t>
        </w:r>
        <w:r w:rsidR="00AA198E" w:rsidRPr="00AA198E">
          <w:rPr>
            <w:noProof/>
            <w:webHidden/>
          </w:rPr>
          <w:fldChar w:fldCharType="end"/>
        </w:r>
      </w:hyperlink>
    </w:p>
    <w:p w14:paraId="18204E6B" w14:textId="61C316A2"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44" w:history="1">
        <w:r w:rsidR="00AA198E" w:rsidRPr="00AA198E">
          <w:rPr>
            <w:rStyle w:val="Hipervnculo"/>
            <w:rFonts w:cs="Arial"/>
            <w:noProof/>
          </w:rPr>
          <w:t>Tabla 6. Convenios vigentes a 31 de diciembre de 2021</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_Toc99107144 \h </w:instrText>
        </w:r>
        <w:r w:rsidR="00AA198E" w:rsidRPr="00AA198E">
          <w:rPr>
            <w:noProof/>
            <w:webHidden/>
          </w:rPr>
        </w:r>
        <w:r w:rsidR="00AA198E" w:rsidRPr="00AA198E">
          <w:rPr>
            <w:noProof/>
            <w:webHidden/>
          </w:rPr>
          <w:fldChar w:fldCharType="separate"/>
        </w:r>
        <w:r w:rsidR="00AA198E" w:rsidRPr="00AA198E">
          <w:rPr>
            <w:noProof/>
            <w:webHidden/>
          </w:rPr>
          <w:t>130</w:t>
        </w:r>
        <w:r w:rsidR="00AA198E" w:rsidRPr="00AA198E">
          <w:rPr>
            <w:noProof/>
            <w:webHidden/>
          </w:rPr>
          <w:fldChar w:fldCharType="end"/>
        </w:r>
      </w:hyperlink>
    </w:p>
    <w:p w14:paraId="2A6D19B1" w14:textId="3D5894B2"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45" w:history="1">
        <w:r w:rsidR="00AA198E" w:rsidRPr="00AA198E">
          <w:rPr>
            <w:rStyle w:val="Hipervnculo"/>
            <w:rFonts w:cs="Arial"/>
            <w:noProof/>
          </w:rPr>
          <w:t>Tabla 7. Procedimientos judiciales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_Toc99107145 \h </w:instrText>
        </w:r>
        <w:r w:rsidR="00AA198E" w:rsidRPr="00AA198E">
          <w:rPr>
            <w:noProof/>
            <w:webHidden/>
          </w:rPr>
        </w:r>
        <w:r w:rsidR="00AA198E" w:rsidRPr="00AA198E">
          <w:rPr>
            <w:noProof/>
            <w:webHidden/>
          </w:rPr>
          <w:fldChar w:fldCharType="separate"/>
        </w:r>
        <w:r w:rsidR="00AA198E" w:rsidRPr="00AA198E">
          <w:rPr>
            <w:noProof/>
            <w:webHidden/>
          </w:rPr>
          <w:t>135</w:t>
        </w:r>
        <w:r w:rsidR="00AA198E" w:rsidRPr="00AA198E">
          <w:rPr>
            <w:noProof/>
            <w:webHidden/>
          </w:rPr>
          <w:fldChar w:fldCharType="end"/>
        </w:r>
      </w:hyperlink>
    </w:p>
    <w:p w14:paraId="367F6555" w14:textId="4D180D01"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46" w:history="1">
        <w:r w:rsidR="00AA198E" w:rsidRPr="00AA198E">
          <w:rPr>
            <w:rStyle w:val="Hipervnculo"/>
            <w:rFonts w:cs="Arial"/>
            <w:noProof/>
          </w:rPr>
          <w:t>Tabla 8. Solicitudes de información por el cauce parlamentario del artículo 12 del RCV</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_Toc99107146 \h </w:instrText>
        </w:r>
        <w:r w:rsidR="00AA198E" w:rsidRPr="00AA198E">
          <w:rPr>
            <w:noProof/>
            <w:webHidden/>
          </w:rPr>
        </w:r>
        <w:r w:rsidR="00AA198E" w:rsidRPr="00AA198E">
          <w:rPr>
            <w:noProof/>
            <w:webHidden/>
          </w:rPr>
          <w:fldChar w:fldCharType="separate"/>
        </w:r>
        <w:r w:rsidR="00AA198E" w:rsidRPr="00AA198E">
          <w:rPr>
            <w:noProof/>
            <w:webHidden/>
          </w:rPr>
          <w:t>136</w:t>
        </w:r>
        <w:r w:rsidR="00AA198E" w:rsidRPr="00AA198E">
          <w:rPr>
            <w:noProof/>
            <w:webHidden/>
          </w:rPr>
          <w:fldChar w:fldCharType="end"/>
        </w:r>
      </w:hyperlink>
    </w:p>
    <w:p w14:paraId="505F3309" w14:textId="3E1320A2"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47" w:history="1">
        <w:r w:rsidR="00AA198E" w:rsidRPr="00AA198E">
          <w:rPr>
            <w:rStyle w:val="Hipervnculo"/>
            <w:rFonts w:cs="Arial"/>
            <w:noProof/>
          </w:rPr>
          <w:t>Tabla 9. Denuncias presentadas por ámbito subjetivo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_Toc99107147 \h </w:instrText>
        </w:r>
        <w:r w:rsidR="00AA198E" w:rsidRPr="00AA198E">
          <w:rPr>
            <w:noProof/>
            <w:webHidden/>
          </w:rPr>
        </w:r>
        <w:r w:rsidR="00AA198E" w:rsidRPr="00AA198E">
          <w:rPr>
            <w:noProof/>
            <w:webHidden/>
          </w:rPr>
          <w:fldChar w:fldCharType="separate"/>
        </w:r>
        <w:r w:rsidR="00AA198E" w:rsidRPr="00AA198E">
          <w:rPr>
            <w:noProof/>
            <w:webHidden/>
          </w:rPr>
          <w:t>143</w:t>
        </w:r>
        <w:r w:rsidR="00AA198E" w:rsidRPr="00AA198E">
          <w:rPr>
            <w:noProof/>
            <w:webHidden/>
          </w:rPr>
          <w:fldChar w:fldCharType="end"/>
        </w:r>
      </w:hyperlink>
    </w:p>
    <w:p w14:paraId="6F35D335" w14:textId="3D9D26ED"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48" w:history="1">
        <w:r w:rsidR="00AA198E" w:rsidRPr="00AA198E">
          <w:rPr>
            <w:rStyle w:val="Hipervnculo"/>
            <w:noProof/>
          </w:rPr>
          <w:t>Tabla 10. Denuncias presentadas según el canal de comunicación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_Toc99107148 \h </w:instrText>
        </w:r>
        <w:r w:rsidR="00AA198E" w:rsidRPr="00AA198E">
          <w:rPr>
            <w:noProof/>
            <w:webHidden/>
          </w:rPr>
        </w:r>
        <w:r w:rsidR="00AA198E" w:rsidRPr="00AA198E">
          <w:rPr>
            <w:noProof/>
            <w:webHidden/>
          </w:rPr>
          <w:fldChar w:fldCharType="separate"/>
        </w:r>
        <w:r w:rsidR="00AA198E" w:rsidRPr="00AA198E">
          <w:rPr>
            <w:noProof/>
            <w:webHidden/>
          </w:rPr>
          <w:t>145</w:t>
        </w:r>
        <w:r w:rsidR="00AA198E" w:rsidRPr="00AA198E">
          <w:rPr>
            <w:noProof/>
            <w:webHidden/>
          </w:rPr>
          <w:fldChar w:fldCharType="end"/>
        </w:r>
      </w:hyperlink>
    </w:p>
    <w:p w14:paraId="7EF48A84" w14:textId="10B7A478"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49" w:history="1">
        <w:r w:rsidR="00AA198E" w:rsidRPr="00AA198E">
          <w:rPr>
            <w:rStyle w:val="Hipervnculo"/>
            <w:rFonts w:cs="Arial"/>
            <w:noProof/>
          </w:rPr>
          <w:t>Tabla 11. Denuncias presentadas según el territorio de afectación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_Toc99107149 \h </w:instrText>
        </w:r>
        <w:r w:rsidR="00AA198E" w:rsidRPr="00AA198E">
          <w:rPr>
            <w:noProof/>
            <w:webHidden/>
          </w:rPr>
        </w:r>
        <w:r w:rsidR="00AA198E" w:rsidRPr="00AA198E">
          <w:rPr>
            <w:noProof/>
            <w:webHidden/>
          </w:rPr>
          <w:fldChar w:fldCharType="separate"/>
        </w:r>
        <w:r w:rsidR="00AA198E" w:rsidRPr="00AA198E">
          <w:rPr>
            <w:noProof/>
            <w:webHidden/>
          </w:rPr>
          <w:t>147</w:t>
        </w:r>
        <w:r w:rsidR="00AA198E" w:rsidRPr="00AA198E">
          <w:rPr>
            <w:noProof/>
            <w:webHidden/>
          </w:rPr>
          <w:fldChar w:fldCharType="end"/>
        </w:r>
      </w:hyperlink>
    </w:p>
    <w:p w14:paraId="0672EA4F" w14:textId="72C5BD4E"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50" w:history="1">
        <w:r w:rsidR="00AA198E" w:rsidRPr="00AA198E">
          <w:rPr>
            <w:rStyle w:val="Hipervnculo"/>
            <w:rFonts w:cs="Arial"/>
            <w:noProof/>
          </w:rPr>
          <w:t>Tabla 12. Denuncias presentadas según el ámbito material</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_Toc99107150 \h </w:instrText>
        </w:r>
        <w:r w:rsidR="00AA198E" w:rsidRPr="00AA198E">
          <w:rPr>
            <w:noProof/>
            <w:webHidden/>
          </w:rPr>
        </w:r>
        <w:r w:rsidR="00AA198E" w:rsidRPr="00AA198E">
          <w:rPr>
            <w:noProof/>
            <w:webHidden/>
          </w:rPr>
          <w:fldChar w:fldCharType="separate"/>
        </w:r>
        <w:r w:rsidR="00AA198E" w:rsidRPr="00AA198E">
          <w:rPr>
            <w:noProof/>
            <w:webHidden/>
          </w:rPr>
          <w:t>148</w:t>
        </w:r>
        <w:r w:rsidR="00AA198E" w:rsidRPr="00AA198E">
          <w:rPr>
            <w:noProof/>
            <w:webHidden/>
          </w:rPr>
          <w:fldChar w:fldCharType="end"/>
        </w:r>
      </w:hyperlink>
    </w:p>
    <w:p w14:paraId="01939206" w14:textId="6BF85583"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51" w:history="1">
        <w:r w:rsidR="00AA198E" w:rsidRPr="00AA198E">
          <w:rPr>
            <w:rStyle w:val="Hipervnculo"/>
            <w:rFonts w:cs="Arial"/>
            <w:noProof/>
          </w:rPr>
          <w:t>Tabla 13. Denuncias presentadas según la tipología, condición o naturaleza del comunicante</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_Toc99107151 \h </w:instrText>
        </w:r>
        <w:r w:rsidR="00AA198E" w:rsidRPr="00AA198E">
          <w:rPr>
            <w:noProof/>
            <w:webHidden/>
          </w:rPr>
        </w:r>
        <w:r w:rsidR="00AA198E" w:rsidRPr="00AA198E">
          <w:rPr>
            <w:noProof/>
            <w:webHidden/>
          </w:rPr>
          <w:fldChar w:fldCharType="separate"/>
        </w:r>
        <w:r w:rsidR="00AA198E" w:rsidRPr="00AA198E">
          <w:rPr>
            <w:noProof/>
            <w:webHidden/>
          </w:rPr>
          <w:t>150</w:t>
        </w:r>
        <w:r w:rsidR="00AA198E" w:rsidRPr="00AA198E">
          <w:rPr>
            <w:noProof/>
            <w:webHidden/>
          </w:rPr>
          <w:fldChar w:fldCharType="end"/>
        </w:r>
      </w:hyperlink>
    </w:p>
    <w:p w14:paraId="1555A1EF" w14:textId="1E58DD23"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52" w:history="1">
        <w:r w:rsidR="00AA198E" w:rsidRPr="00AA198E">
          <w:rPr>
            <w:rStyle w:val="Hipervnculo"/>
            <w:rFonts w:cs="Arial"/>
            <w:noProof/>
          </w:rPr>
          <w:t>Tabla 14. Denuncias de personas físicas clasificadas por género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_Toc99107152 \h </w:instrText>
        </w:r>
        <w:r w:rsidR="00AA198E" w:rsidRPr="00AA198E">
          <w:rPr>
            <w:noProof/>
            <w:webHidden/>
          </w:rPr>
        </w:r>
        <w:r w:rsidR="00AA198E" w:rsidRPr="00AA198E">
          <w:rPr>
            <w:noProof/>
            <w:webHidden/>
          </w:rPr>
          <w:fldChar w:fldCharType="separate"/>
        </w:r>
        <w:r w:rsidR="00AA198E" w:rsidRPr="00AA198E">
          <w:rPr>
            <w:noProof/>
            <w:webHidden/>
          </w:rPr>
          <w:t>151</w:t>
        </w:r>
        <w:r w:rsidR="00AA198E" w:rsidRPr="00AA198E">
          <w:rPr>
            <w:noProof/>
            <w:webHidden/>
          </w:rPr>
          <w:fldChar w:fldCharType="end"/>
        </w:r>
      </w:hyperlink>
    </w:p>
    <w:p w14:paraId="113218AF" w14:textId="2D75A678"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53" w:history="1">
        <w:r w:rsidR="00AA198E" w:rsidRPr="00AA198E">
          <w:rPr>
            <w:rStyle w:val="Hipervnculo"/>
            <w:rFonts w:cs="Arial"/>
            <w:noProof/>
          </w:rPr>
          <w:t>Tabla 15. Estado de situación de los expedientes de análisis e investigación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_Toc99107153 \h </w:instrText>
        </w:r>
        <w:r w:rsidR="00AA198E" w:rsidRPr="00AA198E">
          <w:rPr>
            <w:noProof/>
            <w:webHidden/>
          </w:rPr>
        </w:r>
        <w:r w:rsidR="00AA198E" w:rsidRPr="00AA198E">
          <w:rPr>
            <w:noProof/>
            <w:webHidden/>
          </w:rPr>
          <w:fldChar w:fldCharType="separate"/>
        </w:r>
        <w:r w:rsidR="00AA198E" w:rsidRPr="00AA198E">
          <w:rPr>
            <w:noProof/>
            <w:webHidden/>
          </w:rPr>
          <w:t>152</w:t>
        </w:r>
        <w:r w:rsidR="00AA198E" w:rsidRPr="00AA198E">
          <w:rPr>
            <w:noProof/>
            <w:webHidden/>
          </w:rPr>
          <w:fldChar w:fldCharType="end"/>
        </w:r>
      </w:hyperlink>
    </w:p>
    <w:p w14:paraId="49E99BCC" w14:textId="0F8D6B76"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54" w:history="1">
        <w:r w:rsidR="00AA198E" w:rsidRPr="00AA198E">
          <w:rPr>
            <w:rStyle w:val="Hipervnculo"/>
            <w:rFonts w:cs="Arial"/>
            <w:noProof/>
          </w:rPr>
          <w:t>Tabla 16. Tabla resumen de expedientes tramitados en 2021 y comparativa con el año precedente</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_Toc99107154 \h </w:instrText>
        </w:r>
        <w:r w:rsidR="00AA198E" w:rsidRPr="00AA198E">
          <w:rPr>
            <w:noProof/>
            <w:webHidden/>
          </w:rPr>
        </w:r>
        <w:r w:rsidR="00AA198E" w:rsidRPr="00AA198E">
          <w:rPr>
            <w:noProof/>
            <w:webHidden/>
          </w:rPr>
          <w:fldChar w:fldCharType="separate"/>
        </w:r>
        <w:r w:rsidR="00AA198E" w:rsidRPr="00AA198E">
          <w:rPr>
            <w:noProof/>
            <w:webHidden/>
          </w:rPr>
          <w:t>154</w:t>
        </w:r>
        <w:r w:rsidR="00AA198E" w:rsidRPr="00AA198E">
          <w:rPr>
            <w:noProof/>
            <w:webHidden/>
          </w:rPr>
          <w:fldChar w:fldCharType="end"/>
        </w:r>
      </w:hyperlink>
    </w:p>
    <w:p w14:paraId="220AB55E" w14:textId="01FC994C"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55" w:history="1">
        <w:r w:rsidR="00AA198E" w:rsidRPr="00AA198E">
          <w:rPr>
            <w:rStyle w:val="Hipervnculo"/>
            <w:rFonts w:cs="Arial"/>
            <w:noProof/>
          </w:rPr>
          <w:t>Tabla 17. Cuadro resumen investigaciones finalizadas en 2021</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_Toc99107155 \h </w:instrText>
        </w:r>
        <w:r w:rsidR="00AA198E" w:rsidRPr="00AA198E">
          <w:rPr>
            <w:noProof/>
            <w:webHidden/>
          </w:rPr>
        </w:r>
        <w:r w:rsidR="00AA198E" w:rsidRPr="00AA198E">
          <w:rPr>
            <w:noProof/>
            <w:webHidden/>
          </w:rPr>
          <w:fldChar w:fldCharType="separate"/>
        </w:r>
        <w:r w:rsidR="00AA198E" w:rsidRPr="00AA198E">
          <w:rPr>
            <w:noProof/>
            <w:webHidden/>
          </w:rPr>
          <w:t>238</w:t>
        </w:r>
        <w:r w:rsidR="00AA198E" w:rsidRPr="00AA198E">
          <w:rPr>
            <w:noProof/>
            <w:webHidden/>
          </w:rPr>
          <w:fldChar w:fldCharType="end"/>
        </w:r>
      </w:hyperlink>
    </w:p>
    <w:p w14:paraId="0FDCA7A0" w14:textId="21A56AC1"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56" w:history="1">
        <w:r w:rsidR="00AA198E" w:rsidRPr="00AA198E">
          <w:rPr>
            <w:rStyle w:val="Hipervnculo"/>
            <w:rFonts w:cs="Arial"/>
            <w:noProof/>
          </w:rPr>
          <w:t>Tabla 18. Cuadro resumen registros de entrada AVAF</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_Toc99107156 \h </w:instrText>
        </w:r>
        <w:r w:rsidR="00AA198E" w:rsidRPr="00AA198E">
          <w:rPr>
            <w:noProof/>
            <w:webHidden/>
          </w:rPr>
        </w:r>
        <w:r w:rsidR="00AA198E" w:rsidRPr="00AA198E">
          <w:rPr>
            <w:noProof/>
            <w:webHidden/>
          </w:rPr>
          <w:fldChar w:fldCharType="separate"/>
        </w:r>
        <w:r w:rsidR="00AA198E" w:rsidRPr="00AA198E">
          <w:rPr>
            <w:noProof/>
            <w:webHidden/>
          </w:rPr>
          <w:t>250</w:t>
        </w:r>
        <w:r w:rsidR="00AA198E" w:rsidRPr="00AA198E">
          <w:rPr>
            <w:noProof/>
            <w:webHidden/>
          </w:rPr>
          <w:fldChar w:fldCharType="end"/>
        </w:r>
      </w:hyperlink>
    </w:p>
    <w:p w14:paraId="1F175BC0" w14:textId="06204C1C"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57" w:history="1">
        <w:r w:rsidR="00AA198E" w:rsidRPr="00AA198E">
          <w:rPr>
            <w:rStyle w:val="Hipervnculo"/>
            <w:rFonts w:cs="Arial"/>
            <w:noProof/>
          </w:rPr>
          <w:t>Tabla 19. Cuadro resumen notificaciones sede AVAF</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_Toc99107157 \h </w:instrText>
        </w:r>
        <w:r w:rsidR="00AA198E" w:rsidRPr="00AA198E">
          <w:rPr>
            <w:noProof/>
            <w:webHidden/>
          </w:rPr>
        </w:r>
        <w:r w:rsidR="00AA198E" w:rsidRPr="00AA198E">
          <w:rPr>
            <w:noProof/>
            <w:webHidden/>
          </w:rPr>
          <w:fldChar w:fldCharType="separate"/>
        </w:r>
        <w:r w:rsidR="00AA198E" w:rsidRPr="00AA198E">
          <w:rPr>
            <w:noProof/>
            <w:webHidden/>
          </w:rPr>
          <w:t>250</w:t>
        </w:r>
        <w:r w:rsidR="00AA198E" w:rsidRPr="00AA198E">
          <w:rPr>
            <w:noProof/>
            <w:webHidden/>
          </w:rPr>
          <w:fldChar w:fldCharType="end"/>
        </w:r>
      </w:hyperlink>
    </w:p>
    <w:p w14:paraId="5E27982F" w14:textId="04287FCE"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58" w:history="1">
        <w:r w:rsidR="00AA198E" w:rsidRPr="00AA198E">
          <w:rPr>
            <w:rStyle w:val="Hipervnculo"/>
            <w:rFonts w:cs="Arial"/>
            <w:noProof/>
          </w:rPr>
          <w:t>Tabla 20. Líneas estratégicas del Servicio de Prevención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_Toc99107158 \h </w:instrText>
        </w:r>
        <w:r w:rsidR="00AA198E" w:rsidRPr="00AA198E">
          <w:rPr>
            <w:noProof/>
            <w:webHidden/>
          </w:rPr>
        </w:r>
        <w:r w:rsidR="00AA198E" w:rsidRPr="00AA198E">
          <w:rPr>
            <w:noProof/>
            <w:webHidden/>
          </w:rPr>
          <w:fldChar w:fldCharType="separate"/>
        </w:r>
        <w:r w:rsidR="00AA198E" w:rsidRPr="00AA198E">
          <w:rPr>
            <w:noProof/>
            <w:webHidden/>
          </w:rPr>
          <w:t>254</w:t>
        </w:r>
        <w:r w:rsidR="00AA198E" w:rsidRPr="00AA198E">
          <w:rPr>
            <w:noProof/>
            <w:webHidden/>
          </w:rPr>
          <w:fldChar w:fldCharType="end"/>
        </w:r>
      </w:hyperlink>
    </w:p>
    <w:p w14:paraId="30062F32" w14:textId="08DFE1FF"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59" w:history="1">
        <w:r w:rsidR="00AA198E" w:rsidRPr="00AA198E">
          <w:rPr>
            <w:rStyle w:val="Hipervnculo"/>
            <w:rFonts w:cs="Arial"/>
            <w:noProof/>
          </w:rPr>
          <w:t>Tabla 21. Actividades formativas cívicas, participantes y horas lectivas desde 2017</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_Toc99107159 \h </w:instrText>
        </w:r>
        <w:r w:rsidR="00AA198E" w:rsidRPr="00AA198E">
          <w:rPr>
            <w:noProof/>
            <w:webHidden/>
          </w:rPr>
        </w:r>
        <w:r w:rsidR="00AA198E" w:rsidRPr="00AA198E">
          <w:rPr>
            <w:noProof/>
            <w:webHidden/>
          </w:rPr>
          <w:fldChar w:fldCharType="separate"/>
        </w:r>
        <w:r w:rsidR="00AA198E" w:rsidRPr="00AA198E">
          <w:rPr>
            <w:noProof/>
            <w:webHidden/>
          </w:rPr>
          <w:t>275</w:t>
        </w:r>
        <w:r w:rsidR="00AA198E" w:rsidRPr="00AA198E">
          <w:rPr>
            <w:noProof/>
            <w:webHidden/>
          </w:rPr>
          <w:fldChar w:fldCharType="end"/>
        </w:r>
      </w:hyperlink>
    </w:p>
    <w:p w14:paraId="784D6F1F" w14:textId="1D1DEABE"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60" w:history="1">
        <w:r w:rsidR="00AA198E" w:rsidRPr="00AA198E">
          <w:rPr>
            <w:rStyle w:val="Hipervnculo"/>
            <w:rFonts w:cs="Arial"/>
            <w:noProof/>
          </w:rPr>
          <w:t>Tabla 22. Participación en cursos dirigidos a servidores públicos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_Toc99107160 \h </w:instrText>
        </w:r>
        <w:r w:rsidR="00AA198E" w:rsidRPr="00AA198E">
          <w:rPr>
            <w:noProof/>
            <w:webHidden/>
          </w:rPr>
        </w:r>
        <w:r w:rsidR="00AA198E" w:rsidRPr="00AA198E">
          <w:rPr>
            <w:noProof/>
            <w:webHidden/>
          </w:rPr>
          <w:fldChar w:fldCharType="separate"/>
        </w:r>
        <w:r w:rsidR="00AA198E" w:rsidRPr="00AA198E">
          <w:rPr>
            <w:noProof/>
            <w:webHidden/>
          </w:rPr>
          <w:t>283</w:t>
        </w:r>
        <w:r w:rsidR="00AA198E" w:rsidRPr="00AA198E">
          <w:rPr>
            <w:noProof/>
            <w:webHidden/>
          </w:rPr>
          <w:fldChar w:fldCharType="end"/>
        </w:r>
      </w:hyperlink>
    </w:p>
    <w:p w14:paraId="4DACEFEC" w14:textId="2B9E215F"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61" w:history="1">
        <w:r w:rsidR="00AA198E" w:rsidRPr="00AA198E">
          <w:rPr>
            <w:rStyle w:val="Hipervnculo"/>
            <w:rFonts w:cs="Arial"/>
            <w:noProof/>
          </w:rPr>
          <w:t>Tabla 23. Participación en Jornadas y otras actividades formativas singulares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_Toc99107161 \h </w:instrText>
        </w:r>
        <w:r w:rsidR="00AA198E" w:rsidRPr="00AA198E">
          <w:rPr>
            <w:noProof/>
            <w:webHidden/>
          </w:rPr>
        </w:r>
        <w:r w:rsidR="00AA198E" w:rsidRPr="00AA198E">
          <w:rPr>
            <w:noProof/>
            <w:webHidden/>
          </w:rPr>
          <w:fldChar w:fldCharType="separate"/>
        </w:r>
        <w:r w:rsidR="00AA198E" w:rsidRPr="00AA198E">
          <w:rPr>
            <w:noProof/>
            <w:webHidden/>
          </w:rPr>
          <w:t>284</w:t>
        </w:r>
        <w:r w:rsidR="00AA198E" w:rsidRPr="00AA198E">
          <w:rPr>
            <w:noProof/>
            <w:webHidden/>
          </w:rPr>
          <w:fldChar w:fldCharType="end"/>
        </w:r>
      </w:hyperlink>
    </w:p>
    <w:p w14:paraId="7E7D0DB8" w14:textId="61F444EA"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62" w:history="1">
        <w:r w:rsidR="00AA198E" w:rsidRPr="00AA198E">
          <w:rPr>
            <w:rStyle w:val="Hipervnculo"/>
            <w:rFonts w:cs="Arial"/>
            <w:noProof/>
          </w:rPr>
          <w:t>Tabla 24. Resumen de docufórum en universidades valencianas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_Toc99107162 \h </w:instrText>
        </w:r>
        <w:r w:rsidR="00AA198E" w:rsidRPr="00AA198E">
          <w:rPr>
            <w:noProof/>
            <w:webHidden/>
          </w:rPr>
        </w:r>
        <w:r w:rsidR="00AA198E" w:rsidRPr="00AA198E">
          <w:rPr>
            <w:noProof/>
            <w:webHidden/>
          </w:rPr>
          <w:fldChar w:fldCharType="separate"/>
        </w:r>
        <w:r w:rsidR="00AA198E" w:rsidRPr="00AA198E">
          <w:rPr>
            <w:noProof/>
            <w:webHidden/>
          </w:rPr>
          <w:t>288</w:t>
        </w:r>
        <w:r w:rsidR="00AA198E" w:rsidRPr="00AA198E">
          <w:rPr>
            <w:noProof/>
            <w:webHidden/>
          </w:rPr>
          <w:fldChar w:fldCharType="end"/>
        </w:r>
      </w:hyperlink>
    </w:p>
    <w:p w14:paraId="1E8435A5" w14:textId="6376CD2A"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63" w:history="1">
        <w:r w:rsidR="00AA198E" w:rsidRPr="00AA198E">
          <w:rPr>
            <w:rStyle w:val="Hipervnculo"/>
            <w:rFonts w:cs="Arial"/>
            <w:noProof/>
          </w:rPr>
          <w:t>Tabla 25. Participación en Másteres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_Toc99107163 \h </w:instrText>
        </w:r>
        <w:r w:rsidR="00AA198E" w:rsidRPr="00AA198E">
          <w:rPr>
            <w:noProof/>
            <w:webHidden/>
          </w:rPr>
        </w:r>
        <w:r w:rsidR="00AA198E" w:rsidRPr="00AA198E">
          <w:rPr>
            <w:noProof/>
            <w:webHidden/>
          </w:rPr>
          <w:fldChar w:fldCharType="separate"/>
        </w:r>
        <w:r w:rsidR="00AA198E" w:rsidRPr="00AA198E">
          <w:rPr>
            <w:noProof/>
            <w:webHidden/>
          </w:rPr>
          <w:t>289</w:t>
        </w:r>
        <w:r w:rsidR="00AA198E" w:rsidRPr="00AA198E">
          <w:rPr>
            <w:noProof/>
            <w:webHidden/>
          </w:rPr>
          <w:fldChar w:fldCharType="end"/>
        </w:r>
      </w:hyperlink>
    </w:p>
    <w:p w14:paraId="510AC0B3" w14:textId="794AEFB7"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64" w:history="1">
        <w:r w:rsidR="00AA198E" w:rsidRPr="00AA198E">
          <w:rPr>
            <w:rStyle w:val="Hipervnculo"/>
            <w:rFonts w:cs="Arial"/>
            <w:noProof/>
          </w:rPr>
          <w:t>Tabla 26. Conferencias en colaboración con universidades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_Toc99107164 \h </w:instrText>
        </w:r>
        <w:r w:rsidR="00AA198E" w:rsidRPr="00AA198E">
          <w:rPr>
            <w:noProof/>
            <w:webHidden/>
          </w:rPr>
        </w:r>
        <w:r w:rsidR="00AA198E" w:rsidRPr="00AA198E">
          <w:rPr>
            <w:noProof/>
            <w:webHidden/>
          </w:rPr>
          <w:fldChar w:fldCharType="separate"/>
        </w:r>
        <w:r w:rsidR="00AA198E" w:rsidRPr="00AA198E">
          <w:rPr>
            <w:noProof/>
            <w:webHidden/>
          </w:rPr>
          <w:t>290</w:t>
        </w:r>
        <w:r w:rsidR="00AA198E" w:rsidRPr="00AA198E">
          <w:rPr>
            <w:noProof/>
            <w:webHidden/>
          </w:rPr>
          <w:fldChar w:fldCharType="end"/>
        </w:r>
      </w:hyperlink>
    </w:p>
    <w:p w14:paraId="248F70FD" w14:textId="3CAE5A5C"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65" w:history="1">
        <w:r w:rsidR="00AA198E" w:rsidRPr="00AA198E">
          <w:rPr>
            <w:rStyle w:val="Hipervnculo"/>
            <w:rFonts w:cs="Arial"/>
            <w:noProof/>
          </w:rPr>
          <w:t>Tabla 27. Conferencias para la ciudadanía en el programa Unisocietat</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_Toc99107165 \h </w:instrText>
        </w:r>
        <w:r w:rsidR="00AA198E" w:rsidRPr="00AA198E">
          <w:rPr>
            <w:noProof/>
            <w:webHidden/>
          </w:rPr>
        </w:r>
        <w:r w:rsidR="00AA198E" w:rsidRPr="00AA198E">
          <w:rPr>
            <w:noProof/>
            <w:webHidden/>
          </w:rPr>
          <w:fldChar w:fldCharType="separate"/>
        </w:r>
        <w:r w:rsidR="00AA198E" w:rsidRPr="00AA198E">
          <w:rPr>
            <w:noProof/>
            <w:webHidden/>
          </w:rPr>
          <w:t>291</w:t>
        </w:r>
        <w:r w:rsidR="00AA198E" w:rsidRPr="00AA198E">
          <w:rPr>
            <w:noProof/>
            <w:webHidden/>
          </w:rPr>
          <w:fldChar w:fldCharType="end"/>
        </w:r>
      </w:hyperlink>
    </w:p>
    <w:p w14:paraId="2DEE6B35" w14:textId="4ED2B104"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66" w:history="1">
        <w:r w:rsidR="00AA198E" w:rsidRPr="00AA198E">
          <w:rPr>
            <w:rStyle w:val="Hipervnculo"/>
            <w:rFonts w:cs="Arial"/>
            <w:noProof/>
          </w:rPr>
          <w:t>Tabla 28. Resumen de Jornadas específicas AVAF-UV</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_Toc99107166 \h </w:instrText>
        </w:r>
        <w:r w:rsidR="00AA198E" w:rsidRPr="00AA198E">
          <w:rPr>
            <w:noProof/>
            <w:webHidden/>
          </w:rPr>
        </w:r>
        <w:r w:rsidR="00AA198E" w:rsidRPr="00AA198E">
          <w:rPr>
            <w:noProof/>
            <w:webHidden/>
          </w:rPr>
          <w:fldChar w:fldCharType="separate"/>
        </w:r>
        <w:r w:rsidR="00AA198E" w:rsidRPr="00AA198E">
          <w:rPr>
            <w:noProof/>
            <w:webHidden/>
          </w:rPr>
          <w:t>292</w:t>
        </w:r>
        <w:r w:rsidR="00AA198E" w:rsidRPr="00AA198E">
          <w:rPr>
            <w:noProof/>
            <w:webHidden/>
          </w:rPr>
          <w:fldChar w:fldCharType="end"/>
        </w:r>
      </w:hyperlink>
    </w:p>
    <w:p w14:paraId="2E93AD2B" w14:textId="2D4C650F"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67" w:history="1">
        <w:r w:rsidR="00AA198E" w:rsidRPr="00AA198E">
          <w:rPr>
            <w:rStyle w:val="Hipervnculo"/>
            <w:rFonts w:cs="Arial"/>
            <w:noProof/>
          </w:rPr>
          <w:t>Tabla 29. Actividades formativas 2017-20221 por entidades colaboradoras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_Toc99107167 \h </w:instrText>
        </w:r>
        <w:r w:rsidR="00AA198E" w:rsidRPr="00AA198E">
          <w:rPr>
            <w:noProof/>
            <w:webHidden/>
          </w:rPr>
        </w:r>
        <w:r w:rsidR="00AA198E" w:rsidRPr="00AA198E">
          <w:rPr>
            <w:noProof/>
            <w:webHidden/>
          </w:rPr>
          <w:fldChar w:fldCharType="separate"/>
        </w:r>
        <w:r w:rsidR="00AA198E" w:rsidRPr="00AA198E">
          <w:rPr>
            <w:noProof/>
            <w:webHidden/>
          </w:rPr>
          <w:t>294</w:t>
        </w:r>
        <w:r w:rsidR="00AA198E" w:rsidRPr="00AA198E">
          <w:rPr>
            <w:noProof/>
            <w:webHidden/>
          </w:rPr>
          <w:fldChar w:fldCharType="end"/>
        </w:r>
      </w:hyperlink>
    </w:p>
    <w:p w14:paraId="72670716" w14:textId="0101E55F"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68" w:history="1">
        <w:r w:rsidR="00AA198E" w:rsidRPr="00AA198E">
          <w:rPr>
            <w:rStyle w:val="Hipervnculo"/>
            <w:rFonts w:cs="Arial"/>
            <w:noProof/>
          </w:rPr>
          <w:t>Tabla 30. Presupuesto de gastos ejercicio 2021</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_Toc99107168 \h </w:instrText>
        </w:r>
        <w:r w:rsidR="00AA198E" w:rsidRPr="00AA198E">
          <w:rPr>
            <w:noProof/>
            <w:webHidden/>
          </w:rPr>
        </w:r>
        <w:r w:rsidR="00AA198E" w:rsidRPr="00AA198E">
          <w:rPr>
            <w:noProof/>
            <w:webHidden/>
          </w:rPr>
          <w:fldChar w:fldCharType="separate"/>
        </w:r>
        <w:r w:rsidR="00AA198E" w:rsidRPr="00AA198E">
          <w:rPr>
            <w:noProof/>
            <w:webHidden/>
          </w:rPr>
          <w:t>318</w:t>
        </w:r>
        <w:r w:rsidR="00AA198E" w:rsidRPr="00AA198E">
          <w:rPr>
            <w:noProof/>
            <w:webHidden/>
          </w:rPr>
          <w:fldChar w:fldCharType="end"/>
        </w:r>
      </w:hyperlink>
    </w:p>
    <w:p w14:paraId="7587C73B" w14:textId="3399E4A4"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69" w:history="1">
        <w:r w:rsidR="00AA198E" w:rsidRPr="00AA198E">
          <w:rPr>
            <w:rStyle w:val="Hipervnculo"/>
            <w:rFonts w:cs="Arial"/>
            <w:noProof/>
          </w:rPr>
          <w:t>Tabla 31. Presupuesto de ingresos ejercicio 2021</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_Toc99107169 \h </w:instrText>
        </w:r>
        <w:r w:rsidR="00AA198E" w:rsidRPr="00AA198E">
          <w:rPr>
            <w:noProof/>
            <w:webHidden/>
          </w:rPr>
        </w:r>
        <w:r w:rsidR="00AA198E" w:rsidRPr="00AA198E">
          <w:rPr>
            <w:noProof/>
            <w:webHidden/>
          </w:rPr>
          <w:fldChar w:fldCharType="separate"/>
        </w:r>
        <w:r w:rsidR="00AA198E" w:rsidRPr="00AA198E">
          <w:rPr>
            <w:noProof/>
            <w:webHidden/>
          </w:rPr>
          <w:t>318</w:t>
        </w:r>
        <w:r w:rsidR="00AA198E" w:rsidRPr="00AA198E">
          <w:rPr>
            <w:noProof/>
            <w:webHidden/>
          </w:rPr>
          <w:fldChar w:fldCharType="end"/>
        </w:r>
      </w:hyperlink>
    </w:p>
    <w:p w14:paraId="74F32687" w14:textId="593C7B69"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70" w:history="1">
        <w:r w:rsidR="00AA198E" w:rsidRPr="00AA198E">
          <w:rPr>
            <w:rStyle w:val="Hipervnculo"/>
            <w:rFonts w:cs="Arial"/>
            <w:noProof/>
          </w:rPr>
          <w:t>Tabla 32. Transferencias a la AVAF previstas en la Ley 4/2020, de 30 de diciembre, de Presupuestos de la Generalitat para el ejercicio 2021</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_Toc99107170 \h </w:instrText>
        </w:r>
        <w:r w:rsidR="00AA198E" w:rsidRPr="00AA198E">
          <w:rPr>
            <w:noProof/>
            <w:webHidden/>
          </w:rPr>
        </w:r>
        <w:r w:rsidR="00AA198E" w:rsidRPr="00AA198E">
          <w:rPr>
            <w:noProof/>
            <w:webHidden/>
          </w:rPr>
          <w:fldChar w:fldCharType="separate"/>
        </w:r>
        <w:r w:rsidR="00AA198E" w:rsidRPr="00AA198E">
          <w:rPr>
            <w:noProof/>
            <w:webHidden/>
          </w:rPr>
          <w:t>318</w:t>
        </w:r>
        <w:r w:rsidR="00AA198E" w:rsidRPr="00AA198E">
          <w:rPr>
            <w:noProof/>
            <w:webHidden/>
          </w:rPr>
          <w:fldChar w:fldCharType="end"/>
        </w:r>
      </w:hyperlink>
    </w:p>
    <w:p w14:paraId="2F1A123D" w14:textId="7F7E4C16"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71" w:history="1">
        <w:r w:rsidR="00AA198E" w:rsidRPr="00AA198E">
          <w:rPr>
            <w:rStyle w:val="Hipervnculo"/>
            <w:rFonts w:cs="Arial"/>
            <w:noProof/>
          </w:rPr>
          <w:t>Tabla 33. Remanentes acumulados a 31 de diciembre de 2021</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_Toc99107171 \h </w:instrText>
        </w:r>
        <w:r w:rsidR="00AA198E" w:rsidRPr="00AA198E">
          <w:rPr>
            <w:noProof/>
            <w:webHidden/>
          </w:rPr>
        </w:r>
        <w:r w:rsidR="00AA198E" w:rsidRPr="00AA198E">
          <w:rPr>
            <w:noProof/>
            <w:webHidden/>
          </w:rPr>
          <w:fldChar w:fldCharType="separate"/>
        </w:r>
        <w:r w:rsidR="00AA198E" w:rsidRPr="00AA198E">
          <w:rPr>
            <w:noProof/>
            <w:webHidden/>
          </w:rPr>
          <w:t>319</w:t>
        </w:r>
        <w:r w:rsidR="00AA198E" w:rsidRPr="00AA198E">
          <w:rPr>
            <w:noProof/>
            <w:webHidden/>
          </w:rPr>
          <w:fldChar w:fldCharType="end"/>
        </w:r>
      </w:hyperlink>
    </w:p>
    <w:p w14:paraId="163A781E" w14:textId="13F140B3"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72" w:history="1">
        <w:r w:rsidR="00AA198E" w:rsidRPr="00AA198E">
          <w:rPr>
            <w:rStyle w:val="Hipervnculo"/>
            <w:rFonts w:cs="Arial"/>
            <w:noProof/>
          </w:rPr>
          <w:t>Tabla 34. Modificación presupuestaria aprobada en 2021 para devolución a la Conselleria de Hacienda de los remanentes acumulados</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_Toc99107172 \h </w:instrText>
        </w:r>
        <w:r w:rsidR="00AA198E" w:rsidRPr="00AA198E">
          <w:rPr>
            <w:noProof/>
            <w:webHidden/>
          </w:rPr>
        </w:r>
        <w:r w:rsidR="00AA198E" w:rsidRPr="00AA198E">
          <w:rPr>
            <w:noProof/>
            <w:webHidden/>
          </w:rPr>
          <w:fldChar w:fldCharType="separate"/>
        </w:r>
        <w:r w:rsidR="00AA198E" w:rsidRPr="00AA198E">
          <w:rPr>
            <w:noProof/>
            <w:webHidden/>
          </w:rPr>
          <w:t>319</w:t>
        </w:r>
        <w:r w:rsidR="00AA198E" w:rsidRPr="00AA198E">
          <w:rPr>
            <w:noProof/>
            <w:webHidden/>
          </w:rPr>
          <w:fldChar w:fldCharType="end"/>
        </w:r>
      </w:hyperlink>
    </w:p>
    <w:p w14:paraId="5C1ED516" w14:textId="614A50BC"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73" w:history="1">
        <w:r w:rsidR="00AA198E" w:rsidRPr="00AA198E">
          <w:rPr>
            <w:rStyle w:val="Hipervnculo"/>
            <w:rFonts w:cs="Arial"/>
            <w:noProof/>
          </w:rPr>
          <w:t>Tabla 35. Ejecución del presupuesto de ingresos del ejercicio 2021</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_Toc99107173 \h </w:instrText>
        </w:r>
        <w:r w:rsidR="00AA198E" w:rsidRPr="00AA198E">
          <w:rPr>
            <w:noProof/>
            <w:webHidden/>
          </w:rPr>
        </w:r>
        <w:r w:rsidR="00AA198E" w:rsidRPr="00AA198E">
          <w:rPr>
            <w:noProof/>
            <w:webHidden/>
          </w:rPr>
          <w:fldChar w:fldCharType="separate"/>
        </w:r>
        <w:r w:rsidR="00AA198E" w:rsidRPr="00AA198E">
          <w:rPr>
            <w:noProof/>
            <w:webHidden/>
          </w:rPr>
          <w:t>320</w:t>
        </w:r>
        <w:r w:rsidR="00AA198E" w:rsidRPr="00AA198E">
          <w:rPr>
            <w:noProof/>
            <w:webHidden/>
          </w:rPr>
          <w:fldChar w:fldCharType="end"/>
        </w:r>
      </w:hyperlink>
    </w:p>
    <w:p w14:paraId="25E1A40E" w14:textId="0B6BB73C"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74" w:history="1">
        <w:r w:rsidR="00AA198E" w:rsidRPr="00AA198E">
          <w:rPr>
            <w:rStyle w:val="Hipervnculo"/>
            <w:rFonts w:cs="Arial"/>
            <w:noProof/>
          </w:rPr>
          <w:t>Tabla 36. Comparativa del estado de ejecución de ingresos a 31 de diciembre de los ejercicios 2020 y 2021</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_Toc99107174 \h </w:instrText>
        </w:r>
        <w:r w:rsidR="00AA198E" w:rsidRPr="00AA198E">
          <w:rPr>
            <w:noProof/>
            <w:webHidden/>
          </w:rPr>
        </w:r>
        <w:r w:rsidR="00AA198E" w:rsidRPr="00AA198E">
          <w:rPr>
            <w:noProof/>
            <w:webHidden/>
          </w:rPr>
          <w:fldChar w:fldCharType="separate"/>
        </w:r>
        <w:r w:rsidR="00AA198E" w:rsidRPr="00AA198E">
          <w:rPr>
            <w:noProof/>
            <w:webHidden/>
          </w:rPr>
          <w:t>321</w:t>
        </w:r>
        <w:r w:rsidR="00AA198E" w:rsidRPr="00AA198E">
          <w:rPr>
            <w:noProof/>
            <w:webHidden/>
          </w:rPr>
          <w:fldChar w:fldCharType="end"/>
        </w:r>
      </w:hyperlink>
    </w:p>
    <w:p w14:paraId="5C5F789D" w14:textId="7B6A991D"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75" w:history="1">
        <w:r w:rsidR="00AA198E" w:rsidRPr="00AA198E">
          <w:rPr>
            <w:rStyle w:val="Hipervnculo"/>
            <w:rFonts w:cs="Arial"/>
            <w:noProof/>
          </w:rPr>
          <w:t>Tabla 37. Ejecución del presupuesto de gastos del ejercicio 2021</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_Toc99107175 \h </w:instrText>
        </w:r>
        <w:r w:rsidR="00AA198E" w:rsidRPr="00AA198E">
          <w:rPr>
            <w:noProof/>
            <w:webHidden/>
          </w:rPr>
        </w:r>
        <w:r w:rsidR="00AA198E" w:rsidRPr="00AA198E">
          <w:rPr>
            <w:noProof/>
            <w:webHidden/>
          </w:rPr>
          <w:fldChar w:fldCharType="separate"/>
        </w:r>
        <w:r w:rsidR="00AA198E" w:rsidRPr="00AA198E">
          <w:rPr>
            <w:noProof/>
            <w:webHidden/>
          </w:rPr>
          <w:t>322</w:t>
        </w:r>
        <w:r w:rsidR="00AA198E" w:rsidRPr="00AA198E">
          <w:rPr>
            <w:noProof/>
            <w:webHidden/>
          </w:rPr>
          <w:fldChar w:fldCharType="end"/>
        </w:r>
      </w:hyperlink>
    </w:p>
    <w:p w14:paraId="55A2FC78" w14:textId="3766BA1D"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76" w:history="1">
        <w:r w:rsidR="00AA198E" w:rsidRPr="00AA198E">
          <w:rPr>
            <w:rStyle w:val="Hipervnculo"/>
            <w:rFonts w:cs="Arial"/>
            <w:noProof/>
          </w:rPr>
          <w:t>Tabla 38. Comparativa del estado de ejecución de gastos a 31 de diciembre de los ejercicios 2020 y 2021</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_Toc99107176 \h </w:instrText>
        </w:r>
        <w:r w:rsidR="00AA198E" w:rsidRPr="00AA198E">
          <w:rPr>
            <w:noProof/>
            <w:webHidden/>
          </w:rPr>
        </w:r>
        <w:r w:rsidR="00AA198E" w:rsidRPr="00AA198E">
          <w:rPr>
            <w:noProof/>
            <w:webHidden/>
          </w:rPr>
          <w:fldChar w:fldCharType="separate"/>
        </w:r>
        <w:r w:rsidR="00AA198E" w:rsidRPr="00AA198E">
          <w:rPr>
            <w:noProof/>
            <w:webHidden/>
          </w:rPr>
          <w:t>323</w:t>
        </w:r>
        <w:r w:rsidR="00AA198E" w:rsidRPr="00AA198E">
          <w:rPr>
            <w:noProof/>
            <w:webHidden/>
          </w:rPr>
          <w:fldChar w:fldCharType="end"/>
        </w:r>
      </w:hyperlink>
    </w:p>
    <w:p w14:paraId="68BC74D6" w14:textId="3997BDEC"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77" w:history="1">
        <w:r w:rsidR="00AA198E" w:rsidRPr="00AA198E">
          <w:rPr>
            <w:rStyle w:val="Hipervnculo"/>
            <w:rFonts w:cs="Arial"/>
            <w:noProof/>
          </w:rPr>
          <w:t>Tabla 39. Resultado presupuestario 2021</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_Toc99107177 \h </w:instrText>
        </w:r>
        <w:r w:rsidR="00AA198E" w:rsidRPr="00AA198E">
          <w:rPr>
            <w:noProof/>
            <w:webHidden/>
          </w:rPr>
        </w:r>
        <w:r w:rsidR="00AA198E" w:rsidRPr="00AA198E">
          <w:rPr>
            <w:noProof/>
            <w:webHidden/>
          </w:rPr>
          <w:fldChar w:fldCharType="separate"/>
        </w:r>
        <w:r w:rsidR="00AA198E" w:rsidRPr="00AA198E">
          <w:rPr>
            <w:noProof/>
            <w:webHidden/>
          </w:rPr>
          <w:t>324</w:t>
        </w:r>
        <w:r w:rsidR="00AA198E" w:rsidRPr="00AA198E">
          <w:rPr>
            <w:noProof/>
            <w:webHidden/>
          </w:rPr>
          <w:fldChar w:fldCharType="end"/>
        </w:r>
      </w:hyperlink>
    </w:p>
    <w:p w14:paraId="20DB2F81" w14:textId="495EBB82"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78" w:history="1">
        <w:r w:rsidR="00AA198E" w:rsidRPr="00AA198E">
          <w:rPr>
            <w:rStyle w:val="Hipervnculo"/>
            <w:rFonts w:cs="Arial"/>
            <w:noProof/>
          </w:rPr>
          <w:t>Tabla 40. Situación y evolución de los fondos de la cuenta corriente</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_Toc99107178 \h </w:instrText>
        </w:r>
        <w:r w:rsidR="00AA198E" w:rsidRPr="00AA198E">
          <w:rPr>
            <w:noProof/>
            <w:webHidden/>
          </w:rPr>
        </w:r>
        <w:r w:rsidR="00AA198E" w:rsidRPr="00AA198E">
          <w:rPr>
            <w:noProof/>
            <w:webHidden/>
          </w:rPr>
          <w:fldChar w:fldCharType="separate"/>
        </w:r>
        <w:r w:rsidR="00AA198E" w:rsidRPr="00AA198E">
          <w:rPr>
            <w:noProof/>
            <w:webHidden/>
          </w:rPr>
          <w:t>324</w:t>
        </w:r>
        <w:r w:rsidR="00AA198E" w:rsidRPr="00AA198E">
          <w:rPr>
            <w:noProof/>
            <w:webHidden/>
          </w:rPr>
          <w:fldChar w:fldCharType="end"/>
        </w:r>
      </w:hyperlink>
    </w:p>
    <w:p w14:paraId="13BA21B6" w14:textId="1406A6A3"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79" w:history="1">
        <w:r w:rsidR="00AA198E" w:rsidRPr="00AA198E">
          <w:rPr>
            <w:rStyle w:val="Hipervnculo"/>
            <w:rFonts w:cs="Arial"/>
            <w:noProof/>
          </w:rPr>
          <w:t>Tabla 41. Estado del remanente de tesorería</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_Toc99107179 \h </w:instrText>
        </w:r>
        <w:r w:rsidR="00AA198E" w:rsidRPr="00AA198E">
          <w:rPr>
            <w:noProof/>
            <w:webHidden/>
          </w:rPr>
        </w:r>
        <w:r w:rsidR="00AA198E" w:rsidRPr="00AA198E">
          <w:rPr>
            <w:noProof/>
            <w:webHidden/>
          </w:rPr>
          <w:fldChar w:fldCharType="separate"/>
        </w:r>
        <w:r w:rsidR="00AA198E" w:rsidRPr="00AA198E">
          <w:rPr>
            <w:noProof/>
            <w:webHidden/>
          </w:rPr>
          <w:t>325</w:t>
        </w:r>
        <w:r w:rsidR="00AA198E" w:rsidRPr="00AA198E">
          <w:rPr>
            <w:noProof/>
            <w:webHidden/>
          </w:rPr>
          <w:fldChar w:fldCharType="end"/>
        </w:r>
      </w:hyperlink>
    </w:p>
    <w:p w14:paraId="66ABFF48" w14:textId="4124154E"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80" w:history="1">
        <w:r w:rsidR="00AA198E" w:rsidRPr="00AA198E">
          <w:rPr>
            <w:rStyle w:val="Hipervnculo"/>
            <w:rFonts w:cs="Arial"/>
            <w:noProof/>
          </w:rPr>
          <w:t>Tabla 42. Periodo medio de pago 2021</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_Toc99107180 \h </w:instrText>
        </w:r>
        <w:r w:rsidR="00AA198E" w:rsidRPr="00AA198E">
          <w:rPr>
            <w:noProof/>
            <w:webHidden/>
          </w:rPr>
        </w:r>
        <w:r w:rsidR="00AA198E" w:rsidRPr="00AA198E">
          <w:rPr>
            <w:noProof/>
            <w:webHidden/>
          </w:rPr>
          <w:fldChar w:fldCharType="separate"/>
        </w:r>
        <w:r w:rsidR="00AA198E" w:rsidRPr="00AA198E">
          <w:rPr>
            <w:noProof/>
            <w:webHidden/>
          </w:rPr>
          <w:t>326</w:t>
        </w:r>
        <w:r w:rsidR="00AA198E" w:rsidRPr="00AA198E">
          <w:rPr>
            <w:noProof/>
            <w:webHidden/>
          </w:rPr>
          <w:fldChar w:fldCharType="end"/>
        </w:r>
      </w:hyperlink>
    </w:p>
    <w:p w14:paraId="6F6D67E3" w14:textId="0A8624B7" w:rsidR="00AA198E"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107181" w:history="1">
        <w:r w:rsidR="00AA198E" w:rsidRPr="00AA198E">
          <w:rPr>
            <w:rStyle w:val="Hipervnculo"/>
            <w:rFonts w:cs="Arial"/>
            <w:noProof/>
          </w:rPr>
          <w:t>Tabla 43. Resumen de la actividad contractual por tipo de contrato</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_Toc99107181 \h </w:instrText>
        </w:r>
        <w:r w:rsidR="00AA198E" w:rsidRPr="00AA198E">
          <w:rPr>
            <w:noProof/>
            <w:webHidden/>
          </w:rPr>
        </w:r>
        <w:r w:rsidR="00AA198E" w:rsidRPr="00AA198E">
          <w:rPr>
            <w:noProof/>
            <w:webHidden/>
          </w:rPr>
          <w:fldChar w:fldCharType="separate"/>
        </w:r>
        <w:r w:rsidR="00AA198E" w:rsidRPr="00AA198E">
          <w:rPr>
            <w:noProof/>
            <w:webHidden/>
          </w:rPr>
          <w:t>327</w:t>
        </w:r>
        <w:r w:rsidR="00AA198E" w:rsidRPr="00AA198E">
          <w:rPr>
            <w:noProof/>
            <w:webHidden/>
          </w:rPr>
          <w:fldChar w:fldCharType="end"/>
        </w:r>
      </w:hyperlink>
    </w:p>
    <w:p w14:paraId="53375D89" w14:textId="4238343A" w:rsidR="00AA198E" w:rsidRDefault="00AF48E6">
      <w:pPr>
        <w:pStyle w:val="Tabladeilustraciones"/>
        <w:tabs>
          <w:tab w:val="right" w:leader="dot" w:pos="8494"/>
        </w:tabs>
        <w:rPr>
          <w:rFonts w:asciiTheme="minorHAnsi" w:eastAsiaTheme="minorEastAsia" w:hAnsiTheme="minorHAnsi" w:cstheme="minorBidi"/>
          <w:bCs w:val="0"/>
          <w:noProof/>
          <w:sz w:val="22"/>
          <w:szCs w:val="22"/>
          <w:lang w:eastAsia="es-ES"/>
        </w:rPr>
      </w:pPr>
      <w:hyperlink w:anchor="_Toc99107182" w:history="1">
        <w:r w:rsidR="00AA198E" w:rsidRPr="00AA198E">
          <w:rPr>
            <w:rStyle w:val="Hipervnculo"/>
            <w:rFonts w:cs="Arial"/>
            <w:noProof/>
          </w:rPr>
          <w:t>Tabla 44. Resumen de la actividad contractual por procedimiento de adjudicación</w:t>
        </w:r>
        <w:r w:rsidR="00AA198E" w:rsidRPr="00AA198E">
          <w:rPr>
            <w:noProof/>
            <w:webHidden/>
          </w:rPr>
          <w:tab/>
        </w:r>
        <w:r w:rsidR="00AA198E" w:rsidRPr="00AA198E">
          <w:rPr>
            <w:noProof/>
            <w:webHidden/>
          </w:rPr>
          <w:fldChar w:fldCharType="begin" w:fldLock="1"/>
        </w:r>
        <w:r w:rsidR="00AA198E" w:rsidRPr="00AA198E">
          <w:rPr>
            <w:noProof/>
            <w:webHidden/>
          </w:rPr>
          <w:instrText xml:space="preserve"> PAGEREF _Toc99107182 \h </w:instrText>
        </w:r>
        <w:r w:rsidR="00AA198E" w:rsidRPr="00AA198E">
          <w:rPr>
            <w:noProof/>
            <w:webHidden/>
          </w:rPr>
        </w:r>
        <w:r w:rsidR="00AA198E" w:rsidRPr="00AA198E">
          <w:rPr>
            <w:noProof/>
            <w:webHidden/>
          </w:rPr>
          <w:fldChar w:fldCharType="separate"/>
        </w:r>
        <w:r w:rsidR="00AA198E" w:rsidRPr="00AA198E">
          <w:rPr>
            <w:noProof/>
            <w:webHidden/>
          </w:rPr>
          <w:t>327</w:t>
        </w:r>
        <w:r w:rsidR="00AA198E" w:rsidRPr="00AA198E">
          <w:rPr>
            <w:noProof/>
            <w:webHidden/>
          </w:rPr>
          <w:fldChar w:fldCharType="end"/>
        </w:r>
      </w:hyperlink>
    </w:p>
    <w:p w14:paraId="689BD77D" w14:textId="0E0C242B" w:rsidR="004927C3" w:rsidRPr="00466A25" w:rsidRDefault="002A4453" w:rsidP="004E3698">
      <w:pPr>
        <w:rPr>
          <w:rFonts w:ascii="Arial" w:hAnsi="Arial" w:cs="Arial"/>
          <w:bCs/>
          <w:sz w:val="20"/>
          <w:szCs w:val="20"/>
        </w:rPr>
      </w:pPr>
      <w:r w:rsidRPr="00973028">
        <w:rPr>
          <w:rFonts w:ascii="Arial" w:hAnsi="Arial" w:cs="Arial"/>
          <w:bCs/>
          <w:color w:val="FF0000"/>
          <w:sz w:val="20"/>
          <w:szCs w:val="20"/>
        </w:rPr>
        <w:fldChar w:fldCharType="end"/>
      </w:r>
    </w:p>
    <w:p w14:paraId="5EADAF5A" w14:textId="77777777" w:rsidR="004927C3" w:rsidRPr="00973028" w:rsidRDefault="004927C3">
      <w:pPr>
        <w:rPr>
          <w:rFonts w:ascii="Arial" w:hAnsi="Arial" w:cs="Arial"/>
          <w:b/>
          <w:color w:val="9D2235" w:themeColor="accent1"/>
          <w:sz w:val="60"/>
          <w:szCs w:val="60"/>
        </w:rPr>
      </w:pPr>
      <w:r w:rsidRPr="00973028">
        <w:rPr>
          <w:rFonts w:ascii="Arial" w:hAnsi="Arial" w:cs="Arial"/>
          <w:b/>
          <w:color w:val="9D2235" w:themeColor="accent1"/>
          <w:sz w:val="60"/>
          <w:szCs w:val="60"/>
        </w:rPr>
        <w:t>Índice de imágenes</w:t>
      </w:r>
    </w:p>
    <w:p w14:paraId="77CD0BAB" w14:textId="3FF187B2" w:rsidR="00667C7A" w:rsidRPr="00AA198E" w:rsidRDefault="004927C3">
      <w:pPr>
        <w:pStyle w:val="Tabladeilustraciones"/>
        <w:tabs>
          <w:tab w:val="right" w:leader="dot" w:pos="8494"/>
        </w:tabs>
        <w:rPr>
          <w:rFonts w:asciiTheme="minorHAnsi" w:eastAsiaTheme="minorEastAsia" w:hAnsiTheme="minorHAnsi" w:cstheme="minorBidi"/>
          <w:noProof/>
          <w:sz w:val="22"/>
          <w:szCs w:val="22"/>
          <w:lang w:eastAsia="es-ES"/>
        </w:rPr>
      </w:pPr>
      <w:r w:rsidRPr="00973028">
        <w:rPr>
          <w:rFonts w:cs="Arial"/>
          <w:bCs w:val="0"/>
          <w:color w:val="FF0000"/>
        </w:rPr>
        <w:fldChar w:fldCharType="begin" w:fldLock="1"/>
      </w:r>
      <w:r w:rsidRPr="00973028">
        <w:rPr>
          <w:rFonts w:cs="Arial"/>
          <w:bCs w:val="0"/>
          <w:color w:val="FF0000"/>
        </w:rPr>
        <w:instrText xml:space="preserve"> TOC \h \z \c "Imagen" </w:instrText>
      </w:r>
      <w:r w:rsidRPr="00973028">
        <w:rPr>
          <w:rFonts w:cs="Arial"/>
          <w:bCs w:val="0"/>
          <w:color w:val="FF0000"/>
        </w:rPr>
        <w:fldChar w:fldCharType="separate"/>
      </w:r>
      <w:hyperlink w:anchor="_Toc99099125" w:history="1">
        <w:r w:rsidR="00667C7A" w:rsidRPr="00AA198E">
          <w:rPr>
            <w:rStyle w:val="Hipervnculo"/>
            <w:rFonts w:cs="Arial"/>
            <w:noProof/>
          </w:rPr>
          <w:t>Imagen 1. IV Reunión del Consejo de Participación</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_Toc99099125 \h </w:instrText>
        </w:r>
        <w:r w:rsidR="00667C7A" w:rsidRPr="00AA198E">
          <w:rPr>
            <w:noProof/>
            <w:webHidden/>
          </w:rPr>
        </w:r>
        <w:r w:rsidR="00667C7A" w:rsidRPr="00AA198E">
          <w:rPr>
            <w:noProof/>
            <w:webHidden/>
          </w:rPr>
          <w:fldChar w:fldCharType="separate"/>
        </w:r>
        <w:r w:rsidR="006336E7" w:rsidRPr="00AA198E">
          <w:rPr>
            <w:noProof/>
            <w:webHidden/>
          </w:rPr>
          <w:t>28</w:t>
        </w:r>
        <w:r w:rsidR="00667C7A" w:rsidRPr="00AA198E">
          <w:rPr>
            <w:noProof/>
            <w:webHidden/>
          </w:rPr>
          <w:fldChar w:fldCharType="end"/>
        </w:r>
      </w:hyperlink>
    </w:p>
    <w:p w14:paraId="10459104" w14:textId="14AAF3AB"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40" w:anchor="_Toc99099126" w:history="1">
        <w:r w:rsidR="00667C7A" w:rsidRPr="00AA198E">
          <w:rPr>
            <w:rStyle w:val="Hipervnculo"/>
            <w:rFonts w:cs="Arial"/>
            <w:noProof/>
          </w:rPr>
          <w:t>Imagen 2. VII Encuentro de la Red Estatal de Oficinas y Agencias Antifraude</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_Toc99099126 \h </w:instrText>
        </w:r>
        <w:r w:rsidR="00667C7A" w:rsidRPr="00AA198E">
          <w:rPr>
            <w:noProof/>
            <w:webHidden/>
          </w:rPr>
        </w:r>
        <w:r w:rsidR="00667C7A" w:rsidRPr="00AA198E">
          <w:rPr>
            <w:noProof/>
            <w:webHidden/>
          </w:rPr>
          <w:fldChar w:fldCharType="separate"/>
        </w:r>
        <w:r w:rsidR="006336E7" w:rsidRPr="00AA198E">
          <w:rPr>
            <w:noProof/>
            <w:webHidden/>
          </w:rPr>
          <w:t>30</w:t>
        </w:r>
        <w:r w:rsidR="00667C7A" w:rsidRPr="00AA198E">
          <w:rPr>
            <w:noProof/>
            <w:webHidden/>
          </w:rPr>
          <w:fldChar w:fldCharType="end"/>
        </w:r>
      </w:hyperlink>
    </w:p>
    <w:p w14:paraId="57D8FD86" w14:textId="658E8AEA"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41" w:anchor="_Toc99099127" w:history="1">
        <w:r w:rsidR="00667C7A" w:rsidRPr="00AA198E">
          <w:rPr>
            <w:rStyle w:val="Hipervnculo"/>
            <w:rFonts w:cs="Arial"/>
            <w:noProof/>
          </w:rPr>
          <w:t>Imagen 3. Infografía estado de la transposición mapa Europa de Transparencia Internacional</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_Toc99099127 \h </w:instrText>
        </w:r>
        <w:r w:rsidR="00667C7A" w:rsidRPr="00AA198E">
          <w:rPr>
            <w:noProof/>
            <w:webHidden/>
          </w:rPr>
        </w:r>
        <w:r w:rsidR="00667C7A" w:rsidRPr="00AA198E">
          <w:rPr>
            <w:noProof/>
            <w:webHidden/>
          </w:rPr>
          <w:fldChar w:fldCharType="separate"/>
        </w:r>
        <w:r w:rsidR="006336E7" w:rsidRPr="00AA198E">
          <w:rPr>
            <w:noProof/>
            <w:webHidden/>
          </w:rPr>
          <w:t>68</w:t>
        </w:r>
        <w:r w:rsidR="00667C7A" w:rsidRPr="00AA198E">
          <w:rPr>
            <w:noProof/>
            <w:webHidden/>
          </w:rPr>
          <w:fldChar w:fldCharType="end"/>
        </w:r>
      </w:hyperlink>
    </w:p>
    <w:p w14:paraId="3A82EAED" w14:textId="0B4B0266"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128" w:history="1">
        <w:r w:rsidR="00667C7A" w:rsidRPr="00AA198E">
          <w:rPr>
            <w:rStyle w:val="Hipervnculo"/>
            <w:rFonts w:cs="Arial"/>
            <w:noProof/>
          </w:rPr>
          <w:t>Imagen 4. Infografía calendario transposición de la Directiva (UE) 2019/1937 según el IV Plan Gobierno Abierto de España (2020 - 2024)</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_Toc99099128 \h </w:instrText>
        </w:r>
        <w:r w:rsidR="00667C7A" w:rsidRPr="00AA198E">
          <w:rPr>
            <w:noProof/>
            <w:webHidden/>
          </w:rPr>
        </w:r>
        <w:r w:rsidR="00667C7A" w:rsidRPr="00AA198E">
          <w:rPr>
            <w:noProof/>
            <w:webHidden/>
          </w:rPr>
          <w:fldChar w:fldCharType="separate"/>
        </w:r>
        <w:r w:rsidR="006336E7" w:rsidRPr="00AA198E">
          <w:rPr>
            <w:noProof/>
            <w:webHidden/>
          </w:rPr>
          <w:t>70</w:t>
        </w:r>
        <w:r w:rsidR="00667C7A" w:rsidRPr="00AA198E">
          <w:rPr>
            <w:noProof/>
            <w:webHidden/>
          </w:rPr>
          <w:fldChar w:fldCharType="end"/>
        </w:r>
      </w:hyperlink>
    </w:p>
    <w:p w14:paraId="4B7B597E" w14:textId="583A8F44"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129" w:history="1">
        <w:r w:rsidR="00667C7A" w:rsidRPr="00AA198E">
          <w:rPr>
            <w:rStyle w:val="Hipervnculo"/>
            <w:rFonts w:cs="Arial"/>
            <w:noProof/>
          </w:rPr>
          <w:t>Imagen 5. Infografía iniciativas legislativas en el Congreso de los Diputados (2019 - 2023)</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_Toc99099129 \h </w:instrText>
        </w:r>
        <w:r w:rsidR="00667C7A" w:rsidRPr="00AA198E">
          <w:rPr>
            <w:noProof/>
            <w:webHidden/>
          </w:rPr>
        </w:r>
        <w:r w:rsidR="00667C7A" w:rsidRPr="00AA198E">
          <w:rPr>
            <w:noProof/>
            <w:webHidden/>
          </w:rPr>
          <w:fldChar w:fldCharType="separate"/>
        </w:r>
        <w:r w:rsidR="006336E7" w:rsidRPr="00AA198E">
          <w:rPr>
            <w:noProof/>
            <w:webHidden/>
          </w:rPr>
          <w:t>72</w:t>
        </w:r>
        <w:r w:rsidR="00667C7A" w:rsidRPr="00AA198E">
          <w:rPr>
            <w:noProof/>
            <w:webHidden/>
          </w:rPr>
          <w:fldChar w:fldCharType="end"/>
        </w:r>
      </w:hyperlink>
    </w:p>
    <w:p w14:paraId="562516FB" w14:textId="13526F19"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130" w:history="1">
        <w:r w:rsidR="00667C7A" w:rsidRPr="00AA198E">
          <w:rPr>
            <w:rStyle w:val="Hipervnculo"/>
            <w:rFonts w:cs="Arial"/>
            <w:noProof/>
          </w:rPr>
          <w:t>Imagen 6. Infografía mapa de Europa con los países que integran NEIWA</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_Toc99099130 \h </w:instrText>
        </w:r>
        <w:r w:rsidR="00667C7A" w:rsidRPr="00AA198E">
          <w:rPr>
            <w:noProof/>
            <w:webHidden/>
          </w:rPr>
        </w:r>
        <w:r w:rsidR="00667C7A" w:rsidRPr="00AA198E">
          <w:rPr>
            <w:noProof/>
            <w:webHidden/>
          </w:rPr>
          <w:fldChar w:fldCharType="separate"/>
        </w:r>
        <w:r w:rsidR="006336E7" w:rsidRPr="00AA198E">
          <w:rPr>
            <w:noProof/>
            <w:webHidden/>
          </w:rPr>
          <w:t>76</w:t>
        </w:r>
        <w:r w:rsidR="00667C7A" w:rsidRPr="00AA198E">
          <w:rPr>
            <w:noProof/>
            <w:webHidden/>
          </w:rPr>
          <w:fldChar w:fldCharType="end"/>
        </w:r>
      </w:hyperlink>
    </w:p>
    <w:p w14:paraId="67EF7DB6" w14:textId="3BB3799A"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131" w:history="1">
        <w:r w:rsidR="00667C7A" w:rsidRPr="00AA198E">
          <w:rPr>
            <w:rStyle w:val="Hipervnculo"/>
            <w:rFonts w:cs="Arial"/>
            <w:noProof/>
          </w:rPr>
          <w:t>Imagen 7. Infografía mapa de España composición REDOAF</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_Toc99099131 \h </w:instrText>
        </w:r>
        <w:r w:rsidR="00667C7A" w:rsidRPr="00AA198E">
          <w:rPr>
            <w:noProof/>
            <w:webHidden/>
          </w:rPr>
        </w:r>
        <w:r w:rsidR="00667C7A" w:rsidRPr="00AA198E">
          <w:rPr>
            <w:noProof/>
            <w:webHidden/>
          </w:rPr>
          <w:fldChar w:fldCharType="separate"/>
        </w:r>
        <w:r w:rsidR="006336E7" w:rsidRPr="00AA198E">
          <w:rPr>
            <w:noProof/>
            <w:webHidden/>
          </w:rPr>
          <w:t>80</w:t>
        </w:r>
        <w:r w:rsidR="00667C7A" w:rsidRPr="00AA198E">
          <w:rPr>
            <w:noProof/>
            <w:webHidden/>
          </w:rPr>
          <w:fldChar w:fldCharType="end"/>
        </w:r>
      </w:hyperlink>
    </w:p>
    <w:p w14:paraId="69B6A9D9" w14:textId="72E1937C"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42" w:anchor="_Toc99099132" w:history="1">
        <w:r w:rsidR="00667C7A" w:rsidRPr="00AA198E">
          <w:rPr>
            <w:rStyle w:val="Hipervnculo"/>
            <w:rFonts w:cs="Arial"/>
            <w:noProof/>
          </w:rPr>
          <w:t>Imagen 8. Guía AVAF. El Plan de Integridad Pública: Hoja de Ruta y Anexos Facilitadores</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_Toc99099132 \h </w:instrText>
        </w:r>
        <w:r w:rsidR="00667C7A" w:rsidRPr="00AA198E">
          <w:rPr>
            <w:noProof/>
            <w:webHidden/>
          </w:rPr>
        </w:r>
        <w:r w:rsidR="00667C7A" w:rsidRPr="00AA198E">
          <w:rPr>
            <w:noProof/>
            <w:webHidden/>
          </w:rPr>
          <w:fldChar w:fldCharType="separate"/>
        </w:r>
        <w:r w:rsidR="006336E7" w:rsidRPr="00AA198E">
          <w:rPr>
            <w:noProof/>
            <w:webHidden/>
          </w:rPr>
          <w:t>256</w:t>
        </w:r>
        <w:r w:rsidR="00667C7A" w:rsidRPr="00AA198E">
          <w:rPr>
            <w:noProof/>
            <w:webHidden/>
          </w:rPr>
          <w:fldChar w:fldCharType="end"/>
        </w:r>
      </w:hyperlink>
    </w:p>
    <w:p w14:paraId="1F9ED7E7" w14:textId="0B46238F"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43" w:anchor="_Toc99099133" w:history="1">
        <w:r w:rsidR="00667C7A" w:rsidRPr="00AA198E">
          <w:rPr>
            <w:rStyle w:val="Hipervnculo"/>
            <w:rFonts w:cs="Arial"/>
            <w:noProof/>
          </w:rPr>
          <w:t>Imagen 9. Manual didáctico visual. Los conflictos de interés en clave de integridad pública</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_Toc99099133 \h </w:instrText>
        </w:r>
        <w:r w:rsidR="00667C7A" w:rsidRPr="00AA198E">
          <w:rPr>
            <w:noProof/>
            <w:webHidden/>
          </w:rPr>
        </w:r>
        <w:r w:rsidR="00667C7A" w:rsidRPr="00AA198E">
          <w:rPr>
            <w:noProof/>
            <w:webHidden/>
          </w:rPr>
          <w:fldChar w:fldCharType="separate"/>
        </w:r>
        <w:r w:rsidR="006336E7" w:rsidRPr="00AA198E">
          <w:rPr>
            <w:noProof/>
            <w:webHidden/>
          </w:rPr>
          <w:t>259</w:t>
        </w:r>
        <w:r w:rsidR="00667C7A" w:rsidRPr="00AA198E">
          <w:rPr>
            <w:noProof/>
            <w:webHidden/>
          </w:rPr>
          <w:fldChar w:fldCharType="end"/>
        </w:r>
      </w:hyperlink>
    </w:p>
    <w:p w14:paraId="2BCD8C3D" w14:textId="4568C9BF"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44" w:anchor="_Toc99099134" w:history="1">
        <w:r w:rsidR="00667C7A" w:rsidRPr="00AA198E">
          <w:rPr>
            <w:rStyle w:val="Hipervnculo"/>
            <w:rFonts w:cs="Arial"/>
            <w:noProof/>
          </w:rPr>
          <w:t>Imagen 10. Catálogo de riesgos comunes en los procesos de toma de decisiones y algunos mecanismos de prevención</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_Toc99099134 \h </w:instrText>
        </w:r>
        <w:r w:rsidR="00667C7A" w:rsidRPr="00AA198E">
          <w:rPr>
            <w:noProof/>
            <w:webHidden/>
          </w:rPr>
        </w:r>
        <w:r w:rsidR="00667C7A" w:rsidRPr="00AA198E">
          <w:rPr>
            <w:noProof/>
            <w:webHidden/>
          </w:rPr>
          <w:fldChar w:fldCharType="separate"/>
        </w:r>
        <w:r w:rsidR="006336E7" w:rsidRPr="00AA198E">
          <w:rPr>
            <w:noProof/>
            <w:webHidden/>
          </w:rPr>
          <w:t>260</w:t>
        </w:r>
        <w:r w:rsidR="00667C7A" w:rsidRPr="00AA198E">
          <w:rPr>
            <w:noProof/>
            <w:webHidden/>
          </w:rPr>
          <w:fldChar w:fldCharType="end"/>
        </w:r>
      </w:hyperlink>
    </w:p>
    <w:p w14:paraId="0789D967" w14:textId="71FE3D4D"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45" w:anchor="_Toc99099135" w:history="1">
        <w:r w:rsidR="00667C7A" w:rsidRPr="00AA198E">
          <w:rPr>
            <w:rStyle w:val="Hipervnculo"/>
            <w:rFonts w:cs="Arial"/>
            <w:noProof/>
          </w:rPr>
          <w:t>Imagen 11. Reflexiones sobre conflictos de interés: su desconocimiento, la antesala de la corrupción.</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_Toc99099135 \h </w:instrText>
        </w:r>
        <w:r w:rsidR="00667C7A" w:rsidRPr="00AA198E">
          <w:rPr>
            <w:noProof/>
            <w:webHidden/>
          </w:rPr>
        </w:r>
        <w:r w:rsidR="00667C7A" w:rsidRPr="00AA198E">
          <w:rPr>
            <w:noProof/>
            <w:webHidden/>
          </w:rPr>
          <w:fldChar w:fldCharType="separate"/>
        </w:r>
        <w:r w:rsidR="006336E7" w:rsidRPr="00AA198E">
          <w:rPr>
            <w:noProof/>
            <w:webHidden/>
          </w:rPr>
          <w:t>269</w:t>
        </w:r>
        <w:r w:rsidR="00667C7A" w:rsidRPr="00AA198E">
          <w:rPr>
            <w:noProof/>
            <w:webHidden/>
          </w:rPr>
          <w:fldChar w:fldCharType="end"/>
        </w:r>
      </w:hyperlink>
    </w:p>
    <w:p w14:paraId="4E6604B5" w14:textId="4E8532A4"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46" w:anchor="_Toc99099136" w:history="1">
        <w:r w:rsidR="00667C7A" w:rsidRPr="00AA198E">
          <w:rPr>
            <w:rStyle w:val="Hipervnculo"/>
            <w:rFonts w:cs="Arial"/>
            <w:noProof/>
          </w:rPr>
          <w:t>Imagen 12. Recomendación general. Planificación: herramienta clave para prevenir los riesgos de la corrupción en las organizaciones</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_Toc99099136 \h </w:instrText>
        </w:r>
        <w:r w:rsidR="00667C7A" w:rsidRPr="00AA198E">
          <w:rPr>
            <w:noProof/>
            <w:webHidden/>
          </w:rPr>
        </w:r>
        <w:r w:rsidR="00667C7A" w:rsidRPr="00AA198E">
          <w:rPr>
            <w:noProof/>
            <w:webHidden/>
          </w:rPr>
          <w:fldChar w:fldCharType="separate"/>
        </w:r>
        <w:r w:rsidR="006336E7" w:rsidRPr="00AA198E">
          <w:rPr>
            <w:noProof/>
            <w:webHidden/>
          </w:rPr>
          <w:t>269</w:t>
        </w:r>
        <w:r w:rsidR="00667C7A" w:rsidRPr="00AA198E">
          <w:rPr>
            <w:noProof/>
            <w:webHidden/>
          </w:rPr>
          <w:fldChar w:fldCharType="end"/>
        </w:r>
      </w:hyperlink>
    </w:p>
    <w:p w14:paraId="3ACF67C0" w14:textId="53C8AE5B"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47" w:anchor="_Toc99099137" w:history="1">
        <w:r w:rsidR="00667C7A" w:rsidRPr="00AA198E">
          <w:rPr>
            <w:rStyle w:val="Hipervnculo"/>
            <w:rFonts w:cs="Arial"/>
            <w:noProof/>
          </w:rPr>
          <w:t>Imagen 13. Recomendación general. Enriquecimiento injusto</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_Toc99099137 \h </w:instrText>
        </w:r>
        <w:r w:rsidR="00667C7A" w:rsidRPr="00AA198E">
          <w:rPr>
            <w:noProof/>
            <w:webHidden/>
          </w:rPr>
        </w:r>
        <w:r w:rsidR="00667C7A" w:rsidRPr="00AA198E">
          <w:rPr>
            <w:noProof/>
            <w:webHidden/>
          </w:rPr>
          <w:fldChar w:fldCharType="separate"/>
        </w:r>
        <w:r w:rsidR="006336E7" w:rsidRPr="00AA198E">
          <w:rPr>
            <w:noProof/>
            <w:webHidden/>
          </w:rPr>
          <w:t>269</w:t>
        </w:r>
        <w:r w:rsidR="00667C7A" w:rsidRPr="00AA198E">
          <w:rPr>
            <w:noProof/>
            <w:webHidden/>
          </w:rPr>
          <w:fldChar w:fldCharType="end"/>
        </w:r>
      </w:hyperlink>
    </w:p>
    <w:p w14:paraId="41CBFBFA" w14:textId="27C3B621"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138" w:history="1">
        <w:r w:rsidR="00667C7A" w:rsidRPr="00AA198E">
          <w:rPr>
            <w:rStyle w:val="Hipervnculo"/>
            <w:rFonts w:cs="Arial"/>
            <w:noProof/>
          </w:rPr>
          <w:t>Imagen 14. Biblioteca de la AVAF</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_Toc99099138 \h </w:instrText>
        </w:r>
        <w:r w:rsidR="00667C7A" w:rsidRPr="00AA198E">
          <w:rPr>
            <w:noProof/>
            <w:webHidden/>
          </w:rPr>
        </w:r>
        <w:r w:rsidR="00667C7A" w:rsidRPr="00AA198E">
          <w:rPr>
            <w:noProof/>
            <w:webHidden/>
          </w:rPr>
          <w:fldChar w:fldCharType="separate"/>
        </w:r>
        <w:r w:rsidR="006336E7" w:rsidRPr="00AA198E">
          <w:rPr>
            <w:noProof/>
            <w:webHidden/>
          </w:rPr>
          <w:t>297</w:t>
        </w:r>
        <w:r w:rsidR="00667C7A" w:rsidRPr="00AA198E">
          <w:rPr>
            <w:noProof/>
            <w:webHidden/>
          </w:rPr>
          <w:fldChar w:fldCharType="end"/>
        </w:r>
      </w:hyperlink>
    </w:p>
    <w:p w14:paraId="498E8DBF" w14:textId="13C1E7B8"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139" w:history="1">
        <w:r w:rsidR="00667C7A" w:rsidRPr="00AA198E">
          <w:rPr>
            <w:rStyle w:val="Hipervnculo"/>
            <w:rFonts w:cs="Arial"/>
            <w:noProof/>
          </w:rPr>
          <w:t>Imagen 15. Cubierta del libro Les cares de l'evasió fiscal</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_Toc99099139 \h </w:instrText>
        </w:r>
        <w:r w:rsidR="00667C7A" w:rsidRPr="00AA198E">
          <w:rPr>
            <w:noProof/>
            <w:webHidden/>
          </w:rPr>
        </w:r>
        <w:r w:rsidR="00667C7A" w:rsidRPr="00AA198E">
          <w:rPr>
            <w:noProof/>
            <w:webHidden/>
          </w:rPr>
          <w:fldChar w:fldCharType="separate"/>
        </w:r>
        <w:r w:rsidR="006336E7" w:rsidRPr="00AA198E">
          <w:rPr>
            <w:noProof/>
            <w:webHidden/>
          </w:rPr>
          <w:t>301</w:t>
        </w:r>
        <w:r w:rsidR="00667C7A" w:rsidRPr="00AA198E">
          <w:rPr>
            <w:noProof/>
            <w:webHidden/>
          </w:rPr>
          <w:fldChar w:fldCharType="end"/>
        </w:r>
      </w:hyperlink>
    </w:p>
    <w:p w14:paraId="7CE0AFC0" w14:textId="76C849E1"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140" w:history="1">
        <w:r w:rsidR="00667C7A" w:rsidRPr="00AA198E">
          <w:rPr>
            <w:rStyle w:val="Hipervnculo"/>
            <w:rFonts w:cs="Arial"/>
            <w:noProof/>
          </w:rPr>
          <w:t>Imagen 16. Cubierta del Informe sobre la transparencia local en la Comunitat Valenciana (2019)</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_Toc99099140 \h </w:instrText>
        </w:r>
        <w:r w:rsidR="00667C7A" w:rsidRPr="00AA198E">
          <w:rPr>
            <w:noProof/>
            <w:webHidden/>
          </w:rPr>
        </w:r>
        <w:r w:rsidR="00667C7A" w:rsidRPr="00AA198E">
          <w:rPr>
            <w:noProof/>
            <w:webHidden/>
          </w:rPr>
          <w:fldChar w:fldCharType="separate"/>
        </w:r>
        <w:r w:rsidR="006336E7" w:rsidRPr="00AA198E">
          <w:rPr>
            <w:noProof/>
            <w:webHidden/>
          </w:rPr>
          <w:t>303</w:t>
        </w:r>
        <w:r w:rsidR="00667C7A" w:rsidRPr="00AA198E">
          <w:rPr>
            <w:noProof/>
            <w:webHidden/>
          </w:rPr>
          <w:fldChar w:fldCharType="end"/>
        </w:r>
      </w:hyperlink>
    </w:p>
    <w:p w14:paraId="52C35102" w14:textId="0373D020"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141" w:history="1">
        <w:r w:rsidR="00667C7A" w:rsidRPr="00AA198E">
          <w:rPr>
            <w:rStyle w:val="Hipervnculo"/>
            <w:rFonts w:cs="Arial"/>
            <w:noProof/>
          </w:rPr>
          <w:t>Imagen 17. Cubierta del Anuario del Buen Gobierno y de la Calidad de la Regulación 2020</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_Toc99099141 \h </w:instrText>
        </w:r>
        <w:r w:rsidR="00667C7A" w:rsidRPr="00AA198E">
          <w:rPr>
            <w:noProof/>
            <w:webHidden/>
          </w:rPr>
        </w:r>
        <w:r w:rsidR="00667C7A" w:rsidRPr="00AA198E">
          <w:rPr>
            <w:noProof/>
            <w:webHidden/>
          </w:rPr>
          <w:fldChar w:fldCharType="separate"/>
        </w:r>
        <w:r w:rsidR="006336E7" w:rsidRPr="00AA198E">
          <w:rPr>
            <w:noProof/>
            <w:webHidden/>
          </w:rPr>
          <w:t>305</w:t>
        </w:r>
        <w:r w:rsidR="00667C7A" w:rsidRPr="00AA198E">
          <w:rPr>
            <w:noProof/>
            <w:webHidden/>
          </w:rPr>
          <w:fldChar w:fldCharType="end"/>
        </w:r>
      </w:hyperlink>
    </w:p>
    <w:p w14:paraId="2A07A819" w14:textId="6FCFA999"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142" w:history="1">
        <w:r w:rsidR="00667C7A" w:rsidRPr="00AA198E">
          <w:rPr>
            <w:rStyle w:val="Hipervnculo"/>
            <w:rFonts w:cs="Arial"/>
            <w:noProof/>
          </w:rPr>
          <w:t>Imagen 18. Cubierta del libro La ciudad de la euforia</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_Toc99099142 \h </w:instrText>
        </w:r>
        <w:r w:rsidR="00667C7A" w:rsidRPr="00AA198E">
          <w:rPr>
            <w:noProof/>
            <w:webHidden/>
          </w:rPr>
        </w:r>
        <w:r w:rsidR="00667C7A" w:rsidRPr="00AA198E">
          <w:rPr>
            <w:noProof/>
            <w:webHidden/>
          </w:rPr>
          <w:fldChar w:fldCharType="separate"/>
        </w:r>
        <w:r w:rsidR="006336E7" w:rsidRPr="00AA198E">
          <w:rPr>
            <w:noProof/>
            <w:webHidden/>
          </w:rPr>
          <w:t>307</w:t>
        </w:r>
        <w:r w:rsidR="00667C7A" w:rsidRPr="00AA198E">
          <w:rPr>
            <w:noProof/>
            <w:webHidden/>
          </w:rPr>
          <w:fldChar w:fldCharType="end"/>
        </w:r>
      </w:hyperlink>
    </w:p>
    <w:p w14:paraId="02C88FEB" w14:textId="7AAD17FE"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143" w:history="1">
        <w:r w:rsidR="00667C7A" w:rsidRPr="00AA198E">
          <w:rPr>
            <w:rStyle w:val="Hipervnculo"/>
            <w:rFonts w:cs="Arial"/>
            <w:noProof/>
          </w:rPr>
          <w:t>Imagen 19. Cubierta del libro Fundamentos de la transparencia, aspectos políticos</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_Toc99099143 \h </w:instrText>
        </w:r>
        <w:r w:rsidR="00667C7A" w:rsidRPr="00AA198E">
          <w:rPr>
            <w:noProof/>
            <w:webHidden/>
          </w:rPr>
        </w:r>
        <w:r w:rsidR="00667C7A" w:rsidRPr="00AA198E">
          <w:rPr>
            <w:noProof/>
            <w:webHidden/>
          </w:rPr>
          <w:fldChar w:fldCharType="separate"/>
        </w:r>
        <w:r w:rsidR="006336E7" w:rsidRPr="00AA198E">
          <w:rPr>
            <w:noProof/>
            <w:webHidden/>
          </w:rPr>
          <w:t>309</w:t>
        </w:r>
        <w:r w:rsidR="00667C7A" w:rsidRPr="00AA198E">
          <w:rPr>
            <w:noProof/>
            <w:webHidden/>
          </w:rPr>
          <w:fldChar w:fldCharType="end"/>
        </w:r>
      </w:hyperlink>
    </w:p>
    <w:p w14:paraId="6345CCC3" w14:textId="52C07D97" w:rsidR="00667C7A"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144" w:history="1">
        <w:r w:rsidR="00667C7A" w:rsidRPr="00AA198E">
          <w:rPr>
            <w:rStyle w:val="Hipervnculo"/>
            <w:rFonts w:cs="Arial"/>
            <w:noProof/>
          </w:rPr>
          <w:t>Imagen 20. Cubierta del libro La integridad en la Administración: Contratación Pública y Lucha contra la Corrupción</w:t>
        </w:r>
        <w:r w:rsidR="00667C7A" w:rsidRPr="00AA198E">
          <w:rPr>
            <w:noProof/>
            <w:webHidden/>
          </w:rPr>
          <w:tab/>
        </w:r>
        <w:r w:rsidR="00667C7A" w:rsidRPr="00AA198E">
          <w:rPr>
            <w:noProof/>
            <w:webHidden/>
          </w:rPr>
          <w:fldChar w:fldCharType="begin" w:fldLock="1"/>
        </w:r>
        <w:r w:rsidR="00667C7A" w:rsidRPr="00AA198E">
          <w:rPr>
            <w:noProof/>
            <w:webHidden/>
          </w:rPr>
          <w:instrText xml:space="preserve"> PAGEREF _Toc99099144 \h </w:instrText>
        </w:r>
        <w:r w:rsidR="00667C7A" w:rsidRPr="00AA198E">
          <w:rPr>
            <w:noProof/>
            <w:webHidden/>
          </w:rPr>
        </w:r>
        <w:r w:rsidR="00667C7A" w:rsidRPr="00AA198E">
          <w:rPr>
            <w:noProof/>
            <w:webHidden/>
          </w:rPr>
          <w:fldChar w:fldCharType="separate"/>
        </w:r>
        <w:r w:rsidR="006336E7" w:rsidRPr="00AA198E">
          <w:rPr>
            <w:noProof/>
            <w:webHidden/>
          </w:rPr>
          <w:t>310</w:t>
        </w:r>
        <w:r w:rsidR="00667C7A" w:rsidRPr="00AA198E">
          <w:rPr>
            <w:noProof/>
            <w:webHidden/>
          </w:rPr>
          <w:fldChar w:fldCharType="end"/>
        </w:r>
      </w:hyperlink>
    </w:p>
    <w:p w14:paraId="7963A27E" w14:textId="07CD3CFF" w:rsidR="004927C3" w:rsidRPr="00AD1E24" w:rsidRDefault="004927C3">
      <w:pPr>
        <w:rPr>
          <w:rFonts w:ascii="Arial" w:hAnsi="Arial" w:cs="Arial"/>
          <w:bCs/>
          <w:sz w:val="20"/>
          <w:szCs w:val="20"/>
        </w:rPr>
      </w:pPr>
      <w:r w:rsidRPr="00973028">
        <w:rPr>
          <w:rFonts w:ascii="Arial" w:hAnsi="Arial" w:cs="Arial"/>
          <w:bCs/>
          <w:color w:val="FF0000"/>
          <w:sz w:val="20"/>
          <w:szCs w:val="20"/>
        </w:rPr>
        <w:fldChar w:fldCharType="end"/>
      </w:r>
    </w:p>
    <w:p w14:paraId="7FE1BA88" w14:textId="77777777" w:rsidR="004927C3" w:rsidRPr="00973028" w:rsidRDefault="004927C3">
      <w:pPr>
        <w:rPr>
          <w:rFonts w:ascii="Arial" w:hAnsi="Arial" w:cs="Arial"/>
          <w:b/>
          <w:color w:val="9D2235" w:themeColor="accent1"/>
          <w:sz w:val="60"/>
          <w:szCs w:val="60"/>
        </w:rPr>
      </w:pPr>
      <w:r w:rsidRPr="00973028">
        <w:rPr>
          <w:rFonts w:ascii="Arial" w:hAnsi="Arial" w:cs="Arial"/>
          <w:b/>
          <w:color w:val="9D2235" w:themeColor="accent1"/>
          <w:sz w:val="60"/>
          <w:szCs w:val="60"/>
        </w:rPr>
        <w:t>Índice de gráficos</w:t>
      </w:r>
    </w:p>
    <w:p w14:paraId="373DF552" w14:textId="15CDFB9A" w:rsidR="00D66C3F" w:rsidRPr="00AA198E" w:rsidRDefault="004927C3">
      <w:pPr>
        <w:pStyle w:val="Tabladeilustraciones"/>
        <w:tabs>
          <w:tab w:val="right" w:leader="dot" w:pos="8494"/>
        </w:tabs>
        <w:rPr>
          <w:rFonts w:asciiTheme="minorHAnsi" w:eastAsiaTheme="minorEastAsia" w:hAnsiTheme="minorHAnsi" w:cstheme="minorBidi"/>
          <w:noProof/>
          <w:sz w:val="22"/>
          <w:szCs w:val="22"/>
          <w:lang w:eastAsia="es-ES"/>
        </w:rPr>
      </w:pPr>
      <w:r w:rsidRPr="00973028">
        <w:rPr>
          <w:rFonts w:cs="Arial"/>
          <w:bCs w:val="0"/>
          <w:color w:val="FF0000"/>
        </w:rPr>
        <w:fldChar w:fldCharType="begin" w:fldLock="1"/>
      </w:r>
      <w:r w:rsidRPr="00973028">
        <w:rPr>
          <w:rFonts w:cs="Arial"/>
          <w:bCs w:val="0"/>
          <w:color w:val="FF0000"/>
        </w:rPr>
        <w:instrText xml:space="preserve"> TOC \h \z \c "Gráfico" </w:instrText>
      </w:r>
      <w:r w:rsidRPr="00973028">
        <w:rPr>
          <w:rFonts w:cs="Arial"/>
          <w:bCs w:val="0"/>
          <w:color w:val="FF0000"/>
        </w:rPr>
        <w:fldChar w:fldCharType="separate"/>
      </w:r>
      <w:hyperlink r:id="rId48" w:anchor="_Toc99099800" w:history="1">
        <w:r w:rsidR="00D66C3F" w:rsidRPr="00AA198E">
          <w:rPr>
            <w:rStyle w:val="Hipervnculo"/>
            <w:noProof/>
          </w:rPr>
          <w:t>Gráfico 1. Evolución de usuario/as de la web 2019 a 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_Toc99099800 \h </w:instrText>
        </w:r>
        <w:r w:rsidR="00D66C3F" w:rsidRPr="00AA198E">
          <w:rPr>
            <w:noProof/>
            <w:webHidden/>
          </w:rPr>
        </w:r>
        <w:r w:rsidR="00D66C3F" w:rsidRPr="00AA198E">
          <w:rPr>
            <w:noProof/>
            <w:webHidden/>
          </w:rPr>
          <w:fldChar w:fldCharType="separate"/>
        </w:r>
        <w:r w:rsidR="006336E7" w:rsidRPr="00AA198E">
          <w:rPr>
            <w:noProof/>
            <w:webHidden/>
          </w:rPr>
          <w:t>45</w:t>
        </w:r>
        <w:r w:rsidR="00D66C3F" w:rsidRPr="00AA198E">
          <w:rPr>
            <w:noProof/>
            <w:webHidden/>
          </w:rPr>
          <w:fldChar w:fldCharType="end"/>
        </w:r>
      </w:hyperlink>
    </w:p>
    <w:p w14:paraId="5EF9205B" w14:textId="4033166D"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49" w:anchor="_Toc99099801" w:history="1">
        <w:r w:rsidR="00D66C3F" w:rsidRPr="00AA198E">
          <w:rPr>
            <w:rStyle w:val="Hipervnculo"/>
            <w:rFonts w:cs="Arial"/>
            <w:noProof/>
          </w:rPr>
          <w:t>Gráfico 2. Menciones de la AVAF según el medio de comunicación</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_Toc99099801 \h </w:instrText>
        </w:r>
        <w:r w:rsidR="00D66C3F" w:rsidRPr="00AA198E">
          <w:rPr>
            <w:noProof/>
            <w:webHidden/>
          </w:rPr>
        </w:r>
        <w:r w:rsidR="00D66C3F" w:rsidRPr="00AA198E">
          <w:rPr>
            <w:noProof/>
            <w:webHidden/>
          </w:rPr>
          <w:fldChar w:fldCharType="separate"/>
        </w:r>
        <w:r w:rsidR="006336E7" w:rsidRPr="00AA198E">
          <w:rPr>
            <w:noProof/>
            <w:webHidden/>
          </w:rPr>
          <w:t>48</w:t>
        </w:r>
        <w:r w:rsidR="00D66C3F" w:rsidRPr="00AA198E">
          <w:rPr>
            <w:noProof/>
            <w:webHidden/>
          </w:rPr>
          <w:fldChar w:fldCharType="end"/>
        </w:r>
      </w:hyperlink>
    </w:p>
    <w:p w14:paraId="165B2D89" w14:textId="55257B2D"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02" w:history="1">
        <w:r w:rsidR="00D66C3F" w:rsidRPr="00AA198E">
          <w:rPr>
            <w:rStyle w:val="Hipervnculo"/>
            <w:rFonts w:cs="Arial"/>
            <w:noProof/>
          </w:rPr>
          <w:t>Gráfico 3. Número de menciones en medios de la AVAF</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_Toc99099802 \h </w:instrText>
        </w:r>
        <w:r w:rsidR="00D66C3F" w:rsidRPr="00AA198E">
          <w:rPr>
            <w:noProof/>
            <w:webHidden/>
          </w:rPr>
        </w:r>
        <w:r w:rsidR="00D66C3F" w:rsidRPr="00AA198E">
          <w:rPr>
            <w:noProof/>
            <w:webHidden/>
          </w:rPr>
          <w:fldChar w:fldCharType="separate"/>
        </w:r>
        <w:r w:rsidR="006336E7" w:rsidRPr="00AA198E">
          <w:rPr>
            <w:noProof/>
            <w:webHidden/>
          </w:rPr>
          <w:t>49</w:t>
        </w:r>
        <w:r w:rsidR="00D66C3F" w:rsidRPr="00AA198E">
          <w:rPr>
            <w:noProof/>
            <w:webHidden/>
          </w:rPr>
          <w:fldChar w:fldCharType="end"/>
        </w:r>
      </w:hyperlink>
    </w:p>
    <w:p w14:paraId="42EE9884" w14:textId="246C4BB6"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03" w:history="1">
        <w:r w:rsidR="00D66C3F" w:rsidRPr="00AA198E">
          <w:rPr>
            <w:rStyle w:val="Hipervnculo"/>
            <w:rFonts w:cs="Arial"/>
            <w:noProof/>
          </w:rPr>
          <w:t>Gráfico 4. Número de solicitudes de protección presentadas desde 2017 hasta 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_Toc99099803 \h </w:instrText>
        </w:r>
        <w:r w:rsidR="00D66C3F" w:rsidRPr="00AA198E">
          <w:rPr>
            <w:noProof/>
            <w:webHidden/>
          </w:rPr>
        </w:r>
        <w:r w:rsidR="00D66C3F" w:rsidRPr="00AA198E">
          <w:rPr>
            <w:noProof/>
            <w:webHidden/>
          </w:rPr>
          <w:fldChar w:fldCharType="separate"/>
        </w:r>
        <w:r w:rsidR="006336E7" w:rsidRPr="00AA198E">
          <w:rPr>
            <w:noProof/>
            <w:webHidden/>
          </w:rPr>
          <w:t>121</w:t>
        </w:r>
        <w:r w:rsidR="00D66C3F" w:rsidRPr="00AA198E">
          <w:rPr>
            <w:noProof/>
            <w:webHidden/>
          </w:rPr>
          <w:fldChar w:fldCharType="end"/>
        </w:r>
      </w:hyperlink>
    </w:p>
    <w:p w14:paraId="565DDF30" w14:textId="6A5821A1"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04" w:history="1">
        <w:r w:rsidR="00D66C3F" w:rsidRPr="00AA198E">
          <w:rPr>
            <w:rStyle w:val="Hipervnculo"/>
            <w:rFonts w:cs="Arial"/>
            <w:noProof/>
          </w:rPr>
          <w:t>Gráfico 5. solicitudes de protección desde 2017 a 2021, según el estado de tramitación del expediente administrativo</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_Toc99099804 \h </w:instrText>
        </w:r>
        <w:r w:rsidR="00D66C3F" w:rsidRPr="00AA198E">
          <w:rPr>
            <w:noProof/>
            <w:webHidden/>
          </w:rPr>
        </w:r>
        <w:r w:rsidR="00D66C3F" w:rsidRPr="00AA198E">
          <w:rPr>
            <w:noProof/>
            <w:webHidden/>
          </w:rPr>
          <w:fldChar w:fldCharType="separate"/>
        </w:r>
        <w:r w:rsidR="006336E7" w:rsidRPr="00AA198E">
          <w:rPr>
            <w:noProof/>
            <w:webHidden/>
          </w:rPr>
          <w:t>122</w:t>
        </w:r>
        <w:r w:rsidR="00D66C3F" w:rsidRPr="00AA198E">
          <w:rPr>
            <w:noProof/>
            <w:webHidden/>
          </w:rPr>
          <w:fldChar w:fldCharType="end"/>
        </w:r>
      </w:hyperlink>
    </w:p>
    <w:p w14:paraId="6A48091B" w14:textId="24FF0E7F"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05" w:history="1">
        <w:r w:rsidR="00D66C3F" w:rsidRPr="00AA198E">
          <w:rPr>
            <w:rStyle w:val="Hipervnculo"/>
            <w:rFonts w:cs="Arial"/>
            <w:noProof/>
          </w:rPr>
          <w:t>Gráfico 6. Canal o medio de presentación de las solicitudes de protección desde 2017 a 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_Toc99099805 \h </w:instrText>
        </w:r>
        <w:r w:rsidR="00D66C3F" w:rsidRPr="00AA198E">
          <w:rPr>
            <w:noProof/>
            <w:webHidden/>
          </w:rPr>
        </w:r>
        <w:r w:rsidR="00D66C3F" w:rsidRPr="00AA198E">
          <w:rPr>
            <w:noProof/>
            <w:webHidden/>
          </w:rPr>
          <w:fldChar w:fldCharType="separate"/>
        </w:r>
        <w:r w:rsidR="006336E7" w:rsidRPr="00AA198E">
          <w:rPr>
            <w:noProof/>
            <w:webHidden/>
          </w:rPr>
          <w:t>122</w:t>
        </w:r>
        <w:r w:rsidR="00D66C3F" w:rsidRPr="00AA198E">
          <w:rPr>
            <w:noProof/>
            <w:webHidden/>
          </w:rPr>
          <w:fldChar w:fldCharType="end"/>
        </w:r>
      </w:hyperlink>
    </w:p>
    <w:p w14:paraId="68923463" w14:textId="7B9FD0AE"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06" w:history="1">
        <w:r w:rsidR="00D66C3F" w:rsidRPr="00AA198E">
          <w:rPr>
            <w:rStyle w:val="Hipervnculo"/>
            <w:rFonts w:cs="Arial"/>
            <w:noProof/>
          </w:rPr>
          <w:t>Gráfico 7. Número de solicitudes de protección presentadas según el tipo de administración, institución o entidad afectada por la denuncia desde 2017 a 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_Toc99099806 \h </w:instrText>
        </w:r>
        <w:r w:rsidR="00D66C3F" w:rsidRPr="00AA198E">
          <w:rPr>
            <w:noProof/>
            <w:webHidden/>
          </w:rPr>
        </w:r>
        <w:r w:rsidR="00D66C3F" w:rsidRPr="00AA198E">
          <w:rPr>
            <w:noProof/>
            <w:webHidden/>
          </w:rPr>
          <w:fldChar w:fldCharType="separate"/>
        </w:r>
        <w:r w:rsidR="006336E7" w:rsidRPr="00AA198E">
          <w:rPr>
            <w:noProof/>
            <w:webHidden/>
          </w:rPr>
          <w:t>123</w:t>
        </w:r>
        <w:r w:rsidR="00D66C3F" w:rsidRPr="00AA198E">
          <w:rPr>
            <w:noProof/>
            <w:webHidden/>
          </w:rPr>
          <w:fldChar w:fldCharType="end"/>
        </w:r>
      </w:hyperlink>
    </w:p>
    <w:p w14:paraId="4BF0A32A" w14:textId="01DA6EE1"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07" w:history="1">
        <w:r w:rsidR="00D66C3F" w:rsidRPr="00AA198E">
          <w:rPr>
            <w:rStyle w:val="Hipervnculo"/>
            <w:rFonts w:cs="Arial"/>
            <w:noProof/>
          </w:rPr>
          <w:t>Gráfico 8. Número de solicitudes presentadas desde 2017 a 2021 según la provincia en la que se ubica la administración o entidad demandada</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_Toc99099807 \h </w:instrText>
        </w:r>
        <w:r w:rsidR="00D66C3F" w:rsidRPr="00AA198E">
          <w:rPr>
            <w:noProof/>
            <w:webHidden/>
          </w:rPr>
        </w:r>
        <w:r w:rsidR="00D66C3F" w:rsidRPr="00AA198E">
          <w:rPr>
            <w:noProof/>
            <w:webHidden/>
          </w:rPr>
          <w:fldChar w:fldCharType="separate"/>
        </w:r>
        <w:r w:rsidR="006336E7" w:rsidRPr="00AA198E">
          <w:rPr>
            <w:noProof/>
            <w:webHidden/>
          </w:rPr>
          <w:t>124</w:t>
        </w:r>
        <w:r w:rsidR="00D66C3F" w:rsidRPr="00AA198E">
          <w:rPr>
            <w:noProof/>
            <w:webHidden/>
          </w:rPr>
          <w:fldChar w:fldCharType="end"/>
        </w:r>
      </w:hyperlink>
    </w:p>
    <w:p w14:paraId="69B05CFE" w14:textId="298FE0E3"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08" w:history="1">
        <w:r w:rsidR="00D66C3F" w:rsidRPr="00AA198E">
          <w:rPr>
            <w:rStyle w:val="Hipervnculo"/>
            <w:rFonts w:cs="Arial"/>
            <w:noProof/>
          </w:rPr>
          <w:t>Gráfico 9. Según el contenido de la denuncia realizada por los denunciantes protegidos</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_Toc99099808 \h </w:instrText>
        </w:r>
        <w:r w:rsidR="00D66C3F" w:rsidRPr="00AA198E">
          <w:rPr>
            <w:noProof/>
            <w:webHidden/>
          </w:rPr>
        </w:r>
        <w:r w:rsidR="00D66C3F" w:rsidRPr="00AA198E">
          <w:rPr>
            <w:noProof/>
            <w:webHidden/>
          </w:rPr>
          <w:fldChar w:fldCharType="separate"/>
        </w:r>
        <w:r w:rsidR="006336E7" w:rsidRPr="00AA198E">
          <w:rPr>
            <w:noProof/>
            <w:webHidden/>
          </w:rPr>
          <w:t>124</w:t>
        </w:r>
        <w:r w:rsidR="00D66C3F" w:rsidRPr="00AA198E">
          <w:rPr>
            <w:noProof/>
            <w:webHidden/>
          </w:rPr>
          <w:fldChar w:fldCharType="end"/>
        </w:r>
      </w:hyperlink>
    </w:p>
    <w:p w14:paraId="2DEC7B34" w14:textId="6956146C"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09" w:history="1">
        <w:r w:rsidR="00D66C3F" w:rsidRPr="00AA198E">
          <w:rPr>
            <w:rStyle w:val="Hipervnculo"/>
            <w:rFonts w:cs="Arial"/>
            <w:noProof/>
          </w:rPr>
          <w:t>Gráfico 10. Número de solicitudes de protección presentadas y concedidas (años 2017 a 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_Toc99099809 \h </w:instrText>
        </w:r>
        <w:r w:rsidR="00D66C3F" w:rsidRPr="00AA198E">
          <w:rPr>
            <w:noProof/>
            <w:webHidden/>
          </w:rPr>
        </w:r>
        <w:r w:rsidR="00D66C3F" w:rsidRPr="00AA198E">
          <w:rPr>
            <w:noProof/>
            <w:webHidden/>
          </w:rPr>
          <w:fldChar w:fldCharType="separate"/>
        </w:r>
        <w:r w:rsidR="006336E7" w:rsidRPr="00AA198E">
          <w:rPr>
            <w:noProof/>
            <w:webHidden/>
          </w:rPr>
          <w:t>125</w:t>
        </w:r>
        <w:r w:rsidR="00D66C3F" w:rsidRPr="00AA198E">
          <w:rPr>
            <w:noProof/>
            <w:webHidden/>
          </w:rPr>
          <w:fldChar w:fldCharType="end"/>
        </w:r>
      </w:hyperlink>
    </w:p>
    <w:p w14:paraId="643F4830" w14:textId="73064FA8"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10" w:history="1">
        <w:r w:rsidR="00D66C3F" w:rsidRPr="00AA198E">
          <w:rPr>
            <w:rStyle w:val="Hipervnculo"/>
            <w:rFonts w:cs="Arial"/>
            <w:noProof/>
          </w:rPr>
          <w:t>Gráfico 11. Personas denunciantes protegidas clasificadas por género (años 2017 a 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_Toc99099810 \h </w:instrText>
        </w:r>
        <w:r w:rsidR="00D66C3F" w:rsidRPr="00AA198E">
          <w:rPr>
            <w:noProof/>
            <w:webHidden/>
          </w:rPr>
        </w:r>
        <w:r w:rsidR="00D66C3F" w:rsidRPr="00AA198E">
          <w:rPr>
            <w:noProof/>
            <w:webHidden/>
          </w:rPr>
          <w:fldChar w:fldCharType="separate"/>
        </w:r>
        <w:r w:rsidR="006336E7" w:rsidRPr="00AA198E">
          <w:rPr>
            <w:noProof/>
            <w:webHidden/>
          </w:rPr>
          <w:t>125</w:t>
        </w:r>
        <w:r w:rsidR="00D66C3F" w:rsidRPr="00AA198E">
          <w:rPr>
            <w:noProof/>
            <w:webHidden/>
          </w:rPr>
          <w:fldChar w:fldCharType="end"/>
        </w:r>
      </w:hyperlink>
    </w:p>
    <w:p w14:paraId="6AC15285" w14:textId="08B8D447"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11" w:history="1">
        <w:r w:rsidR="00D66C3F" w:rsidRPr="00AA198E">
          <w:rPr>
            <w:rStyle w:val="Hipervnculo"/>
            <w:rFonts w:cs="Arial"/>
            <w:noProof/>
          </w:rPr>
          <w:t>Gráfico 12. Condición laboral de los trabajadores a los que se le ha concedido el estatuto de persona denunciante (años 2017 a 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_Toc99099811 \h </w:instrText>
        </w:r>
        <w:r w:rsidR="00D66C3F" w:rsidRPr="00AA198E">
          <w:rPr>
            <w:noProof/>
            <w:webHidden/>
          </w:rPr>
        </w:r>
        <w:r w:rsidR="00D66C3F" w:rsidRPr="00AA198E">
          <w:rPr>
            <w:noProof/>
            <w:webHidden/>
          </w:rPr>
          <w:fldChar w:fldCharType="separate"/>
        </w:r>
        <w:r w:rsidR="006336E7" w:rsidRPr="00AA198E">
          <w:rPr>
            <w:noProof/>
            <w:webHidden/>
          </w:rPr>
          <w:t>126</w:t>
        </w:r>
        <w:r w:rsidR="00D66C3F" w:rsidRPr="00AA198E">
          <w:rPr>
            <w:noProof/>
            <w:webHidden/>
          </w:rPr>
          <w:fldChar w:fldCharType="end"/>
        </w:r>
      </w:hyperlink>
    </w:p>
    <w:p w14:paraId="1587A68A" w14:textId="6143ED13"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12" w:history="1">
        <w:r w:rsidR="00D66C3F" w:rsidRPr="00AA198E">
          <w:rPr>
            <w:rStyle w:val="Hipervnculo"/>
            <w:rFonts w:cs="Arial"/>
            <w:noProof/>
          </w:rPr>
          <w:t>Gráfico 13. Según el contenido de la denuncia realizada por los denunciantes protegidos en la solicitud (años 2017 a 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_Toc99099812 \h </w:instrText>
        </w:r>
        <w:r w:rsidR="00D66C3F" w:rsidRPr="00AA198E">
          <w:rPr>
            <w:noProof/>
            <w:webHidden/>
          </w:rPr>
        </w:r>
        <w:r w:rsidR="00D66C3F" w:rsidRPr="00AA198E">
          <w:rPr>
            <w:noProof/>
            <w:webHidden/>
          </w:rPr>
          <w:fldChar w:fldCharType="separate"/>
        </w:r>
        <w:r w:rsidR="006336E7" w:rsidRPr="00AA198E">
          <w:rPr>
            <w:noProof/>
            <w:webHidden/>
          </w:rPr>
          <w:t>126</w:t>
        </w:r>
        <w:r w:rsidR="00D66C3F" w:rsidRPr="00AA198E">
          <w:rPr>
            <w:noProof/>
            <w:webHidden/>
          </w:rPr>
          <w:fldChar w:fldCharType="end"/>
        </w:r>
      </w:hyperlink>
    </w:p>
    <w:p w14:paraId="100CB708" w14:textId="1FB03A7E"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13" w:history="1">
        <w:r w:rsidR="00D66C3F" w:rsidRPr="00AA198E">
          <w:rPr>
            <w:rStyle w:val="Hipervnculo"/>
            <w:rFonts w:cs="Arial"/>
            <w:noProof/>
          </w:rPr>
          <w:t>Gráfico 14. Denuncias presentadas por ámbito subjetivo</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_Toc99099813 \h </w:instrText>
        </w:r>
        <w:r w:rsidR="00D66C3F" w:rsidRPr="00AA198E">
          <w:rPr>
            <w:noProof/>
            <w:webHidden/>
          </w:rPr>
        </w:r>
        <w:r w:rsidR="00D66C3F" w:rsidRPr="00AA198E">
          <w:rPr>
            <w:noProof/>
            <w:webHidden/>
          </w:rPr>
          <w:fldChar w:fldCharType="separate"/>
        </w:r>
        <w:r w:rsidR="006336E7" w:rsidRPr="00AA198E">
          <w:rPr>
            <w:noProof/>
            <w:webHidden/>
          </w:rPr>
          <w:t>144</w:t>
        </w:r>
        <w:r w:rsidR="00D66C3F" w:rsidRPr="00AA198E">
          <w:rPr>
            <w:noProof/>
            <w:webHidden/>
          </w:rPr>
          <w:fldChar w:fldCharType="end"/>
        </w:r>
      </w:hyperlink>
    </w:p>
    <w:p w14:paraId="52D6588A" w14:textId="6C580052"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14" w:history="1">
        <w:r w:rsidR="00D66C3F" w:rsidRPr="00AA198E">
          <w:rPr>
            <w:rStyle w:val="Hipervnculo"/>
            <w:rFonts w:cs="Arial"/>
            <w:noProof/>
          </w:rPr>
          <w:t>Gráfico 15. Denuncias presentadas según el canal de comunicación</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_Toc99099814 \h </w:instrText>
        </w:r>
        <w:r w:rsidR="00D66C3F" w:rsidRPr="00AA198E">
          <w:rPr>
            <w:noProof/>
            <w:webHidden/>
          </w:rPr>
        </w:r>
        <w:r w:rsidR="00D66C3F" w:rsidRPr="00AA198E">
          <w:rPr>
            <w:noProof/>
            <w:webHidden/>
          </w:rPr>
          <w:fldChar w:fldCharType="separate"/>
        </w:r>
        <w:r w:rsidR="006336E7" w:rsidRPr="00AA198E">
          <w:rPr>
            <w:noProof/>
            <w:webHidden/>
          </w:rPr>
          <w:t>146</w:t>
        </w:r>
        <w:r w:rsidR="00D66C3F" w:rsidRPr="00AA198E">
          <w:rPr>
            <w:noProof/>
            <w:webHidden/>
          </w:rPr>
          <w:fldChar w:fldCharType="end"/>
        </w:r>
      </w:hyperlink>
    </w:p>
    <w:p w14:paraId="040F8D8A" w14:textId="384B80C1"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15" w:history="1">
        <w:r w:rsidR="00D66C3F" w:rsidRPr="00AA198E">
          <w:rPr>
            <w:rStyle w:val="Hipervnculo"/>
            <w:rFonts w:cs="Arial"/>
            <w:noProof/>
          </w:rPr>
          <w:t>Gráfico 16. Denuncias presentadas según el territorio de afectación</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_Toc99099815 \h </w:instrText>
        </w:r>
        <w:r w:rsidR="00D66C3F" w:rsidRPr="00AA198E">
          <w:rPr>
            <w:noProof/>
            <w:webHidden/>
          </w:rPr>
        </w:r>
        <w:r w:rsidR="00D66C3F" w:rsidRPr="00AA198E">
          <w:rPr>
            <w:noProof/>
            <w:webHidden/>
          </w:rPr>
          <w:fldChar w:fldCharType="separate"/>
        </w:r>
        <w:r w:rsidR="006336E7" w:rsidRPr="00AA198E">
          <w:rPr>
            <w:noProof/>
            <w:webHidden/>
          </w:rPr>
          <w:t>147</w:t>
        </w:r>
        <w:r w:rsidR="00D66C3F" w:rsidRPr="00AA198E">
          <w:rPr>
            <w:noProof/>
            <w:webHidden/>
          </w:rPr>
          <w:fldChar w:fldCharType="end"/>
        </w:r>
      </w:hyperlink>
    </w:p>
    <w:p w14:paraId="63B58DB8" w14:textId="1D6C12ED"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16" w:history="1">
        <w:r w:rsidR="00D66C3F" w:rsidRPr="00AA198E">
          <w:rPr>
            <w:rStyle w:val="Hipervnculo"/>
            <w:rFonts w:cs="Arial"/>
            <w:noProof/>
          </w:rPr>
          <w:t>Gráfico 17. Denuncias presentadas según el ámbito material</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_Toc99099816 \h </w:instrText>
        </w:r>
        <w:r w:rsidR="00D66C3F" w:rsidRPr="00AA198E">
          <w:rPr>
            <w:noProof/>
            <w:webHidden/>
          </w:rPr>
        </w:r>
        <w:r w:rsidR="00D66C3F" w:rsidRPr="00AA198E">
          <w:rPr>
            <w:noProof/>
            <w:webHidden/>
          </w:rPr>
          <w:fldChar w:fldCharType="separate"/>
        </w:r>
        <w:r w:rsidR="006336E7" w:rsidRPr="00AA198E">
          <w:rPr>
            <w:noProof/>
            <w:webHidden/>
          </w:rPr>
          <w:t>149</w:t>
        </w:r>
        <w:r w:rsidR="00D66C3F" w:rsidRPr="00AA198E">
          <w:rPr>
            <w:noProof/>
            <w:webHidden/>
          </w:rPr>
          <w:fldChar w:fldCharType="end"/>
        </w:r>
      </w:hyperlink>
    </w:p>
    <w:p w14:paraId="470ABA96" w14:textId="78C929F9"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17" w:history="1">
        <w:r w:rsidR="00D66C3F" w:rsidRPr="00AA198E">
          <w:rPr>
            <w:rStyle w:val="Hipervnculo"/>
            <w:rFonts w:cs="Arial"/>
            <w:noProof/>
          </w:rPr>
          <w:t>Gráfico 18. Denuncias presentadas según la tipología, condición o naturaleza del comunicante</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_Toc99099817 \h </w:instrText>
        </w:r>
        <w:r w:rsidR="00D66C3F" w:rsidRPr="00AA198E">
          <w:rPr>
            <w:noProof/>
            <w:webHidden/>
          </w:rPr>
        </w:r>
        <w:r w:rsidR="00D66C3F" w:rsidRPr="00AA198E">
          <w:rPr>
            <w:noProof/>
            <w:webHidden/>
          </w:rPr>
          <w:fldChar w:fldCharType="separate"/>
        </w:r>
        <w:r w:rsidR="006336E7" w:rsidRPr="00AA198E">
          <w:rPr>
            <w:noProof/>
            <w:webHidden/>
          </w:rPr>
          <w:t>151</w:t>
        </w:r>
        <w:r w:rsidR="00D66C3F" w:rsidRPr="00AA198E">
          <w:rPr>
            <w:noProof/>
            <w:webHidden/>
          </w:rPr>
          <w:fldChar w:fldCharType="end"/>
        </w:r>
      </w:hyperlink>
    </w:p>
    <w:p w14:paraId="01A4F82B" w14:textId="60D1B0C3"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18" w:history="1">
        <w:r w:rsidR="00D66C3F" w:rsidRPr="00AA198E">
          <w:rPr>
            <w:rStyle w:val="Hipervnculo"/>
            <w:rFonts w:cs="Arial"/>
            <w:noProof/>
          </w:rPr>
          <w:t>Gráfico 19. Denuncias de personas físicas clasificadas por género</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_Toc99099818 \h </w:instrText>
        </w:r>
        <w:r w:rsidR="00D66C3F" w:rsidRPr="00AA198E">
          <w:rPr>
            <w:noProof/>
            <w:webHidden/>
          </w:rPr>
        </w:r>
        <w:r w:rsidR="00D66C3F" w:rsidRPr="00AA198E">
          <w:rPr>
            <w:noProof/>
            <w:webHidden/>
          </w:rPr>
          <w:fldChar w:fldCharType="separate"/>
        </w:r>
        <w:r w:rsidR="006336E7" w:rsidRPr="00AA198E">
          <w:rPr>
            <w:noProof/>
            <w:webHidden/>
          </w:rPr>
          <w:t>152</w:t>
        </w:r>
        <w:r w:rsidR="00D66C3F" w:rsidRPr="00AA198E">
          <w:rPr>
            <w:noProof/>
            <w:webHidden/>
          </w:rPr>
          <w:fldChar w:fldCharType="end"/>
        </w:r>
      </w:hyperlink>
    </w:p>
    <w:p w14:paraId="30D13DC6" w14:textId="5FAB10F8"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19" w:history="1">
        <w:r w:rsidR="00D66C3F" w:rsidRPr="00AA198E">
          <w:rPr>
            <w:rStyle w:val="Hipervnculo"/>
            <w:rFonts w:cs="Arial"/>
            <w:noProof/>
          </w:rPr>
          <w:t>Gráfico 20. Estado de situación de los expedientes de investigación</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_Toc99099819 \h </w:instrText>
        </w:r>
        <w:r w:rsidR="00D66C3F" w:rsidRPr="00AA198E">
          <w:rPr>
            <w:noProof/>
            <w:webHidden/>
          </w:rPr>
        </w:r>
        <w:r w:rsidR="00D66C3F" w:rsidRPr="00AA198E">
          <w:rPr>
            <w:noProof/>
            <w:webHidden/>
          </w:rPr>
          <w:fldChar w:fldCharType="separate"/>
        </w:r>
        <w:r w:rsidR="006336E7" w:rsidRPr="00AA198E">
          <w:rPr>
            <w:noProof/>
            <w:webHidden/>
          </w:rPr>
          <w:t>153</w:t>
        </w:r>
        <w:r w:rsidR="00D66C3F" w:rsidRPr="00AA198E">
          <w:rPr>
            <w:noProof/>
            <w:webHidden/>
          </w:rPr>
          <w:fldChar w:fldCharType="end"/>
        </w:r>
      </w:hyperlink>
    </w:p>
    <w:p w14:paraId="663B9897" w14:textId="45D570FB"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50" w:anchor="_Toc99099820" w:history="1">
        <w:r w:rsidR="00D66C3F" w:rsidRPr="00AA198E">
          <w:rPr>
            <w:rStyle w:val="Hipervnculo"/>
            <w:rFonts w:cs="Arial"/>
            <w:noProof/>
          </w:rPr>
          <w:t>Gráfico 21. Resumen de expedientes tramitados en 2020 y 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_Toc99099820 \h </w:instrText>
        </w:r>
        <w:r w:rsidR="00D66C3F" w:rsidRPr="00AA198E">
          <w:rPr>
            <w:noProof/>
            <w:webHidden/>
          </w:rPr>
        </w:r>
        <w:r w:rsidR="00D66C3F" w:rsidRPr="00AA198E">
          <w:rPr>
            <w:noProof/>
            <w:webHidden/>
          </w:rPr>
          <w:fldChar w:fldCharType="separate"/>
        </w:r>
        <w:r w:rsidR="006336E7" w:rsidRPr="00AA198E">
          <w:rPr>
            <w:noProof/>
            <w:webHidden/>
          </w:rPr>
          <w:t>155</w:t>
        </w:r>
        <w:r w:rsidR="00D66C3F" w:rsidRPr="00AA198E">
          <w:rPr>
            <w:noProof/>
            <w:webHidden/>
          </w:rPr>
          <w:fldChar w:fldCharType="end"/>
        </w:r>
      </w:hyperlink>
    </w:p>
    <w:p w14:paraId="1759BF06" w14:textId="7293FFE0"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21" w:history="1">
        <w:r w:rsidR="00D66C3F" w:rsidRPr="00AA198E">
          <w:rPr>
            <w:rStyle w:val="Hipervnculo"/>
            <w:rFonts w:cs="Arial"/>
            <w:noProof/>
          </w:rPr>
          <w:t>Gráfico 22. Ejes estratégicos del Plan de Formación de la AVAF 2021-2024</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_Toc99099821 \h </w:instrText>
        </w:r>
        <w:r w:rsidR="00D66C3F" w:rsidRPr="00AA198E">
          <w:rPr>
            <w:noProof/>
            <w:webHidden/>
          </w:rPr>
        </w:r>
        <w:r w:rsidR="00D66C3F" w:rsidRPr="00AA198E">
          <w:rPr>
            <w:noProof/>
            <w:webHidden/>
          </w:rPr>
          <w:fldChar w:fldCharType="separate"/>
        </w:r>
        <w:r w:rsidR="006336E7" w:rsidRPr="00AA198E">
          <w:rPr>
            <w:noProof/>
            <w:webHidden/>
          </w:rPr>
          <w:t>272</w:t>
        </w:r>
        <w:r w:rsidR="00D66C3F" w:rsidRPr="00AA198E">
          <w:rPr>
            <w:noProof/>
            <w:webHidden/>
          </w:rPr>
          <w:fldChar w:fldCharType="end"/>
        </w:r>
      </w:hyperlink>
    </w:p>
    <w:p w14:paraId="69020306" w14:textId="5C43E361"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22" w:history="1">
        <w:r w:rsidR="00D66C3F" w:rsidRPr="00AA198E">
          <w:rPr>
            <w:rStyle w:val="Hipervnculo"/>
            <w:rFonts w:cs="Arial"/>
            <w:noProof/>
          </w:rPr>
          <w:t>Gráfico 23. Evolución actividades formativas 2017-2021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_Toc99099822 \h </w:instrText>
        </w:r>
        <w:r w:rsidR="00D66C3F" w:rsidRPr="00AA198E">
          <w:rPr>
            <w:noProof/>
            <w:webHidden/>
          </w:rPr>
        </w:r>
        <w:r w:rsidR="00D66C3F" w:rsidRPr="00AA198E">
          <w:rPr>
            <w:noProof/>
            <w:webHidden/>
          </w:rPr>
          <w:fldChar w:fldCharType="separate"/>
        </w:r>
        <w:r w:rsidR="006336E7" w:rsidRPr="00AA198E">
          <w:rPr>
            <w:noProof/>
            <w:webHidden/>
          </w:rPr>
          <w:t>276</w:t>
        </w:r>
        <w:r w:rsidR="00D66C3F" w:rsidRPr="00AA198E">
          <w:rPr>
            <w:noProof/>
            <w:webHidden/>
          </w:rPr>
          <w:fldChar w:fldCharType="end"/>
        </w:r>
      </w:hyperlink>
    </w:p>
    <w:p w14:paraId="0D3ADFB7" w14:textId="74988068"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23" w:history="1">
        <w:r w:rsidR="00D66C3F" w:rsidRPr="00AA198E">
          <w:rPr>
            <w:rStyle w:val="Hipervnculo"/>
            <w:rFonts w:cs="Arial"/>
            <w:noProof/>
          </w:rPr>
          <w:t>Gráfico 24. Distribución anual de actividades formativas 2017-2021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_Toc99099823 \h </w:instrText>
        </w:r>
        <w:r w:rsidR="00D66C3F" w:rsidRPr="00AA198E">
          <w:rPr>
            <w:noProof/>
            <w:webHidden/>
          </w:rPr>
        </w:r>
        <w:r w:rsidR="00D66C3F" w:rsidRPr="00AA198E">
          <w:rPr>
            <w:noProof/>
            <w:webHidden/>
          </w:rPr>
          <w:fldChar w:fldCharType="separate"/>
        </w:r>
        <w:r w:rsidR="006336E7" w:rsidRPr="00AA198E">
          <w:rPr>
            <w:noProof/>
            <w:webHidden/>
          </w:rPr>
          <w:t>276</w:t>
        </w:r>
        <w:r w:rsidR="00D66C3F" w:rsidRPr="00AA198E">
          <w:rPr>
            <w:noProof/>
            <w:webHidden/>
          </w:rPr>
          <w:fldChar w:fldCharType="end"/>
        </w:r>
      </w:hyperlink>
    </w:p>
    <w:p w14:paraId="26A51D7D" w14:textId="50F2C421"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24" w:history="1">
        <w:r w:rsidR="00D66C3F" w:rsidRPr="00AA198E">
          <w:rPr>
            <w:rStyle w:val="Hipervnculo"/>
            <w:rFonts w:cs="Arial"/>
            <w:noProof/>
          </w:rPr>
          <w:t>Gráfico 25. Evolución participantes en actividades formativas 2017-2021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_Toc99099824 \h </w:instrText>
        </w:r>
        <w:r w:rsidR="00D66C3F" w:rsidRPr="00AA198E">
          <w:rPr>
            <w:noProof/>
            <w:webHidden/>
          </w:rPr>
        </w:r>
        <w:r w:rsidR="00D66C3F" w:rsidRPr="00AA198E">
          <w:rPr>
            <w:noProof/>
            <w:webHidden/>
          </w:rPr>
          <w:fldChar w:fldCharType="separate"/>
        </w:r>
        <w:r w:rsidR="006336E7" w:rsidRPr="00AA198E">
          <w:rPr>
            <w:noProof/>
            <w:webHidden/>
          </w:rPr>
          <w:t>277</w:t>
        </w:r>
        <w:r w:rsidR="00D66C3F" w:rsidRPr="00AA198E">
          <w:rPr>
            <w:noProof/>
            <w:webHidden/>
          </w:rPr>
          <w:fldChar w:fldCharType="end"/>
        </w:r>
      </w:hyperlink>
    </w:p>
    <w:p w14:paraId="27690C1E" w14:textId="1ACA518B"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25" w:history="1">
        <w:r w:rsidR="00D66C3F" w:rsidRPr="00AA198E">
          <w:rPr>
            <w:rStyle w:val="Hipervnculo"/>
            <w:rFonts w:cs="Arial"/>
            <w:noProof/>
          </w:rPr>
          <w:t>Gráfico 26. Distribución de participantes en actividades formativas 2017-2021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_Toc99099825 \h </w:instrText>
        </w:r>
        <w:r w:rsidR="00D66C3F" w:rsidRPr="00AA198E">
          <w:rPr>
            <w:noProof/>
            <w:webHidden/>
          </w:rPr>
        </w:r>
        <w:r w:rsidR="00D66C3F" w:rsidRPr="00AA198E">
          <w:rPr>
            <w:noProof/>
            <w:webHidden/>
          </w:rPr>
          <w:fldChar w:fldCharType="separate"/>
        </w:r>
        <w:r w:rsidR="006336E7" w:rsidRPr="00AA198E">
          <w:rPr>
            <w:noProof/>
            <w:webHidden/>
          </w:rPr>
          <w:t>277</w:t>
        </w:r>
        <w:r w:rsidR="00D66C3F" w:rsidRPr="00AA198E">
          <w:rPr>
            <w:noProof/>
            <w:webHidden/>
          </w:rPr>
          <w:fldChar w:fldCharType="end"/>
        </w:r>
      </w:hyperlink>
    </w:p>
    <w:p w14:paraId="0402AE39" w14:textId="47559784"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26" w:history="1">
        <w:r w:rsidR="00D66C3F" w:rsidRPr="00AA198E">
          <w:rPr>
            <w:rStyle w:val="Hipervnculo"/>
            <w:rFonts w:cs="Arial"/>
            <w:noProof/>
          </w:rPr>
          <w:t>Gráfico 27. Evolución horas lectivas en actividades formativas 2017-2021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_Toc99099826 \h </w:instrText>
        </w:r>
        <w:r w:rsidR="00D66C3F" w:rsidRPr="00AA198E">
          <w:rPr>
            <w:noProof/>
            <w:webHidden/>
          </w:rPr>
        </w:r>
        <w:r w:rsidR="00D66C3F" w:rsidRPr="00AA198E">
          <w:rPr>
            <w:noProof/>
            <w:webHidden/>
          </w:rPr>
          <w:fldChar w:fldCharType="separate"/>
        </w:r>
        <w:r w:rsidR="006336E7" w:rsidRPr="00AA198E">
          <w:rPr>
            <w:noProof/>
            <w:webHidden/>
          </w:rPr>
          <w:t>278</w:t>
        </w:r>
        <w:r w:rsidR="00D66C3F" w:rsidRPr="00AA198E">
          <w:rPr>
            <w:noProof/>
            <w:webHidden/>
          </w:rPr>
          <w:fldChar w:fldCharType="end"/>
        </w:r>
      </w:hyperlink>
    </w:p>
    <w:p w14:paraId="75E27395" w14:textId="28BCF361"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27" w:history="1">
        <w:r w:rsidR="00D66C3F" w:rsidRPr="00AA198E">
          <w:rPr>
            <w:rStyle w:val="Hipervnculo"/>
            <w:rFonts w:cs="Arial"/>
            <w:noProof/>
          </w:rPr>
          <w:t>Gráfico 28. Distribución horas lectivas en actividades formativas 2017-2021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_Toc99099827 \h </w:instrText>
        </w:r>
        <w:r w:rsidR="00D66C3F" w:rsidRPr="00AA198E">
          <w:rPr>
            <w:noProof/>
            <w:webHidden/>
          </w:rPr>
        </w:r>
        <w:r w:rsidR="00D66C3F" w:rsidRPr="00AA198E">
          <w:rPr>
            <w:noProof/>
            <w:webHidden/>
          </w:rPr>
          <w:fldChar w:fldCharType="separate"/>
        </w:r>
        <w:r w:rsidR="006336E7" w:rsidRPr="00AA198E">
          <w:rPr>
            <w:noProof/>
            <w:webHidden/>
          </w:rPr>
          <w:t>278</w:t>
        </w:r>
        <w:r w:rsidR="00D66C3F" w:rsidRPr="00AA198E">
          <w:rPr>
            <w:noProof/>
            <w:webHidden/>
          </w:rPr>
          <w:fldChar w:fldCharType="end"/>
        </w:r>
      </w:hyperlink>
    </w:p>
    <w:p w14:paraId="0B7901C9" w14:textId="493523F4"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28" w:history="1">
        <w:r w:rsidR="00D66C3F" w:rsidRPr="00AA198E">
          <w:rPr>
            <w:rStyle w:val="Hipervnculo"/>
            <w:rFonts w:cs="Arial"/>
            <w:noProof/>
          </w:rPr>
          <w:t>Gráfico 29. Distribución de actividades formativas por cuatrimestres 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_Toc99099828 \h </w:instrText>
        </w:r>
        <w:r w:rsidR="00D66C3F" w:rsidRPr="00AA198E">
          <w:rPr>
            <w:noProof/>
            <w:webHidden/>
          </w:rPr>
        </w:r>
        <w:r w:rsidR="00D66C3F" w:rsidRPr="00AA198E">
          <w:rPr>
            <w:noProof/>
            <w:webHidden/>
          </w:rPr>
          <w:fldChar w:fldCharType="separate"/>
        </w:r>
        <w:r w:rsidR="006336E7" w:rsidRPr="00AA198E">
          <w:rPr>
            <w:noProof/>
            <w:webHidden/>
          </w:rPr>
          <w:t>279</w:t>
        </w:r>
        <w:r w:rsidR="00D66C3F" w:rsidRPr="00AA198E">
          <w:rPr>
            <w:noProof/>
            <w:webHidden/>
          </w:rPr>
          <w:fldChar w:fldCharType="end"/>
        </w:r>
      </w:hyperlink>
    </w:p>
    <w:p w14:paraId="3C4629CD" w14:textId="22A95104"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29" w:history="1">
        <w:r w:rsidR="00D66C3F" w:rsidRPr="00AA198E">
          <w:rPr>
            <w:rStyle w:val="Hipervnculo"/>
            <w:rFonts w:cs="Arial"/>
            <w:noProof/>
          </w:rPr>
          <w:t>Gráfico 30. Distribución territorial de actividades formativas 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_Toc99099829 \h </w:instrText>
        </w:r>
        <w:r w:rsidR="00D66C3F" w:rsidRPr="00AA198E">
          <w:rPr>
            <w:noProof/>
            <w:webHidden/>
          </w:rPr>
        </w:r>
        <w:r w:rsidR="00D66C3F" w:rsidRPr="00AA198E">
          <w:rPr>
            <w:noProof/>
            <w:webHidden/>
          </w:rPr>
          <w:fldChar w:fldCharType="separate"/>
        </w:r>
        <w:r w:rsidR="006336E7" w:rsidRPr="00AA198E">
          <w:rPr>
            <w:noProof/>
            <w:webHidden/>
          </w:rPr>
          <w:t>280</w:t>
        </w:r>
        <w:r w:rsidR="00D66C3F" w:rsidRPr="00AA198E">
          <w:rPr>
            <w:noProof/>
            <w:webHidden/>
          </w:rPr>
          <w:fldChar w:fldCharType="end"/>
        </w:r>
      </w:hyperlink>
    </w:p>
    <w:p w14:paraId="6ABE76A3" w14:textId="10DC5C2F"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30" w:history="1">
        <w:r w:rsidR="00D66C3F" w:rsidRPr="00AA198E">
          <w:rPr>
            <w:rStyle w:val="Hipervnculo"/>
            <w:rFonts w:cs="Arial"/>
            <w:noProof/>
          </w:rPr>
          <w:t>Gráfico 31. Localidades en las que se han desarrollado las actividades formativas 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_Toc99099830 \h </w:instrText>
        </w:r>
        <w:r w:rsidR="00D66C3F" w:rsidRPr="00AA198E">
          <w:rPr>
            <w:noProof/>
            <w:webHidden/>
          </w:rPr>
        </w:r>
        <w:r w:rsidR="00D66C3F" w:rsidRPr="00AA198E">
          <w:rPr>
            <w:noProof/>
            <w:webHidden/>
          </w:rPr>
          <w:fldChar w:fldCharType="separate"/>
        </w:r>
        <w:r w:rsidR="006336E7" w:rsidRPr="00AA198E">
          <w:rPr>
            <w:noProof/>
            <w:webHidden/>
          </w:rPr>
          <w:t>281</w:t>
        </w:r>
        <w:r w:rsidR="00D66C3F" w:rsidRPr="00AA198E">
          <w:rPr>
            <w:noProof/>
            <w:webHidden/>
          </w:rPr>
          <w:fldChar w:fldCharType="end"/>
        </w:r>
      </w:hyperlink>
    </w:p>
    <w:p w14:paraId="27DA2AE6" w14:textId="73D08E18"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31" w:history="1">
        <w:r w:rsidR="00D66C3F" w:rsidRPr="00AA198E">
          <w:rPr>
            <w:rStyle w:val="Hipervnculo"/>
            <w:rFonts w:cs="Arial"/>
            <w:noProof/>
          </w:rPr>
          <w:t>Gráfico 32. Origen de la iniciativa de actividades formativas 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_Toc99099831 \h </w:instrText>
        </w:r>
        <w:r w:rsidR="00D66C3F" w:rsidRPr="00AA198E">
          <w:rPr>
            <w:noProof/>
            <w:webHidden/>
          </w:rPr>
        </w:r>
        <w:r w:rsidR="00D66C3F" w:rsidRPr="00AA198E">
          <w:rPr>
            <w:noProof/>
            <w:webHidden/>
          </w:rPr>
          <w:fldChar w:fldCharType="separate"/>
        </w:r>
        <w:r w:rsidR="006336E7" w:rsidRPr="00AA198E">
          <w:rPr>
            <w:noProof/>
            <w:webHidden/>
          </w:rPr>
          <w:t>282</w:t>
        </w:r>
        <w:r w:rsidR="00D66C3F" w:rsidRPr="00AA198E">
          <w:rPr>
            <w:noProof/>
            <w:webHidden/>
          </w:rPr>
          <w:fldChar w:fldCharType="end"/>
        </w:r>
      </w:hyperlink>
    </w:p>
    <w:p w14:paraId="77AC91AB" w14:textId="3F03F500"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32" w:history="1">
        <w:r w:rsidR="00D66C3F" w:rsidRPr="00AA198E">
          <w:rPr>
            <w:rStyle w:val="Hipervnculo"/>
            <w:rFonts w:cs="Arial"/>
            <w:noProof/>
          </w:rPr>
          <w:t>Gráfico 33. Mapa de Universidades que han participado del docufórum</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_Toc99099832 \h </w:instrText>
        </w:r>
        <w:r w:rsidR="00D66C3F" w:rsidRPr="00AA198E">
          <w:rPr>
            <w:noProof/>
            <w:webHidden/>
          </w:rPr>
        </w:r>
        <w:r w:rsidR="00D66C3F" w:rsidRPr="00AA198E">
          <w:rPr>
            <w:noProof/>
            <w:webHidden/>
          </w:rPr>
          <w:fldChar w:fldCharType="separate"/>
        </w:r>
        <w:r w:rsidR="006336E7" w:rsidRPr="00AA198E">
          <w:rPr>
            <w:noProof/>
            <w:webHidden/>
          </w:rPr>
          <w:t>286</w:t>
        </w:r>
        <w:r w:rsidR="00D66C3F" w:rsidRPr="00AA198E">
          <w:rPr>
            <w:noProof/>
            <w:webHidden/>
          </w:rPr>
          <w:fldChar w:fldCharType="end"/>
        </w:r>
      </w:hyperlink>
    </w:p>
    <w:p w14:paraId="325D3E57" w14:textId="086357C6"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33" w:history="1">
        <w:r w:rsidR="00D66C3F" w:rsidRPr="00AA198E">
          <w:rPr>
            <w:rStyle w:val="Hipervnculo"/>
            <w:rFonts w:cs="Arial"/>
            <w:noProof/>
          </w:rPr>
          <w:t>Gráfico 34. Colaboración institucional en actividades formativas</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_Toc99099833 \h </w:instrText>
        </w:r>
        <w:r w:rsidR="00D66C3F" w:rsidRPr="00AA198E">
          <w:rPr>
            <w:noProof/>
            <w:webHidden/>
          </w:rPr>
        </w:r>
        <w:r w:rsidR="00D66C3F" w:rsidRPr="00AA198E">
          <w:rPr>
            <w:noProof/>
            <w:webHidden/>
          </w:rPr>
          <w:fldChar w:fldCharType="separate"/>
        </w:r>
        <w:r w:rsidR="006336E7" w:rsidRPr="00AA198E">
          <w:rPr>
            <w:noProof/>
            <w:webHidden/>
          </w:rPr>
          <w:t>293</w:t>
        </w:r>
        <w:r w:rsidR="00D66C3F" w:rsidRPr="00AA198E">
          <w:rPr>
            <w:noProof/>
            <w:webHidden/>
          </w:rPr>
          <w:fldChar w:fldCharType="end"/>
        </w:r>
      </w:hyperlink>
    </w:p>
    <w:p w14:paraId="3E2D54C4" w14:textId="17DE3017"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34" w:history="1">
        <w:r w:rsidR="00D66C3F" w:rsidRPr="00AA198E">
          <w:rPr>
            <w:rStyle w:val="Hipervnculo"/>
            <w:rFonts w:cs="Arial"/>
            <w:noProof/>
          </w:rPr>
          <w:t>Gráfico 35. Evolución del número de puestos de trabajo por unidad administrativa según la RPT</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_Toc99099834 \h </w:instrText>
        </w:r>
        <w:r w:rsidR="00D66C3F" w:rsidRPr="00AA198E">
          <w:rPr>
            <w:noProof/>
            <w:webHidden/>
          </w:rPr>
        </w:r>
        <w:r w:rsidR="00D66C3F" w:rsidRPr="00AA198E">
          <w:rPr>
            <w:noProof/>
            <w:webHidden/>
          </w:rPr>
          <w:fldChar w:fldCharType="separate"/>
        </w:r>
        <w:r w:rsidR="006336E7" w:rsidRPr="00AA198E">
          <w:rPr>
            <w:noProof/>
            <w:webHidden/>
          </w:rPr>
          <w:t>316</w:t>
        </w:r>
        <w:r w:rsidR="00D66C3F" w:rsidRPr="00AA198E">
          <w:rPr>
            <w:noProof/>
            <w:webHidden/>
          </w:rPr>
          <w:fldChar w:fldCharType="end"/>
        </w:r>
      </w:hyperlink>
    </w:p>
    <w:p w14:paraId="6C19AFC7" w14:textId="6B328C25"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835" w:history="1">
        <w:r w:rsidR="00D66C3F" w:rsidRPr="00AA198E">
          <w:rPr>
            <w:rStyle w:val="Hipervnculo"/>
            <w:rFonts w:cs="Arial"/>
            <w:noProof/>
          </w:rPr>
          <w:t>Gráfico 36. Evolución del número de puestos de trabajo por unidad administrativa</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_Toc99099835 \h </w:instrText>
        </w:r>
        <w:r w:rsidR="00D66C3F" w:rsidRPr="00AA198E">
          <w:rPr>
            <w:noProof/>
            <w:webHidden/>
          </w:rPr>
        </w:r>
        <w:r w:rsidR="00D66C3F" w:rsidRPr="00AA198E">
          <w:rPr>
            <w:noProof/>
            <w:webHidden/>
          </w:rPr>
          <w:fldChar w:fldCharType="separate"/>
        </w:r>
        <w:r w:rsidR="006336E7" w:rsidRPr="00AA198E">
          <w:rPr>
            <w:noProof/>
            <w:webHidden/>
          </w:rPr>
          <w:t>316</w:t>
        </w:r>
        <w:r w:rsidR="00D66C3F" w:rsidRPr="00AA198E">
          <w:rPr>
            <w:noProof/>
            <w:webHidden/>
          </w:rPr>
          <w:fldChar w:fldCharType="end"/>
        </w:r>
      </w:hyperlink>
    </w:p>
    <w:p w14:paraId="3079578F" w14:textId="1FD26AA9" w:rsidR="00D66C3F" w:rsidRDefault="00AF48E6">
      <w:pPr>
        <w:pStyle w:val="Tabladeilustraciones"/>
        <w:tabs>
          <w:tab w:val="right" w:leader="dot" w:pos="8494"/>
        </w:tabs>
        <w:rPr>
          <w:rFonts w:asciiTheme="minorHAnsi" w:eastAsiaTheme="minorEastAsia" w:hAnsiTheme="minorHAnsi" w:cstheme="minorBidi"/>
          <w:bCs w:val="0"/>
          <w:noProof/>
          <w:sz w:val="22"/>
          <w:szCs w:val="22"/>
          <w:lang w:eastAsia="es-ES"/>
        </w:rPr>
      </w:pPr>
      <w:hyperlink w:anchor="_Toc99099836" w:history="1">
        <w:r w:rsidR="00D66C3F" w:rsidRPr="00AA198E">
          <w:rPr>
            <w:rStyle w:val="Hipervnculo"/>
            <w:rFonts w:cs="Arial"/>
            <w:noProof/>
          </w:rPr>
          <w:t>Gráfico 37. Ocupación de puestos de trabajo por género a 31 de diciembre de 2021</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_Toc99099836 \h </w:instrText>
        </w:r>
        <w:r w:rsidR="00D66C3F" w:rsidRPr="00AA198E">
          <w:rPr>
            <w:noProof/>
            <w:webHidden/>
          </w:rPr>
        </w:r>
        <w:r w:rsidR="00D66C3F" w:rsidRPr="00AA198E">
          <w:rPr>
            <w:noProof/>
            <w:webHidden/>
          </w:rPr>
          <w:fldChar w:fldCharType="separate"/>
        </w:r>
        <w:r w:rsidR="006336E7" w:rsidRPr="00AA198E">
          <w:rPr>
            <w:noProof/>
            <w:webHidden/>
          </w:rPr>
          <w:t>317</w:t>
        </w:r>
        <w:r w:rsidR="00D66C3F" w:rsidRPr="00AA198E">
          <w:rPr>
            <w:noProof/>
            <w:webHidden/>
          </w:rPr>
          <w:fldChar w:fldCharType="end"/>
        </w:r>
      </w:hyperlink>
    </w:p>
    <w:p w14:paraId="2603516D" w14:textId="3A20E2F0" w:rsidR="004927C3" w:rsidRPr="00C82A24" w:rsidRDefault="004927C3">
      <w:pPr>
        <w:rPr>
          <w:rFonts w:ascii="Arial" w:hAnsi="Arial" w:cs="Arial"/>
          <w:bCs/>
          <w:sz w:val="20"/>
          <w:szCs w:val="20"/>
        </w:rPr>
      </w:pPr>
      <w:r w:rsidRPr="00973028">
        <w:rPr>
          <w:rFonts w:ascii="Arial" w:hAnsi="Arial" w:cs="Arial"/>
          <w:bCs/>
          <w:color w:val="FF0000"/>
          <w:sz w:val="20"/>
          <w:szCs w:val="20"/>
        </w:rPr>
        <w:fldChar w:fldCharType="end"/>
      </w:r>
    </w:p>
    <w:p w14:paraId="7928FBD0" w14:textId="2E8100AA" w:rsidR="004927C3" w:rsidRPr="00973028" w:rsidRDefault="004927C3">
      <w:pPr>
        <w:rPr>
          <w:rFonts w:ascii="Arial" w:hAnsi="Arial" w:cs="Arial"/>
          <w:b/>
          <w:color w:val="9D2235" w:themeColor="accent1"/>
          <w:sz w:val="60"/>
          <w:szCs w:val="60"/>
        </w:rPr>
      </w:pPr>
      <w:r w:rsidRPr="00973028">
        <w:rPr>
          <w:rFonts w:ascii="Arial" w:hAnsi="Arial" w:cs="Arial"/>
          <w:b/>
          <w:color w:val="9D2235" w:themeColor="accent1"/>
          <w:sz w:val="60"/>
          <w:szCs w:val="60"/>
        </w:rPr>
        <w:t>Índice de ilustraciones</w:t>
      </w:r>
    </w:p>
    <w:p w14:paraId="5CE1599F" w14:textId="0B059A66" w:rsidR="00D66C3F" w:rsidRPr="00AA198E" w:rsidRDefault="004927C3">
      <w:pPr>
        <w:pStyle w:val="Tabladeilustraciones"/>
        <w:tabs>
          <w:tab w:val="right" w:leader="dot" w:pos="8494"/>
        </w:tabs>
        <w:rPr>
          <w:rFonts w:asciiTheme="minorHAnsi" w:eastAsiaTheme="minorEastAsia" w:hAnsiTheme="minorHAnsi" w:cstheme="minorBidi"/>
          <w:noProof/>
          <w:sz w:val="22"/>
          <w:szCs w:val="22"/>
          <w:lang w:eastAsia="es-ES"/>
        </w:rPr>
      </w:pPr>
      <w:r w:rsidRPr="00973028">
        <w:rPr>
          <w:rFonts w:cs="Arial"/>
          <w:bCs w:val="0"/>
          <w:color w:val="FF0000"/>
        </w:rPr>
        <w:fldChar w:fldCharType="begin" w:fldLock="1"/>
      </w:r>
      <w:r w:rsidRPr="00973028">
        <w:rPr>
          <w:rFonts w:cs="Arial"/>
          <w:bCs w:val="0"/>
          <w:color w:val="FF0000"/>
        </w:rPr>
        <w:instrText xml:space="preserve"> TOC \h \z \c "Ilustración" </w:instrText>
      </w:r>
      <w:r w:rsidRPr="00973028">
        <w:rPr>
          <w:rFonts w:cs="Arial"/>
          <w:bCs w:val="0"/>
          <w:color w:val="FF0000"/>
        </w:rPr>
        <w:fldChar w:fldCharType="separate"/>
      </w:r>
      <w:hyperlink w:anchor="_Toc99099789" w:history="1">
        <w:r w:rsidR="00D66C3F" w:rsidRPr="00AA198E">
          <w:rPr>
            <w:rStyle w:val="Hipervnculo"/>
            <w:rFonts w:cs="Arial"/>
            <w:noProof/>
          </w:rPr>
          <w:t>Ilustración 1. Infografía del webinar: Enriquecimiento injusto ¿uso o abuso?</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_Toc99099789 \h </w:instrText>
        </w:r>
        <w:r w:rsidR="00D66C3F" w:rsidRPr="00AA198E">
          <w:rPr>
            <w:noProof/>
            <w:webHidden/>
          </w:rPr>
        </w:r>
        <w:r w:rsidR="00D66C3F" w:rsidRPr="00AA198E">
          <w:rPr>
            <w:noProof/>
            <w:webHidden/>
          </w:rPr>
          <w:fldChar w:fldCharType="separate"/>
        </w:r>
        <w:r w:rsidR="006336E7" w:rsidRPr="00AA198E">
          <w:rPr>
            <w:noProof/>
            <w:webHidden/>
          </w:rPr>
          <w:t>22</w:t>
        </w:r>
        <w:r w:rsidR="00D66C3F" w:rsidRPr="00AA198E">
          <w:rPr>
            <w:noProof/>
            <w:webHidden/>
          </w:rPr>
          <w:fldChar w:fldCharType="end"/>
        </w:r>
      </w:hyperlink>
    </w:p>
    <w:p w14:paraId="4C38133C" w14:textId="4AFF9243"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790" w:history="1">
        <w:r w:rsidR="00D66C3F" w:rsidRPr="00AA198E">
          <w:rPr>
            <w:rStyle w:val="Hipervnculo"/>
            <w:rFonts w:cs="Arial"/>
            <w:noProof/>
          </w:rPr>
          <w:t>Ilustración 2. Infografía del webinar: El buzón de denuncias de la AVAF</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_Toc99099790 \h </w:instrText>
        </w:r>
        <w:r w:rsidR="00D66C3F" w:rsidRPr="00AA198E">
          <w:rPr>
            <w:noProof/>
            <w:webHidden/>
          </w:rPr>
        </w:r>
        <w:r w:rsidR="00D66C3F" w:rsidRPr="00AA198E">
          <w:rPr>
            <w:noProof/>
            <w:webHidden/>
          </w:rPr>
          <w:fldChar w:fldCharType="separate"/>
        </w:r>
        <w:r w:rsidR="006336E7" w:rsidRPr="00AA198E">
          <w:rPr>
            <w:noProof/>
            <w:webHidden/>
          </w:rPr>
          <w:t>22</w:t>
        </w:r>
        <w:r w:rsidR="00D66C3F" w:rsidRPr="00AA198E">
          <w:rPr>
            <w:noProof/>
            <w:webHidden/>
          </w:rPr>
          <w:fldChar w:fldCharType="end"/>
        </w:r>
      </w:hyperlink>
    </w:p>
    <w:p w14:paraId="1E46C2E9" w14:textId="557CC5BB"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51" w:anchor="_Toc99099791" w:history="1">
        <w:r w:rsidR="00D66C3F" w:rsidRPr="00AA198E">
          <w:rPr>
            <w:rStyle w:val="Hipervnculo"/>
            <w:rFonts w:cs="Arial"/>
            <w:noProof/>
          </w:rPr>
          <w:t>Ilustración 3. Infografía del webinar: ¿Qué pasará el 17 de diciembre?</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_Toc99099791 \h </w:instrText>
        </w:r>
        <w:r w:rsidR="00D66C3F" w:rsidRPr="00AA198E">
          <w:rPr>
            <w:noProof/>
            <w:webHidden/>
          </w:rPr>
        </w:r>
        <w:r w:rsidR="00D66C3F" w:rsidRPr="00AA198E">
          <w:rPr>
            <w:noProof/>
            <w:webHidden/>
          </w:rPr>
          <w:fldChar w:fldCharType="separate"/>
        </w:r>
        <w:r w:rsidR="006336E7" w:rsidRPr="00AA198E">
          <w:rPr>
            <w:noProof/>
            <w:webHidden/>
          </w:rPr>
          <w:t>23</w:t>
        </w:r>
        <w:r w:rsidR="00D66C3F" w:rsidRPr="00AA198E">
          <w:rPr>
            <w:noProof/>
            <w:webHidden/>
          </w:rPr>
          <w:fldChar w:fldCharType="end"/>
        </w:r>
      </w:hyperlink>
    </w:p>
    <w:p w14:paraId="1BB01D85" w14:textId="41C46AC2"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792" w:history="1">
        <w:r w:rsidR="00D66C3F" w:rsidRPr="00AA198E">
          <w:rPr>
            <w:rStyle w:val="Hipervnculo"/>
            <w:rFonts w:cs="Arial"/>
            <w:noProof/>
          </w:rPr>
          <w:t>Ilustración 4. Infografía del webinar: Día Mundial de la persona alertadora</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_Toc99099792 \h </w:instrText>
        </w:r>
        <w:r w:rsidR="00D66C3F" w:rsidRPr="00AA198E">
          <w:rPr>
            <w:noProof/>
            <w:webHidden/>
          </w:rPr>
        </w:r>
        <w:r w:rsidR="00D66C3F" w:rsidRPr="00AA198E">
          <w:rPr>
            <w:noProof/>
            <w:webHidden/>
          </w:rPr>
          <w:fldChar w:fldCharType="separate"/>
        </w:r>
        <w:r w:rsidR="006336E7" w:rsidRPr="00AA198E">
          <w:rPr>
            <w:noProof/>
            <w:webHidden/>
          </w:rPr>
          <w:t>24</w:t>
        </w:r>
        <w:r w:rsidR="00D66C3F" w:rsidRPr="00AA198E">
          <w:rPr>
            <w:noProof/>
            <w:webHidden/>
          </w:rPr>
          <w:fldChar w:fldCharType="end"/>
        </w:r>
      </w:hyperlink>
    </w:p>
    <w:p w14:paraId="4E69259F" w14:textId="6BAD03ED"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52" w:anchor="_Toc99099793" w:history="1">
        <w:r w:rsidR="00D66C3F" w:rsidRPr="00AA198E">
          <w:rPr>
            <w:rStyle w:val="Hipervnculo"/>
            <w:rFonts w:cs="Arial"/>
            <w:noProof/>
          </w:rPr>
          <w:t>Ilustración 5. Infografía del webinar: 5ª Aniversario de la Ley 11/2016, de creación de la AVAF</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_Toc99099793 \h </w:instrText>
        </w:r>
        <w:r w:rsidR="00D66C3F" w:rsidRPr="00AA198E">
          <w:rPr>
            <w:noProof/>
            <w:webHidden/>
          </w:rPr>
        </w:r>
        <w:r w:rsidR="00D66C3F" w:rsidRPr="00AA198E">
          <w:rPr>
            <w:noProof/>
            <w:webHidden/>
          </w:rPr>
          <w:fldChar w:fldCharType="separate"/>
        </w:r>
        <w:r w:rsidR="006336E7" w:rsidRPr="00AA198E">
          <w:rPr>
            <w:noProof/>
            <w:webHidden/>
          </w:rPr>
          <w:t>25</w:t>
        </w:r>
        <w:r w:rsidR="00D66C3F" w:rsidRPr="00AA198E">
          <w:rPr>
            <w:noProof/>
            <w:webHidden/>
          </w:rPr>
          <w:fldChar w:fldCharType="end"/>
        </w:r>
      </w:hyperlink>
    </w:p>
    <w:p w14:paraId="32D52858" w14:textId="30258454"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53" w:anchor="_Toc99099794" w:history="1">
        <w:r w:rsidR="00D66C3F" w:rsidRPr="00AA198E">
          <w:rPr>
            <w:rStyle w:val="Hipervnculo"/>
            <w:rFonts w:cs="Arial"/>
            <w:noProof/>
          </w:rPr>
          <w:t>Ilustración 6. Infografía del webinar: Día Internacional contra la Corrupción</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_Toc99099794 \h </w:instrText>
        </w:r>
        <w:r w:rsidR="00D66C3F" w:rsidRPr="00AA198E">
          <w:rPr>
            <w:noProof/>
            <w:webHidden/>
          </w:rPr>
        </w:r>
        <w:r w:rsidR="00D66C3F" w:rsidRPr="00AA198E">
          <w:rPr>
            <w:noProof/>
            <w:webHidden/>
          </w:rPr>
          <w:fldChar w:fldCharType="separate"/>
        </w:r>
        <w:r w:rsidR="006336E7" w:rsidRPr="00AA198E">
          <w:rPr>
            <w:noProof/>
            <w:webHidden/>
          </w:rPr>
          <w:t>27</w:t>
        </w:r>
        <w:r w:rsidR="00D66C3F" w:rsidRPr="00AA198E">
          <w:rPr>
            <w:noProof/>
            <w:webHidden/>
          </w:rPr>
          <w:fldChar w:fldCharType="end"/>
        </w:r>
      </w:hyperlink>
    </w:p>
    <w:p w14:paraId="36797ACE" w14:textId="32A7CDD9"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54" w:anchor="_Toc99099795" w:history="1">
        <w:r w:rsidR="00D66C3F" w:rsidRPr="00AA198E">
          <w:rPr>
            <w:rStyle w:val="Hipervnculo"/>
            <w:rFonts w:cs="Arial"/>
            <w:noProof/>
          </w:rPr>
          <w:t>Ilustración 7. Diálogos en la AVAF</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_Toc99099795 \h </w:instrText>
        </w:r>
        <w:r w:rsidR="00D66C3F" w:rsidRPr="00AA198E">
          <w:rPr>
            <w:noProof/>
            <w:webHidden/>
          </w:rPr>
        </w:r>
        <w:r w:rsidR="00D66C3F" w:rsidRPr="00AA198E">
          <w:rPr>
            <w:noProof/>
            <w:webHidden/>
          </w:rPr>
          <w:fldChar w:fldCharType="separate"/>
        </w:r>
        <w:r w:rsidR="006336E7" w:rsidRPr="00AA198E">
          <w:rPr>
            <w:noProof/>
            <w:webHidden/>
          </w:rPr>
          <w:t>43</w:t>
        </w:r>
        <w:r w:rsidR="00D66C3F" w:rsidRPr="00AA198E">
          <w:rPr>
            <w:noProof/>
            <w:webHidden/>
          </w:rPr>
          <w:fldChar w:fldCharType="end"/>
        </w:r>
      </w:hyperlink>
    </w:p>
    <w:p w14:paraId="6D690B92" w14:textId="50A35F2F"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796" w:history="1">
        <w:r w:rsidR="00D66C3F" w:rsidRPr="00AA198E">
          <w:rPr>
            <w:rStyle w:val="Hipervnculo"/>
            <w:rFonts w:cs="Arial"/>
            <w:noProof/>
          </w:rPr>
          <w:t>Ilustración 8. El Blog de la AVAF</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_Toc99099796 \h </w:instrText>
        </w:r>
        <w:r w:rsidR="00D66C3F" w:rsidRPr="00AA198E">
          <w:rPr>
            <w:noProof/>
            <w:webHidden/>
          </w:rPr>
        </w:r>
        <w:r w:rsidR="00D66C3F" w:rsidRPr="00AA198E">
          <w:rPr>
            <w:noProof/>
            <w:webHidden/>
          </w:rPr>
          <w:fldChar w:fldCharType="separate"/>
        </w:r>
        <w:r w:rsidR="006336E7" w:rsidRPr="00AA198E">
          <w:rPr>
            <w:noProof/>
            <w:webHidden/>
          </w:rPr>
          <w:t>44</w:t>
        </w:r>
        <w:r w:rsidR="00D66C3F" w:rsidRPr="00AA198E">
          <w:rPr>
            <w:noProof/>
            <w:webHidden/>
          </w:rPr>
          <w:fldChar w:fldCharType="end"/>
        </w:r>
      </w:hyperlink>
    </w:p>
    <w:p w14:paraId="71EDDEF7" w14:textId="338AAF1A"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r:id="rId55" w:anchor="_Toc99099797" w:history="1">
        <w:r w:rsidR="00D66C3F" w:rsidRPr="00AA198E">
          <w:rPr>
            <w:rStyle w:val="Hipervnculo"/>
            <w:rFonts w:cs="Arial"/>
            <w:noProof/>
          </w:rPr>
          <w:t>Ilustración 9. Las redes sociales de la AVAF</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_Toc99099797 \h </w:instrText>
        </w:r>
        <w:r w:rsidR="00D66C3F" w:rsidRPr="00AA198E">
          <w:rPr>
            <w:noProof/>
            <w:webHidden/>
          </w:rPr>
        </w:r>
        <w:r w:rsidR="00D66C3F" w:rsidRPr="00AA198E">
          <w:rPr>
            <w:noProof/>
            <w:webHidden/>
          </w:rPr>
          <w:fldChar w:fldCharType="separate"/>
        </w:r>
        <w:r w:rsidR="006336E7" w:rsidRPr="00AA198E">
          <w:rPr>
            <w:noProof/>
            <w:webHidden/>
          </w:rPr>
          <w:t>47</w:t>
        </w:r>
        <w:r w:rsidR="00D66C3F" w:rsidRPr="00AA198E">
          <w:rPr>
            <w:noProof/>
            <w:webHidden/>
          </w:rPr>
          <w:fldChar w:fldCharType="end"/>
        </w:r>
      </w:hyperlink>
    </w:p>
    <w:p w14:paraId="4D8F9E8B" w14:textId="5997A0F0"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798" w:history="1">
        <w:r w:rsidR="00D66C3F" w:rsidRPr="00AA198E">
          <w:rPr>
            <w:rStyle w:val="Hipervnculo"/>
            <w:rFonts w:cs="Arial"/>
            <w:noProof/>
          </w:rPr>
          <w:t>Ilustración 10. Campaña#Estubuzón</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_Toc99099798 \h </w:instrText>
        </w:r>
        <w:r w:rsidR="00D66C3F" w:rsidRPr="00AA198E">
          <w:rPr>
            <w:noProof/>
            <w:webHidden/>
          </w:rPr>
        </w:r>
        <w:r w:rsidR="00D66C3F" w:rsidRPr="00AA198E">
          <w:rPr>
            <w:noProof/>
            <w:webHidden/>
          </w:rPr>
          <w:fldChar w:fldCharType="separate"/>
        </w:r>
        <w:r w:rsidR="006336E7" w:rsidRPr="00AA198E">
          <w:rPr>
            <w:noProof/>
            <w:webHidden/>
          </w:rPr>
          <w:t>52</w:t>
        </w:r>
        <w:r w:rsidR="00D66C3F" w:rsidRPr="00AA198E">
          <w:rPr>
            <w:noProof/>
            <w:webHidden/>
          </w:rPr>
          <w:fldChar w:fldCharType="end"/>
        </w:r>
      </w:hyperlink>
    </w:p>
    <w:p w14:paraId="19C21B3B" w14:textId="67AE20AA" w:rsidR="00D66C3F" w:rsidRPr="00AA198E" w:rsidRDefault="00AF48E6">
      <w:pPr>
        <w:pStyle w:val="Tabladeilustraciones"/>
        <w:tabs>
          <w:tab w:val="right" w:leader="dot" w:pos="8494"/>
        </w:tabs>
        <w:rPr>
          <w:rFonts w:asciiTheme="minorHAnsi" w:eastAsiaTheme="minorEastAsia" w:hAnsiTheme="minorHAnsi" w:cstheme="minorBidi"/>
          <w:noProof/>
          <w:sz w:val="22"/>
          <w:szCs w:val="22"/>
          <w:lang w:eastAsia="es-ES"/>
        </w:rPr>
      </w:pPr>
      <w:hyperlink w:anchor="_Toc99099799" w:history="1">
        <w:r w:rsidR="00D66C3F" w:rsidRPr="00AA198E">
          <w:rPr>
            <w:rStyle w:val="Hipervnculo"/>
            <w:rFonts w:cs="Arial"/>
            <w:noProof/>
          </w:rPr>
          <w:t xml:space="preserve">Ilustración 11. Organigrama de la AVAF </w:t>
        </w:r>
        <w:r w:rsidR="00D66C3F" w:rsidRPr="00AA198E">
          <w:rPr>
            <w:rStyle w:val="Hipervnculo"/>
            <w:rFonts w:eastAsia="Times New Roman" w:cs="Arial"/>
            <w:noProof/>
          </w:rPr>
          <w:t>https://www.antifraucv.es/es/la-agencia/organigrama</w:t>
        </w:r>
        <w:r w:rsidR="00D66C3F" w:rsidRPr="00AA198E">
          <w:rPr>
            <w:noProof/>
            <w:webHidden/>
          </w:rPr>
          <w:tab/>
        </w:r>
        <w:r w:rsidR="00D66C3F" w:rsidRPr="00AA198E">
          <w:rPr>
            <w:noProof/>
            <w:webHidden/>
          </w:rPr>
          <w:fldChar w:fldCharType="begin" w:fldLock="1"/>
        </w:r>
        <w:r w:rsidR="00D66C3F" w:rsidRPr="00AA198E">
          <w:rPr>
            <w:noProof/>
            <w:webHidden/>
          </w:rPr>
          <w:instrText xml:space="preserve"> PAGEREF _Toc99099799 \h </w:instrText>
        </w:r>
        <w:r w:rsidR="00D66C3F" w:rsidRPr="00AA198E">
          <w:rPr>
            <w:noProof/>
            <w:webHidden/>
          </w:rPr>
        </w:r>
        <w:r w:rsidR="00D66C3F" w:rsidRPr="00AA198E">
          <w:rPr>
            <w:noProof/>
            <w:webHidden/>
          </w:rPr>
          <w:fldChar w:fldCharType="separate"/>
        </w:r>
        <w:r w:rsidR="006336E7" w:rsidRPr="00AA198E">
          <w:rPr>
            <w:noProof/>
            <w:webHidden/>
          </w:rPr>
          <w:t>315</w:t>
        </w:r>
        <w:r w:rsidR="00D66C3F" w:rsidRPr="00AA198E">
          <w:rPr>
            <w:noProof/>
            <w:webHidden/>
          </w:rPr>
          <w:fldChar w:fldCharType="end"/>
        </w:r>
      </w:hyperlink>
    </w:p>
    <w:p w14:paraId="222E9D0E" w14:textId="469B6D04" w:rsidR="004927C3" w:rsidRPr="00C82A24" w:rsidRDefault="004927C3">
      <w:pPr>
        <w:rPr>
          <w:rFonts w:ascii="Arial" w:hAnsi="Arial" w:cs="Arial"/>
          <w:bCs/>
          <w:sz w:val="20"/>
          <w:szCs w:val="20"/>
        </w:rPr>
      </w:pPr>
      <w:r w:rsidRPr="00973028">
        <w:rPr>
          <w:rFonts w:ascii="Arial" w:hAnsi="Arial" w:cs="Arial"/>
          <w:bCs/>
          <w:color w:val="FF0000"/>
          <w:sz w:val="20"/>
          <w:szCs w:val="20"/>
        </w:rPr>
        <w:fldChar w:fldCharType="end"/>
      </w:r>
    </w:p>
    <w:p w14:paraId="1AD76729" w14:textId="11BDEF7E" w:rsidR="002A4453" w:rsidRPr="00C82A24" w:rsidRDefault="002A4453">
      <w:pPr>
        <w:rPr>
          <w:rFonts w:ascii="Arial" w:hAnsi="Arial" w:cs="Arial"/>
          <w:sz w:val="20"/>
          <w:szCs w:val="20"/>
        </w:rPr>
      </w:pPr>
      <w:r w:rsidRPr="00973028">
        <w:rPr>
          <w:rFonts w:ascii="Arial" w:hAnsi="Arial" w:cs="Arial"/>
          <w:color w:val="FF0000"/>
          <w:sz w:val="20"/>
          <w:szCs w:val="20"/>
        </w:rPr>
        <w:br w:type="page"/>
      </w:r>
    </w:p>
    <w:p w14:paraId="37C97114" w14:textId="6D085305" w:rsidR="00A511D8" w:rsidRPr="00973028" w:rsidRDefault="00A511D8" w:rsidP="006B23D2">
      <w:pPr>
        <w:keepNext/>
        <w:widowControl w:val="0"/>
        <w:tabs>
          <w:tab w:val="left" w:pos="0"/>
        </w:tabs>
        <w:suppressAutoHyphens/>
        <w:autoSpaceDN w:val="0"/>
        <w:spacing w:after="0" w:line="276" w:lineRule="auto"/>
        <w:jc w:val="both"/>
        <w:textAlignment w:val="baseline"/>
        <w:outlineLvl w:val="0"/>
        <w:rPr>
          <w:rFonts w:ascii="Arial" w:eastAsia="Calibri" w:hAnsi="Arial" w:cs="Arial"/>
          <w:b/>
          <w:bCs/>
          <w:color w:val="993333"/>
          <w:spacing w:val="-14"/>
          <w:w w:val="95"/>
          <w:sz w:val="20"/>
          <w:szCs w:val="20"/>
        </w:rPr>
      </w:pPr>
    </w:p>
    <w:p w14:paraId="00F76FC9" w14:textId="7C9782C3" w:rsidR="003834B9" w:rsidRPr="00973028" w:rsidRDefault="003834B9" w:rsidP="006B23D2">
      <w:pPr>
        <w:keepNext/>
        <w:widowControl w:val="0"/>
        <w:tabs>
          <w:tab w:val="left" w:pos="0"/>
        </w:tabs>
        <w:suppressAutoHyphens/>
        <w:autoSpaceDN w:val="0"/>
        <w:spacing w:after="0" w:line="276" w:lineRule="auto"/>
        <w:jc w:val="both"/>
        <w:textAlignment w:val="baseline"/>
        <w:outlineLvl w:val="0"/>
        <w:rPr>
          <w:rFonts w:ascii="Arial" w:eastAsia="Calibri" w:hAnsi="Arial" w:cs="Arial"/>
          <w:b/>
          <w:bCs/>
          <w:color w:val="993333"/>
          <w:spacing w:val="-14"/>
          <w:w w:val="95"/>
          <w:sz w:val="20"/>
          <w:szCs w:val="20"/>
        </w:rPr>
      </w:pPr>
    </w:p>
    <w:p w14:paraId="5B8068D0" w14:textId="77777777" w:rsidR="003834B9" w:rsidRPr="00973028" w:rsidRDefault="003834B9" w:rsidP="006B23D2">
      <w:pPr>
        <w:keepNext/>
        <w:widowControl w:val="0"/>
        <w:tabs>
          <w:tab w:val="left" w:pos="0"/>
        </w:tabs>
        <w:suppressAutoHyphens/>
        <w:autoSpaceDN w:val="0"/>
        <w:spacing w:after="0" w:line="276" w:lineRule="auto"/>
        <w:jc w:val="both"/>
        <w:textAlignment w:val="baseline"/>
        <w:outlineLvl w:val="0"/>
        <w:rPr>
          <w:rFonts w:ascii="Arial" w:eastAsia="Calibri" w:hAnsi="Arial" w:cs="Arial"/>
          <w:b/>
          <w:bCs/>
          <w:color w:val="993333"/>
          <w:spacing w:val="-14"/>
          <w:w w:val="95"/>
          <w:sz w:val="20"/>
          <w:szCs w:val="20"/>
        </w:rPr>
      </w:pPr>
    </w:p>
    <w:p w14:paraId="6F5A92B4" w14:textId="10712395" w:rsidR="006B23D2" w:rsidRPr="00973028" w:rsidRDefault="00AD0B4D" w:rsidP="00AC1A12">
      <w:pPr>
        <w:pStyle w:val="Prrafodelista"/>
        <w:keepNext/>
        <w:widowControl w:val="0"/>
        <w:numPr>
          <w:ilvl w:val="0"/>
          <w:numId w:val="18"/>
        </w:numPr>
        <w:tabs>
          <w:tab w:val="left" w:pos="0"/>
        </w:tabs>
        <w:suppressAutoHyphens/>
        <w:autoSpaceDN w:val="0"/>
        <w:spacing w:after="0" w:line="240" w:lineRule="auto"/>
        <w:ind w:left="0" w:firstLine="0"/>
        <w:textAlignment w:val="baseline"/>
        <w:outlineLvl w:val="0"/>
        <w:rPr>
          <w:rFonts w:ascii="Arial" w:eastAsia="Calibri" w:hAnsi="Arial" w:cs="Arial"/>
          <w:b/>
          <w:bCs/>
          <w:color w:val="993333"/>
          <w:spacing w:val="-24"/>
          <w:sz w:val="80"/>
          <w:szCs w:val="80"/>
        </w:rPr>
      </w:pPr>
      <w:r w:rsidRPr="00973028">
        <w:rPr>
          <w:rFonts w:ascii="Arial" w:eastAsia="Calibri" w:hAnsi="Arial" w:cs="Arial"/>
          <w:b/>
          <w:bCs/>
          <w:color w:val="993333"/>
          <w:spacing w:val="-24"/>
          <w:sz w:val="80"/>
          <w:szCs w:val="80"/>
        </w:rPr>
        <w:br/>
      </w:r>
      <w:bookmarkStart w:id="3" w:name="_Toc99106957"/>
      <w:r w:rsidR="006B23D2" w:rsidRPr="00973028">
        <w:rPr>
          <w:rFonts w:ascii="Arial" w:eastAsia="Calibri" w:hAnsi="Arial" w:cs="Arial"/>
          <w:b/>
          <w:bCs/>
          <w:color w:val="993333"/>
          <w:spacing w:val="-24"/>
          <w:sz w:val="80"/>
          <w:szCs w:val="80"/>
        </w:rPr>
        <w:t>Presentación</w:t>
      </w:r>
      <w:bookmarkEnd w:id="3"/>
      <w:r w:rsidR="00850438" w:rsidRPr="00973028">
        <w:rPr>
          <w:rFonts w:ascii="Arial" w:eastAsia="Times New Roman" w:hAnsi="Arial" w:cs="Arial"/>
          <w:b/>
          <w:bCs/>
          <w:color w:val="9D2235"/>
          <w:spacing w:val="-24"/>
          <w:kern w:val="2"/>
          <w:sz w:val="80"/>
          <w:szCs w:val="80"/>
          <w:lang w:eastAsia="es-ES" w:bidi="hi-IN"/>
        </w:rPr>
        <w:br/>
      </w:r>
    </w:p>
    <w:p w14:paraId="4016F60A"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Un año más, la Agencia Valenciana Antifraude presenta su Memoria de actividad dando cumplimiento del deber de rendir cuentas ante el parlamento valenciano, las Corts, al menos una vez al año tal y como se recoge en el artículo 22 de la Ley 11/2016, de 28 de noviembre, de la Generalitat, de prevención y lucha contra la corrupción y el artículo 81 del Reglamento de funcionamiento y régimen interior que la desarrolla.</w:t>
      </w:r>
    </w:p>
    <w:p w14:paraId="5E368564"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La elaboración de la Memoria de actividad constituye además un ejercicio interno de la Agencia en cuanto que todas las áreas, servicios, unidades y el propio equipo directivo acometen una revisión ordenada de todas las actividades desarrolladas a lo largo del ejercicio, pudiendo contrastar los resultados alcanzados con los objetivos que se fijaron a su inicio y así poder evaluar la eficiencia y eficacia de la organización en relación con los recursos disponibles. Es por lo tanto una herramienta indisociable de la planificación estratégica y de su evaluación y un medio de rendición de cuentas ante la propia sociedad valenciana.</w:t>
      </w:r>
    </w:p>
    <w:p w14:paraId="09583548"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El ejercicio 2021 ha sido de nuevo un año de desarrollo normativo. Por una parte, se ha aprobado el Código ético y de conducta de todo el personal de la Agencia con la creación de un Comité de ética formado mayoritariamente por expertos externos a la Agencia y un canal de denuncias internas. Y, por otra parte, se ha modificado puntualmente el Reglamento de funcionamiento y régimen interno creando la Dirección Adjunta de la Agencia. Respecto a lo primero, se refuerza de este modo el compromiso de todos los servidores y servidoras públicas de la AVAF con los principios que deben regir el funcionamiento de todo órgano de control, la objetividad, neutralidad, independencia, ejemplaridad, imparcialidad, confidencialidad y proporcionalidad, así como la honestidad, profesionalidad y lealtad institucional. En cuanto a la creación de la función de Dirección Adjunta, que queda adscrita a la Dirección de Asuntos Jurídicos, se mejora la coordinación y el funcionamiento general de la Agencia además de establecer reglamentariamente una respuesta natural y rápida a cualquier imponderable que pudiere derivar en una ausencia prolongada de la Dirección de la Agencia.</w:t>
      </w:r>
    </w:p>
    <w:p w14:paraId="6E67AC7D"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 xml:space="preserve">La participación ciudadana en la lucha contra la corrupción es esencial y ello lo ha demostrado una vez más, a través de sus preocupaciones y su apoyo, el Consejo de Participación de la Agencia, compuesto por organizaciones de la sociedad civil y personas expertas. 2021 también ha sido el año en el que la Directiva (UE) 2019/1937 de protección de las personas que informen o denuncien infracciones del derecho de la Unión y de creación de canales de denuncia, debía haber sido transpuesta por el Estado, pero no lo ha sido. A entender de la doctrina del Tribunal de Justicia de la Unión Europea dicha Directiva ya tendría efectos directos y todas las administraciones públicas deberían estar integrando en su funcionamiento sus preceptos. En este sentido, y antes de firmar esta Memoria se ha conocido el anteproyecto de ley que el gobierno del Estado ha sometido a trámite de audiencia e información pública y respecto del que esta Agencia ha formulado alegaciones. No es menester recordar que la Directiva viene a consagrar, a nivel de España y de los países de la UE que aún no la tengan, la obligación ya establecida en la Comunitat Valenciana por el artículo 14 de nuestra Ley y el 41 de su Reglamento para proteger de represalias a las personas que denuncian, informan o alertan de corrupción, fraude o malas prácticas. La Agencia hasta hoy ha otorgado el estatuto de protección a 27 personas. La efectiva transposición de la Directiva en España vendrá a reforzar esta función de la Agencia y tendrá sin duda una gran repercusión en todas las Administraciones Públicas. </w:t>
      </w:r>
    </w:p>
    <w:p w14:paraId="3673AEF1"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 xml:space="preserve">En nuestro ámbito territorial la ciudadanía cuenta con un medio confidencial y seguro para informar de infracciones desde que en 2018 la Agencia puso en funcionamiento el buzón de denuncias electrónico, de fácil acceso y sencillo manejo desde la web. De hecho, en 2021 este ha sido el canal utilizado para el 88,5% de las 359 denuncias recibidas. Este número de denuncias representa un incremento del 58,8% respecto al año anterior, sin duda por el mejor conocimiento público de la Agencia y la confianza en su trabajo. Por las materias denunciadas, la gestión de recursos humanos (45%) ha desplazado a la contratación pública (14%) del primer lugar por número de denuncias seguidas a mucha distancia por subvenciones (7%) y urbanismo (6%). </w:t>
      </w:r>
    </w:p>
    <w:p w14:paraId="394998FA"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 xml:space="preserve">En la Memoria que ahora se presenta se han incorporado diversas novedades, como la ampliación más detallada de las materias que son objeto de denuncias o la constancia enumerada de las administraciones y entidades públicas que no han cumplido las recomendaciones efectuadas por la Agencia tras el correspondiente expediente de investigación, en cumplimiento del artículo 40, en sus apartados 4 y 5, del Reglamento, que ordena dar cuenta a las Corts. Se trata de tres corporaciones locales y un ente público de la Generalitat. </w:t>
      </w:r>
    </w:p>
    <w:p w14:paraId="2BD7B25F"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Entre otras novedades que cabe destacar, se encuentra la incorporación de una relación cuantificada y detallada del impacto económico de las actuaciones investigadoras de la Agencia, que se cifra en 23.315.890,38 euros, cuantía respecto de la que las administraciones objeto de la actuación investigadora tienen el derecho y la obligación de resarcirse. De esta cifra, 524.905,59 euros han sido recuperados por las administraciones perjudicadas.</w:t>
      </w:r>
    </w:p>
    <w:p w14:paraId="6E7C1696"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 xml:space="preserve">Asimismo, en 2021 se ha continuado con la primera actuación combinada entre la AVAF, la OLAF-Oficina Europea Antifraude adscrita al Parlamento Europeo y el SNCA-Servicio Nacional de Coordinación Antifraude, adscrito a la IGAE-Ministerio de Hacienda. Esta actuación se haya todavía en curso. </w:t>
      </w:r>
    </w:p>
    <w:p w14:paraId="7D59DE72"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Ha sido muy importante el impulso alcanzado en el área de análisis e investigación que ha incrementado exponencialmente el número de expedientes resueltos, aproximándose mucho al objetivo inicial (la tasa de finalización representa el 75% de las denuncias de 2021), relativo al equilibrio entre casos resueltos y casos nuevos que entran en la Agencia. Asimismo, por segundo año consecutivo los expedientes de investigación, una vez finalizados y anonimizados, están disponibles para consulta de la ciudadanía en la página web de la Agencia.</w:t>
      </w:r>
    </w:p>
    <w:p w14:paraId="5007AC5A"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 xml:space="preserve">La prevención es la primera función y fundamento del principio que da sentido a la Agencia, evitar el mal antes de que este se produzca. Para ello se han llevado a cabo desde el área de prevención, formación y documentación actuaciones de investigación intelectual de gran profundidad analítica, de las que han emanado guías y recomendaciones dirigidas a todo el sector público y que han sido adoptadas por otros órganos de control de la Comunitat y más allá de nuestro ámbito geográfico. Entre ellas cabe destacar, en primer lugar, el </w:t>
      </w:r>
      <w:r w:rsidRPr="001C25F3">
        <w:rPr>
          <w:rFonts w:ascii="Arial" w:eastAsia="Calibri" w:hAnsi="Arial" w:cs="Arial"/>
          <w:i/>
          <w:iCs/>
          <w:sz w:val="21"/>
          <w:szCs w:val="21"/>
        </w:rPr>
        <w:t>Manual didáctico visual: los conflictos de interés en clave de integridad</w:t>
      </w:r>
      <w:r w:rsidRPr="001C25F3">
        <w:rPr>
          <w:rFonts w:ascii="Arial" w:eastAsia="Calibri" w:hAnsi="Arial" w:cs="Arial"/>
          <w:sz w:val="21"/>
          <w:szCs w:val="21"/>
        </w:rPr>
        <w:t xml:space="preserve"> y, en segundo lugar, </w:t>
      </w:r>
      <w:r w:rsidRPr="001C25F3">
        <w:rPr>
          <w:rFonts w:ascii="Arial" w:eastAsia="Calibri" w:hAnsi="Arial" w:cs="Arial"/>
          <w:i/>
          <w:iCs/>
          <w:sz w:val="21"/>
          <w:szCs w:val="21"/>
        </w:rPr>
        <w:t>la Guía AVAF para el Plan de Integridad Pública: Hoja de ruta, anexos facilitadores y catálogos de identificación de riesgos de corrupción,</w:t>
      </w:r>
      <w:r w:rsidRPr="001C25F3">
        <w:rPr>
          <w:rFonts w:ascii="Arial" w:eastAsia="Calibri" w:hAnsi="Arial" w:cs="Arial"/>
          <w:sz w:val="21"/>
          <w:szCs w:val="21"/>
        </w:rPr>
        <w:t xml:space="preserve"> documento imprescindible para que las administraciones y su sector público puedan acometer con éxito los Planes de Medidas Antifraude exigidos por la Orden del Ministerio de Hacienda y Función Pública 10/2021 de 29 de septiembre, con el objeto de prevenir posibles desviaciones en la gestión de los fondos llamados Next Generation.</w:t>
      </w:r>
    </w:p>
    <w:p w14:paraId="32AC0A18"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 xml:space="preserve">Estas elaboraciones, conjuntamente con otros materiales audiovisuales producidos por la Agencia en colaboración con Universidades como la de València, han ido constituyendo un completo inventario de recursos didácticos que el servicio de formación de la AVAF ha utilizado para realizar 43 actividades formativas de las que se han beneficiado 1.835 personas funcionarias y cargos públicos, y también estudiantes de todas las universidades valencianas con las que la Agencia ha establecido acuerdos de colaboración. El alcance de la actividad formativa desde el inicio de la Agencia en 2017 supone un total de 91 actividades, 3.713 alumnos y 242 horas lectivas. </w:t>
      </w:r>
    </w:p>
    <w:p w14:paraId="231BC805"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Todos los recursos pedagógicos, materiales didácticos y conferencias impartidas se reúnen en un repositorio documental gestionado por el servicio de documentación y biblioteca de la AVAF que a su vez ha ido constituyendo un fondo bibliográfico especializado el cual, a finales de 2021, estaba formado por 380 volúmenes. El Centro de Documentación y Biblioteca de la AVAF, ha sido reconocido en 2021 por el Ministerio de Cultura quedando integrado en la red española de bibliotecas especializadas.</w:t>
      </w:r>
    </w:p>
    <w:p w14:paraId="3D33B380" w14:textId="493C3C6D"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También es necesario destacar que en 2021 se han publicado cuatro obras donde se recoge la experiencia de la AVAF. “Les cares de l’evasió fiscal: Pobresa, frau i corrupció a la Comunitat Valenciana”, de los autores Mar Vivó y Carlos Remohí; “Informe sobre transparencia local en la Comunitat Valenciana” de Hugo Aznar, Teresa Bruno, María Puchalt y Katia Esteve; “Anuario 2020 del Buen Gobierno y de la Calidad de la Regulación”, coordinado por Juli Ponce y Manuel Villoria; y por último “La Ciudad de la Euforia, Una hipótesis de la mafia”,</w:t>
      </w:r>
      <w:r w:rsidRPr="001C25F3">
        <w:rPr>
          <w:rFonts w:ascii="Arial" w:eastAsia="Calibri" w:hAnsi="Arial" w:cs="Arial"/>
          <w:i/>
          <w:iCs/>
          <w:sz w:val="21"/>
          <w:szCs w:val="21"/>
        </w:rPr>
        <w:t xml:space="preserve"> </w:t>
      </w:r>
      <w:r w:rsidRPr="001C25F3">
        <w:rPr>
          <w:rFonts w:ascii="Arial" w:eastAsia="Calibri" w:hAnsi="Arial" w:cs="Arial"/>
          <w:sz w:val="21"/>
          <w:szCs w:val="21"/>
        </w:rPr>
        <w:t xml:space="preserve">de Rodrigo Terrasa. Asimismo, se ha participado en dos obras colectivas: </w:t>
      </w:r>
      <w:r w:rsidRPr="00AB08D0">
        <w:rPr>
          <w:rFonts w:ascii="Arial" w:eastAsia="Calibri" w:hAnsi="Arial" w:cs="Arial"/>
          <w:sz w:val="21"/>
          <w:szCs w:val="21"/>
        </w:rPr>
        <w:t>“Fundamentos de la transparencia, aspectos políticos y perspectiva internacional”</w:t>
      </w:r>
      <w:r w:rsidRPr="001C25F3">
        <w:rPr>
          <w:rFonts w:ascii="Arial" w:eastAsia="Calibri" w:hAnsi="Arial" w:cs="Arial"/>
          <w:sz w:val="21"/>
          <w:szCs w:val="21"/>
        </w:rPr>
        <w:t xml:space="preserve">, publicada por el </w:t>
      </w:r>
      <w:r w:rsidRPr="00AB08D0">
        <w:rPr>
          <w:rFonts w:ascii="Arial" w:eastAsia="Calibri" w:hAnsi="Arial" w:cs="Arial"/>
          <w:sz w:val="21"/>
          <w:szCs w:val="21"/>
        </w:rPr>
        <w:t>Centro de Estudios Políticos y Constitucionales</w:t>
      </w:r>
      <w:r w:rsidRPr="001C25F3">
        <w:rPr>
          <w:rFonts w:ascii="Arial" w:eastAsia="Calibri" w:hAnsi="Arial" w:cs="Arial"/>
          <w:sz w:val="21"/>
          <w:szCs w:val="21"/>
        </w:rPr>
        <w:t>, y “La integridad en la Administración: contratación pública y lucha contra la corrupción”, publicada por Thomson Reuters Aranzadi.</w:t>
      </w:r>
    </w:p>
    <w:p w14:paraId="7B46DE4F"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En cuanto a la gestión interna de la AVAF, hay que celebrar que se haya resuelto el procedimiento para el reintegro de los sobrantes de la financiación que la Agencia recibe vía presupuestos de las Corts, pues hasta la promulgación de la Ley 8/2021, de Presupuestos de la Generalitat para el ejercicio 2022, que asimila la Agencia en esta materia a los órganos estatutarios adscritos a las Corts, se habían acumulado los sobrantes de los ejercicios anteriores sin que existiera el procedimiento para que la Conselleria de Hacienda procediera a la liquidación y posterior transferencia de los remanentes de tesorería.</w:t>
      </w:r>
    </w:p>
    <w:p w14:paraId="6349A73B"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Por lo que respecta a la comunicación con la ciudanía, desde el servicio de comunicación y relaciones institucionales se han puesto en marcha recursos que refuerzan la divulgación de los materiales propios y de terceros que transmiten conocimientos relacionados con la construcción de una cultura de prevención y lucha contra el fraude. Para ello contamos con diferentes canales de información y comunicación como YouTube, Twitter, Instagram, Facebook, LinkedIn, Ivoox, Twitch y Telegram, También destacamos la puesta en marcha del “Blog de la AVAF” con textos de reconocidas firmas y el espacio de entrevistas “Diálogos”.</w:t>
      </w:r>
    </w:p>
    <w:p w14:paraId="19800E0B"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 xml:space="preserve">A fecha de cierre de esta Memoria el total de convenios marco, convenios de colaboración y protocolos suscritos por la AVAF asciende a 19, de los que 10 de ellos se han firmado durante 2021 y en los primeros meses de 2022, lo que da una idea del número de colaboraciones emprendidas con instituciones públicas, universidades y organizaciones de la sociedad civil para el cumplimiento de objetivos de interés común. </w:t>
      </w:r>
    </w:p>
    <w:p w14:paraId="13385D73" w14:textId="77777777" w:rsidR="001C25F3" w:rsidRPr="001C25F3"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La AVAF también ha trabajado a lo largo del año 2021 en el plano nacional a través de la Red Estatal de Oficinas y Agencias Antifraude y en el plano internacional para impulsar y coordinar la implementación de la Directiva Europea con la Red Europea de Autoridades de Integridad y Protección de Alertadores (NEIWA). Asimismo, se ha participado en la asamblea general de la European Partners Against Corruption EPAC celebrada el pasado diciembre.</w:t>
      </w:r>
    </w:p>
    <w:p w14:paraId="7AF409B9" w14:textId="7F6E2F5B" w:rsidR="001C25F3" w:rsidRPr="007D3BE5" w:rsidRDefault="001C25F3" w:rsidP="001C25F3">
      <w:pPr>
        <w:suppressAutoHyphens/>
        <w:autoSpaceDN w:val="0"/>
        <w:spacing w:after="240" w:line="276" w:lineRule="auto"/>
        <w:jc w:val="both"/>
        <w:textAlignment w:val="baseline"/>
        <w:rPr>
          <w:rFonts w:ascii="Arial" w:eastAsia="Calibri" w:hAnsi="Arial" w:cs="Arial"/>
          <w:sz w:val="21"/>
          <w:szCs w:val="21"/>
        </w:rPr>
      </w:pPr>
      <w:r w:rsidRPr="001C25F3">
        <w:rPr>
          <w:rFonts w:ascii="Arial" w:eastAsia="Calibri" w:hAnsi="Arial" w:cs="Arial"/>
          <w:sz w:val="21"/>
          <w:szCs w:val="21"/>
        </w:rPr>
        <w:t>En las páginas que siguen se puede conocer detalladamente el trabajo desarrollado por las personas funcionarias que integran la Agencia y que lo hacen desde el sentido más comprometido con el servicio público, nuestra Constitución y el resto de ordenamiento jurídico.</w:t>
      </w:r>
    </w:p>
    <w:p w14:paraId="732E6FA8" w14:textId="7F25F1BE" w:rsidR="007D3BE5" w:rsidRDefault="007D3BE5" w:rsidP="007D3BE5">
      <w:pPr>
        <w:suppressAutoHyphens/>
        <w:autoSpaceDN w:val="0"/>
        <w:spacing w:after="240" w:line="276" w:lineRule="auto"/>
        <w:jc w:val="both"/>
        <w:textAlignment w:val="baseline"/>
        <w:rPr>
          <w:rFonts w:ascii="Arial" w:eastAsia="Calibri" w:hAnsi="Arial" w:cs="Arial"/>
          <w:sz w:val="21"/>
          <w:szCs w:val="21"/>
        </w:rPr>
      </w:pPr>
      <w:r w:rsidRPr="007D3BE5">
        <w:rPr>
          <w:rFonts w:ascii="Arial" w:eastAsia="Calibri" w:hAnsi="Arial" w:cs="Arial"/>
          <w:sz w:val="21"/>
          <w:szCs w:val="21"/>
        </w:rPr>
        <w:t xml:space="preserve"> </w:t>
      </w:r>
    </w:p>
    <w:p w14:paraId="2A3D6FFB" w14:textId="77777777" w:rsidR="007D3BE5" w:rsidRPr="007D3BE5" w:rsidRDefault="007D3BE5" w:rsidP="007D3BE5">
      <w:pPr>
        <w:suppressAutoHyphens/>
        <w:autoSpaceDN w:val="0"/>
        <w:spacing w:after="240" w:line="276" w:lineRule="auto"/>
        <w:jc w:val="both"/>
        <w:textAlignment w:val="baseline"/>
        <w:rPr>
          <w:rFonts w:ascii="Arial" w:eastAsia="Calibri" w:hAnsi="Arial" w:cs="Arial"/>
          <w:sz w:val="21"/>
          <w:szCs w:val="21"/>
        </w:rPr>
      </w:pPr>
    </w:p>
    <w:p w14:paraId="06E6FF2A" w14:textId="5C8C45D8" w:rsidR="00A41BE1" w:rsidRDefault="006B23D2" w:rsidP="00A41BE1">
      <w:pPr>
        <w:suppressAutoHyphens/>
        <w:autoSpaceDN w:val="0"/>
        <w:spacing w:after="240" w:line="276" w:lineRule="auto"/>
        <w:contextualSpacing/>
        <w:jc w:val="both"/>
        <w:textAlignment w:val="baseline"/>
        <w:rPr>
          <w:rFonts w:ascii="Arial" w:eastAsia="NSimSun" w:hAnsi="Arial" w:cs="Arial"/>
          <w:kern w:val="3"/>
          <w:sz w:val="21"/>
          <w:szCs w:val="21"/>
          <w:lang w:eastAsia="zh-CN" w:bidi="hi-IN"/>
        </w:rPr>
      </w:pPr>
      <w:r w:rsidRPr="007D3BE5">
        <w:rPr>
          <w:rFonts w:ascii="Arial" w:eastAsia="NSimSun" w:hAnsi="Arial" w:cs="Arial"/>
          <w:color w:val="000000"/>
          <w:kern w:val="3"/>
          <w:sz w:val="21"/>
          <w:szCs w:val="21"/>
          <w:lang w:eastAsia="zh-CN" w:bidi="hi-IN"/>
        </w:rPr>
        <w:t>Valènci</w:t>
      </w:r>
      <w:r w:rsidRPr="007D3BE5">
        <w:rPr>
          <w:rFonts w:ascii="Arial" w:eastAsia="NSimSun" w:hAnsi="Arial" w:cs="Arial"/>
          <w:color w:val="000000"/>
          <w:kern w:val="3"/>
          <w:sz w:val="21"/>
          <w:szCs w:val="21"/>
          <w:shd w:val="clear" w:color="auto" w:fill="FFFFFF"/>
          <w:lang w:eastAsia="zh-CN" w:bidi="hi-IN"/>
        </w:rPr>
        <w:t xml:space="preserve">a, </w:t>
      </w:r>
      <w:r w:rsidR="007D3BE5" w:rsidRPr="00722483">
        <w:rPr>
          <w:rFonts w:ascii="Arial" w:eastAsia="NSimSun" w:hAnsi="Arial" w:cs="Arial"/>
          <w:color w:val="000000"/>
          <w:kern w:val="3"/>
          <w:sz w:val="21"/>
          <w:szCs w:val="21"/>
          <w:shd w:val="clear" w:color="auto" w:fill="FFFFFF"/>
          <w:lang w:eastAsia="zh-CN" w:bidi="hi-IN"/>
        </w:rPr>
        <w:t>29</w:t>
      </w:r>
      <w:r w:rsidRPr="00722483">
        <w:rPr>
          <w:rFonts w:ascii="Arial" w:eastAsia="NSimSun" w:hAnsi="Arial" w:cs="Arial"/>
          <w:color w:val="000000"/>
          <w:kern w:val="3"/>
          <w:sz w:val="21"/>
          <w:szCs w:val="21"/>
          <w:shd w:val="clear" w:color="auto" w:fill="FFFFFF"/>
          <w:lang w:eastAsia="zh-CN" w:bidi="hi-IN"/>
        </w:rPr>
        <w:t xml:space="preserve"> </w:t>
      </w:r>
      <w:r w:rsidRPr="007D3BE5">
        <w:rPr>
          <w:rFonts w:ascii="Arial" w:eastAsia="NSimSun" w:hAnsi="Arial" w:cs="Arial"/>
          <w:color w:val="000000"/>
          <w:kern w:val="3"/>
          <w:sz w:val="21"/>
          <w:szCs w:val="21"/>
          <w:shd w:val="clear" w:color="auto" w:fill="FFFFFF"/>
          <w:lang w:eastAsia="zh-CN" w:bidi="hi-IN"/>
        </w:rPr>
        <w:t>de m</w:t>
      </w:r>
      <w:r w:rsidRPr="007D3BE5">
        <w:rPr>
          <w:rFonts w:ascii="Arial" w:eastAsia="NSimSun" w:hAnsi="Arial" w:cs="Arial"/>
          <w:color w:val="000000"/>
          <w:kern w:val="3"/>
          <w:sz w:val="21"/>
          <w:szCs w:val="21"/>
          <w:lang w:eastAsia="zh-CN" w:bidi="hi-IN"/>
        </w:rPr>
        <w:t>arzo de 202</w:t>
      </w:r>
      <w:r w:rsidR="00FB6C28" w:rsidRPr="007D3BE5">
        <w:rPr>
          <w:rFonts w:ascii="Arial" w:eastAsia="NSimSun" w:hAnsi="Arial" w:cs="Arial"/>
          <w:color w:val="000000"/>
          <w:kern w:val="3"/>
          <w:sz w:val="21"/>
          <w:szCs w:val="21"/>
          <w:lang w:eastAsia="zh-CN" w:bidi="hi-IN"/>
        </w:rPr>
        <w:t>2</w:t>
      </w:r>
    </w:p>
    <w:p w14:paraId="49DD11F5" w14:textId="77777777" w:rsidR="00A41BE1" w:rsidRDefault="006B23D2" w:rsidP="00A41BE1">
      <w:pPr>
        <w:suppressAutoHyphens/>
        <w:autoSpaceDN w:val="0"/>
        <w:spacing w:after="240" w:line="276" w:lineRule="auto"/>
        <w:contextualSpacing/>
        <w:jc w:val="both"/>
        <w:textAlignment w:val="baseline"/>
        <w:rPr>
          <w:rFonts w:ascii="Arial" w:eastAsia="NSimSun" w:hAnsi="Arial" w:cs="Arial"/>
          <w:kern w:val="3"/>
          <w:sz w:val="21"/>
          <w:szCs w:val="21"/>
          <w:lang w:eastAsia="zh-CN" w:bidi="hi-IN"/>
        </w:rPr>
      </w:pPr>
      <w:r w:rsidRPr="00876C89">
        <w:rPr>
          <w:rFonts w:ascii="Arial" w:eastAsia="NSimSun" w:hAnsi="Arial" w:cs="Arial"/>
          <w:b/>
          <w:bCs/>
          <w:color w:val="000000"/>
          <w:kern w:val="3"/>
          <w:sz w:val="21"/>
          <w:szCs w:val="21"/>
          <w:lang w:eastAsia="zh-CN" w:bidi="hi-IN"/>
        </w:rPr>
        <w:t>Joan A. Llinares Gómez</w:t>
      </w:r>
    </w:p>
    <w:p w14:paraId="2E8A46A8" w14:textId="7FC3789D" w:rsidR="00A41BE1" w:rsidRDefault="00CB3DFD" w:rsidP="00A41BE1">
      <w:pPr>
        <w:suppressAutoHyphens/>
        <w:autoSpaceDN w:val="0"/>
        <w:spacing w:after="240" w:line="276" w:lineRule="auto"/>
        <w:contextualSpacing/>
        <w:jc w:val="both"/>
        <w:textAlignment w:val="baseline"/>
        <w:rPr>
          <w:rFonts w:ascii="Arial" w:eastAsia="NSimSun" w:hAnsi="Arial" w:cs="Arial"/>
          <w:kern w:val="3"/>
          <w:sz w:val="21"/>
          <w:szCs w:val="21"/>
          <w:lang w:eastAsia="zh-CN" w:bidi="hi-IN"/>
        </w:rPr>
      </w:pPr>
      <w:r>
        <w:rPr>
          <w:rFonts w:ascii="Arial" w:eastAsia="NSimSun" w:hAnsi="Arial" w:cs="Arial"/>
          <w:color w:val="000000"/>
          <w:kern w:val="3"/>
          <w:sz w:val="21"/>
          <w:szCs w:val="21"/>
          <w:lang w:eastAsia="zh-CN" w:bidi="hi-IN"/>
        </w:rPr>
        <w:t>D</w:t>
      </w:r>
      <w:r w:rsidR="006B23D2" w:rsidRPr="00973028">
        <w:rPr>
          <w:rFonts w:ascii="Arial" w:eastAsia="NSimSun" w:hAnsi="Arial" w:cs="Arial"/>
          <w:color w:val="000000"/>
          <w:kern w:val="3"/>
          <w:sz w:val="21"/>
          <w:szCs w:val="21"/>
          <w:lang w:eastAsia="zh-CN" w:bidi="hi-IN"/>
        </w:rPr>
        <w:t>irector de la Agencia de Prevención</w:t>
      </w:r>
    </w:p>
    <w:p w14:paraId="5667D5DB" w14:textId="77777777" w:rsidR="00A41BE1" w:rsidRDefault="006B23D2" w:rsidP="00A41BE1">
      <w:pPr>
        <w:suppressAutoHyphens/>
        <w:autoSpaceDN w:val="0"/>
        <w:spacing w:after="240" w:line="276" w:lineRule="auto"/>
        <w:contextualSpacing/>
        <w:jc w:val="both"/>
        <w:textAlignment w:val="baseline"/>
        <w:rPr>
          <w:rFonts w:ascii="Arial" w:eastAsia="NSimSun" w:hAnsi="Arial" w:cs="Arial"/>
          <w:kern w:val="3"/>
          <w:sz w:val="21"/>
          <w:szCs w:val="21"/>
          <w:lang w:eastAsia="zh-CN" w:bidi="hi-IN"/>
        </w:rPr>
      </w:pPr>
      <w:r w:rsidRPr="00973028">
        <w:rPr>
          <w:rFonts w:ascii="Arial" w:eastAsia="NSimSun" w:hAnsi="Arial" w:cs="Arial"/>
          <w:color w:val="000000"/>
          <w:kern w:val="3"/>
          <w:sz w:val="21"/>
          <w:szCs w:val="21"/>
          <w:lang w:eastAsia="zh-CN" w:bidi="hi-IN"/>
        </w:rPr>
        <w:t>y Lucha contra el Fraude y la Corrupción</w:t>
      </w:r>
    </w:p>
    <w:p w14:paraId="42EA9482" w14:textId="77DC3846" w:rsidR="004E3452" w:rsidRPr="00A41BE1" w:rsidRDefault="006B23D2" w:rsidP="00A41BE1">
      <w:pPr>
        <w:suppressAutoHyphens/>
        <w:autoSpaceDN w:val="0"/>
        <w:spacing w:after="240" w:line="276" w:lineRule="auto"/>
        <w:contextualSpacing/>
        <w:jc w:val="both"/>
        <w:textAlignment w:val="baseline"/>
        <w:rPr>
          <w:rFonts w:ascii="Arial" w:eastAsia="NSimSun" w:hAnsi="Arial" w:cs="Arial"/>
          <w:kern w:val="3"/>
          <w:sz w:val="21"/>
          <w:szCs w:val="21"/>
          <w:lang w:eastAsia="zh-CN" w:bidi="hi-IN"/>
        </w:rPr>
      </w:pPr>
      <w:r w:rsidRPr="00973028">
        <w:rPr>
          <w:rFonts w:ascii="Arial" w:eastAsia="NSimSun" w:hAnsi="Arial" w:cs="Arial"/>
          <w:color w:val="000000"/>
          <w:kern w:val="3"/>
          <w:sz w:val="21"/>
          <w:szCs w:val="21"/>
          <w:lang w:eastAsia="zh-CN" w:bidi="hi-IN"/>
        </w:rPr>
        <w:t>de la Comunitat Valenciana</w:t>
      </w:r>
    </w:p>
    <w:p w14:paraId="3C500762" w14:textId="77777777" w:rsidR="004E3452" w:rsidRPr="00973028" w:rsidRDefault="004E3452" w:rsidP="00644597">
      <w:pPr>
        <w:spacing w:after="0" w:line="276" w:lineRule="auto"/>
        <w:contextualSpacing/>
        <w:rPr>
          <w:rFonts w:ascii="Arial" w:hAnsi="Arial" w:cs="Arial"/>
          <w:color w:val="000000" w:themeColor="text1"/>
          <w:sz w:val="20"/>
          <w:szCs w:val="20"/>
        </w:rPr>
      </w:pPr>
    </w:p>
    <w:p w14:paraId="36688F7D" w14:textId="64557298" w:rsidR="00C34875" w:rsidRPr="00973028" w:rsidRDefault="00C34875" w:rsidP="00A140F9">
      <w:pPr>
        <w:keepNext/>
        <w:spacing w:after="0" w:line="276" w:lineRule="auto"/>
        <w:rPr>
          <w:rFonts w:ascii="Arial" w:eastAsia="Times New Roman" w:hAnsi="Arial" w:cs="Arial"/>
          <w:b/>
          <w:bCs/>
          <w:smallCaps/>
          <w:color w:val="9D2235"/>
          <w:spacing w:val="-14"/>
          <w:sz w:val="20"/>
          <w:szCs w:val="20"/>
          <w:lang w:eastAsia="es-ES"/>
        </w:rPr>
      </w:pPr>
      <w:bookmarkStart w:id="4" w:name="_Hlk34910541"/>
    </w:p>
    <w:p w14:paraId="56EC0A62" w14:textId="40AFB47E" w:rsidR="00C5316A" w:rsidRDefault="00C5316A" w:rsidP="00A140F9">
      <w:pPr>
        <w:keepNext/>
        <w:spacing w:after="0" w:line="276" w:lineRule="auto"/>
        <w:rPr>
          <w:rFonts w:ascii="Arial" w:eastAsia="Times New Roman" w:hAnsi="Arial" w:cs="Arial"/>
          <w:b/>
          <w:bCs/>
          <w:smallCaps/>
          <w:color w:val="9D2235"/>
          <w:spacing w:val="-14"/>
          <w:sz w:val="20"/>
          <w:szCs w:val="20"/>
          <w:lang w:eastAsia="es-ES"/>
        </w:rPr>
      </w:pPr>
    </w:p>
    <w:p w14:paraId="2FAC211D" w14:textId="77777777" w:rsidR="00342586" w:rsidRPr="00973028" w:rsidRDefault="00342586" w:rsidP="00A140F9">
      <w:pPr>
        <w:keepNext/>
        <w:spacing w:after="0" w:line="276" w:lineRule="auto"/>
        <w:rPr>
          <w:rFonts w:ascii="Arial" w:eastAsia="Times New Roman" w:hAnsi="Arial" w:cs="Arial"/>
          <w:b/>
          <w:bCs/>
          <w:smallCaps/>
          <w:color w:val="9D2235"/>
          <w:spacing w:val="-14"/>
          <w:sz w:val="20"/>
          <w:szCs w:val="20"/>
          <w:lang w:eastAsia="es-ES"/>
        </w:rPr>
      </w:pPr>
    </w:p>
    <w:p w14:paraId="684672D3" w14:textId="4EB51597" w:rsidR="00F5091A" w:rsidRPr="00973028" w:rsidRDefault="00AD0B4D" w:rsidP="00AC1A12">
      <w:pPr>
        <w:pStyle w:val="Prrafodelista"/>
        <w:keepNext/>
        <w:numPr>
          <w:ilvl w:val="0"/>
          <w:numId w:val="18"/>
        </w:numPr>
        <w:spacing w:after="0" w:line="240" w:lineRule="auto"/>
        <w:ind w:left="0" w:firstLine="0"/>
        <w:outlineLvl w:val="0"/>
        <w:rPr>
          <w:rFonts w:ascii="Arial" w:eastAsia="Times New Roman" w:hAnsi="Arial" w:cs="Arial"/>
          <w:color w:val="9D2235"/>
          <w:sz w:val="80"/>
          <w:szCs w:val="80"/>
          <w:lang w:eastAsia="es-ES"/>
        </w:rPr>
      </w:pPr>
      <w:r w:rsidRPr="00973028">
        <w:rPr>
          <w:rFonts w:ascii="Arial" w:eastAsia="Times New Roman" w:hAnsi="Arial" w:cs="Arial"/>
          <w:b/>
          <w:bCs/>
          <w:color w:val="9D2235"/>
          <w:spacing w:val="-24"/>
          <w:kern w:val="2"/>
          <w:sz w:val="80"/>
          <w:szCs w:val="80"/>
          <w:lang w:eastAsia="es-ES"/>
        </w:rPr>
        <w:br/>
      </w:r>
      <w:bookmarkStart w:id="5" w:name="_Toc99106958"/>
      <w:r w:rsidR="00F40F25" w:rsidRPr="00973028">
        <w:rPr>
          <w:rFonts w:ascii="Arial" w:eastAsia="Times New Roman" w:hAnsi="Arial" w:cs="Arial"/>
          <w:b/>
          <w:bCs/>
          <w:color w:val="94070A"/>
          <w:spacing w:val="-14"/>
          <w:sz w:val="80"/>
          <w:szCs w:val="80"/>
          <w:lang w:eastAsia="es-ES"/>
        </w:rPr>
        <w:t>Actividad</w:t>
      </w:r>
      <w:r w:rsidR="00F40F25" w:rsidRPr="00973028">
        <w:rPr>
          <w:rFonts w:ascii="Arial" w:eastAsia="Times New Roman" w:hAnsi="Arial" w:cs="Arial"/>
          <w:spacing w:val="-14"/>
          <w:sz w:val="24"/>
          <w:szCs w:val="24"/>
          <w:lang w:eastAsia="es-ES"/>
        </w:rPr>
        <w:t xml:space="preserve"> </w:t>
      </w:r>
      <w:r w:rsidR="00F40F25" w:rsidRPr="00973028">
        <w:rPr>
          <w:rFonts w:ascii="Arial" w:eastAsia="Times New Roman" w:hAnsi="Arial" w:cs="Arial"/>
          <w:spacing w:val="-14"/>
          <w:sz w:val="24"/>
          <w:szCs w:val="24"/>
          <w:lang w:eastAsia="es-ES"/>
        </w:rPr>
        <w:br/>
      </w:r>
      <w:r w:rsidR="00982941">
        <w:rPr>
          <w:rFonts w:ascii="Arial" w:eastAsia="Times New Roman" w:hAnsi="Arial" w:cs="Arial"/>
          <w:b/>
          <w:bCs/>
          <w:color w:val="94070A"/>
          <w:spacing w:val="-14"/>
          <w:sz w:val="80"/>
          <w:szCs w:val="80"/>
          <w:lang w:eastAsia="es-ES"/>
        </w:rPr>
        <w:t>i</w:t>
      </w:r>
      <w:r w:rsidR="00F40F25" w:rsidRPr="00973028">
        <w:rPr>
          <w:rFonts w:ascii="Arial" w:eastAsia="Times New Roman" w:hAnsi="Arial" w:cs="Arial"/>
          <w:b/>
          <w:bCs/>
          <w:color w:val="94070A"/>
          <w:spacing w:val="-14"/>
          <w:sz w:val="80"/>
          <w:szCs w:val="80"/>
          <w:lang w:eastAsia="es-ES"/>
        </w:rPr>
        <w:t>nstitucional</w:t>
      </w:r>
      <w:bookmarkEnd w:id="5"/>
      <w:r w:rsidR="00F5091A" w:rsidRPr="00973028">
        <w:rPr>
          <w:rFonts w:ascii="Arial" w:eastAsia="Times New Roman" w:hAnsi="Arial" w:cs="Arial"/>
          <w:b/>
          <w:bCs/>
          <w:color w:val="9D2235"/>
          <w:spacing w:val="-24"/>
          <w:kern w:val="2"/>
          <w:sz w:val="80"/>
          <w:szCs w:val="80"/>
          <w:lang w:eastAsia="es-ES"/>
        </w:rPr>
        <w:br/>
      </w:r>
    </w:p>
    <w:p w14:paraId="22F731B3" w14:textId="343F9F09" w:rsidR="00BB4994" w:rsidRPr="00973028" w:rsidRDefault="00B636A3" w:rsidP="00AC1A12">
      <w:pPr>
        <w:pStyle w:val="Prrafodelista"/>
        <w:keepNext/>
        <w:numPr>
          <w:ilvl w:val="1"/>
          <w:numId w:val="15"/>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6" w:name="_Toc99106959"/>
      <w:bookmarkStart w:id="7" w:name="_Hlk95219763"/>
      <w:r w:rsidRPr="00973028">
        <w:rPr>
          <w:rFonts w:ascii="Arial" w:eastAsia="Times New Roman" w:hAnsi="Arial" w:cs="Arial"/>
          <w:b/>
          <w:color w:val="9D2235"/>
          <w:sz w:val="32"/>
          <w:szCs w:val="32"/>
        </w:rPr>
        <w:t>I</w:t>
      </w:r>
      <w:r w:rsidR="004C2326" w:rsidRPr="00973028">
        <w:rPr>
          <w:rFonts w:ascii="Arial" w:eastAsia="Times New Roman" w:hAnsi="Arial" w:cs="Arial"/>
          <w:b/>
          <w:color w:val="9D2235"/>
          <w:sz w:val="32"/>
          <w:szCs w:val="32"/>
        </w:rPr>
        <w:t>ntroducción</w:t>
      </w:r>
      <w:bookmarkEnd w:id="6"/>
    </w:p>
    <w:p w14:paraId="315FDA9E" w14:textId="77777777" w:rsidR="004A122B" w:rsidRPr="004A122B" w:rsidRDefault="004A122B" w:rsidP="0057607F">
      <w:pPr>
        <w:spacing w:after="240" w:line="276" w:lineRule="auto"/>
        <w:jc w:val="both"/>
        <w:rPr>
          <w:rFonts w:ascii="Arial" w:eastAsia="Times New Roman" w:hAnsi="Arial" w:cs="Arial"/>
          <w:sz w:val="21"/>
          <w:szCs w:val="21"/>
          <w:lang w:eastAsia="es-ES"/>
        </w:rPr>
      </w:pPr>
      <w:r w:rsidRPr="004A122B">
        <w:rPr>
          <w:rFonts w:ascii="Arial" w:eastAsia="Times New Roman" w:hAnsi="Arial" w:cs="Arial"/>
          <w:sz w:val="21"/>
          <w:szCs w:val="21"/>
          <w:lang w:eastAsia="es-ES"/>
        </w:rPr>
        <w:t>Bajo la dependencia directa de la persona titular de la Dirección General de la Agencia, corresponden a la unidad administrativa denominada Gabinete de Relaciones Institucionales, Participación y Comunicación las siguientes funciones</w:t>
      </w:r>
      <w:bookmarkEnd w:id="7"/>
      <w:r w:rsidRPr="004A122B">
        <w:rPr>
          <w:rFonts w:ascii="Arial" w:eastAsia="Times New Roman" w:hAnsi="Arial" w:cs="Arial"/>
          <w:sz w:val="21"/>
          <w:szCs w:val="21"/>
          <w:lang w:eastAsia="es-ES"/>
        </w:rPr>
        <w:t>:</w:t>
      </w:r>
    </w:p>
    <w:p w14:paraId="123463DA" w14:textId="77777777" w:rsidR="004A122B" w:rsidRPr="004A122B" w:rsidRDefault="004A122B" w:rsidP="0057607F">
      <w:pPr>
        <w:pStyle w:val="Prrafodelista"/>
        <w:numPr>
          <w:ilvl w:val="0"/>
          <w:numId w:val="14"/>
        </w:numPr>
        <w:spacing w:after="120" w:line="276" w:lineRule="auto"/>
        <w:ind w:left="714" w:hanging="357"/>
        <w:contextualSpacing w:val="0"/>
        <w:jc w:val="both"/>
        <w:rPr>
          <w:rFonts w:ascii="Arial" w:eastAsia="Times New Roman" w:hAnsi="Arial" w:cs="Arial"/>
          <w:sz w:val="21"/>
          <w:szCs w:val="21"/>
          <w:lang w:eastAsia="es-ES"/>
        </w:rPr>
      </w:pPr>
      <w:r w:rsidRPr="004A122B">
        <w:rPr>
          <w:rFonts w:ascii="Arial" w:eastAsia="Times New Roman" w:hAnsi="Arial" w:cs="Arial"/>
          <w:sz w:val="21"/>
          <w:szCs w:val="21"/>
          <w:lang w:eastAsia="es-ES"/>
        </w:rPr>
        <w:t>Mantener, impulsar y gestionar las relaciones institucionales con los órganos e instituciones de la Generalitat, del Estado y de las demás administraciones públicas.</w:t>
      </w:r>
    </w:p>
    <w:p w14:paraId="7EE75CDC" w14:textId="77777777" w:rsidR="004A122B" w:rsidRPr="004A122B" w:rsidRDefault="004A122B" w:rsidP="0057607F">
      <w:pPr>
        <w:pStyle w:val="Prrafodelista"/>
        <w:numPr>
          <w:ilvl w:val="0"/>
          <w:numId w:val="14"/>
        </w:numPr>
        <w:spacing w:after="120" w:line="276" w:lineRule="auto"/>
        <w:ind w:left="714" w:hanging="357"/>
        <w:contextualSpacing w:val="0"/>
        <w:jc w:val="both"/>
        <w:rPr>
          <w:rFonts w:ascii="Arial" w:eastAsia="Times New Roman" w:hAnsi="Arial" w:cs="Arial"/>
          <w:sz w:val="21"/>
          <w:szCs w:val="21"/>
          <w:lang w:eastAsia="es-ES"/>
        </w:rPr>
      </w:pPr>
      <w:r w:rsidRPr="004A122B">
        <w:rPr>
          <w:rFonts w:ascii="Arial" w:eastAsia="Times New Roman" w:hAnsi="Arial" w:cs="Arial"/>
          <w:sz w:val="21"/>
          <w:szCs w:val="21"/>
          <w:lang w:eastAsia="es-ES"/>
        </w:rPr>
        <w:t>Desarrollar las políticas de comunicación externa e imagen institucional de la Agencia, y las relaciones informativas y con los medios de comunicación.</w:t>
      </w:r>
    </w:p>
    <w:p w14:paraId="0CE26CBF" w14:textId="77777777" w:rsidR="004A122B" w:rsidRPr="004A122B" w:rsidRDefault="004A122B" w:rsidP="0057607F">
      <w:pPr>
        <w:pStyle w:val="Prrafodelista"/>
        <w:numPr>
          <w:ilvl w:val="0"/>
          <w:numId w:val="14"/>
        </w:numPr>
        <w:spacing w:after="120" w:line="276" w:lineRule="auto"/>
        <w:ind w:left="714" w:hanging="357"/>
        <w:contextualSpacing w:val="0"/>
        <w:jc w:val="both"/>
        <w:rPr>
          <w:rFonts w:ascii="Arial" w:eastAsia="Times New Roman" w:hAnsi="Arial" w:cs="Arial"/>
          <w:sz w:val="21"/>
          <w:szCs w:val="21"/>
          <w:lang w:eastAsia="es-ES"/>
        </w:rPr>
      </w:pPr>
      <w:r w:rsidRPr="004A122B">
        <w:rPr>
          <w:rFonts w:ascii="Arial" w:eastAsia="Times New Roman" w:hAnsi="Arial" w:cs="Arial"/>
          <w:sz w:val="21"/>
          <w:szCs w:val="21"/>
          <w:lang w:eastAsia="es-ES"/>
        </w:rPr>
        <w:t>Elaborar, gestionar y analizar cualquier tipo de información y documentación sobre las materias propias de la Agencia.</w:t>
      </w:r>
    </w:p>
    <w:p w14:paraId="65728292" w14:textId="77777777" w:rsidR="004A122B" w:rsidRPr="004A122B" w:rsidRDefault="004A122B" w:rsidP="0057607F">
      <w:pPr>
        <w:pStyle w:val="Prrafodelista"/>
        <w:numPr>
          <w:ilvl w:val="0"/>
          <w:numId w:val="14"/>
        </w:numPr>
        <w:spacing w:after="120" w:line="276" w:lineRule="auto"/>
        <w:ind w:left="714" w:hanging="357"/>
        <w:contextualSpacing w:val="0"/>
        <w:jc w:val="both"/>
        <w:rPr>
          <w:rFonts w:ascii="Arial" w:eastAsia="Times New Roman" w:hAnsi="Arial" w:cs="Arial"/>
          <w:sz w:val="21"/>
          <w:szCs w:val="21"/>
          <w:lang w:eastAsia="es-ES"/>
        </w:rPr>
      </w:pPr>
      <w:r w:rsidRPr="004A122B">
        <w:rPr>
          <w:rFonts w:ascii="Arial" w:eastAsia="Times New Roman" w:hAnsi="Arial" w:cs="Arial"/>
          <w:sz w:val="21"/>
          <w:szCs w:val="21"/>
          <w:lang w:eastAsia="es-ES"/>
        </w:rPr>
        <w:t>Proponer, preparar y elaborar los informes, estadísticas, publicaciones, estudios técnicos y memorias necesarios en relación con las funciones atribuidas a la Agencia.</w:t>
      </w:r>
    </w:p>
    <w:p w14:paraId="75081B2A" w14:textId="77777777" w:rsidR="004A122B" w:rsidRPr="004A122B" w:rsidRDefault="004A122B" w:rsidP="0057607F">
      <w:pPr>
        <w:pStyle w:val="Prrafodelista"/>
        <w:numPr>
          <w:ilvl w:val="0"/>
          <w:numId w:val="14"/>
        </w:numPr>
        <w:spacing w:after="120" w:line="276" w:lineRule="auto"/>
        <w:ind w:left="714" w:hanging="357"/>
        <w:contextualSpacing w:val="0"/>
        <w:jc w:val="both"/>
        <w:rPr>
          <w:rFonts w:ascii="Arial" w:eastAsia="Times New Roman" w:hAnsi="Arial" w:cs="Arial"/>
          <w:sz w:val="21"/>
          <w:szCs w:val="21"/>
          <w:lang w:eastAsia="es-ES"/>
        </w:rPr>
      </w:pPr>
      <w:r w:rsidRPr="004A122B">
        <w:rPr>
          <w:rFonts w:ascii="Arial" w:eastAsia="Times New Roman" w:hAnsi="Arial" w:cs="Arial"/>
          <w:sz w:val="21"/>
          <w:szCs w:val="21"/>
          <w:lang w:eastAsia="es-ES"/>
        </w:rPr>
        <w:t>Proponer y tramitar las actuaciones de la Agencia relacionadas con la actividad parlamentaria.</w:t>
      </w:r>
    </w:p>
    <w:p w14:paraId="53070B53" w14:textId="77777777" w:rsidR="004A122B" w:rsidRPr="004A122B" w:rsidRDefault="004A122B" w:rsidP="0057607F">
      <w:pPr>
        <w:pStyle w:val="Prrafodelista"/>
        <w:numPr>
          <w:ilvl w:val="0"/>
          <w:numId w:val="14"/>
        </w:numPr>
        <w:spacing w:after="120" w:line="276" w:lineRule="auto"/>
        <w:ind w:left="714" w:hanging="357"/>
        <w:contextualSpacing w:val="0"/>
        <w:jc w:val="both"/>
        <w:rPr>
          <w:rFonts w:ascii="Arial" w:eastAsia="Times New Roman" w:hAnsi="Arial" w:cs="Arial"/>
          <w:sz w:val="21"/>
          <w:szCs w:val="21"/>
          <w:lang w:eastAsia="es-ES"/>
        </w:rPr>
      </w:pPr>
      <w:r w:rsidRPr="004A122B">
        <w:rPr>
          <w:rFonts w:ascii="Arial" w:eastAsia="Times New Roman" w:hAnsi="Arial" w:cs="Arial"/>
          <w:sz w:val="21"/>
          <w:szCs w:val="21"/>
          <w:lang w:eastAsia="es-ES"/>
        </w:rPr>
        <w:t>Desarrollar programas específicos de sensibilización a la ciudadanía para fomentar la creación de una cultura social de rechazo de la corrupción.</w:t>
      </w:r>
    </w:p>
    <w:p w14:paraId="504A4CBD" w14:textId="77777777" w:rsidR="004A122B" w:rsidRPr="004A122B" w:rsidRDefault="004A122B" w:rsidP="0057607F">
      <w:pPr>
        <w:pStyle w:val="Prrafodelista"/>
        <w:numPr>
          <w:ilvl w:val="0"/>
          <w:numId w:val="14"/>
        </w:numPr>
        <w:spacing w:after="120" w:line="276" w:lineRule="auto"/>
        <w:ind w:left="714" w:hanging="357"/>
        <w:contextualSpacing w:val="0"/>
        <w:jc w:val="both"/>
        <w:rPr>
          <w:rFonts w:ascii="Arial" w:eastAsia="Times New Roman" w:hAnsi="Arial" w:cs="Arial"/>
          <w:sz w:val="21"/>
          <w:szCs w:val="21"/>
          <w:lang w:eastAsia="es-ES"/>
        </w:rPr>
      </w:pPr>
      <w:r w:rsidRPr="004A122B">
        <w:rPr>
          <w:rFonts w:ascii="Arial" w:eastAsia="Times New Roman" w:hAnsi="Arial" w:cs="Arial"/>
          <w:sz w:val="21"/>
          <w:szCs w:val="21"/>
          <w:lang w:eastAsia="es-ES"/>
        </w:rPr>
        <w:t>Promover espacios de encuentro e intercambio con la sociedad civil y recoger sus aportaciones.</w:t>
      </w:r>
    </w:p>
    <w:p w14:paraId="4D6EC37A" w14:textId="77777777" w:rsidR="004A122B" w:rsidRPr="004A122B" w:rsidRDefault="004A122B" w:rsidP="0057607F">
      <w:pPr>
        <w:pStyle w:val="Prrafodelista"/>
        <w:numPr>
          <w:ilvl w:val="0"/>
          <w:numId w:val="14"/>
        </w:numPr>
        <w:spacing w:after="120" w:line="276" w:lineRule="auto"/>
        <w:ind w:left="714" w:hanging="357"/>
        <w:contextualSpacing w:val="0"/>
        <w:jc w:val="both"/>
        <w:rPr>
          <w:rFonts w:ascii="Arial" w:eastAsia="Times New Roman" w:hAnsi="Arial" w:cs="Arial"/>
          <w:sz w:val="21"/>
          <w:szCs w:val="21"/>
          <w:lang w:eastAsia="es-ES"/>
        </w:rPr>
      </w:pPr>
      <w:r w:rsidRPr="004A122B">
        <w:rPr>
          <w:rFonts w:ascii="Arial" w:eastAsia="Times New Roman" w:hAnsi="Arial" w:cs="Arial"/>
          <w:sz w:val="21"/>
          <w:szCs w:val="21"/>
          <w:lang w:eastAsia="es-ES"/>
        </w:rPr>
        <w:t>Efectuar el seguimiento, evaluación del desarrollo y grado de cumplimiento de la normativa vigente en materia de igualdad entre mujeres y hombres en el ámbito de las actuaciones de la Agencia, incluida la utilización de un lenguaje no sexista y no discriminatorio y la transmisión de valores positivos e igualitarios en la publicidad institucional.</w:t>
      </w:r>
    </w:p>
    <w:p w14:paraId="2D4E10D7" w14:textId="77777777" w:rsidR="004A122B" w:rsidRPr="004A122B" w:rsidRDefault="004A122B" w:rsidP="0057607F">
      <w:pPr>
        <w:pStyle w:val="Prrafodelista"/>
        <w:numPr>
          <w:ilvl w:val="0"/>
          <w:numId w:val="14"/>
        </w:numPr>
        <w:spacing w:after="240" w:line="276" w:lineRule="auto"/>
        <w:ind w:left="714" w:hanging="357"/>
        <w:contextualSpacing w:val="0"/>
        <w:jc w:val="both"/>
        <w:rPr>
          <w:rFonts w:ascii="Arial" w:eastAsia="Times New Roman" w:hAnsi="Arial" w:cs="Arial"/>
          <w:sz w:val="21"/>
          <w:szCs w:val="21"/>
          <w:lang w:eastAsia="es-ES"/>
        </w:rPr>
      </w:pPr>
      <w:r w:rsidRPr="004A122B">
        <w:rPr>
          <w:rFonts w:ascii="Arial" w:eastAsia="Times New Roman" w:hAnsi="Arial" w:cs="Arial"/>
          <w:sz w:val="21"/>
          <w:szCs w:val="21"/>
          <w:lang w:eastAsia="es-ES"/>
        </w:rPr>
        <w:t>Aquellas otras que se le asignen por la persona titular de la dirección.</w:t>
      </w:r>
    </w:p>
    <w:p w14:paraId="2C7FA755" w14:textId="6CA01652" w:rsidR="00BB4994" w:rsidRDefault="004A122B" w:rsidP="004A122B">
      <w:pPr>
        <w:widowControl w:val="0"/>
        <w:suppressAutoHyphens/>
        <w:autoSpaceDN w:val="0"/>
        <w:spacing w:after="240" w:line="276" w:lineRule="auto"/>
        <w:jc w:val="both"/>
        <w:rPr>
          <w:rFonts w:ascii="Arial" w:eastAsia="Calibri" w:hAnsi="Arial" w:cs="Arial"/>
          <w:sz w:val="21"/>
        </w:rPr>
      </w:pPr>
      <w:r w:rsidRPr="004A122B">
        <w:rPr>
          <w:rFonts w:ascii="Arial" w:eastAsia="Times New Roman" w:hAnsi="Arial" w:cs="Arial"/>
          <w:sz w:val="21"/>
          <w:szCs w:val="21"/>
          <w:lang w:eastAsia="es-ES"/>
        </w:rPr>
        <w:t>Desde el Gabinete de Relaciones Institucionales, Comunicación y Participación se han realizado a lo largo de 2021 distintas actividades institucionales que se detallan en los epígrafes que a continuación se desarrollan</w:t>
      </w:r>
      <w:r w:rsidR="00BB4994" w:rsidRPr="00973028">
        <w:rPr>
          <w:rFonts w:ascii="Arial" w:eastAsia="Calibri" w:hAnsi="Arial" w:cs="Arial"/>
          <w:sz w:val="21"/>
        </w:rPr>
        <w:t>.</w:t>
      </w:r>
    </w:p>
    <w:p w14:paraId="5485424C" w14:textId="77777777" w:rsidR="00E47C8A" w:rsidRPr="00973028" w:rsidRDefault="00E47C8A" w:rsidP="004A122B">
      <w:pPr>
        <w:widowControl w:val="0"/>
        <w:suppressAutoHyphens/>
        <w:autoSpaceDN w:val="0"/>
        <w:spacing w:after="240" w:line="276" w:lineRule="auto"/>
        <w:jc w:val="both"/>
        <w:rPr>
          <w:rFonts w:ascii="Arial" w:eastAsia="Calibri" w:hAnsi="Arial" w:cs="Arial"/>
          <w:sz w:val="21"/>
        </w:rPr>
      </w:pPr>
    </w:p>
    <w:p w14:paraId="38433AD3" w14:textId="5BD301B4" w:rsidR="00BB4994" w:rsidRDefault="001417E2" w:rsidP="00AC1A12">
      <w:pPr>
        <w:pStyle w:val="Prrafodelista"/>
        <w:keepNext/>
        <w:numPr>
          <w:ilvl w:val="1"/>
          <w:numId w:val="15"/>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8" w:name="_Toc99106960"/>
      <w:r>
        <w:rPr>
          <w:rFonts w:ascii="Arial" w:eastAsia="Times New Roman" w:hAnsi="Arial" w:cs="Arial"/>
          <w:b/>
          <w:color w:val="9D2235"/>
          <w:sz w:val="32"/>
          <w:szCs w:val="32"/>
        </w:rPr>
        <w:t>Actos organizados</w:t>
      </w:r>
      <w:bookmarkEnd w:id="8"/>
    </w:p>
    <w:p w14:paraId="6E4B4F68" w14:textId="77777777" w:rsidR="007D286C" w:rsidRPr="007D286C" w:rsidRDefault="007D286C" w:rsidP="00E47C8A">
      <w:pPr>
        <w:spacing w:after="240" w:line="276" w:lineRule="auto"/>
        <w:jc w:val="both"/>
        <w:rPr>
          <w:rFonts w:ascii="Arial" w:eastAsia="Times New Roman" w:hAnsi="Arial" w:cs="Arial"/>
          <w:sz w:val="21"/>
          <w:szCs w:val="21"/>
          <w:lang w:eastAsia="es-ES"/>
        </w:rPr>
      </w:pPr>
      <w:r w:rsidRPr="007D286C">
        <w:rPr>
          <w:rFonts w:ascii="Arial" w:eastAsia="Times New Roman" w:hAnsi="Arial" w:cs="Arial"/>
          <w:sz w:val="21"/>
          <w:szCs w:val="21"/>
          <w:lang w:eastAsia="es-ES"/>
        </w:rPr>
        <w:t>A fin de difundir las actividades de la Agencia en el ámbito de la sociedad civil, se han desarrollado diversos actos, organizados por la propia Agencia, para sensibilizar a la ciudadanía en materia de lucha contra el fraude y la corrupción.</w:t>
      </w:r>
    </w:p>
    <w:p w14:paraId="54C24D54" w14:textId="77777777" w:rsidR="007D286C" w:rsidRPr="007D286C" w:rsidRDefault="007D286C" w:rsidP="000553A3">
      <w:pPr>
        <w:spacing w:after="240" w:line="276" w:lineRule="auto"/>
        <w:jc w:val="both"/>
        <w:rPr>
          <w:rFonts w:ascii="Arial" w:eastAsia="Times New Roman" w:hAnsi="Arial" w:cs="Arial"/>
          <w:sz w:val="21"/>
          <w:szCs w:val="21"/>
          <w:lang w:eastAsia="es-ES"/>
        </w:rPr>
      </w:pPr>
      <w:r w:rsidRPr="007D286C">
        <w:rPr>
          <w:rFonts w:ascii="Arial" w:eastAsia="Times New Roman" w:hAnsi="Arial" w:cs="Arial"/>
          <w:sz w:val="21"/>
          <w:szCs w:val="21"/>
          <w:lang w:eastAsia="es-ES"/>
        </w:rPr>
        <w:t xml:space="preserve">El formato elegido, en la mayoría de los casos, ha sido virtual, difundido en streaming a través de las redes sociales. Estos </w:t>
      </w:r>
      <w:r w:rsidRPr="007D286C">
        <w:rPr>
          <w:rFonts w:ascii="Arial" w:eastAsia="Times New Roman" w:hAnsi="Arial" w:cs="Arial"/>
          <w:i/>
          <w:sz w:val="21"/>
          <w:szCs w:val="21"/>
          <w:lang w:eastAsia="es-ES"/>
        </w:rPr>
        <w:t>webinar</w:t>
      </w:r>
      <w:r w:rsidRPr="007D286C">
        <w:rPr>
          <w:rFonts w:ascii="Arial" w:eastAsia="Times New Roman" w:hAnsi="Arial" w:cs="Arial"/>
          <w:sz w:val="21"/>
          <w:szCs w:val="21"/>
          <w:lang w:eastAsia="es-ES"/>
        </w:rPr>
        <w:t xml:space="preserve"> han permitido poder realizar estos actos con éxito, dada la situación de riesgo sanitario vivida, y llegar a un público más amplio. Durante el 2022 se han realizado los siguientes:</w:t>
      </w:r>
    </w:p>
    <w:p w14:paraId="09A346E2" w14:textId="77777777" w:rsidR="007D286C" w:rsidRPr="007D286C" w:rsidRDefault="007D286C" w:rsidP="00E47C8A">
      <w:pPr>
        <w:spacing w:after="240" w:line="276" w:lineRule="auto"/>
        <w:jc w:val="both"/>
        <w:rPr>
          <w:rFonts w:ascii="Arial" w:eastAsia="Times New Roman" w:hAnsi="Arial" w:cs="Arial"/>
          <w:i/>
          <w:color w:val="82695E" w:themeColor="background2" w:themeShade="80"/>
          <w:sz w:val="21"/>
          <w:szCs w:val="21"/>
          <w:lang w:eastAsia="es-ES"/>
        </w:rPr>
      </w:pPr>
      <w:r w:rsidRPr="007D286C">
        <w:rPr>
          <w:rFonts w:ascii="Arial" w:eastAsia="Times New Roman" w:hAnsi="Arial" w:cs="Arial"/>
          <w:i/>
          <w:color w:val="82695E" w:themeColor="background2" w:themeShade="80"/>
          <w:sz w:val="21"/>
          <w:szCs w:val="21"/>
          <w:lang w:eastAsia="es-ES"/>
        </w:rPr>
        <w:t>Pueden pinchar en la imagen para acceder al canal YouTube de la Agencia y visualizar la grabación.</w:t>
      </w:r>
    </w:p>
    <w:p w14:paraId="3B4E189C" w14:textId="77777777" w:rsidR="007D286C" w:rsidRPr="007D286C" w:rsidRDefault="007D286C" w:rsidP="00E47C8A">
      <w:pPr>
        <w:spacing w:after="120" w:line="276" w:lineRule="auto"/>
        <w:jc w:val="both"/>
        <w:rPr>
          <w:rFonts w:ascii="Arial" w:eastAsia="Times New Roman" w:hAnsi="Arial" w:cs="Arial"/>
          <w:b/>
          <w:sz w:val="21"/>
          <w:szCs w:val="21"/>
          <w:lang w:eastAsia="es-ES"/>
        </w:rPr>
      </w:pPr>
      <w:r w:rsidRPr="007D286C">
        <w:rPr>
          <w:rFonts w:ascii="Arial" w:eastAsia="Times New Roman" w:hAnsi="Arial" w:cs="Arial"/>
          <w:sz w:val="21"/>
          <w:szCs w:val="21"/>
          <w:lang w:eastAsia="es-ES"/>
        </w:rPr>
        <w:t xml:space="preserve">24 de marzo </w:t>
      </w:r>
    </w:p>
    <w:p w14:paraId="3E12EBC5" w14:textId="77777777" w:rsidR="007D286C" w:rsidRPr="007D286C" w:rsidRDefault="007D286C" w:rsidP="00E47C8A">
      <w:pPr>
        <w:spacing w:after="240" w:line="276" w:lineRule="auto"/>
        <w:jc w:val="both"/>
        <w:rPr>
          <w:rFonts w:ascii="Arial" w:eastAsia="Times New Roman" w:hAnsi="Arial" w:cs="Arial"/>
          <w:b/>
          <w:sz w:val="21"/>
          <w:szCs w:val="21"/>
          <w:lang w:eastAsia="es-ES"/>
        </w:rPr>
      </w:pPr>
      <w:r w:rsidRPr="007D286C">
        <w:rPr>
          <w:rFonts w:ascii="Arial" w:eastAsia="Times New Roman" w:hAnsi="Arial" w:cs="Arial"/>
          <w:b/>
          <w:sz w:val="21"/>
          <w:szCs w:val="21"/>
          <w:lang w:eastAsia="es-ES"/>
        </w:rPr>
        <w:t>Webinar “Enriquecimiento injusto, ¿uso o abuso?</w:t>
      </w:r>
    </w:p>
    <w:p w14:paraId="76EBA8E6" w14:textId="4A8529B5" w:rsidR="007D286C" w:rsidRDefault="00D42E2E" w:rsidP="007D286C">
      <w:pPr>
        <w:jc w:val="both"/>
        <w:rPr>
          <w:rFonts w:ascii="Arial" w:eastAsia="Times New Roman" w:hAnsi="Arial" w:cs="Arial"/>
          <w:sz w:val="21"/>
          <w:szCs w:val="21"/>
          <w:lang w:eastAsia="es-ES"/>
        </w:rPr>
      </w:pPr>
      <w:r>
        <w:rPr>
          <w:noProof/>
        </w:rPr>
        <mc:AlternateContent>
          <mc:Choice Requires="wps">
            <w:drawing>
              <wp:anchor distT="0" distB="0" distL="114300" distR="114300" simplePos="0" relativeHeight="251979776" behindDoc="0" locked="0" layoutInCell="1" allowOverlap="1" wp14:anchorId="653F300A" wp14:editId="1346798C">
                <wp:simplePos x="0" y="0"/>
                <wp:positionH relativeFrom="column">
                  <wp:posOffset>8890</wp:posOffset>
                </wp:positionH>
                <wp:positionV relativeFrom="paragraph">
                  <wp:posOffset>3725545</wp:posOffset>
                </wp:positionV>
                <wp:extent cx="5390515" cy="635"/>
                <wp:effectExtent l="0" t="0" r="0" b="0"/>
                <wp:wrapTopAndBottom/>
                <wp:docPr id="12" name="Cuadro de texto 12"/>
                <wp:cNvGraphicFramePr/>
                <a:graphic xmlns:a="http://schemas.openxmlformats.org/drawingml/2006/main">
                  <a:graphicData uri="http://schemas.microsoft.com/office/word/2010/wordprocessingShape">
                    <wps:wsp>
                      <wps:cNvSpPr txBox="1"/>
                      <wps:spPr>
                        <a:xfrm>
                          <a:off x="0" y="0"/>
                          <a:ext cx="5390515" cy="635"/>
                        </a:xfrm>
                        <a:prstGeom prst="rect">
                          <a:avLst/>
                        </a:prstGeom>
                        <a:solidFill>
                          <a:prstClr val="white"/>
                        </a:solidFill>
                        <a:ln>
                          <a:noFill/>
                        </a:ln>
                      </wps:spPr>
                      <wps:txbx>
                        <w:txbxContent>
                          <w:p w14:paraId="23760E14" w14:textId="03605744" w:rsidR="00D42E2E" w:rsidRPr="00D42E2E" w:rsidRDefault="00D42E2E" w:rsidP="00BC351A">
                            <w:pPr>
                              <w:pStyle w:val="Descripcin"/>
                              <w:spacing w:after="120"/>
                              <w:contextualSpacing/>
                              <w:jc w:val="center"/>
                              <w:rPr>
                                <w:rFonts w:ascii="Arial" w:hAnsi="Arial" w:cs="Arial"/>
                                <w:smallCaps w:val="0"/>
                                <w:noProof/>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53F300A" id="_x0000_t202" coordsize="21600,21600" o:spt="202" path="m,l,21600r21600,l21600,xe">
                <v:stroke joinstyle="miter"/>
                <v:path gradientshapeok="t" o:connecttype="rect"/>
              </v:shapetype>
              <v:shape id="Cuadro de texto 12" o:spid="_x0000_s1026" type="#_x0000_t202" style="position:absolute;left:0;text-align:left;margin-left:.7pt;margin-top:293.35pt;width:424.4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" stroked="f">
                <v:textbox style="mso-fit-shape-to-text:t" inset="0,0,0,0">
                  <w:txbxContent>
                    <w:p w14:paraId="23760E14" w14:textId="03605744" w:rsidR="00D42E2E" w:rsidRPr="00D42E2E" w:rsidRDefault="00D42E2E" w:rsidP="00BC351A">
                      <w:pPr>
                        <w:pStyle w:val="Descripcin"/>
                        <w:spacing w:after="120"/>
                        <w:contextualSpacing/>
                        <w:jc w:val="center"/>
                        <w:rPr>
                          <w:rFonts w:ascii="Arial" w:hAnsi="Arial" w:cs="Arial"/>
                          <w:smallCaps w:val="0"/>
                          <w:noProof/>
                          <w:sz w:val="18"/>
                          <w:szCs w:val="18"/>
                        </w:rPr>
                      </w:pPr>
                    </w:p>
                  </w:txbxContent>
                </v:textbox>
                <w10:wrap type="topAndBottom"/>
              </v:shape>
            </w:pict>
          </mc:Fallback>
        </mc:AlternateContent>
      </w:r>
      <w:r w:rsidR="007D286C" w:rsidRPr="007D286C">
        <w:rPr>
          <w:rFonts w:ascii="Arial" w:eastAsia="Times New Roman" w:hAnsi="Arial" w:cs="Arial"/>
          <w:sz w:val="21"/>
          <w:szCs w:val="21"/>
          <w:lang w:eastAsia="es-ES"/>
        </w:rPr>
        <w:t xml:space="preserve">En colaboración con el Colegio de Secretarios, Interventores y Tesoreros de la Administración Local (COSITAL), la Agencia organizó esta jornada de debate “on line” siguiendo la recomendación general de la AVAF: “La vía del enriquecimiento injusto en el sector público: ¿uso o abuso?”, aprobada por </w:t>
      </w:r>
      <w:r w:rsidR="00DD6F16">
        <w:rPr>
          <w:rFonts w:ascii="Arial" w:eastAsia="Times New Roman" w:hAnsi="Arial" w:cs="Arial"/>
          <w:sz w:val="21"/>
          <w:szCs w:val="21"/>
          <w:lang w:eastAsia="es-ES"/>
        </w:rPr>
        <w:t>R</w:t>
      </w:r>
      <w:r w:rsidR="007D286C" w:rsidRPr="007D286C">
        <w:rPr>
          <w:rFonts w:ascii="Arial" w:eastAsia="Times New Roman" w:hAnsi="Arial" w:cs="Arial"/>
          <w:sz w:val="21"/>
          <w:szCs w:val="21"/>
          <w:lang w:eastAsia="es-ES"/>
        </w:rPr>
        <w:t xml:space="preserve">esolución del </w:t>
      </w:r>
      <w:r w:rsidR="00CB3DFD">
        <w:rPr>
          <w:rFonts w:ascii="Arial" w:eastAsia="Times New Roman" w:hAnsi="Arial" w:cs="Arial"/>
          <w:sz w:val="21"/>
          <w:szCs w:val="21"/>
          <w:lang w:eastAsia="es-ES"/>
        </w:rPr>
        <w:t>d</w:t>
      </w:r>
      <w:r w:rsidR="007D286C" w:rsidRPr="007D286C">
        <w:rPr>
          <w:rFonts w:ascii="Arial" w:eastAsia="Times New Roman" w:hAnsi="Arial" w:cs="Arial"/>
          <w:sz w:val="21"/>
          <w:szCs w:val="21"/>
          <w:lang w:eastAsia="es-ES"/>
        </w:rPr>
        <w:t>irector núm. 122, de 11 de mayo de 2020.</w:t>
      </w:r>
    </w:p>
    <w:p w14:paraId="4821FBCF" w14:textId="77777777" w:rsidR="00E47C8A" w:rsidRDefault="00E47C8A" w:rsidP="00106031">
      <w:pPr>
        <w:keepNext/>
        <w:spacing w:after="120"/>
        <w:jc w:val="both"/>
      </w:pPr>
      <w:r w:rsidRPr="00E47C8A">
        <w:rPr>
          <w:rFonts w:ascii="Arial" w:eastAsia="Times New Roman" w:hAnsi="Arial" w:cs="Arial"/>
          <w:noProof/>
          <w:sz w:val="21"/>
          <w:szCs w:val="20"/>
        </w:rPr>
        <w:drawing>
          <wp:inline distT="0" distB="0" distL="0" distR="0" wp14:anchorId="0A401B56" wp14:editId="100DEE85">
            <wp:extent cx="5400040" cy="3037205"/>
            <wp:effectExtent l="0" t="0" r="0" b="0"/>
            <wp:docPr id="31" name="Imagen 31" descr="Escala de tiempo&#10;&#10;Descripción generada automáticamente">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Escala de tiempo&#10;&#10;Descripción generada automáticamente">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40" cy="3037205"/>
                    </a:xfrm>
                    <a:prstGeom prst="rect">
                      <a:avLst/>
                    </a:prstGeom>
                    <a:noFill/>
                    <a:ln>
                      <a:noFill/>
                    </a:ln>
                  </pic:spPr>
                </pic:pic>
              </a:graphicData>
            </a:graphic>
          </wp:inline>
        </w:drawing>
      </w:r>
    </w:p>
    <w:p w14:paraId="2FAD9835" w14:textId="5A0B38B4" w:rsidR="00E47C8A" w:rsidRPr="00E47C8A" w:rsidRDefault="00E47C8A" w:rsidP="00106031">
      <w:pPr>
        <w:pStyle w:val="Descripcin"/>
        <w:spacing w:after="240" w:line="276" w:lineRule="auto"/>
        <w:jc w:val="center"/>
        <w:rPr>
          <w:rFonts w:ascii="Arial" w:eastAsia="Times New Roman" w:hAnsi="Arial" w:cs="Arial"/>
          <w:smallCaps w:val="0"/>
          <w:sz w:val="18"/>
          <w:szCs w:val="18"/>
          <w:lang w:eastAsia="es-ES"/>
        </w:rPr>
      </w:pPr>
      <w:bookmarkStart w:id="9" w:name="_Toc99099789"/>
      <w:r w:rsidRPr="00E47C8A">
        <w:rPr>
          <w:rFonts w:ascii="Arial" w:hAnsi="Arial" w:cs="Arial"/>
          <w:smallCaps w:val="0"/>
          <w:color w:val="9D2235" w:themeColor="accent1"/>
          <w:sz w:val="18"/>
          <w:szCs w:val="18"/>
        </w:rPr>
        <w:t xml:space="preserve">Ilustración </w:t>
      </w:r>
      <w:r w:rsidRPr="00E47C8A">
        <w:rPr>
          <w:rFonts w:ascii="Arial" w:hAnsi="Arial" w:cs="Arial"/>
          <w:smallCaps w:val="0"/>
          <w:color w:val="9D2235" w:themeColor="accent1"/>
          <w:sz w:val="18"/>
          <w:szCs w:val="18"/>
        </w:rPr>
        <w:fldChar w:fldCharType="begin" w:fldLock="1"/>
      </w:r>
      <w:r w:rsidRPr="00E47C8A">
        <w:rPr>
          <w:rFonts w:ascii="Arial" w:hAnsi="Arial" w:cs="Arial"/>
          <w:smallCaps w:val="0"/>
          <w:color w:val="9D2235" w:themeColor="accent1"/>
          <w:sz w:val="18"/>
          <w:szCs w:val="18"/>
        </w:rPr>
        <w:instrText xml:space="preserve"> SEQ Ilustración \* ARABIC </w:instrText>
      </w:r>
      <w:r w:rsidRPr="00E47C8A">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w:t>
      </w:r>
      <w:r w:rsidRPr="00E47C8A">
        <w:rPr>
          <w:rFonts w:ascii="Arial" w:hAnsi="Arial" w:cs="Arial"/>
          <w:smallCaps w:val="0"/>
          <w:color w:val="9D2235" w:themeColor="accent1"/>
          <w:sz w:val="18"/>
          <w:szCs w:val="18"/>
        </w:rPr>
        <w:fldChar w:fldCharType="end"/>
      </w:r>
      <w:r w:rsidRPr="00E47C8A">
        <w:rPr>
          <w:rFonts w:ascii="Arial" w:hAnsi="Arial" w:cs="Arial"/>
          <w:smallCaps w:val="0"/>
          <w:color w:val="9D2235" w:themeColor="accent1"/>
          <w:sz w:val="18"/>
          <w:szCs w:val="18"/>
        </w:rPr>
        <w:t xml:space="preserve">. </w:t>
      </w:r>
      <w:r w:rsidRPr="00E47C8A">
        <w:rPr>
          <w:rFonts w:ascii="Arial" w:hAnsi="Arial" w:cs="Arial"/>
          <w:smallCaps w:val="0"/>
          <w:sz w:val="18"/>
          <w:szCs w:val="18"/>
        </w:rPr>
        <w:t>Infografía del webinar: Enriquecimiento injusto ¿uso o abuso?</w:t>
      </w:r>
      <w:bookmarkEnd w:id="9"/>
    </w:p>
    <w:p w14:paraId="40C6E96A" w14:textId="01917EF0" w:rsidR="007D286C" w:rsidRDefault="007D286C" w:rsidP="00DB7855">
      <w:pPr>
        <w:pStyle w:val="NormalWeb"/>
        <w:spacing w:before="0" w:beforeAutospacing="0" w:after="240" w:line="276" w:lineRule="auto"/>
        <w:jc w:val="both"/>
        <w:rPr>
          <w:rStyle w:val="Hipervnculo"/>
          <w:rFonts w:ascii="Arial" w:hAnsi="Arial" w:cs="Arial"/>
          <w:sz w:val="21"/>
          <w:szCs w:val="21"/>
        </w:rPr>
      </w:pPr>
      <w:r w:rsidRPr="007D286C">
        <w:rPr>
          <w:rFonts w:ascii="Arial" w:hAnsi="Arial" w:cs="Arial"/>
          <w:sz w:val="21"/>
          <w:szCs w:val="21"/>
        </w:rPr>
        <w:t xml:space="preserve">Pueden ver el webinar en el canal de YouTube de la Agencia Valenciana Antifraude en este enlace: </w:t>
      </w:r>
      <w:hyperlink r:id="rId58" w:history="1">
        <w:r w:rsidRPr="007D286C">
          <w:rPr>
            <w:rStyle w:val="Hipervnculo"/>
            <w:rFonts w:ascii="Arial" w:hAnsi="Arial" w:cs="Arial"/>
            <w:sz w:val="21"/>
            <w:szCs w:val="21"/>
          </w:rPr>
          <w:t>https://www.youtube.com/watch?v=-LL-x9CZRXo</w:t>
        </w:r>
      </w:hyperlink>
    </w:p>
    <w:p w14:paraId="1958B437" w14:textId="62CAF395" w:rsidR="007D286C" w:rsidRPr="007D286C" w:rsidRDefault="007D286C" w:rsidP="000553A3">
      <w:pPr>
        <w:spacing w:after="0" w:line="276" w:lineRule="auto"/>
        <w:jc w:val="both"/>
        <w:rPr>
          <w:rFonts w:ascii="Arial" w:eastAsia="Times New Roman" w:hAnsi="Arial" w:cs="Arial"/>
          <w:sz w:val="21"/>
          <w:szCs w:val="21"/>
          <w:lang w:eastAsia="es-ES"/>
        </w:rPr>
      </w:pPr>
      <w:r w:rsidRPr="007D286C">
        <w:rPr>
          <w:rFonts w:ascii="Arial" w:eastAsia="Times New Roman" w:hAnsi="Arial" w:cs="Arial"/>
          <w:sz w:val="21"/>
          <w:szCs w:val="21"/>
          <w:lang w:eastAsia="es-ES"/>
        </w:rPr>
        <w:t>11 de mayo</w:t>
      </w:r>
    </w:p>
    <w:p w14:paraId="7B06554E" w14:textId="251951C9" w:rsidR="007D286C" w:rsidRDefault="007D286C" w:rsidP="00E47C8A">
      <w:pPr>
        <w:spacing w:after="120" w:line="276" w:lineRule="auto"/>
        <w:jc w:val="both"/>
        <w:rPr>
          <w:rFonts w:ascii="Arial" w:eastAsia="Times New Roman" w:hAnsi="Arial" w:cs="Arial"/>
          <w:b/>
          <w:sz w:val="21"/>
          <w:szCs w:val="21"/>
          <w:lang w:eastAsia="es-ES"/>
        </w:rPr>
      </w:pPr>
      <w:r w:rsidRPr="007D286C">
        <w:rPr>
          <w:rFonts w:ascii="Arial" w:eastAsia="Times New Roman" w:hAnsi="Arial" w:cs="Arial"/>
          <w:b/>
          <w:sz w:val="21"/>
          <w:szCs w:val="21"/>
          <w:lang w:eastAsia="es-ES"/>
        </w:rPr>
        <w:t>Webinar “El buzón de denuncias”</w:t>
      </w:r>
    </w:p>
    <w:p w14:paraId="3D037B6F" w14:textId="7B9004A7" w:rsidR="007D286C" w:rsidRDefault="007D286C" w:rsidP="000553A3">
      <w:pPr>
        <w:spacing w:after="0" w:line="276" w:lineRule="auto"/>
        <w:jc w:val="both"/>
        <w:rPr>
          <w:rFonts w:ascii="Arial" w:eastAsia="Times New Roman" w:hAnsi="Arial" w:cs="Arial"/>
          <w:sz w:val="21"/>
          <w:szCs w:val="21"/>
          <w:lang w:eastAsia="es-ES"/>
        </w:rPr>
      </w:pPr>
      <w:r w:rsidRPr="007D286C">
        <w:rPr>
          <w:rFonts w:ascii="Arial" w:eastAsia="Times New Roman" w:hAnsi="Arial" w:cs="Arial"/>
          <w:sz w:val="21"/>
          <w:szCs w:val="21"/>
          <w:lang w:eastAsia="es-ES"/>
        </w:rPr>
        <w:t>Formación sobre el buzón de denuncias de la Agencia con la participación del director y exposición del director de Análisis e Investigación.</w:t>
      </w:r>
    </w:p>
    <w:p w14:paraId="326D5EE4" w14:textId="77777777" w:rsidR="00E47C8A" w:rsidRDefault="00E47C8A" w:rsidP="00106031">
      <w:pPr>
        <w:keepNext/>
        <w:spacing w:after="120" w:line="276" w:lineRule="auto"/>
        <w:jc w:val="both"/>
      </w:pPr>
      <w:r w:rsidRPr="00E47C8A">
        <w:rPr>
          <w:rFonts w:ascii="Arial" w:eastAsia="Times New Roman" w:hAnsi="Arial" w:cs="Arial"/>
          <w:noProof/>
          <w:sz w:val="21"/>
          <w:szCs w:val="20"/>
        </w:rPr>
        <w:drawing>
          <wp:inline distT="0" distB="0" distL="0" distR="0" wp14:anchorId="02DC9312" wp14:editId="69DAC83D">
            <wp:extent cx="5400040" cy="3037205"/>
            <wp:effectExtent l="0" t="0" r="0" b="0"/>
            <wp:docPr id="36" name="Imagen 36" descr="Texto&#10;&#10;Descripción generada automáticamente con confianza media">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Texto&#10;&#10;Descripción generada automáticamente con confianza media">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40" cy="3037205"/>
                    </a:xfrm>
                    <a:prstGeom prst="rect">
                      <a:avLst/>
                    </a:prstGeom>
                    <a:noFill/>
                    <a:ln>
                      <a:noFill/>
                    </a:ln>
                  </pic:spPr>
                </pic:pic>
              </a:graphicData>
            </a:graphic>
          </wp:inline>
        </w:drawing>
      </w:r>
    </w:p>
    <w:p w14:paraId="5F0F7A7E" w14:textId="7AC9A444" w:rsidR="00E47C8A" w:rsidRPr="00E47C8A" w:rsidRDefault="00E47C8A" w:rsidP="00106031">
      <w:pPr>
        <w:pStyle w:val="Descripcin"/>
        <w:spacing w:after="240" w:line="276" w:lineRule="auto"/>
        <w:jc w:val="center"/>
        <w:rPr>
          <w:rFonts w:ascii="Arial" w:eastAsia="Times New Roman" w:hAnsi="Arial" w:cs="Arial"/>
          <w:smallCaps w:val="0"/>
          <w:sz w:val="18"/>
          <w:szCs w:val="18"/>
          <w:lang w:eastAsia="es-ES"/>
        </w:rPr>
      </w:pPr>
      <w:bookmarkStart w:id="10" w:name="_Toc99099790"/>
      <w:r w:rsidRPr="00E47C8A">
        <w:rPr>
          <w:rFonts w:ascii="Arial" w:hAnsi="Arial" w:cs="Arial"/>
          <w:smallCaps w:val="0"/>
          <w:color w:val="9D2235" w:themeColor="accent1"/>
          <w:sz w:val="18"/>
          <w:szCs w:val="18"/>
        </w:rPr>
        <w:t xml:space="preserve">Ilustración </w:t>
      </w:r>
      <w:r w:rsidRPr="00E47C8A">
        <w:rPr>
          <w:rFonts w:ascii="Arial" w:hAnsi="Arial" w:cs="Arial"/>
          <w:smallCaps w:val="0"/>
          <w:color w:val="9D2235" w:themeColor="accent1"/>
          <w:sz w:val="18"/>
          <w:szCs w:val="18"/>
        </w:rPr>
        <w:fldChar w:fldCharType="begin" w:fldLock="1"/>
      </w:r>
      <w:r w:rsidRPr="00E47C8A">
        <w:rPr>
          <w:rFonts w:ascii="Arial" w:hAnsi="Arial" w:cs="Arial"/>
          <w:smallCaps w:val="0"/>
          <w:color w:val="9D2235" w:themeColor="accent1"/>
          <w:sz w:val="18"/>
          <w:szCs w:val="18"/>
        </w:rPr>
        <w:instrText xml:space="preserve"> SEQ Ilustración \* ARABIC </w:instrText>
      </w:r>
      <w:r w:rsidRPr="00E47C8A">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w:t>
      </w:r>
      <w:r w:rsidRPr="00E47C8A">
        <w:rPr>
          <w:rFonts w:ascii="Arial" w:hAnsi="Arial" w:cs="Arial"/>
          <w:smallCaps w:val="0"/>
          <w:color w:val="9D2235" w:themeColor="accent1"/>
          <w:sz w:val="18"/>
          <w:szCs w:val="18"/>
        </w:rPr>
        <w:fldChar w:fldCharType="end"/>
      </w:r>
      <w:r w:rsidRPr="00E47C8A">
        <w:rPr>
          <w:rFonts w:ascii="Arial" w:hAnsi="Arial" w:cs="Arial"/>
          <w:smallCaps w:val="0"/>
          <w:color w:val="9D2235" w:themeColor="accent1"/>
          <w:sz w:val="18"/>
          <w:szCs w:val="18"/>
        </w:rPr>
        <w:t xml:space="preserve">. </w:t>
      </w:r>
      <w:r w:rsidRPr="00E47C8A">
        <w:rPr>
          <w:rFonts w:ascii="Arial" w:hAnsi="Arial" w:cs="Arial"/>
          <w:smallCaps w:val="0"/>
          <w:sz w:val="18"/>
          <w:szCs w:val="18"/>
        </w:rPr>
        <w:t>Infografía del webinar: El buzón de denuncias de la A</w:t>
      </w:r>
      <w:r w:rsidR="00CB1EC3">
        <w:rPr>
          <w:rFonts w:ascii="Arial" w:hAnsi="Arial" w:cs="Arial"/>
          <w:smallCaps w:val="0"/>
          <w:sz w:val="18"/>
          <w:szCs w:val="18"/>
        </w:rPr>
        <w:t>VAF</w:t>
      </w:r>
      <w:bookmarkEnd w:id="10"/>
    </w:p>
    <w:p w14:paraId="007FF05E" w14:textId="590F2CDD" w:rsidR="007D286C" w:rsidRPr="007D286C" w:rsidRDefault="007D286C" w:rsidP="008304FA">
      <w:pPr>
        <w:spacing w:after="240" w:line="240" w:lineRule="auto"/>
        <w:jc w:val="both"/>
        <w:rPr>
          <w:rFonts w:ascii="Arial" w:hAnsi="Arial" w:cs="Arial"/>
          <w:sz w:val="21"/>
          <w:szCs w:val="21"/>
        </w:rPr>
      </w:pPr>
      <w:r w:rsidRPr="007D286C">
        <w:rPr>
          <w:rFonts w:ascii="Arial" w:hAnsi="Arial" w:cs="Arial"/>
          <w:sz w:val="21"/>
          <w:szCs w:val="21"/>
        </w:rPr>
        <w:t xml:space="preserve">Pueden ver el webinar en el canal de YouTube de la Agencia Valenciana Antifraude en este enlace: </w:t>
      </w:r>
      <w:hyperlink r:id="rId61" w:history="1">
        <w:r w:rsidRPr="007D286C">
          <w:rPr>
            <w:rStyle w:val="Hipervnculo"/>
            <w:rFonts w:ascii="Arial" w:hAnsi="Arial" w:cs="Arial"/>
            <w:sz w:val="21"/>
            <w:szCs w:val="21"/>
          </w:rPr>
          <w:t>https://www.youtube.com/watch?v=E5S_jPCbkjM</w:t>
        </w:r>
      </w:hyperlink>
    </w:p>
    <w:p w14:paraId="55146F69" w14:textId="77777777" w:rsidR="007D286C" w:rsidRPr="007D286C" w:rsidRDefault="007D286C" w:rsidP="000553A3">
      <w:pPr>
        <w:spacing w:after="0" w:line="276" w:lineRule="auto"/>
        <w:jc w:val="both"/>
        <w:rPr>
          <w:rFonts w:ascii="Arial" w:eastAsia="Times New Roman" w:hAnsi="Arial" w:cs="Arial"/>
          <w:sz w:val="21"/>
          <w:szCs w:val="21"/>
          <w:lang w:eastAsia="es-ES"/>
        </w:rPr>
      </w:pPr>
      <w:r w:rsidRPr="007D286C">
        <w:rPr>
          <w:rFonts w:ascii="Arial" w:eastAsia="Times New Roman" w:hAnsi="Arial" w:cs="Arial"/>
          <w:sz w:val="21"/>
          <w:szCs w:val="21"/>
          <w:lang w:eastAsia="es-ES"/>
        </w:rPr>
        <w:t>10 de junio de 2021</w:t>
      </w:r>
    </w:p>
    <w:p w14:paraId="0C02F952" w14:textId="5B621B31" w:rsidR="007D286C" w:rsidRPr="007D286C" w:rsidRDefault="007D286C" w:rsidP="008740D0">
      <w:pPr>
        <w:spacing w:after="240" w:line="276" w:lineRule="auto"/>
        <w:jc w:val="both"/>
        <w:rPr>
          <w:rFonts w:ascii="Arial" w:eastAsia="Times New Roman" w:hAnsi="Arial" w:cs="Arial"/>
          <w:b/>
          <w:sz w:val="21"/>
          <w:szCs w:val="21"/>
          <w:lang w:eastAsia="es-ES"/>
        </w:rPr>
      </w:pPr>
      <w:r w:rsidRPr="007D286C">
        <w:rPr>
          <w:rFonts w:ascii="Arial" w:eastAsia="Times New Roman" w:hAnsi="Arial" w:cs="Arial"/>
          <w:b/>
          <w:sz w:val="21"/>
          <w:szCs w:val="21"/>
          <w:lang w:eastAsia="es-ES"/>
        </w:rPr>
        <w:t>Webinar ¿Qué pasará el 17 de diciembre?</w:t>
      </w:r>
    </w:p>
    <w:p w14:paraId="69E298D6" w14:textId="2E3231BF" w:rsidR="00DD05E7" w:rsidRDefault="00D42E2E" w:rsidP="000553A3">
      <w:pPr>
        <w:spacing w:after="0" w:line="276" w:lineRule="auto"/>
        <w:jc w:val="both"/>
        <w:rPr>
          <w:rFonts w:ascii="Arial" w:eastAsia="Times New Roman" w:hAnsi="Arial" w:cs="Arial"/>
          <w:color w:val="000000"/>
          <w:sz w:val="21"/>
          <w:szCs w:val="21"/>
          <w:lang w:eastAsia="es-ES"/>
        </w:rPr>
      </w:pPr>
      <w:r>
        <w:rPr>
          <w:noProof/>
        </w:rPr>
        <mc:AlternateContent>
          <mc:Choice Requires="wps">
            <w:drawing>
              <wp:anchor distT="0" distB="0" distL="114300" distR="114300" simplePos="0" relativeHeight="251983872" behindDoc="0" locked="0" layoutInCell="1" allowOverlap="1" wp14:anchorId="2BF15993" wp14:editId="026A3F7D">
                <wp:simplePos x="0" y="0"/>
                <wp:positionH relativeFrom="column">
                  <wp:posOffset>0</wp:posOffset>
                </wp:positionH>
                <wp:positionV relativeFrom="paragraph">
                  <wp:posOffset>8257540</wp:posOffset>
                </wp:positionV>
                <wp:extent cx="5398770" cy="635"/>
                <wp:effectExtent l="0" t="0" r="0" b="0"/>
                <wp:wrapTopAndBottom/>
                <wp:docPr id="51" name="Cuadro de texto 51"/>
                <wp:cNvGraphicFramePr/>
                <a:graphic xmlns:a="http://schemas.openxmlformats.org/drawingml/2006/main">
                  <a:graphicData uri="http://schemas.microsoft.com/office/word/2010/wordprocessingShape">
                    <wps:wsp>
                      <wps:cNvSpPr txBox="1"/>
                      <wps:spPr>
                        <a:xfrm>
                          <a:off x="0" y="0"/>
                          <a:ext cx="5398770" cy="635"/>
                        </a:xfrm>
                        <a:prstGeom prst="rect">
                          <a:avLst/>
                        </a:prstGeom>
                        <a:solidFill>
                          <a:prstClr val="white"/>
                        </a:solidFill>
                        <a:ln>
                          <a:noFill/>
                        </a:ln>
                      </wps:spPr>
                      <wps:txbx>
                        <w:txbxContent>
                          <w:p w14:paraId="592CFF93" w14:textId="205926B8" w:rsidR="00D42E2E" w:rsidRPr="00D42E2E" w:rsidRDefault="00D42E2E" w:rsidP="00BC351A">
                            <w:pPr>
                              <w:pStyle w:val="Descripcin"/>
                              <w:jc w:val="center"/>
                              <w:rPr>
                                <w:rFonts w:ascii="Arial" w:hAnsi="Arial" w:cs="Arial"/>
                                <w:smallCaps w:val="0"/>
                                <w:noProof/>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F15993" id="Cuadro de texto 51" o:spid="_x0000_s1027" type="#_x0000_t202" style="position:absolute;left:0;text-align:left;margin-left:0;margin-top:650.2pt;width:425.1pt;height:.05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" stroked="f">
                <v:textbox style="mso-fit-shape-to-text:t" inset="0,0,0,0">
                  <w:txbxContent>
                    <w:p w14:paraId="592CFF93" w14:textId="205926B8" w:rsidR="00D42E2E" w:rsidRPr="00D42E2E" w:rsidRDefault="00D42E2E" w:rsidP="00BC351A">
                      <w:pPr>
                        <w:pStyle w:val="Descripcin"/>
                        <w:jc w:val="center"/>
                        <w:rPr>
                          <w:rFonts w:ascii="Arial" w:hAnsi="Arial" w:cs="Arial"/>
                          <w:smallCaps w:val="0"/>
                          <w:noProof/>
                          <w:sz w:val="18"/>
                          <w:szCs w:val="18"/>
                        </w:rPr>
                      </w:pPr>
                    </w:p>
                  </w:txbxContent>
                </v:textbox>
                <w10:wrap type="topAndBottom"/>
              </v:shape>
            </w:pict>
          </mc:Fallback>
        </mc:AlternateContent>
      </w:r>
      <w:r w:rsidR="007D286C" w:rsidRPr="007D286C">
        <w:rPr>
          <w:rFonts w:ascii="Arial" w:eastAsia="Times New Roman" w:hAnsi="Arial" w:cs="Arial"/>
          <w:sz w:val="21"/>
          <w:szCs w:val="21"/>
          <w:lang w:eastAsia="es-ES"/>
        </w:rPr>
        <w:t xml:space="preserve">Los directores de las Oficinas y Agencias Antifraude se unieron para impartir este webinar, presentado por el Prof. Manuel Villoria, que versó sobre la trasposición de la </w:t>
      </w:r>
      <w:r w:rsidR="007D286C" w:rsidRPr="007D286C">
        <w:rPr>
          <w:rFonts w:ascii="Arial" w:eastAsia="Times New Roman" w:hAnsi="Arial" w:cs="Arial"/>
          <w:color w:val="000000"/>
          <w:sz w:val="21"/>
          <w:szCs w:val="21"/>
          <w:lang w:eastAsia="es-ES"/>
        </w:rPr>
        <w:t xml:space="preserve">Directiva 2019/1937, Whistleblowing. </w:t>
      </w:r>
    </w:p>
    <w:p w14:paraId="0C9D6119" w14:textId="35D471DB" w:rsidR="00DD05E7" w:rsidRDefault="002E0389" w:rsidP="000553A3">
      <w:pPr>
        <w:spacing w:after="0" w:line="276" w:lineRule="auto"/>
        <w:jc w:val="both"/>
        <w:rPr>
          <w:rFonts w:ascii="Arial" w:eastAsia="Times New Roman" w:hAnsi="Arial" w:cs="Arial"/>
          <w:color w:val="000000"/>
          <w:sz w:val="21"/>
          <w:szCs w:val="21"/>
          <w:lang w:eastAsia="es-ES"/>
        </w:rPr>
      </w:pPr>
      <w:r w:rsidRPr="00DD05E7">
        <w:rPr>
          <w:rFonts w:ascii="Arial" w:eastAsia="Times New Roman" w:hAnsi="Arial" w:cs="Arial"/>
          <w:noProof/>
          <w:sz w:val="21"/>
          <w:szCs w:val="20"/>
        </w:rPr>
        <w:drawing>
          <wp:anchor distT="0" distB="0" distL="114300" distR="114300" simplePos="0" relativeHeight="252030976" behindDoc="0" locked="0" layoutInCell="1" allowOverlap="1" wp14:anchorId="2F2256D3" wp14:editId="741D1985">
            <wp:simplePos x="0" y="0"/>
            <wp:positionH relativeFrom="margin">
              <wp:align>left</wp:align>
            </wp:positionH>
            <wp:positionV relativeFrom="page">
              <wp:posOffset>2264410</wp:posOffset>
            </wp:positionV>
            <wp:extent cx="5393055" cy="3038475"/>
            <wp:effectExtent l="0" t="0" r="0" b="9525"/>
            <wp:wrapTopAndBottom/>
            <wp:docPr id="37" name="Imagen 37" descr="Diagrama, Texto&#10;&#10;Descripción generada automáticament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Diagrama, Texto&#10;&#10;Descripción generada automáticamente">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93055" cy="3038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05E7">
        <w:rPr>
          <w:noProof/>
        </w:rPr>
        <mc:AlternateContent>
          <mc:Choice Requires="wps">
            <w:drawing>
              <wp:anchor distT="0" distB="0" distL="114300" distR="114300" simplePos="0" relativeHeight="252033024" behindDoc="0" locked="0" layoutInCell="1" allowOverlap="1" wp14:anchorId="627EBA2B" wp14:editId="7223FFA2">
                <wp:simplePos x="0" y="0"/>
                <wp:positionH relativeFrom="margin">
                  <wp:posOffset>-635</wp:posOffset>
                </wp:positionH>
                <wp:positionV relativeFrom="paragraph">
                  <wp:posOffset>3336290</wp:posOffset>
                </wp:positionV>
                <wp:extent cx="5393055" cy="209550"/>
                <wp:effectExtent l="0" t="0" r="0" b="0"/>
                <wp:wrapTopAndBottom/>
                <wp:docPr id="38" name="Cuadro de texto 38"/>
                <wp:cNvGraphicFramePr/>
                <a:graphic xmlns:a="http://schemas.openxmlformats.org/drawingml/2006/main">
                  <a:graphicData uri="http://schemas.microsoft.com/office/word/2010/wordprocessingShape">
                    <wps:wsp>
                      <wps:cNvSpPr txBox="1"/>
                      <wps:spPr>
                        <a:xfrm>
                          <a:off x="0" y="0"/>
                          <a:ext cx="5393055" cy="209550"/>
                        </a:xfrm>
                        <a:prstGeom prst="rect">
                          <a:avLst/>
                        </a:prstGeom>
                        <a:solidFill>
                          <a:prstClr val="white"/>
                        </a:solidFill>
                        <a:ln>
                          <a:noFill/>
                        </a:ln>
                      </wps:spPr>
                      <wps:txbx>
                        <w:txbxContent>
                          <w:p w14:paraId="7643D72C" w14:textId="622FDA17" w:rsidR="00DD05E7" w:rsidRPr="00DD05E7" w:rsidRDefault="00DD05E7" w:rsidP="00DD05E7">
                            <w:pPr>
                              <w:pStyle w:val="Descripcin"/>
                              <w:spacing w:after="240" w:line="276" w:lineRule="auto"/>
                              <w:jc w:val="center"/>
                              <w:rPr>
                                <w:rFonts w:ascii="Arial" w:hAnsi="Arial" w:cs="Arial"/>
                                <w:smallCaps w:val="0"/>
                                <w:noProof/>
                                <w:sz w:val="18"/>
                                <w:szCs w:val="18"/>
                              </w:rPr>
                            </w:pPr>
                            <w:bookmarkStart w:id="11" w:name="_Toc99099791"/>
                            <w:r w:rsidRPr="00DD05E7">
                              <w:rPr>
                                <w:rFonts w:ascii="Arial" w:hAnsi="Arial" w:cs="Arial"/>
                                <w:smallCaps w:val="0"/>
                                <w:color w:val="9D2235" w:themeColor="accent1"/>
                                <w:sz w:val="18"/>
                                <w:szCs w:val="18"/>
                              </w:rPr>
                              <w:t xml:space="preserve">Ilustración </w:t>
                            </w:r>
                            <w:r w:rsidRPr="00DD05E7">
                              <w:rPr>
                                <w:rFonts w:ascii="Arial" w:hAnsi="Arial" w:cs="Arial"/>
                                <w:smallCaps w:val="0"/>
                                <w:color w:val="9D2235" w:themeColor="accent1"/>
                                <w:sz w:val="18"/>
                                <w:szCs w:val="18"/>
                              </w:rPr>
                              <w:fldChar w:fldCharType="begin"/>
                            </w:r>
                            <w:r w:rsidRPr="00DD05E7">
                              <w:rPr>
                                <w:rFonts w:ascii="Arial" w:hAnsi="Arial" w:cs="Arial"/>
                                <w:smallCaps w:val="0"/>
                                <w:color w:val="9D2235" w:themeColor="accent1"/>
                                <w:sz w:val="18"/>
                                <w:szCs w:val="18"/>
                              </w:rPr>
                              <w:instrText xml:space="preserve"> SEQ Ilustración \* ARABIC </w:instrText>
                            </w:r>
                            <w:r w:rsidRPr="00DD05E7">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3</w:t>
                            </w:r>
                            <w:r w:rsidRPr="00DD05E7">
                              <w:rPr>
                                <w:rFonts w:ascii="Arial" w:hAnsi="Arial" w:cs="Arial"/>
                                <w:smallCaps w:val="0"/>
                                <w:color w:val="9D2235" w:themeColor="accent1"/>
                                <w:sz w:val="18"/>
                                <w:szCs w:val="18"/>
                              </w:rPr>
                              <w:fldChar w:fldCharType="end"/>
                            </w:r>
                            <w:r w:rsidRPr="00DD05E7">
                              <w:rPr>
                                <w:rFonts w:ascii="Arial" w:hAnsi="Arial" w:cs="Arial"/>
                                <w:smallCaps w:val="0"/>
                                <w:color w:val="9D2235" w:themeColor="accent1"/>
                                <w:sz w:val="18"/>
                                <w:szCs w:val="18"/>
                              </w:rPr>
                              <w:t xml:space="preserve">. </w:t>
                            </w:r>
                            <w:r w:rsidRPr="00DD05E7">
                              <w:rPr>
                                <w:rFonts w:ascii="Arial" w:hAnsi="Arial" w:cs="Arial"/>
                                <w:smallCaps w:val="0"/>
                                <w:sz w:val="18"/>
                                <w:szCs w:val="18"/>
                              </w:rPr>
                              <w:t>Infografía del webinar: ¿Qué pasará el 17 de diciembre?</w:t>
                            </w:r>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27EBA2B" id="_x0000_t202" coordsize="21600,21600" o:spt="202" path="m,l,21600r21600,l21600,xe">
                <v:stroke joinstyle="miter"/>
                <v:path gradientshapeok="t" o:connecttype="rect"/>
              </v:shapetype>
              <v:shape id="Cuadro de texto 38" o:spid="_x0000_s1028" type="#_x0000_t202" style="position:absolute;left:0;text-align:left;margin-left:-.05pt;margin-top:262.7pt;width:424.65pt;height:16.5pt;z-index:2520330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" stroked="f">
                <v:textbox inset="0,0,0,0">
                  <w:txbxContent>
                    <w:p w14:paraId="7643D72C" w14:textId="622FDA17" w:rsidR="00DD05E7" w:rsidRPr="00DD05E7" w:rsidRDefault="00DD05E7" w:rsidP="00DD05E7">
                      <w:pPr>
                        <w:pStyle w:val="Descripcin"/>
                        <w:spacing w:after="240" w:line="276" w:lineRule="auto"/>
                        <w:jc w:val="center"/>
                        <w:rPr>
                          <w:rFonts w:ascii="Arial" w:hAnsi="Arial" w:cs="Arial"/>
                          <w:smallCaps w:val="0"/>
                          <w:noProof/>
                          <w:sz w:val="18"/>
                          <w:szCs w:val="18"/>
                        </w:rPr>
                      </w:pPr>
                      <w:bookmarkStart w:id="12" w:name="_Toc99099791"/>
                      <w:r w:rsidRPr="00DD05E7">
                        <w:rPr>
                          <w:rFonts w:ascii="Arial" w:hAnsi="Arial" w:cs="Arial"/>
                          <w:smallCaps w:val="0"/>
                          <w:color w:val="9D2235" w:themeColor="accent1"/>
                          <w:sz w:val="18"/>
                          <w:szCs w:val="18"/>
                        </w:rPr>
                        <w:t xml:space="preserve">Ilustración </w:t>
                      </w:r>
                      <w:r w:rsidRPr="00DD05E7">
                        <w:rPr>
                          <w:rFonts w:ascii="Arial" w:hAnsi="Arial" w:cs="Arial"/>
                          <w:smallCaps w:val="0"/>
                          <w:color w:val="9D2235" w:themeColor="accent1"/>
                          <w:sz w:val="18"/>
                          <w:szCs w:val="18"/>
                        </w:rPr>
                        <w:fldChar w:fldCharType="begin"/>
                      </w:r>
                      <w:r w:rsidRPr="00DD05E7">
                        <w:rPr>
                          <w:rFonts w:ascii="Arial" w:hAnsi="Arial" w:cs="Arial"/>
                          <w:smallCaps w:val="0"/>
                          <w:color w:val="9D2235" w:themeColor="accent1"/>
                          <w:sz w:val="18"/>
                          <w:szCs w:val="18"/>
                        </w:rPr>
                        <w:instrText xml:space="preserve"> SEQ Ilustración \* ARABIC </w:instrText>
                      </w:r>
                      <w:r w:rsidRPr="00DD05E7">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3</w:t>
                      </w:r>
                      <w:r w:rsidRPr="00DD05E7">
                        <w:rPr>
                          <w:rFonts w:ascii="Arial" w:hAnsi="Arial" w:cs="Arial"/>
                          <w:smallCaps w:val="0"/>
                          <w:color w:val="9D2235" w:themeColor="accent1"/>
                          <w:sz w:val="18"/>
                          <w:szCs w:val="18"/>
                        </w:rPr>
                        <w:fldChar w:fldCharType="end"/>
                      </w:r>
                      <w:r w:rsidRPr="00DD05E7">
                        <w:rPr>
                          <w:rFonts w:ascii="Arial" w:hAnsi="Arial" w:cs="Arial"/>
                          <w:smallCaps w:val="0"/>
                          <w:color w:val="9D2235" w:themeColor="accent1"/>
                          <w:sz w:val="18"/>
                          <w:szCs w:val="18"/>
                        </w:rPr>
                        <w:t xml:space="preserve">. </w:t>
                      </w:r>
                      <w:r w:rsidRPr="00DD05E7">
                        <w:rPr>
                          <w:rFonts w:ascii="Arial" w:hAnsi="Arial" w:cs="Arial"/>
                          <w:smallCaps w:val="0"/>
                          <w:sz w:val="18"/>
                          <w:szCs w:val="18"/>
                        </w:rPr>
                        <w:t>Infografía del webinar: ¿Qué pasará el 17 de diciembre?</w:t>
                      </w:r>
                      <w:bookmarkEnd w:id="12"/>
                    </w:p>
                  </w:txbxContent>
                </v:textbox>
                <w10:wrap type="topAndBottom" anchorx="margin"/>
              </v:shape>
            </w:pict>
          </mc:Fallback>
        </mc:AlternateContent>
      </w:r>
    </w:p>
    <w:p w14:paraId="0B4A817A" w14:textId="71B4880E" w:rsidR="00DD05E7" w:rsidRDefault="00DD05E7" w:rsidP="00DD05E7">
      <w:pPr>
        <w:pStyle w:val="NormalWeb"/>
        <w:spacing w:before="0" w:beforeAutospacing="0" w:after="240" w:line="276" w:lineRule="auto"/>
        <w:jc w:val="both"/>
        <w:rPr>
          <w:rFonts w:ascii="Arial" w:hAnsi="Arial" w:cs="Arial"/>
          <w:sz w:val="21"/>
          <w:szCs w:val="21"/>
        </w:rPr>
      </w:pPr>
    </w:p>
    <w:p w14:paraId="60030A78" w14:textId="4455EC81" w:rsidR="007D286C" w:rsidRPr="007D286C" w:rsidRDefault="007D286C" w:rsidP="00DD05E7">
      <w:pPr>
        <w:pStyle w:val="NormalWeb"/>
        <w:spacing w:before="0" w:beforeAutospacing="0" w:after="240" w:line="276" w:lineRule="auto"/>
        <w:jc w:val="both"/>
        <w:rPr>
          <w:rFonts w:ascii="Arial" w:hAnsi="Arial" w:cs="Arial"/>
          <w:sz w:val="21"/>
          <w:szCs w:val="21"/>
        </w:rPr>
      </w:pPr>
      <w:r w:rsidRPr="007D286C">
        <w:rPr>
          <w:rFonts w:ascii="Arial" w:hAnsi="Arial" w:cs="Arial"/>
          <w:sz w:val="21"/>
          <w:szCs w:val="21"/>
        </w:rPr>
        <w:t xml:space="preserve">Pueden ver el webinar en el canal de YouTube de la Agencia Valenciana Antifraude en este enlace: </w:t>
      </w:r>
      <w:hyperlink r:id="rId64" w:history="1">
        <w:r w:rsidRPr="007D286C">
          <w:rPr>
            <w:rStyle w:val="Hipervnculo"/>
            <w:rFonts w:ascii="Arial" w:hAnsi="Arial" w:cs="Arial"/>
            <w:sz w:val="21"/>
            <w:szCs w:val="21"/>
          </w:rPr>
          <w:t>https://www.youtube.com/watch?v=wt8GwdQZskc</w:t>
        </w:r>
      </w:hyperlink>
    </w:p>
    <w:p w14:paraId="34CCFF03" w14:textId="530B12AE" w:rsidR="007D286C" w:rsidRPr="007D286C" w:rsidRDefault="007D286C" w:rsidP="00DD05E7">
      <w:pPr>
        <w:spacing w:after="120" w:line="276" w:lineRule="auto"/>
        <w:jc w:val="both"/>
        <w:rPr>
          <w:rFonts w:ascii="Arial" w:eastAsia="Times New Roman" w:hAnsi="Arial" w:cs="Arial"/>
          <w:b/>
          <w:sz w:val="21"/>
          <w:szCs w:val="21"/>
          <w:lang w:eastAsia="es-ES"/>
        </w:rPr>
      </w:pPr>
      <w:r w:rsidRPr="007D286C">
        <w:rPr>
          <w:rFonts w:ascii="Arial" w:eastAsia="Times New Roman" w:hAnsi="Arial" w:cs="Arial"/>
          <w:sz w:val="21"/>
          <w:szCs w:val="21"/>
          <w:lang w:eastAsia="es-ES"/>
        </w:rPr>
        <w:t>23 de junio</w:t>
      </w:r>
    </w:p>
    <w:p w14:paraId="375FD3AF" w14:textId="20FB0C9C" w:rsidR="007D286C" w:rsidRPr="007D286C" w:rsidRDefault="007D286C" w:rsidP="008740D0">
      <w:pPr>
        <w:spacing w:after="240" w:line="276" w:lineRule="auto"/>
        <w:jc w:val="both"/>
        <w:rPr>
          <w:rFonts w:ascii="Arial" w:eastAsia="Times New Roman" w:hAnsi="Arial" w:cs="Arial"/>
          <w:b/>
          <w:sz w:val="21"/>
          <w:szCs w:val="21"/>
          <w:lang w:eastAsia="es-ES"/>
        </w:rPr>
      </w:pPr>
      <w:r w:rsidRPr="007D286C">
        <w:rPr>
          <w:rFonts w:ascii="Arial" w:eastAsia="Times New Roman" w:hAnsi="Arial" w:cs="Arial"/>
          <w:b/>
          <w:sz w:val="21"/>
          <w:szCs w:val="21"/>
          <w:lang w:eastAsia="es-ES"/>
        </w:rPr>
        <w:t>Webinar “Día Mundial de la persona alertadora”</w:t>
      </w:r>
    </w:p>
    <w:p w14:paraId="1F07B4A1" w14:textId="40CF3B49" w:rsidR="00D42E2E" w:rsidRDefault="007D286C" w:rsidP="00DD05E7">
      <w:pPr>
        <w:spacing w:after="240" w:line="276" w:lineRule="auto"/>
        <w:jc w:val="both"/>
        <w:rPr>
          <w:rFonts w:ascii="Arial" w:eastAsia="Times New Roman" w:hAnsi="Arial" w:cs="Arial"/>
          <w:sz w:val="21"/>
          <w:szCs w:val="21"/>
          <w:lang w:eastAsia="es-ES"/>
        </w:rPr>
      </w:pPr>
      <w:r w:rsidRPr="007D286C">
        <w:rPr>
          <w:rFonts w:ascii="Arial" w:eastAsia="Times New Roman" w:hAnsi="Arial" w:cs="Arial"/>
          <w:sz w:val="21"/>
          <w:szCs w:val="21"/>
          <w:lang w:eastAsia="es-ES"/>
        </w:rPr>
        <w:t xml:space="preserve">Con ocasión de la celebración del Día Mundial de la persona alertadora, se celebró este webinar en el que se leyó la declaración institucional de la AVAF </w:t>
      </w:r>
      <w:hyperlink r:id="rId65" w:history="1">
        <w:r w:rsidRPr="007D286C">
          <w:rPr>
            <w:rStyle w:val="Hipervnculo"/>
            <w:rFonts w:ascii="Arial" w:eastAsia="Times New Roman" w:hAnsi="Arial" w:cs="Arial"/>
            <w:sz w:val="21"/>
            <w:szCs w:val="21"/>
            <w:lang w:eastAsia="es-ES"/>
          </w:rPr>
          <w:t>https://www.antifraucv.es/wp-content/uploads/2021/06/210623-Declaracion_-Institucional-_AVAF.pdf</w:t>
        </w:r>
      </w:hyperlink>
      <w:r w:rsidRPr="007D286C">
        <w:rPr>
          <w:rFonts w:ascii="Arial" w:eastAsia="Times New Roman" w:hAnsi="Arial" w:cs="Arial"/>
          <w:sz w:val="21"/>
          <w:szCs w:val="21"/>
          <w:lang w:eastAsia="es-ES"/>
        </w:rPr>
        <w:t>, seguida de la conferencia de la Sra. Irma Ferrer, abogada de Transparencia Urbanística y de Acción Cívica contra la Corrupción.</w:t>
      </w:r>
    </w:p>
    <w:p w14:paraId="6BD897E2" w14:textId="77777777" w:rsidR="00DD05E7" w:rsidRDefault="00DD05E7" w:rsidP="00DD05E7">
      <w:pPr>
        <w:keepNext/>
        <w:spacing w:after="240" w:line="276" w:lineRule="auto"/>
        <w:jc w:val="both"/>
      </w:pPr>
      <w:r w:rsidRPr="00DD05E7">
        <w:rPr>
          <w:rFonts w:ascii="Arial" w:eastAsia="Times New Roman" w:hAnsi="Arial" w:cs="Arial"/>
          <w:noProof/>
          <w:sz w:val="21"/>
          <w:szCs w:val="20"/>
        </w:rPr>
        <w:drawing>
          <wp:inline distT="0" distB="0" distL="0" distR="0" wp14:anchorId="29F78587" wp14:editId="5CA8140B">
            <wp:extent cx="5400040" cy="3037205"/>
            <wp:effectExtent l="0" t="0" r="0" b="0"/>
            <wp:docPr id="39" name="Imagen 39" descr="Diagrama&#10;&#10;Descripción generada automáticamente">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Diagrama&#10;&#10;Descripción generada automáticamente">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3037205"/>
                    </a:xfrm>
                    <a:prstGeom prst="rect">
                      <a:avLst/>
                    </a:prstGeom>
                    <a:noFill/>
                    <a:ln>
                      <a:noFill/>
                    </a:ln>
                  </pic:spPr>
                </pic:pic>
              </a:graphicData>
            </a:graphic>
          </wp:inline>
        </w:drawing>
      </w:r>
    </w:p>
    <w:p w14:paraId="692226B3" w14:textId="176A006C" w:rsidR="00DD05E7" w:rsidRPr="00DD05E7" w:rsidRDefault="00DD05E7" w:rsidP="00DD05E7">
      <w:pPr>
        <w:pStyle w:val="Descripcin"/>
        <w:jc w:val="center"/>
        <w:rPr>
          <w:rFonts w:ascii="Arial" w:eastAsia="Times New Roman" w:hAnsi="Arial" w:cs="Arial"/>
          <w:smallCaps w:val="0"/>
          <w:sz w:val="18"/>
          <w:szCs w:val="18"/>
          <w:lang w:eastAsia="es-ES"/>
        </w:rPr>
      </w:pPr>
      <w:bookmarkStart w:id="12" w:name="_Toc99099792"/>
      <w:r w:rsidRPr="00DD05E7">
        <w:rPr>
          <w:rFonts w:ascii="Arial" w:hAnsi="Arial" w:cs="Arial"/>
          <w:smallCaps w:val="0"/>
          <w:color w:val="9D2235" w:themeColor="accent1"/>
          <w:sz w:val="18"/>
          <w:szCs w:val="18"/>
        </w:rPr>
        <w:t xml:space="preserve">Ilustración </w:t>
      </w:r>
      <w:r w:rsidRPr="00DD05E7">
        <w:rPr>
          <w:rFonts w:ascii="Arial" w:hAnsi="Arial" w:cs="Arial"/>
          <w:smallCaps w:val="0"/>
          <w:color w:val="9D2235" w:themeColor="accent1"/>
          <w:sz w:val="18"/>
          <w:szCs w:val="18"/>
        </w:rPr>
        <w:fldChar w:fldCharType="begin" w:fldLock="1"/>
      </w:r>
      <w:r w:rsidRPr="00DD05E7">
        <w:rPr>
          <w:rFonts w:ascii="Arial" w:hAnsi="Arial" w:cs="Arial"/>
          <w:smallCaps w:val="0"/>
          <w:color w:val="9D2235" w:themeColor="accent1"/>
          <w:sz w:val="18"/>
          <w:szCs w:val="18"/>
        </w:rPr>
        <w:instrText xml:space="preserve"> SEQ Ilustración \* ARABIC </w:instrText>
      </w:r>
      <w:r w:rsidRPr="00DD05E7">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4</w:t>
      </w:r>
      <w:r w:rsidRPr="00DD05E7">
        <w:rPr>
          <w:rFonts w:ascii="Arial" w:hAnsi="Arial" w:cs="Arial"/>
          <w:smallCaps w:val="0"/>
          <w:color w:val="9D2235" w:themeColor="accent1"/>
          <w:sz w:val="18"/>
          <w:szCs w:val="18"/>
        </w:rPr>
        <w:fldChar w:fldCharType="end"/>
      </w:r>
      <w:r w:rsidRPr="00DD05E7">
        <w:rPr>
          <w:rFonts w:ascii="Arial" w:hAnsi="Arial" w:cs="Arial"/>
          <w:smallCaps w:val="0"/>
          <w:color w:val="9D2235" w:themeColor="accent1"/>
          <w:sz w:val="18"/>
          <w:szCs w:val="18"/>
        </w:rPr>
        <w:t xml:space="preserve">. </w:t>
      </w:r>
      <w:r w:rsidRPr="00DD05E7">
        <w:rPr>
          <w:rFonts w:ascii="Arial" w:hAnsi="Arial" w:cs="Arial"/>
          <w:smallCaps w:val="0"/>
          <w:sz w:val="18"/>
          <w:szCs w:val="18"/>
        </w:rPr>
        <w:t xml:space="preserve">Infografía del webinar: Día </w:t>
      </w:r>
      <w:r w:rsidR="0057607F">
        <w:rPr>
          <w:rFonts w:ascii="Arial" w:hAnsi="Arial" w:cs="Arial"/>
          <w:smallCaps w:val="0"/>
          <w:sz w:val="18"/>
          <w:szCs w:val="18"/>
        </w:rPr>
        <w:t>M</w:t>
      </w:r>
      <w:r w:rsidRPr="00DD05E7">
        <w:rPr>
          <w:rFonts w:ascii="Arial" w:hAnsi="Arial" w:cs="Arial"/>
          <w:smallCaps w:val="0"/>
          <w:sz w:val="18"/>
          <w:szCs w:val="18"/>
        </w:rPr>
        <w:t>undial de la persona alertadora</w:t>
      </w:r>
      <w:bookmarkEnd w:id="12"/>
    </w:p>
    <w:p w14:paraId="788B54C2" w14:textId="5E05852B" w:rsidR="007D286C" w:rsidRDefault="007D286C" w:rsidP="007D286C">
      <w:pPr>
        <w:pStyle w:val="NormalWeb"/>
        <w:spacing w:line="276" w:lineRule="auto"/>
        <w:jc w:val="both"/>
        <w:rPr>
          <w:rFonts w:ascii="Arial" w:hAnsi="Arial" w:cs="Arial"/>
          <w:sz w:val="21"/>
          <w:szCs w:val="21"/>
        </w:rPr>
      </w:pPr>
      <w:r w:rsidRPr="007D286C">
        <w:rPr>
          <w:rFonts w:ascii="Arial" w:hAnsi="Arial" w:cs="Arial"/>
          <w:sz w:val="21"/>
          <w:szCs w:val="21"/>
        </w:rPr>
        <w:t xml:space="preserve">Pueden ver el webinar en el canal de YouTube de la Agencia Valenciana Antifraude en este enlace: </w:t>
      </w:r>
      <w:hyperlink r:id="rId68" w:history="1">
        <w:r w:rsidR="00DB7855" w:rsidRPr="00884812">
          <w:rPr>
            <w:rStyle w:val="Hipervnculo"/>
            <w:rFonts w:cs="Arial"/>
            <w:szCs w:val="21"/>
          </w:rPr>
          <w:t>https://www.youtube.com/watch?v=Tm8NoOd2q5c</w:t>
        </w:r>
      </w:hyperlink>
    </w:p>
    <w:p w14:paraId="06348D6B" w14:textId="4AD89F5A" w:rsidR="00BB4994" w:rsidRPr="00973028" w:rsidRDefault="00D2082F" w:rsidP="00AC1A12">
      <w:pPr>
        <w:pStyle w:val="Prrafodelista"/>
        <w:keepNext/>
        <w:numPr>
          <w:ilvl w:val="2"/>
          <w:numId w:val="15"/>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3" w:name="_Toc99106961"/>
      <w:r>
        <w:rPr>
          <w:rFonts w:ascii="Arial" w:eastAsia="Times New Roman" w:hAnsi="Arial" w:cs="Arial"/>
          <w:b/>
          <w:color w:val="9D2235"/>
          <w:sz w:val="28"/>
          <w:szCs w:val="28"/>
        </w:rPr>
        <w:t>Actividades en el marco del convenio de colaboración con la Universitat de València</w:t>
      </w:r>
      <w:bookmarkEnd w:id="13"/>
    </w:p>
    <w:p w14:paraId="61A52607" w14:textId="2B142B8D" w:rsidR="00D2082F" w:rsidRPr="00D2082F" w:rsidRDefault="00D2082F" w:rsidP="008740D0">
      <w:pPr>
        <w:pStyle w:val="NormalWeb"/>
        <w:spacing w:before="0" w:beforeAutospacing="0" w:after="240" w:line="276" w:lineRule="auto"/>
        <w:jc w:val="both"/>
        <w:rPr>
          <w:rFonts w:ascii="Arial" w:hAnsi="Arial" w:cs="Arial"/>
          <w:sz w:val="21"/>
          <w:szCs w:val="21"/>
        </w:rPr>
      </w:pPr>
      <w:r w:rsidRPr="00D2082F">
        <w:rPr>
          <w:rFonts w:ascii="Arial" w:hAnsi="Arial" w:cs="Arial"/>
          <w:sz w:val="21"/>
          <w:szCs w:val="21"/>
        </w:rPr>
        <w:t>En el marco del convenio firmado con la Universitat de València</w:t>
      </w:r>
      <w:r w:rsidR="00B56474">
        <w:rPr>
          <w:rFonts w:ascii="Arial" w:hAnsi="Arial" w:cs="Arial"/>
          <w:sz w:val="21"/>
          <w:szCs w:val="21"/>
        </w:rPr>
        <w:t>,</w:t>
      </w:r>
      <w:r w:rsidRPr="00D2082F">
        <w:rPr>
          <w:rFonts w:ascii="Arial" w:hAnsi="Arial" w:cs="Arial"/>
          <w:sz w:val="21"/>
          <w:szCs w:val="21"/>
        </w:rPr>
        <w:t xml:space="preserve"> para el desarrollo del proyecto “Actividades formativas para el buen gobierno y la ciudadanía en el territorio valenciano”, se han seguido desarrollando las conferencias dentro del programa UNISOCIETAT. </w:t>
      </w:r>
    </w:p>
    <w:p w14:paraId="72FECE82" w14:textId="77777777" w:rsidR="00D2082F" w:rsidRPr="00D2082F" w:rsidRDefault="00D2082F" w:rsidP="008740D0">
      <w:pPr>
        <w:pStyle w:val="NormalWeb"/>
        <w:spacing w:before="0" w:beforeAutospacing="0" w:after="240" w:line="276" w:lineRule="auto"/>
        <w:jc w:val="both"/>
        <w:rPr>
          <w:rFonts w:ascii="Arial" w:hAnsi="Arial" w:cs="Arial"/>
          <w:sz w:val="21"/>
          <w:szCs w:val="21"/>
        </w:rPr>
      </w:pPr>
      <w:r w:rsidRPr="00D2082F">
        <w:rPr>
          <w:rFonts w:ascii="Arial" w:hAnsi="Arial" w:cs="Arial"/>
          <w:sz w:val="21"/>
          <w:szCs w:val="21"/>
        </w:rPr>
        <w:t>Durante el 2021, estas acciones formativas se han centrado más en cuestiones específicas de la AVAF como el buen gobierno, la ciudadanía, la integridad pública, el conflicto de interés, la transparencia, acceso a la información, ética, inversión pública y gestión de situaciones de crisis.</w:t>
      </w:r>
    </w:p>
    <w:p w14:paraId="62CA7546" w14:textId="44464490" w:rsidR="00D2082F" w:rsidRDefault="00D2082F" w:rsidP="008740D0">
      <w:pPr>
        <w:pStyle w:val="NormalWeb"/>
        <w:spacing w:before="0" w:beforeAutospacing="0" w:after="280" w:line="276" w:lineRule="auto"/>
        <w:jc w:val="both"/>
        <w:rPr>
          <w:rFonts w:ascii="Arial" w:hAnsi="Arial" w:cs="Arial"/>
          <w:sz w:val="21"/>
          <w:szCs w:val="21"/>
        </w:rPr>
      </w:pPr>
      <w:r w:rsidRPr="00D2082F">
        <w:rPr>
          <w:rFonts w:ascii="Arial" w:hAnsi="Arial" w:cs="Arial"/>
          <w:sz w:val="21"/>
          <w:szCs w:val="21"/>
        </w:rPr>
        <w:t>El director participó, llevando a cabo la representación institucional de la Agencia, en las siguientes actividades formativas vinculadas a la UV:</w:t>
      </w:r>
    </w:p>
    <w:p w14:paraId="419B5528" w14:textId="77777777" w:rsidR="00D2082F" w:rsidRPr="00D2082F" w:rsidRDefault="00D2082F" w:rsidP="008740D0">
      <w:pPr>
        <w:pStyle w:val="NormalWeb"/>
        <w:spacing w:before="0" w:beforeAutospacing="0" w:after="0" w:line="276" w:lineRule="auto"/>
        <w:jc w:val="both"/>
        <w:rPr>
          <w:rFonts w:ascii="Arial" w:hAnsi="Arial" w:cs="Arial"/>
          <w:sz w:val="21"/>
          <w:szCs w:val="21"/>
        </w:rPr>
      </w:pPr>
      <w:r w:rsidRPr="00D2082F">
        <w:rPr>
          <w:rFonts w:ascii="Arial" w:hAnsi="Arial" w:cs="Arial"/>
          <w:sz w:val="21"/>
          <w:szCs w:val="21"/>
        </w:rPr>
        <w:t>Llíria, 6 de mayo</w:t>
      </w:r>
    </w:p>
    <w:p w14:paraId="7F1EB133" w14:textId="77777777" w:rsidR="00D2082F" w:rsidRPr="00D2082F" w:rsidRDefault="00D2082F" w:rsidP="008740D0">
      <w:pPr>
        <w:pStyle w:val="NormalWeb"/>
        <w:spacing w:before="0" w:beforeAutospacing="0" w:after="120" w:line="276" w:lineRule="auto"/>
        <w:jc w:val="both"/>
        <w:rPr>
          <w:rFonts w:ascii="Arial" w:hAnsi="Arial" w:cs="Arial"/>
          <w:sz w:val="21"/>
          <w:szCs w:val="21"/>
        </w:rPr>
      </w:pPr>
      <w:r w:rsidRPr="00D2082F">
        <w:rPr>
          <w:rFonts w:ascii="Arial" w:hAnsi="Arial" w:cs="Arial"/>
          <w:b/>
          <w:sz w:val="21"/>
          <w:szCs w:val="21"/>
        </w:rPr>
        <w:t>Jornada “Covid-19, derechos y responsabilidades”</w:t>
      </w:r>
    </w:p>
    <w:p w14:paraId="5780F147" w14:textId="3FD784A2" w:rsidR="00D2082F" w:rsidRPr="00D2082F" w:rsidRDefault="00D2082F" w:rsidP="00D2082F">
      <w:pPr>
        <w:pStyle w:val="NormalWeb"/>
        <w:spacing w:before="0" w:beforeAutospacing="0" w:after="120" w:line="276" w:lineRule="auto"/>
        <w:jc w:val="both"/>
        <w:rPr>
          <w:rFonts w:ascii="Arial" w:hAnsi="Arial" w:cs="Arial"/>
          <w:sz w:val="21"/>
          <w:szCs w:val="21"/>
        </w:rPr>
      </w:pPr>
      <w:r w:rsidRPr="00D2082F">
        <w:rPr>
          <w:rFonts w:ascii="Arial" w:hAnsi="Arial" w:cs="Arial"/>
          <w:sz w:val="21"/>
          <w:szCs w:val="21"/>
        </w:rPr>
        <w:t>El director realizó la inauguración institucional de la jornada</w:t>
      </w:r>
      <w:r w:rsidR="00B56474">
        <w:rPr>
          <w:rFonts w:ascii="Arial" w:hAnsi="Arial" w:cs="Arial"/>
          <w:sz w:val="21"/>
          <w:szCs w:val="21"/>
        </w:rPr>
        <w:t>,</w:t>
      </w:r>
      <w:r w:rsidRPr="00D2082F">
        <w:rPr>
          <w:rFonts w:ascii="Arial" w:hAnsi="Arial" w:cs="Arial"/>
          <w:sz w:val="21"/>
          <w:szCs w:val="21"/>
        </w:rPr>
        <w:t xml:space="preserve"> junto con el alcalde de la ciudad de Llíria y el vicerrector de Proyección Territorial y Sociedad de la Universitat de València.</w:t>
      </w:r>
    </w:p>
    <w:p w14:paraId="08B52576" w14:textId="77777777" w:rsidR="00D2082F" w:rsidRPr="00D2082F" w:rsidRDefault="00AF48E6" w:rsidP="00BE23CA">
      <w:pPr>
        <w:pStyle w:val="NormalWeb"/>
        <w:spacing w:before="0" w:beforeAutospacing="0" w:after="240" w:line="276" w:lineRule="auto"/>
        <w:rPr>
          <w:rFonts w:ascii="Arial" w:hAnsi="Arial" w:cs="Arial"/>
          <w:sz w:val="21"/>
          <w:szCs w:val="21"/>
        </w:rPr>
      </w:pPr>
      <w:hyperlink r:id="rId69" w:history="1">
        <w:r w:rsidR="00D2082F" w:rsidRPr="00D2082F">
          <w:rPr>
            <w:rStyle w:val="Hipervnculo"/>
            <w:rFonts w:ascii="Arial" w:hAnsi="Arial" w:cs="Arial"/>
            <w:sz w:val="21"/>
            <w:szCs w:val="21"/>
          </w:rPr>
          <w:t>https://www.antifraucv.es/covid-19-derechos-y-responsabilidades-a-debate-el-impacto-de-la-pandemia-en-el-sistema-de-derechos-civiles-sociales-y-politicos-en-la-primera-de-las-jornadas-uv-avaf/</w:t>
        </w:r>
      </w:hyperlink>
      <w:r w:rsidR="00D2082F" w:rsidRPr="00D2082F">
        <w:rPr>
          <w:rFonts w:ascii="Arial" w:hAnsi="Arial" w:cs="Arial"/>
          <w:sz w:val="21"/>
          <w:szCs w:val="21"/>
        </w:rPr>
        <w:t xml:space="preserve"> </w:t>
      </w:r>
    </w:p>
    <w:p w14:paraId="242994EE" w14:textId="77777777" w:rsidR="00D2082F" w:rsidRPr="00D2082F" w:rsidRDefault="00D2082F" w:rsidP="008740D0">
      <w:pPr>
        <w:spacing w:after="0" w:line="276" w:lineRule="auto"/>
        <w:jc w:val="both"/>
        <w:rPr>
          <w:rFonts w:ascii="Arial" w:eastAsia="Times New Roman" w:hAnsi="Arial" w:cs="Arial"/>
          <w:color w:val="000000"/>
          <w:sz w:val="21"/>
          <w:szCs w:val="21"/>
          <w:lang w:eastAsia="es-ES"/>
        </w:rPr>
      </w:pPr>
      <w:r w:rsidRPr="00D2082F">
        <w:rPr>
          <w:rFonts w:ascii="Arial" w:eastAsia="Times New Roman" w:hAnsi="Arial" w:cs="Arial"/>
          <w:color w:val="000000"/>
          <w:sz w:val="21"/>
          <w:szCs w:val="21"/>
          <w:lang w:eastAsia="es-ES"/>
        </w:rPr>
        <w:t>Alzira, 25 de mayo</w:t>
      </w:r>
    </w:p>
    <w:p w14:paraId="6A43295A" w14:textId="77777777" w:rsidR="00D2082F" w:rsidRPr="00D2082F" w:rsidRDefault="00D2082F" w:rsidP="00D2082F">
      <w:pPr>
        <w:spacing w:after="120" w:line="276" w:lineRule="auto"/>
        <w:jc w:val="both"/>
        <w:rPr>
          <w:rFonts w:ascii="Arial" w:eastAsia="Times New Roman" w:hAnsi="Arial" w:cs="Arial"/>
          <w:b/>
          <w:bCs/>
          <w:color w:val="000000"/>
          <w:sz w:val="21"/>
          <w:szCs w:val="21"/>
          <w:lang w:eastAsia="es-ES"/>
        </w:rPr>
      </w:pPr>
      <w:r w:rsidRPr="00D2082F">
        <w:rPr>
          <w:rFonts w:ascii="Arial" w:eastAsia="Times New Roman" w:hAnsi="Arial" w:cs="Arial"/>
          <w:b/>
          <w:bCs/>
          <w:color w:val="000000"/>
          <w:sz w:val="21"/>
          <w:szCs w:val="21"/>
          <w:lang w:eastAsia="es-ES"/>
        </w:rPr>
        <w:t>Unisocietat "Covid-19 y los derechos fundamentales"</w:t>
      </w:r>
    </w:p>
    <w:p w14:paraId="2D96590F" w14:textId="4A080E79" w:rsidR="00D2082F" w:rsidRPr="00D2082F" w:rsidRDefault="00D2082F" w:rsidP="008740D0">
      <w:pPr>
        <w:spacing w:after="120" w:line="276" w:lineRule="auto"/>
        <w:jc w:val="both"/>
        <w:rPr>
          <w:rFonts w:ascii="Arial" w:eastAsia="Times New Roman" w:hAnsi="Arial" w:cs="Arial"/>
          <w:color w:val="000000"/>
          <w:sz w:val="21"/>
          <w:szCs w:val="21"/>
          <w:lang w:eastAsia="es-ES"/>
        </w:rPr>
      </w:pPr>
      <w:r w:rsidRPr="00D2082F">
        <w:rPr>
          <w:rFonts w:ascii="Arial" w:eastAsia="Times New Roman" w:hAnsi="Arial" w:cs="Arial"/>
          <w:color w:val="000000"/>
          <w:sz w:val="21"/>
          <w:szCs w:val="21"/>
          <w:lang w:eastAsia="es-ES"/>
        </w:rPr>
        <w:t>Representación institucional del director en la actividad formativa Unisocietat de la UV</w:t>
      </w:r>
      <w:r w:rsidR="00B56474">
        <w:rPr>
          <w:rFonts w:ascii="Arial" w:eastAsia="Times New Roman" w:hAnsi="Arial" w:cs="Arial"/>
          <w:color w:val="000000"/>
          <w:sz w:val="21"/>
          <w:szCs w:val="21"/>
          <w:lang w:eastAsia="es-ES"/>
        </w:rPr>
        <w:t>,</w:t>
      </w:r>
      <w:r w:rsidRPr="00D2082F">
        <w:rPr>
          <w:rFonts w:ascii="Arial" w:eastAsia="Times New Roman" w:hAnsi="Arial" w:cs="Arial"/>
          <w:color w:val="000000"/>
          <w:sz w:val="21"/>
          <w:szCs w:val="21"/>
          <w:lang w:eastAsia="es-ES"/>
        </w:rPr>
        <w:t xml:space="preserve"> en el marco de la conferencia Unisocietat impartida por la catedrática Sefa Ridaura Martínez.</w:t>
      </w:r>
    </w:p>
    <w:p w14:paraId="5B53695C" w14:textId="77777777" w:rsidR="00D2082F" w:rsidRPr="00D2082F" w:rsidRDefault="00D2082F" w:rsidP="008740D0">
      <w:pPr>
        <w:spacing w:after="0" w:line="276" w:lineRule="auto"/>
        <w:jc w:val="both"/>
        <w:rPr>
          <w:rFonts w:ascii="Arial" w:eastAsia="Times New Roman" w:hAnsi="Arial" w:cs="Arial"/>
          <w:color w:val="000000"/>
          <w:sz w:val="21"/>
          <w:szCs w:val="21"/>
          <w:lang w:eastAsia="es-ES"/>
        </w:rPr>
      </w:pPr>
      <w:r w:rsidRPr="00D2082F">
        <w:rPr>
          <w:rFonts w:ascii="Arial" w:eastAsia="Times New Roman" w:hAnsi="Arial" w:cs="Arial"/>
          <w:color w:val="000000"/>
          <w:sz w:val="21"/>
          <w:szCs w:val="21"/>
          <w:lang w:eastAsia="es-ES"/>
        </w:rPr>
        <w:t>Torrent, 16 de noviembre</w:t>
      </w:r>
    </w:p>
    <w:p w14:paraId="29FDDD3E" w14:textId="77777777" w:rsidR="00D2082F" w:rsidRPr="00D2082F" w:rsidRDefault="00D2082F" w:rsidP="00F87FF6">
      <w:pPr>
        <w:spacing w:after="120" w:line="276" w:lineRule="auto"/>
        <w:jc w:val="both"/>
        <w:rPr>
          <w:rFonts w:ascii="Arial" w:eastAsia="Times New Roman" w:hAnsi="Arial" w:cs="Arial"/>
          <w:b/>
          <w:bCs/>
          <w:color w:val="000000"/>
          <w:sz w:val="21"/>
          <w:szCs w:val="21"/>
          <w:lang w:eastAsia="es-ES"/>
        </w:rPr>
      </w:pPr>
      <w:r w:rsidRPr="00D2082F">
        <w:rPr>
          <w:rFonts w:ascii="Arial" w:eastAsia="Times New Roman" w:hAnsi="Arial" w:cs="Arial"/>
          <w:b/>
          <w:bCs/>
          <w:color w:val="000000"/>
          <w:sz w:val="21"/>
          <w:szCs w:val="21"/>
          <w:lang w:eastAsia="es-ES"/>
        </w:rPr>
        <w:t>Seminario “Protección de los alertadores”</w:t>
      </w:r>
    </w:p>
    <w:p w14:paraId="0B1D5FCE" w14:textId="322006B5" w:rsidR="00D2082F" w:rsidRPr="00D2082F" w:rsidRDefault="00D2082F" w:rsidP="008740D0">
      <w:pPr>
        <w:spacing w:after="120" w:line="276" w:lineRule="auto"/>
        <w:jc w:val="both"/>
        <w:rPr>
          <w:rFonts w:ascii="Arial" w:eastAsia="Times New Roman" w:hAnsi="Arial" w:cs="Arial"/>
          <w:color w:val="000000"/>
          <w:sz w:val="21"/>
          <w:szCs w:val="21"/>
          <w:lang w:eastAsia="es-ES"/>
        </w:rPr>
      </w:pPr>
      <w:r w:rsidRPr="00D2082F">
        <w:rPr>
          <w:rFonts w:ascii="Arial" w:eastAsia="Times New Roman" w:hAnsi="Arial" w:cs="Arial"/>
          <w:color w:val="000000"/>
          <w:sz w:val="21"/>
          <w:szCs w:val="21"/>
          <w:lang w:eastAsia="es-ES"/>
        </w:rPr>
        <w:t>El director inauguró la jornada</w:t>
      </w:r>
      <w:r w:rsidR="00B56474">
        <w:rPr>
          <w:rFonts w:ascii="Arial" w:eastAsia="Times New Roman" w:hAnsi="Arial" w:cs="Arial"/>
          <w:color w:val="000000"/>
          <w:sz w:val="21"/>
          <w:szCs w:val="21"/>
          <w:lang w:eastAsia="es-ES"/>
        </w:rPr>
        <w:t>,</w:t>
      </w:r>
      <w:r w:rsidRPr="00D2082F">
        <w:rPr>
          <w:rFonts w:ascii="Arial" w:eastAsia="Times New Roman" w:hAnsi="Arial" w:cs="Arial"/>
          <w:color w:val="000000"/>
          <w:sz w:val="21"/>
          <w:szCs w:val="21"/>
          <w:lang w:eastAsia="es-ES"/>
        </w:rPr>
        <w:t xml:space="preserve"> junto con el alcalde de la ciudad de Torrent y el vicerrector de Proyección Territorial y Sociedad de la Universitat de València.</w:t>
      </w:r>
    </w:p>
    <w:p w14:paraId="0BB31660" w14:textId="40ECC173" w:rsidR="00FF0E96" w:rsidRDefault="00D2082F" w:rsidP="00FF0E96">
      <w:pPr>
        <w:widowControl w:val="0"/>
        <w:suppressAutoHyphens/>
        <w:autoSpaceDN w:val="0"/>
        <w:spacing w:after="240" w:line="276" w:lineRule="auto"/>
        <w:jc w:val="both"/>
        <w:rPr>
          <w:rFonts w:ascii="Arial" w:eastAsia="Times New Roman" w:hAnsi="Arial" w:cs="Arial"/>
          <w:color w:val="000000"/>
          <w:sz w:val="21"/>
          <w:szCs w:val="21"/>
          <w:lang w:eastAsia="es-ES"/>
        </w:rPr>
      </w:pPr>
      <w:r w:rsidRPr="00D2082F">
        <w:rPr>
          <w:rFonts w:ascii="Arial" w:eastAsia="Times New Roman" w:hAnsi="Arial" w:cs="Arial"/>
          <w:color w:val="000000"/>
          <w:sz w:val="21"/>
          <w:szCs w:val="21"/>
          <w:lang w:eastAsia="es-ES"/>
        </w:rPr>
        <w:t>Asimismo, el 22 de septiembre, el director y el vicerrector de Proyección Territorial y Sociedad</w:t>
      </w:r>
      <w:r w:rsidR="00B56474">
        <w:rPr>
          <w:rFonts w:ascii="Arial" w:eastAsia="Times New Roman" w:hAnsi="Arial" w:cs="Arial"/>
          <w:color w:val="000000"/>
          <w:sz w:val="21"/>
          <w:szCs w:val="21"/>
          <w:lang w:eastAsia="es-ES"/>
        </w:rPr>
        <w:t>,</w:t>
      </w:r>
      <w:r w:rsidRPr="00D2082F">
        <w:rPr>
          <w:rFonts w:ascii="Arial" w:eastAsia="Times New Roman" w:hAnsi="Arial" w:cs="Arial"/>
          <w:color w:val="000000"/>
          <w:sz w:val="21"/>
          <w:szCs w:val="21"/>
          <w:lang w:eastAsia="es-ES"/>
        </w:rPr>
        <w:t xml:space="preserve"> presidieron institucionalmente la presentación del </w:t>
      </w:r>
      <w:r w:rsidRPr="00D2082F">
        <w:rPr>
          <w:rFonts w:ascii="Arial" w:eastAsia="Times New Roman" w:hAnsi="Arial" w:cs="Arial"/>
          <w:b/>
          <w:bCs/>
          <w:color w:val="000000"/>
          <w:sz w:val="21"/>
          <w:szCs w:val="21"/>
          <w:lang w:eastAsia="es-ES"/>
        </w:rPr>
        <w:t>documental “Los conflictos de interés y la integridad pública”</w:t>
      </w:r>
      <w:r w:rsidRPr="00D2082F">
        <w:rPr>
          <w:rFonts w:ascii="Arial" w:eastAsia="Times New Roman" w:hAnsi="Arial" w:cs="Arial"/>
          <w:color w:val="000000"/>
          <w:sz w:val="21"/>
          <w:szCs w:val="21"/>
          <w:lang w:eastAsia="es-ES"/>
        </w:rPr>
        <w:t>, realizado por la UV en colaboración con la AVAF, dentro del programa DOCUF</w:t>
      </w:r>
      <w:r w:rsidR="0084642A">
        <w:rPr>
          <w:rFonts w:ascii="Arial" w:eastAsia="Times New Roman" w:hAnsi="Arial" w:cs="Arial"/>
          <w:color w:val="000000"/>
          <w:sz w:val="21"/>
          <w:szCs w:val="21"/>
          <w:lang w:eastAsia="es-ES"/>
        </w:rPr>
        <w:t>Ó</w:t>
      </w:r>
      <w:r w:rsidRPr="00D2082F">
        <w:rPr>
          <w:rFonts w:ascii="Arial" w:eastAsia="Times New Roman" w:hAnsi="Arial" w:cs="Arial"/>
          <w:color w:val="000000"/>
          <w:sz w:val="21"/>
          <w:szCs w:val="21"/>
          <w:lang w:eastAsia="es-ES"/>
        </w:rPr>
        <w:t>RUM de la Universidad de València y del programa de actividades formativas de la AVAF</w:t>
      </w:r>
    </w:p>
    <w:p w14:paraId="3E66EAE4" w14:textId="26BB8AAD" w:rsidR="00BB4994" w:rsidRPr="00973028" w:rsidRDefault="008E786D" w:rsidP="00AC1A12">
      <w:pPr>
        <w:pStyle w:val="Prrafodelista"/>
        <w:keepNext/>
        <w:numPr>
          <w:ilvl w:val="2"/>
          <w:numId w:val="15"/>
        </w:numPr>
        <w:spacing w:before="360" w:after="120" w:line="276" w:lineRule="auto"/>
        <w:ind w:left="1134" w:hanging="1134"/>
        <w:contextualSpacing w:val="0"/>
        <w:jc w:val="both"/>
        <w:outlineLvl w:val="2"/>
        <w:rPr>
          <w:rFonts w:ascii="Arial" w:eastAsia="Times New Roman" w:hAnsi="Arial" w:cs="Arial"/>
          <w:b/>
          <w:color w:val="9D2235"/>
          <w:sz w:val="28"/>
          <w:szCs w:val="28"/>
        </w:rPr>
      </w:pPr>
      <w:bookmarkStart w:id="14" w:name="_Toc99106962"/>
      <w:r>
        <w:rPr>
          <w:rFonts w:ascii="Arial" w:eastAsia="Times New Roman" w:hAnsi="Arial" w:cs="Arial"/>
          <w:b/>
          <w:color w:val="9D2235"/>
          <w:sz w:val="28"/>
          <w:szCs w:val="28"/>
        </w:rPr>
        <w:t xml:space="preserve">Conmemoración del V aniversario de la Ley </w:t>
      </w:r>
      <w:r w:rsidR="001D06D6">
        <w:rPr>
          <w:rFonts w:ascii="Arial" w:eastAsia="Times New Roman" w:hAnsi="Arial" w:cs="Arial"/>
          <w:b/>
          <w:color w:val="9D2235"/>
          <w:sz w:val="28"/>
          <w:szCs w:val="28"/>
        </w:rPr>
        <w:t>11</w:t>
      </w:r>
      <w:r>
        <w:rPr>
          <w:rFonts w:ascii="Arial" w:eastAsia="Times New Roman" w:hAnsi="Arial" w:cs="Arial"/>
          <w:b/>
          <w:color w:val="9D2235"/>
          <w:sz w:val="28"/>
          <w:szCs w:val="28"/>
        </w:rPr>
        <w:t>/201</w:t>
      </w:r>
      <w:r w:rsidR="001D06D6">
        <w:rPr>
          <w:rFonts w:ascii="Arial" w:eastAsia="Times New Roman" w:hAnsi="Arial" w:cs="Arial"/>
          <w:b/>
          <w:color w:val="9D2235"/>
          <w:sz w:val="28"/>
          <w:szCs w:val="28"/>
        </w:rPr>
        <w:t>6</w:t>
      </w:r>
      <w:r>
        <w:rPr>
          <w:rFonts w:ascii="Arial" w:eastAsia="Times New Roman" w:hAnsi="Arial" w:cs="Arial"/>
          <w:b/>
          <w:color w:val="9D2235"/>
          <w:sz w:val="28"/>
          <w:szCs w:val="28"/>
        </w:rPr>
        <w:t xml:space="preserve"> de creación de la Agencia Valenciana Antifraude</w:t>
      </w:r>
      <w:bookmarkEnd w:id="14"/>
    </w:p>
    <w:p w14:paraId="7545FB96" w14:textId="63ECA4BC" w:rsidR="00DD05E7" w:rsidRDefault="008C1068" w:rsidP="008F7449">
      <w:pPr>
        <w:pStyle w:val="NormalWeb"/>
        <w:spacing w:before="0" w:beforeAutospacing="0" w:after="240" w:line="276" w:lineRule="auto"/>
        <w:jc w:val="both"/>
        <w:rPr>
          <w:rFonts w:ascii="Arial" w:hAnsi="Arial" w:cs="Arial"/>
          <w:sz w:val="21"/>
          <w:szCs w:val="21"/>
        </w:rPr>
      </w:pPr>
      <w:r w:rsidRPr="00F94CC1">
        <w:rPr>
          <w:rFonts w:ascii="Arial" w:hAnsi="Arial"/>
          <w:noProof/>
          <w:sz w:val="21"/>
          <w:szCs w:val="20"/>
          <w:lang w:eastAsia="en-US"/>
        </w:rPr>
        <w:drawing>
          <wp:anchor distT="0" distB="0" distL="114300" distR="114300" simplePos="0" relativeHeight="252035072" behindDoc="0" locked="0" layoutInCell="1" allowOverlap="1" wp14:anchorId="75A34F7C" wp14:editId="5F14E8D0">
            <wp:simplePos x="0" y="0"/>
            <wp:positionH relativeFrom="margin">
              <wp:posOffset>82550</wp:posOffset>
            </wp:positionH>
            <wp:positionV relativeFrom="page">
              <wp:posOffset>5106035</wp:posOffset>
            </wp:positionV>
            <wp:extent cx="5400000" cy="3038400"/>
            <wp:effectExtent l="0" t="0" r="0" b="0"/>
            <wp:wrapTopAndBottom/>
            <wp:docPr id="40" name="Imagen 40"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magen que contiene Texto&#10;&#10;Descripción generada automáticament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000" cy="303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4CC1">
        <w:rPr>
          <w:noProof/>
        </w:rPr>
        <mc:AlternateContent>
          <mc:Choice Requires="wps">
            <w:drawing>
              <wp:anchor distT="0" distB="0" distL="114300" distR="114300" simplePos="0" relativeHeight="252037120" behindDoc="0" locked="0" layoutInCell="1" allowOverlap="1" wp14:anchorId="1F62719E" wp14:editId="746B4729">
                <wp:simplePos x="0" y="0"/>
                <wp:positionH relativeFrom="column">
                  <wp:posOffset>0</wp:posOffset>
                </wp:positionH>
                <wp:positionV relativeFrom="paragraph">
                  <wp:posOffset>3820795</wp:posOffset>
                </wp:positionV>
                <wp:extent cx="5399405" cy="635"/>
                <wp:effectExtent l="0" t="0" r="0" b="0"/>
                <wp:wrapTopAndBottom/>
                <wp:docPr id="41" name="Cuadro de texto 41"/>
                <wp:cNvGraphicFramePr/>
                <a:graphic xmlns:a="http://schemas.openxmlformats.org/drawingml/2006/main">
                  <a:graphicData uri="http://schemas.microsoft.com/office/word/2010/wordprocessingShape">
                    <wps:wsp>
                      <wps:cNvSpPr txBox="1"/>
                      <wps:spPr>
                        <a:xfrm>
                          <a:off x="0" y="0"/>
                          <a:ext cx="5399405" cy="635"/>
                        </a:xfrm>
                        <a:prstGeom prst="rect">
                          <a:avLst/>
                        </a:prstGeom>
                        <a:solidFill>
                          <a:prstClr val="white"/>
                        </a:solidFill>
                        <a:ln>
                          <a:noFill/>
                        </a:ln>
                      </wps:spPr>
                      <wps:txbx>
                        <w:txbxContent>
                          <w:p w14:paraId="180B2CAD" w14:textId="35936660" w:rsidR="00F94CC1" w:rsidRPr="00F94CC1" w:rsidRDefault="00F94CC1" w:rsidP="00E9154C">
                            <w:pPr>
                              <w:pStyle w:val="Descripcin"/>
                              <w:spacing w:after="240" w:line="276" w:lineRule="auto"/>
                              <w:jc w:val="center"/>
                              <w:rPr>
                                <w:rFonts w:ascii="Arial" w:eastAsia="Times New Roman" w:hAnsi="Arial" w:cs="Arial"/>
                                <w:smallCaps w:val="0"/>
                                <w:noProof/>
                                <w:sz w:val="18"/>
                                <w:szCs w:val="18"/>
                              </w:rPr>
                            </w:pPr>
                            <w:bookmarkStart w:id="15" w:name="_Toc99099793"/>
                            <w:r w:rsidRPr="00F94CC1">
                              <w:rPr>
                                <w:rFonts w:ascii="Arial" w:hAnsi="Arial" w:cs="Arial"/>
                                <w:smallCaps w:val="0"/>
                                <w:color w:val="9D2235" w:themeColor="accent1"/>
                                <w:sz w:val="18"/>
                                <w:szCs w:val="18"/>
                              </w:rPr>
                              <w:t xml:space="preserve">Ilustración </w:t>
                            </w:r>
                            <w:r w:rsidRPr="00F94CC1">
                              <w:rPr>
                                <w:rFonts w:ascii="Arial" w:hAnsi="Arial" w:cs="Arial"/>
                                <w:smallCaps w:val="0"/>
                                <w:color w:val="9D2235" w:themeColor="accent1"/>
                                <w:sz w:val="18"/>
                                <w:szCs w:val="18"/>
                              </w:rPr>
                              <w:fldChar w:fldCharType="begin"/>
                            </w:r>
                            <w:r w:rsidRPr="00F94CC1">
                              <w:rPr>
                                <w:rFonts w:ascii="Arial" w:hAnsi="Arial" w:cs="Arial"/>
                                <w:smallCaps w:val="0"/>
                                <w:color w:val="9D2235" w:themeColor="accent1"/>
                                <w:sz w:val="18"/>
                                <w:szCs w:val="18"/>
                              </w:rPr>
                              <w:instrText xml:space="preserve"> SEQ Ilustración \* ARABIC </w:instrText>
                            </w:r>
                            <w:r w:rsidRPr="00F94CC1">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5</w:t>
                            </w:r>
                            <w:r w:rsidRPr="00F94CC1">
                              <w:rPr>
                                <w:rFonts w:ascii="Arial" w:hAnsi="Arial" w:cs="Arial"/>
                                <w:smallCaps w:val="0"/>
                                <w:color w:val="9D2235" w:themeColor="accent1"/>
                                <w:sz w:val="18"/>
                                <w:szCs w:val="18"/>
                              </w:rPr>
                              <w:fldChar w:fldCharType="end"/>
                            </w:r>
                            <w:r w:rsidRPr="00F94CC1">
                              <w:rPr>
                                <w:rFonts w:ascii="Arial" w:hAnsi="Arial" w:cs="Arial"/>
                                <w:smallCaps w:val="0"/>
                                <w:color w:val="9D2235" w:themeColor="accent1"/>
                                <w:sz w:val="18"/>
                                <w:szCs w:val="18"/>
                              </w:rPr>
                              <w:t xml:space="preserve">. </w:t>
                            </w:r>
                            <w:r w:rsidRPr="00F94CC1">
                              <w:rPr>
                                <w:rFonts w:ascii="Arial" w:hAnsi="Arial" w:cs="Arial"/>
                                <w:smallCaps w:val="0"/>
                                <w:sz w:val="18"/>
                                <w:szCs w:val="18"/>
                              </w:rPr>
                              <w:t xml:space="preserve">Infografía del webinar: 5ª Aniversario de la Ley </w:t>
                            </w:r>
                            <w:r w:rsidRPr="00F94CC1">
                              <w:rPr>
                                <w:rFonts w:ascii="Arial" w:hAnsi="Arial" w:cs="Arial"/>
                                <w:smallCaps w:val="0"/>
                                <w:noProof/>
                                <w:sz w:val="18"/>
                                <w:szCs w:val="18"/>
                              </w:rPr>
                              <w:t xml:space="preserve">11/2016, de creación de la </w:t>
                            </w:r>
                            <w:r w:rsidR="00E9154C">
                              <w:rPr>
                                <w:rFonts w:ascii="Arial" w:hAnsi="Arial" w:cs="Arial"/>
                                <w:smallCaps w:val="0"/>
                                <w:noProof/>
                                <w:sz w:val="18"/>
                                <w:szCs w:val="18"/>
                              </w:rPr>
                              <w:t>AVAF</w:t>
                            </w:r>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62719E" id="Cuadro de texto 41" o:spid="_x0000_s1029" type="#_x0000_t202" style="position:absolute;left:0;text-align:left;margin-left:0;margin-top:300.85pt;width:425.1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" stroked="f">
                <v:textbox style="mso-fit-shape-to-text:t" inset="0,0,0,0">
                  <w:txbxContent>
                    <w:p w14:paraId="180B2CAD" w14:textId="35936660" w:rsidR="00F94CC1" w:rsidRPr="00F94CC1" w:rsidRDefault="00F94CC1" w:rsidP="00E9154C">
                      <w:pPr>
                        <w:pStyle w:val="Descripcin"/>
                        <w:spacing w:after="240" w:line="276" w:lineRule="auto"/>
                        <w:jc w:val="center"/>
                        <w:rPr>
                          <w:rFonts w:ascii="Arial" w:eastAsia="Times New Roman" w:hAnsi="Arial" w:cs="Arial"/>
                          <w:smallCaps w:val="0"/>
                          <w:noProof/>
                          <w:sz w:val="18"/>
                          <w:szCs w:val="18"/>
                        </w:rPr>
                      </w:pPr>
                      <w:bookmarkStart w:id="17" w:name="_Toc99099793"/>
                      <w:r w:rsidRPr="00F94CC1">
                        <w:rPr>
                          <w:rFonts w:ascii="Arial" w:hAnsi="Arial" w:cs="Arial"/>
                          <w:smallCaps w:val="0"/>
                          <w:color w:val="9D2235" w:themeColor="accent1"/>
                          <w:sz w:val="18"/>
                          <w:szCs w:val="18"/>
                        </w:rPr>
                        <w:t xml:space="preserve">Ilustración </w:t>
                      </w:r>
                      <w:r w:rsidRPr="00F94CC1">
                        <w:rPr>
                          <w:rFonts w:ascii="Arial" w:hAnsi="Arial" w:cs="Arial"/>
                          <w:smallCaps w:val="0"/>
                          <w:color w:val="9D2235" w:themeColor="accent1"/>
                          <w:sz w:val="18"/>
                          <w:szCs w:val="18"/>
                        </w:rPr>
                        <w:fldChar w:fldCharType="begin"/>
                      </w:r>
                      <w:r w:rsidRPr="00F94CC1">
                        <w:rPr>
                          <w:rFonts w:ascii="Arial" w:hAnsi="Arial" w:cs="Arial"/>
                          <w:smallCaps w:val="0"/>
                          <w:color w:val="9D2235" w:themeColor="accent1"/>
                          <w:sz w:val="18"/>
                          <w:szCs w:val="18"/>
                        </w:rPr>
                        <w:instrText xml:space="preserve"> SEQ Ilustración \* ARABIC </w:instrText>
                      </w:r>
                      <w:r w:rsidRPr="00F94CC1">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5</w:t>
                      </w:r>
                      <w:r w:rsidRPr="00F94CC1">
                        <w:rPr>
                          <w:rFonts w:ascii="Arial" w:hAnsi="Arial" w:cs="Arial"/>
                          <w:smallCaps w:val="0"/>
                          <w:color w:val="9D2235" w:themeColor="accent1"/>
                          <w:sz w:val="18"/>
                          <w:szCs w:val="18"/>
                        </w:rPr>
                        <w:fldChar w:fldCharType="end"/>
                      </w:r>
                      <w:r w:rsidRPr="00F94CC1">
                        <w:rPr>
                          <w:rFonts w:ascii="Arial" w:hAnsi="Arial" w:cs="Arial"/>
                          <w:smallCaps w:val="0"/>
                          <w:color w:val="9D2235" w:themeColor="accent1"/>
                          <w:sz w:val="18"/>
                          <w:szCs w:val="18"/>
                        </w:rPr>
                        <w:t xml:space="preserve">. </w:t>
                      </w:r>
                      <w:r w:rsidRPr="00F94CC1">
                        <w:rPr>
                          <w:rFonts w:ascii="Arial" w:hAnsi="Arial" w:cs="Arial"/>
                          <w:smallCaps w:val="0"/>
                          <w:sz w:val="18"/>
                          <w:szCs w:val="18"/>
                        </w:rPr>
                        <w:t xml:space="preserve">Infografía del webinar: 5ª Aniversario de la Ley </w:t>
                      </w:r>
                      <w:r w:rsidRPr="00F94CC1">
                        <w:rPr>
                          <w:rFonts w:ascii="Arial" w:hAnsi="Arial" w:cs="Arial"/>
                          <w:smallCaps w:val="0"/>
                          <w:noProof/>
                          <w:sz w:val="18"/>
                          <w:szCs w:val="18"/>
                        </w:rPr>
                        <w:t xml:space="preserve">11/2016, de creación de la </w:t>
                      </w:r>
                      <w:r w:rsidR="00E9154C">
                        <w:rPr>
                          <w:rFonts w:ascii="Arial" w:hAnsi="Arial" w:cs="Arial"/>
                          <w:smallCaps w:val="0"/>
                          <w:noProof/>
                          <w:sz w:val="18"/>
                          <w:szCs w:val="18"/>
                        </w:rPr>
                        <w:t>AVAF</w:t>
                      </w:r>
                      <w:bookmarkEnd w:id="17"/>
                    </w:p>
                  </w:txbxContent>
                </v:textbox>
                <w10:wrap type="topAndBottom"/>
              </v:shape>
            </w:pict>
          </mc:Fallback>
        </mc:AlternateContent>
      </w:r>
      <w:r w:rsidR="00F94CC1">
        <w:rPr>
          <w:noProof/>
        </w:rPr>
        <mc:AlternateContent>
          <mc:Choice Requires="wps">
            <w:drawing>
              <wp:anchor distT="0" distB="0" distL="114300" distR="114300" simplePos="0" relativeHeight="251985920" behindDoc="0" locked="0" layoutInCell="1" allowOverlap="1" wp14:anchorId="31410373" wp14:editId="2B6A9272">
                <wp:simplePos x="0" y="0"/>
                <wp:positionH relativeFrom="column">
                  <wp:posOffset>405765</wp:posOffset>
                </wp:positionH>
                <wp:positionV relativeFrom="paragraph">
                  <wp:posOffset>2725420</wp:posOffset>
                </wp:positionV>
                <wp:extent cx="4272915" cy="508000"/>
                <wp:effectExtent l="0" t="0" r="0" b="6350"/>
                <wp:wrapTopAndBottom/>
                <wp:docPr id="57" name="Cuadro de texto 57"/>
                <wp:cNvGraphicFramePr/>
                <a:graphic xmlns:a="http://schemas.openxmlformats.org/drawingml/2006/main">
                  <a:graphicData uri="http://schemas.microsoft.com/office/word/2010/wordprocessingShape">
                    <wps:wsp>
                      <wps:cNvSpPr txBox="1"/>
                      <wps:spPr>
                        <a:xfrm>
                          <a:off x="0" y="0"/>
                          <a:ext cx="4272915" cy="508000"/>
                        </a:xfrm>
                        <a:prstGeom prst="rect">
                          <a:avLst/>
                        </a:prstGeom>
                        <a:solidFill>
                          <a:prstClr val="white"/>
                        </a:solidFill>
                        <a:ln>
                          <a:noFill/>
                        </a:ln>
                      </wps:spPr>
                      <wps:txbx>
                        <w:txbxContent>
                          <w:p w14:paraId="5269F42B" w14:textId="47165471" w:rsidR="00F86BCD" w:rsidRPr="00F86BCD" w:rsidRDefault="00F86BCD" w:rsidP="00BC351A">
                            <w:pPr>
                              <w:pStyle w:val="Descripcin"/>
                              <w:jc w:val="both"/>
                              <w:rPr>
                                <w:rFonts w:ascii="Arial" w:eastAsia="Times New Roman" w:hAnsi="Arial" w:cs="Arial"/>
                                <w:smallCaps w:val="0"/>
                                <w:noProof/>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410373" id="Cuadro de texto 57" o:spid="_x0000_s1030" type="#_x0000_t202" style="position:absolute;left:0;text-align:left;margin-left:31.95pt;margin-top:214.6pt;width:336.45pt;height:40pt;z-index:25198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" stroked="f">
                <v:textbox inset="0,0,0,0">
                  <w:txbxContent>
                    <w:p w14:paraId="5269F42B" w14:textId="47165471" w:rsidR="00F86BCD" w:rsidRPr="00F86BCD" w:rsidRDefault="00F86BCD" w:rsidP="00BC351A">
                      <w:pPr>
                        <w:pStyle w:val="Descripcin"/>
                        <w:jc w:val="both"/>
                        <w:rPr>
                          <w:rFonts w:ascii="Arial" w:eastAsia="Times New Roman" w:hAnsi="Arial" w:cs="Arial"/>
                          <w:smallCaps w:val="0"/>
                          <w:noProof/>
                          <w:sz w:val="18"/>
                          <w:szCs w:val="18"/>
                        </w:rPr>
                      </w:pPr>
                    </w:p>
                  </w:txbxContent>
                </v:textbox>
                <w10:wrap type="topAndBottom"/>
              </v:shape>
            </w:pict>
          </mc:Fallback>
        </mc:AlternateContent>
      </w:r>
      <w:r w:rsidR="008F7449" w:rsidRPr="008F7449">
        <w:rPr>
          <w:rFonts w:ascii="Arial" w:hAnsi="Arial" w:cs="Arial"/>
          <w:sz w:val="21"/>
          <w:szCs w:val="21"/>
        </w:rPr>
        <w:t>La Agencia Valenciana Antifraude ha organizado en 2021 un seminario con motivo de la celebración del 5º aniversario de la aprobación de la Ley 11/2016, de creación de la Agencia</w:t>
      </w:r>
      <w:r w:rsidR="00B56474">
        <w:rPr>
          <w:rFonts w:ascii="Arial" w:hAnsi="Arial" w:cs="Arial"/>
          <w:sz w:val="21"/>
          <w:szCs w:val="21"/>
        </w:rPr>
        <w:t>,</w:t>
      </w:r>
      <w:r w:rsidR="008F7449" w:rsidRPr="008F7449">
        <w:rPr>
          <w:rFonts w:ascii="Arial" w:hAnsi="Arial" w:cs="Arial"/>
          <w:sz w:val="21"/>
          <w:szCs w:val="21"/>
        </w:rPr>
        <w:t xml:space="preserve"> que ha sido seguido por más de 150 personas de forma presencial y online.</w:t>
      </w:r>
    </w:p>
    <w:p w14:paraId="152FF2B9" w14:textId="73B35D83" w:rsidR="008F7449" w:rsidRPr="008F7449" w:rsidRDefault="008F7449" w:rsidP="008F7449">
      <w:pPr>
        <w:pStyle w:val="NormalWeb"/>
        <w:spacing w:before="0" w:beforeAutospacing="0" w:after="240" w:line="276" w:lineRule="auto"/>
        <w:jc w:val="both"/>
        <w:rPr>
          <w:rFonts w:ascii="Arial" w:hAnsi="Arial" w:cs="Arial"/>
          <w:sz w:val="21"/>
          <w:szCs w:val="21"/>
        </w:rPr>
      </w:pPr>
      <w:r w:rsidRPr="008F7449">
        <w:rPr>
          <w:rFonts w:ascii="Arial" w:hAnsi="Arial" w:cs="Arial"/>
          <w:sz w:val="21"/>
          <w:szCs w:val="21"/>
        </w:rPr>
        <w:t>El President de l</w:t>
      </w:r>
      <w:r w:rsidR="00CC7691">
        <w:rPr>
          <w:rFonts w:ascii="Arial" w:hAnsi="Arial" w:cs="Arial"/>
          <w:sz w:val="21"/>
          <w:szCs w:val="21"/>
        </w:rPr>
        <w:t>a</w:t>
      </w:r>
      <w:r w:rsidRPr="008F7449">
        <w:rPr>
          <w:rFonts w:ascii="Arial" w:hAnsi="Arial" w:cs="Arial"/>
          <w:sz w:val="21"/>
          <w:szCs w:val="21"/>
        </w:rPr>
        <w:t>s Corts Valencianes, Enric Morera y el director de la Agencia Valenciana Antifraude, Joan Llinares</w:t>
      </w:r>
      <w:r w:rsidR="00B56474">
        <w:rPr>
          <w:rFonts w:ascii="Arial" w:hAnsi="Arial" w:cs="Arial"/>
          <w:sz w:val="21"/>
          <w:szCs w:val="21"/>
        </w:rPr>
        <w:t>,</w:t>
      </w:r>
      <w:r w:rsidRPr="008F7449">
        <w:rPr>
          <w:rFonts w:ascii="Arial" w:hAnsi="Arial" w:cs="Arial"/>
          <w:sz w:val="21"/>
          <w:szCs w:val="21"/>
        </w:rPr>
        <w:t xml:space="preserve"> fueron los encargados de la inauguración del Seminario.</w:t>
      </w:r>
    </w:p>
    <w:p w14:paraId="0E7271A8" w14:textId="718C3D5B" w:rsidR="008F7449" w:rsidRPr="008F7449" w:rsidRDefault="008F7449" w:rsidP="008F7449">
      <w:pPr>
        <w:pStyle w:val="NormalWeb"/>
        <w:spacing w:before="0" w:beforeAutospacing="0" w:after="240" w:line="276" w:lineRule="auto"/>
        <w:jc w:val="both"/>
        <w:rPr>
          <w:rFonts w:ascii="Arial" w:hAnsi="Arial" w:cs="Arial"/>
          <w:sz w:val="21"/>
          <w:szCs w:val="21"/>
        </w:rPr>
      </w:pPr>
      <w:r w:rsidRPr="008F7449">
        <w:rPr>
          <w:rFonts w:ascii="Arial" w:hAnsi="Arial" w:cs="Arial"/>
          <w:sz w:val="21"/>
          <w:szCs w:val="21"/>
        </w:rPr>
        <w:t>La primera mesa llevó por título la “Ciudadanía contra la corrupción”</w:t>
      </w:r>
      <w:r w:rsidR="005D6104">
        <w:rPr>
          <w:rFonts w:ascii="Arial" w:hAnsi="Arial" w:cs="Arial"/>
          <w:sz w:val="21"/>
          <w:szCs w:val="21"/>
        </w:rPr>
        <w:t>,</w:t>
      </w:r>
      <w:r w:rsidRPr="008F7449">
        <w:rPr>
          <w:rFonts w:ascii="Arial" w:hAnsi="Arial" w:cs="Arial"/>
          <w:sz w:val="21"/>
          <w:szCs w:val="21"/>
        </w:rPr>
        <w:t xml:space="preserve"> en la que participaron entidades de la sociedad civil que forman parte del </w:t>
      </w:r>
      <w:r w:rsidR="005D6104">
        <w:rPr>
          <w:rFonts w:ascii="Arial" w:hAnsi="Arial" w:cs="Arial"/>
          <w:sz w:val="21"/>
          <w:szCs w:val="21"/>
        </w:rPr>
        <w:t>Consejo de Participación</w:t>
      </w:r>
      <w:r w:rsidRPr="008F7449">
        <w:rPr>
          <w:rFonts w:ascii="Arial" w:hAnsi="Arial" w:cs="Arial"/>
          <w:sz w:val="21"/>
          <w:szCs w:val="21"/>
        </w:rPr>
        <w:t xml:space="preserve"> de la Agencia</w:t>
      </w:r>
      <w:r w:rsidR="005D6104">
        <w:rPr>
          <w:rFonts w:ascii="Arial" w:hAnsi="Arial" w:cs="Arial"/>
          <w:sz w:val="21"/>
          <w:szCs w:val="21"/>
        </w:rPr>
        <w:t>,</w:t>
      </w:r>
      <w:r w:rsidRPr="008F7449">
        <w:rPr>
          <w:rFonts w:ascii="Arial" w:hAnsi="Arial" w:cs="Arial"/>
          <w:sz w:val="21"/>
          <w:szCs w:val="21"/>
        </w:rPr>
        <w:t xml:space="preserve"> y que en su momento propusieron la elección de Joan Llinares como director de la Agencia ante el Parlamento valenciano.</w:t>
      </w:r>
    </w:p>
    <w:p w14:paraId="3B4227B6" w14:textId="02789B74" w:rsidR="008F7449" w:rsidRPr="008F7449" w:rsidRDefault="008F7449" w:rsidP="008F7449">
      <w:pPr>
        <w:pStyle w:val="NormalWeb"/>
        <w:spacing w:before="0" w:beforeAutospacing="0" w:after="240" w:line="276" w:lineRule="auto"/>
        <w:jc w:val="both"/>
        <w:rPr>
          <w:rFonts w:ascii="Arial" w:hAnsi="Arial" w:cs="Arial"/>
          <w:sz w:val="21"/>
          <w:szCs w:val="21"/>
        </w:rPr>
      </w:pPr>
      <w:r w:rsidRPr="008F7449">
        <w:rPr>
          <w:rFonts w:ascii="Arial" w:hAnsi="Arial" w:cs="Arial"/>
          <w:sz w:val="21"/>
          <w:szCs w:val="21"/>
        </w:rPr>
        <w:t>En esta mesa participaron Antonio Penadés de Acción Cívica contra la Corrupción</w:t>
      </w:r>
      <w:r w:rsidR="005D6104">
        <w:rPr>
          <w:rFonts w:ascii="Arial" w:hAnsi="Arial" w:cs="Arial"/>
          <w:sz w:val="21"/>
          <w:szCs w:val="21"/>
        </w:rPr>
        <w:t>,</w:t>
      </w:r>
      <w:r w:rsidRPr="008F7449">
        <w:rPr>
          <w:rFonts w:ascii="Arial" w:hAnsi="Arial" w:cs="Arial"/>
          <w:sz w:val="21"/>
          <w:szCs w:val="21"/>
        </w:rPr>
        <w:t xml:space="preserve"> Consuelo Vidal del Observatori contra la Corrupció, y José María Tomás y Tío de Fundación por la Justicia</w:t>
      </w:r>
      <w:r w:rsidR="005D6104">
        <w:rPr>
          <w:rFonts w:ascii="Arial" w:hAnsi="Arial" w:cs="Arial"/>
          <w:sz w:val="21"/>
          <w:szCs w:val="21"/>
        </w:rPr>
        <w:t>,</w:t>
      </w:r>
      <w:r w:rsidRPr="008F7449">
        <w:rPr>
          <w:rFonts w:ascii="Arial" w:hAnsi="Arial" w:cs="Arial"/>
          <w:sz w:val="21"/>
          <w:szCs w:val="21"/>
        </w:rPr>
        <w:t xml:space="preserve"> </w:t>
      </w:r>
      <w:r w:rsidR="005D6104">
        <w:rPr>
          <w:rFonts w:ascii="Arial" w:hAnsi="Arial" w:cs="Arial"/>
          <w:sz w:val="21"/>
          <w:szCs w:val="21"/>
        </w:rPr>
        <w:t>siendo</w:t>
      </w:r>
      <w:r w:rsidRPr="008F7449">
        <w:rPr>
          <w:rFonts w:ascii="Arial" w:hAnsi="Arial" w:cs="Arial"/>
          <w:sz w:val="21"/>
          <w:szCs w:val="21"/>
        </w:rPr>
        <w:t xml:space="preserve"> moderada por Juan Carlos Galindo.</w:t>
      </w:r>
    </w:p>
    <w:p w14:paraId="612F0C4C" w14:textId="0B7EFC84" w:rsidR="008F7449" w:rsidRPr="008F7449" w:rsidRDefault="008F7449" w:rsidP="008F7449">
      <w:pPr>
        <w:pStyle w:val="NormalWeb"/>
        <w:spacing w:before="0" w:beforeAutospacing="0" w:after="240" w:line="276" w:lineRule="auto"/>
        <w:jc w:val="both"/>
        <w:rPr>
          <w:rFonts w:ascii="Arial" w:hAnsi="Arial" w:cs="Arial"/>
          <w:sz w:val="21"/>
          <w:szCs w:val="21"/>
        </w:rPr>
      </w:pPr>
      <w:r w:rsidRPr="008F7449">
        <w:rPr>
          <w:rFonts w:ascii="Arial" w:hAnsi="Arial" w:cs="Arial"/>
          <w:sz w:val="21"/>
          <w:szCs w:val="21"/>
        </w:rPr>
        <w:t>La segunda mesa trató sobre “Los costes de la corrupción” y participaron expertos en esta área como Francisco Alcalá, profesor-investigador del Instituto Valenciano de Investigaciones Económicas (IVIE)</w:t>
      </w:r>
      <w:r w:rsidR="005D6104">
        <w:rPr>
          <w:rFonts w:ascii="Arial" w:hAnsi="Arial" w:cs="Arial"/>
          <w:sz w:val="21"/>
          <w:szCs w:val="21"/>
        </w:rPr>
        <w:t>,</w:t>
      </w:r>
      <w:r w:rsidRPr="008F7449">
        <w:rPr>
          <w:rFonts w:ascii="Arial" w:hAnsi="Arial" w:cs="Arial"/>
          <w:sz w:val="21"/>
          <w:szCs w:val="21"/>
        </w:rPr>
        <w:t xml:space="preserve"> Francisco Cardona, consultor de la OCDE y Fabiola Meco, profesora ayudante Doctora en Derecho Civil en la Universitat de València. La mesa fue moderada por Teresa Clemente, directora de Asuntos Jurídicos de la Agencia.</w:t>
      </w:r>
    </w:p>
    <w:p w14:paraId="0F136569" w14:textId="21AA17EA" w:rsidR="008F7449" w:rsidRPr="008F7449" w:rsidRDefault="008F7449" w:rsidP="008F7449">
      <w:pPr>
        <w:pStyle w:val="NormalWeb"/>
        <w:spacing w:before="0" w:beforeAutospacing="0" w:after="240" w:line="276" w:lineRule="auto"/>
        <w:jc w:val="both"/>
        <w:rPr>
          <w:rFonts w:ascii="Arial" w:hAnsi="Arial" w:cs="Arial"/>
          <w:sz w:val="21"/>
          <w:szCs w:val="21"/>
        </w:rPr>
      </w:pPr>
      <w:r w:rsidRPr="008F7449">
        <w:rPr>
          <w:rFonts w:ascii="Arial" w:hAnsi="Arial" w:cs="Arial"/>
          <w:sz w:val="21"/>
          <w:szCs w:val="21"/>
        </w:rPr>
        <w:t>En la segunda sesión, se retomó la jornada con dos mesas más. La primera de ellas trató sobre las “Estrategias de prevención y lucha contra la corrupción en las Comunidades Autónomas”</w:t>
      </w:r>
      <w:r w:rsidR="005D6104">
        <w:rPr>
          <w:rFonts w:ascii="Arial" w:hAnsi="Arial" w:cs="Arial"/>
          <w:sz w:val="21"/>
          <w:szCs w:val="21"/>
        </w:rPr>
        <w:t>,</w:t>
      </w:r>
      <w:r w:rsidRPr="008F7449">
        <w:rPr>
          <w:rFonts w:ascii="Arial" w:hAnsi="Arial" w:cs="Arial"/>
          <w:sz w:val="21"/>
          <w:szCs w:val="21"/>
        </w:rPr>
        <w:t xml:space="preserve"> en la que participaron los directores de las oficinas y agencias antifraude de España.</w:t>
      </w:r>
    </w:p>
    <w:p w14:paraId="3161F28E" w14:textId="59ECC067" w:rsidR="008F7449" w:rsidRPr="008F7449" w:rsidRDefault="008F7449" w:rsidP="008F7449">
      <w:pPr>
        <w:pStyle w:val="NormalWeb"/>
        <w:spacing w:before="0" w:beforeAutospacing="0" w:after="240" w:line="276" w:lineRule="auto"/>
        <w:jc w:val="both"/>
        <w:rPr>
          <w:rFonts w:ascii="Arial" w:hAnsi="Arial" w:cs="Arial"/>
          <w:sz w:val="21"/>
          <w:szCs w:val="21"/>
        </w:rPr>
      </w:pPr>
      <w:r w:rsidRPr="008F7449">
        <w:rPr>
          <w:rFonts w:ascii="Arial" w:hAnsi="Arial" w:cs="Arial"/>
          <w:sz w:val="21"/>
          <w:szCs w:val="21"/>
        </w:rPr>
        <w:t>Participaron el director de la Oficina Antifrau de Catalunya, Miguel Ángel Gimeno</w:t>
      </w:r>
      <w:r w:rsidR="005D6104">
        <w:rPr>
          <w:rFonts w:ascii="Arial" w:hAnsi="Arial" w:cs="Arial"/>
          <w:sz w:val="21"/>
          <w:szCs w:val="21"/>
        </w:rPr>
        <w:t>,</w:t>
      </w:r>
      <w:r w:rsidRPr="008F7449">
        <w:rPr>
          <w:rFonts w:ascii="Arial" w:hAnsi="Arial" w:cs="Arial"/>
          <w:sz w:val="21"/>
          <w:szCs w:val="21"/>
        </w:rPr>
        <w:t xml:space="preserve"> el director de la Oficina de las Illes Balears, Jaime Far</w:t>
      </w:r>
      <w:r w:rsidR="005D6104">
        <w:rPr>
          <w:rFonts w:ascii="Arial" w:hAnsi="Arial" w:cs="Arial"/>
          <w:sz w:val="21"/>
          <w:szCs w:val="21"/>
        </w:rPr>
        <w:t>,</w:t>
      </w:r>
      <w:r w:rsidRPr="008F7449">
        <w:rPr>
          <w:rFonts w:ascii="Arial" w:hAnsi="Arial" w:cs="Arial"/>
          <w:sz w:val="21"/>
          <w:szCs w:val="21"/>
        </w:rPr>
        <w:t xml:space="preserve"> el director de la Agencia Valenciana Antifraude, Joan Llinares, y el recientemente nombrado director de la Oficina de Andalucía, Ricardo Vicente Puyol. La mesa fue moderada por la periodista de À Punt Ràdio, Clara Castelló.</w:t>
      </w:r>
    </w:p>
    <w:p w14:paraId="26FAD450" w14:textId="38B73A9A" w:rsidR="008F7449" w:rsidRPr="008F7449" w:rsidRDefault="008F7449" w:rsidP="008F7449">
      <w:pPr>
        <w:pStyle w:val="NormalWeb"/>
        <w:spacing w:before="0" w:beforeAutospacing="0" w:after="240" w:line="276" w:lineRule="auto"/>
        <w:jc w:val="both"/>
        <w:rPr>
          <w:rFonts w:ascii="Arial" w:hAnsi="Arial" w:cs="Arial"/>
          <w:sz w:val="21"/>
          <w:szCs w:val="21"/>
        </w:rPr>
      </w:pPr>
      <w:r w:rsidRPr="008F7449">
        <w:rPr>
          <w:rFonts w:ascii="Arial" w:hAnsi="Arial" w:cs="Arial"/>
          <w:sz w:val="21"/>
          <w:szCs w:val="21"/>
        </w:rPr>
        <w:t>Para finalizar el seminario</w:t>
      </w:r>
      <w:r w:rsidR="00F14525">
        <w:rPr>
          <w:rFonts w:ascii="Arial" w:hAnsi="Arial" w:cs="Arial"/>
          <w:sz w:val="21"/>
          <w:szCs w:val="21"/>
        </w:rPr>
        <w:t>,</w:t>
      </w:r>
      <w:r w:rsidRPr="008F7449">
        <w:rPr>
          <w:rFonts w:ascii="Arial" w:hAnsi="Arial" w:cs="Arial"/>
          <w:sz w:val="21"/>
          <w:szCs w:val="21"/>
        </w:rPr>
        <w:t xml:space="preserve"> se contó con la participación de la clase política en una mesa en la que participaron</w:t>
      </w:r>
      <w:r w:rsidR="00F14525">
        <w:rPr>
          <w:rFonts w:ascii="Arial" w:hAnsi="Arial" w:cs="Arial"/>
          <w:sz w:val="21"/>
          <w:szCs w:val="21"/>
        </w:rPr>
        <w:t>,</w:t>
      </w:r>
      <w:r w:rsidRPr="008F7449">
        <w:rPr>
          <w:rFonts w:ascii="Arial" w:hAnsi="Arial" w:cs="Arial"/>
          <w:sz w:val="21"/>
          <w:szCs w:val="21"/>
        </w:rPr>
        <w:t xml:space="preserve"> Manolo Mata del grupo parlamentario socialista</w:t>
      </w:r>
      <w:r w:rsidR="00F14525">
        <w:rPr>
          <w:rFonts w:ascii="Arial" w:hAnsi="Arial" w:cs="Arial"/>
          <w:sz w:val="21"/>
          <w:szCs w:val="21"/>
        </w:rPr>
        <w:t xml:space="preserve">, </w:t>
      </w:r>
      <w:r w:rsidRPr="008F7449">
        <w:rPr>
          <w:rFonts w:ascii="Arial" w:hAnsi="Arial" w:cs="Arial"/>
          <w:sz w:val="21"/>
          <w:szCs w:val="21"/>
        </w:rPr>
        <w:t>Fernando Pastor, por el grupo parlamentario popular</w:t>
      </w:r>
      <w:r w:rsidR="00F14525">
        <w:rPr>
          <w:rFonts w:ascii="Arial" w:hAnsi="Arial" w:cs="Arial"/>
          <w:sz w:val="21"/>
          <w:szCs w:val="21"/>
        </w:rPr>
        <w:t>,</w:t>
      </w:r>
      <w:r w:rsidRPr="008F7449">
        <w:rPr>
          <w:rFonts w:ascii="Arial" w:hAnsi="Arial" w:cs="Arial"/>
          <w:sz w:val="21"/>
          <w:szCs w:val="21"/>
        </w:rPr>
        <w:t xml:space="preserve"> Mònica Àlvaro del grupo parlamentario Compromís</w:t>
      </w:r>
      <w:r w:rsidR="00F14525">
        <w:rPr>
          <w:rFonts w:ascii="Arial" w:hAnsi="Arial" w:cs="Arial"/>
          <w:sz w:val="21"/>
          <w:szCs w:val="21"/>
        </w:rPr>
        <w:t>,</w:t>
      </w:r>
      <w:r w:rsidRPr="008F7449">
        <w:rPr>
          <w:rFonts w:ascii="Arial" w:hAnsi="Arial" w:cs="Arial"/>
          <w:sz w:val="21"/>
          <w:szCs w:val="21"/>
        </w:rPr>
        <w:t xml:space="preserve"> Ruth Merino del grupo parlamentario Ciudadanos y María Pilar Lima por el grupo parlamentario Unides Podem. La periodista y directora de informativos de À Punt</w:t>
      </w:r>
      <w:r w:rsidR="00F14525">
        <w:rPr>
          <w:rFonts w:ascii="Arial" w:hAnsi="Arial" w:cs="Arial"/>
          <w:sz w:val="21"/>
          <w:szCs w:val="21"/>
        </w:rPr>
        <w:t>,</w:t>
      </w:r>
      <w:r w:rsidRPr="008F7449">
        <w:rPr>
          <w:rFonts w:ascii="Arial" w:hAnsi="Arial" w:cs="Arial"/>
          <w:sz w:val="21"/>
          <w:szCs w:val="21"/>
        </w:rPr>
        <w:t xml:space="preserve"> Raquel Ejerique</w:t>
      </w:r>
      <w:r w:rsidR="00F14525">
        <w:rPr>
          <w:rFonts w:ascii="Arial" w:hAnsi="Arial" w:cs="Arial"/>
          <w:sz w:val="21"/>
          <w:szCs w:val="21"/>
        </w:rPr>
        <w:t>,</w:t>
      </w:r>
      <w:r w:rsidRPr="008F7449">
        <w:rPr>
          <w:rFonts w:ascii="Arial" w:hAnsi="Arial" w:cs="Arial"/>
          <w:sz w:val="21"/>
          <w:szCs w:val="21"/>
        </w:rPr>
        <w:t xml:space="preserve"> fue la encargada de moderar la mesa.</w:t>
      </w:r>
    </w:p>
    <w:p w14:paraId="1401148C" w14:textId="3FBCCD6A" w:rsidR="008F7449" w:rsidRPr="008F7449" w:rsidRDefault="008F7449" w:rsidP="008F7449">
      <w:pPr>
        <w:pStyle w:val="NormalWeb"/>
        <w:spacing w:before="0" w:beforeAutospacing="0" w:after="240" w:line="276" w:lineRule="auto"/>
        <w:jc w:val="both"/>
        <w:rPr>
          <w:rFonts w:ascii="Arial" w:hAnsi="Arial" w:cs="Arial"/>
          <w:sz w:val="21"/>
          <w:szCs w:val="21"/>
        </w:rPr>
      </w:pPr>
      <w:r w:rsidRPr="008F7449">
        <w:rPr>
          <w:rFonts w:ascii="Arial" w:hAnsi="Arial" w:cs="Arial"/>
          <w:sz w:val="21"/>
          <w:szCs w:val="21"/>
        </w:rPr>
        <w:t xml:space="preserve">Pueden ver el Seminario en el canal de YouTube de la Agencia Valenciana Antifraude en este enlace: </w:t>
      </w:r>
      <w:hyperlink r:id="rId71" w:history="1">
        <w:r w:rsidRPr="008F7449">
          <w:rPr>
            <w:rStyle w:val="Hipervnculo"/>
            <w:rFonts w:ascii="Arial" w:hAnsi="Arial" w:cs="Arial"/>
            <w:sz w:val="21"/>
            <w:szCs w:val="21"/>
          </w:rPr>
          <w:t>https://www.youtube.com/channel/UCkDS5OEUZu3iTEWg7gu8XXQ</w:t>
        </w:r>
      </w:hyperlink>
    </w:p>
    <w:p w14:paraId="7C5B28BE" w14:textId="0A755FA2" w:rsidR="00BB4994" w:rsidRPr="00973028" w:rsidRDefault="00D833CC" w:rsidP="00AC1A12">
      <w:pPr>
        <w:pStyle w:val="Prrafodelista"/>
        <w:keepNext/>
        <w:numPr>
          <w:ilvl w:val="2"/>
          <w:numId w:val="15"/>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16" w:name="_Toc99106963"/>
      <w:bookmarkStart w:id="17" w:name="OBJ_PREFIX_DWT50_com_zimbra_date"/>
      <w:r>
        <w:rPr>
          <w:rFonts w:ascii="Arial" w:eastAsia="Times New Roman" w:hAnsi="Arial" w:cs="Arial"/>
          <w:b/>
          <w:color w:val="9D2235"/>
          <w:sz w:val="28"/>
          <w:szCs w:val="28"/>
        </w:rPr>
        <w:t xml:space="preserve">Día Internacional de Naciones Unidas de </w:t>
      </w:r>
      <w:r w:rsidR="001D06D6">
        <w:rPr>
          <w:rFonts w:ascii="Arial" w:eastAsia="Times New Roman" w:hAnsi="Arial" w:cs="Arial"/>
          <w:b/>
          <w:color w:val="9D2235"/>
          <w:sz w:val="28"/>
          <w:szCs w:val="28"/>
        </w:rPr>
        <w:t>L</w:t>
      </w:r>
      <w:r>
        <w:rPr>
          <w:rFonts w:ascii="Arial" w:eastAsia="Times New Roman" w:hAnsi="Arial" w:cs="Arial"/>
          <w:b/>
          <w:color w:val="9D2235"/>
          <w:sz w:val="28"/>
          <w:szCs w:val="28"/>
        </w:rPr>
        <w:t>ucha contra la Corrupción</w:t>
      </w:r>
      <w:bookmarkEnd w:id="16"/>
    </w:p>
    <w:bookmarkEnd w:id="17"/>
    <w:p w14:paraId="22BFB441" w14:textId="401E539F" w:rsidR="001878B6" w:rsidRPr="001878B6" w:rsidRDefault="001878B6" w:rsidP="001878B6">
      <w:pPr>
        <w:pStyle w:val="NormalWeb"/>
        <w:spacing w:before="0" w:beforeAutospacing="0" w:after="240" w:line="276" w:lineRule="auto"/>
        <w:jc w:val="both"/>
        <w:rPr>
          <w:rFonts w:ascii="Arial" w:hAnsi="Arial" w:cs="Arial"/>
          <w:sz w:val="21"/>
          <w:szCs w:val="21"/>
        </w:rPr>
      </w:pPr>
      <w:r w:rsidRPr="001878B6">
        <w:rPr>
          <w:rFonts w:ascii="Arial" w:hAnsi="Arial" w:cs="Arial"/>
          <w:sz w:val="21"/>
          <w:szCs w:val="21"/>
        </w:rPr>
        <w:t xml:space="preserve">Con motivo de la celebración del Día Internacional contra la Corrupción, la Agencia Valenciana Antifraude organizó un webinar con una ponencia de Concepción Sabadell, </w:t>
      </w:r>
      <w:r w:rsidR="00312C14">
        <w:rPr>
          <w:rFonts w:ascii="Arial" w:hAnsi="Arial" w:cs="Arial"/>
          <w:sz w:val="21"/>
          <w:szCs w:val="21"/>
        </w:rPr>
        <w:t>f</w:t>
      </w:r>
      <w:r w:rsidRPr="001878B6">
        <w:rPr>
          <w:rFonts w:ascii="Arial" w:hAnsi="Arial" w:cs="Arial"/>
          <w:sz w:val="21"/>
          <w:szCs w:val="21"/>
        </w:rPr>
        <w:t>iscal</w:t>
      </w:r>
      <w:r w:rsidR="00312C14">
        <w:rPr>
          <w:rFonts w:ascii="Arial" w:hAnsi="Arial" w:cs="Arial"/>
          <w:sz w:val="21"/>
          <w:szCs w:val="21"/>
        </w:rPr>
        <w:t xml:space="preserve"> e</w:t>
      </w:r>
      <w:r w:rsidRPr="001878B6">
        <w:rPr>
          <w:rFonts w:ascii="Arial" w:hAnsi="Arial" w:cs="Arial"/>
          <w:sz w:val="21"/>
          <w:szCs w:val="21"/>
        </w:rPr>
        <w:t>uropea</w:t>
      </w:r>
      <w:r w:rsidR="001F2E8A">
        <w:rPr>
          <w:rFonts w:ascii="Arial" w:hAnsi="Arial" w:cs="Arial"/>
          <w:sz w:val="21"/>
          <w:szCs w:val="21"/>
        </w:rPr>
        <w:t>,</w:t>
      </w:r>
      <w:r w:rsidRPr="001878B6">
        <w:rPr>
          <w:rFonts w:ascii="Arial" w:hAnsi="Arial" w:cs="Arial"/>
          <w:sz w:val="21"/>
          <w:szCs w:val="21"/>
        </w:rPr>
        <w:t xml:space="preserve"> y un diálogo entre Rodrigo Terrasa, autor del libro 'La ciudad de la euforia' y Joan Llinares, director de la Agencia Valenciana Antifraude.</w:t>
      </w:r>
    </w:p>
    <w:p w14:paraId="2F72DE9B" w14:textId="465C1E56" w:rsidR="001878B6" w:rsidRPr="001878B6" w:rsidRDefault="000D7C6B" w:rsidP="00630471">
      <w:pPr>
        <w:pStyle w:val="NormalWeb"/>
        <w:spacing w:before="0" w:beforeAutospacing="0" w:after="0" w:line="276" w:lineRule="auto"/>
        <w:jc w:val="both"/>
        <w:rPr>
          <w:rFonts w:ascii="Arial" w:hAnsi="Arial" w:cs="Arial"/>
          <w:sz w:val="21"/>
          <w:szCs w:val="21"/>
        </w:rPr>
      </w:pPr>
      <w:r w:rsidRPr="00F94CC1">
        <w:rPr>
          <w:rFonts w:ascii="Arial" w:hAnsi="Arial"/>
          <w:noProof/>
          <w:sz w:val="21"/>
          <w:szCs w:val="20"/>
          <w:lang w:eastAsia="en-US"/>
        </w:rPr>
        <w:drawing>
          <wp:anchor distT="0" distB="0" distL="114300" distR="114300" simplePos="0" relativeHeight="252039168" behindDoc="0" locked="0" layoutInCell="1" allowOverlap="1" wp14:anchorId="1C209941" wp14:editId="3F91AD25">
            <wp:simplePos x="0" y="0"/>
            <wp:positionH relativeFrom="margin">
              <wp:align>left</wp:align>
            </wp:positionH>
            <wp:positionV relativeFrom="paragraph">
              <wp:posOffset>26091</wp:posOffset>
            </wp:positionV>
            <wp:extent cx="5385261" cy="3027680"/>
            <wp:effectExtent l="0" t="0" r="6350" b="1270"/>
            <wp:wrapTopAndBottom/>
            <wp:docPr id="42" name="Imagen 42" descr="Un periódico con la imagen de una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 periódico con la imagen de una persona&#10;&#10;Descripción generada automáticament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85261" cy="3027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4CC1">
        <w:rPr>
          <w:noProof/>
        </w:rPr>
        <mc:AlternateContent>
          <mc:Choice Requires="wps">
            <w:drawing>
              <wp:anchor distT="0" distB="0" distL="114300" distR="114300" simplePos="0" relativeHeight="252041216" behindDoc="0" locked="0" layoutInCell="1" allowOverlap="1" wp14:anchorId="2177DF0A" wp14:editId="342DC24D">
                <wp:simplePos x="0" y="0"/>
                <wp:positionH relativeFrom="column">
                  <wp:posOffset>0</wp:posOffset>
                </wp:positionH>
                <wp:positionV relativeFrom="paragraph">
                  <wp:posOffset>3261995</wp:posOffset>
                </wp:positionV>
                <wp:extent cx="5384800" cy="635"/>
                <wp:effectExtent l="0" t="0" r="0" b="0"/>
                <wp:wrapTopAndBottom/>
                <wp:docPr id="43" name="Cuadro de texto 43"/>
                <wp:cNvGraphicFramePr/>
                <a:graphic xmlns:a="http://schemas.openxmlformats.org/drawingml/2006/main">
                  <a:graphicData uri="http://schemas.microsoft.com/office/word/2010/wordprocessingShape">
                    <wps:wsp>
                      <wps:cNvSpPr txBox="1"/>
                      <wps:spPr>
                        <a:xfrm>
                          <a:off x="0" y="0"/>
                          <a:ext cx="5384800" cy="635"/>
                        </a:xfrm>
                        <a:prstGeom prst="rect">
                          <a:avLst/>
                        </a:prstGeom>
                        <a:solidFill>
                          <a:prstClr val="white"/>
                        </a:solidFill>
                        <a:ln>
                          <a:noFill/>
                        </a:ln>
                      </wps:spPr>
                      <wps:txbx>
                        <w:txbxContent>
                          <w:p w14:paraId="30A6C55D" w14:textId="13E94924" w:rsidR="00F94CC1" w:rsidRPr="00F94CC1" w:rsidRDefault="00F94CC1" w:rsidP="00F94CC1">
                            <w:pPr>
                              <w:pStyle w:val="Descripcin"/>
                              <w:spacing w:after="240" w:line="276" w:lineRule="auto"/>
                              <w:jc w:val="center"/>
                              <w:rPr>
                                <w:rFonts w:ascii="Arial" w:eastAsia="Times New Roman" w:hAnsi="Arial" w:cs="Arial"/>
                                <w:smallCaps w:val="0"/>
                                <w:noProof/>
                                <w:sz w:val="18"/>
                                <w:szCs w:val="18"/>
                              </w:rPr>
                            </w:pPr>
                            <w:bookmarkStart w:id="18" w:name="_Toc99099794"/>
                            <w:r w:rsidRPr="00F94CC1">
                              <w:rPr>
                                <w:rFonts w:ascii="Arial" w:hAnsi="Arial" w:cs="Arial"/>
                                <w:smallCaps w:val="0"/>
                                <w:color w:val="9D2235" w:themeColor="accent1"/>
                                <w:sz w:val="18"/>
                                <w:szCs w:val="18"/>
                              </w:rPr>
                              <w:t xml:space="preserve">Ilustración </w:t>
                            </w:r>
                            <w:r w:rsidRPr="00F94CC1">
                              <w:rPr>
                                <w:rFonts w:ascii="Arial" w:hAnsi="Arial" w:cs="Arial"/>
                                <w:smallCaps w:val="0"/>
                                <w:color w:val="9D2235" w:themeColor="accent1"/>
                                <w:sz w:val="18"/>
                                <w:szCs w:val="18"/>
                              </w:rPr>
                              <w:fldChar w:fldCharType="begin"/>
                            </w:r>
                            <w:r w:rsidRPr="00F94CC1">
                              <w:rPr>
                                <w:rFonts w:ascii="Arial" w:hAnsi="Arial" w:cs="Arial"/>
                                <w:smallCaps w:val="0"/>
                                <w:color w:val="9D2235" w:themeColor="accent1"/>
                                <w:sz w:val="18"/>
                                <w:szCs w:val="18"/>
                              </w:rPr>
                              <w:instrText xml:space="preserve"> SEQ Ilustración \* ARABIC </w:instrText>
                            </w:r>
                            <w:r w:rsidRPr="00F94CC1">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6</w:t>
                            </w:r>
                            <w:r w:rsidRPr="00F94CC1">
                              <w:rPr>
                                <w:rFonts w:ascii="Arial" w:hAnsi="Arial" w:cs="Arial"/>
                                <w:smallCaps w:val="0"/>
                                <w:color w:val="9D2235" w:themeColor="accent1"/>
                                <w:sz w:val="18"/>
                                <w:szCs w:val="18"/>
                              </w:rPr>
                              <w:fldChar w:fldCharType="end"/>
                            </w:r>
                            <w:r w:rsidRPr="00F94CC1">
                              <w:rPr>
                                <w:rFonts w:ascii="Arial" w:hAnsi="Arial" w:cs="Arial"/>
                                <w:smallCaps w:val="0"/>
                                <w:color w:val="9D2235" w:themeColor="accent1"/>
                                <w:sz w:val="18"/>
                                <w:szCs w:val="18"/>
                              </w:rPr>
                              <w:t xml:space="preserve">. </w:t>
                            </w:r>
                            <w:r w:rsidRPr="00F94CC1">
                              <w:rPr>
                                <w:rFonts w:ascii="Arial" w:hAnsi="Arial" w:cs="Arial"/>
                                <w:smallCaps w:val="0"/>
                                <w:sz w:val="18"/>
                                <w:szCs w:val="18"/>
                              </w:rPr>
                              <w:t>Infografía del webinar: Día Internacional contra la Corrupción</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177DF0A" id="Cuadro de texto 43" o:spid="_x0000_s1031" type="#_x0000_t202" style="position:absolute;left:0;text-align:left;margin-left:0;margin-top:256.85pt;width:424pt;height:.05pt;z-index:25204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" stroked="f">
                <v:textbox style="mso-fit-shape-to-text:t" inset="0,0,0,0">
                  <w:txbxContent>
                    <w:p w14:paraId="30A6C55D" w14:textId="13E94924" w:rsidR="00F94CC1" w:rsidRPr="00F94CC1" w:rsidRDefault="00F94CC1" w:rsidP="00F94CC1">
                      <w:pPr>
                        <w:pStyle w:val="Descripcin"/>
                        <w:spacing w:after="240" w:line="276" w:lineRule="auto"/>
                        <w:jc w:val="center"/>
                        <w:rPr>
                          <w:rFonts w:ascii="Arial" w:eastAsia="Times New Roman" w:hAnsi="Arial" w:cs="Arial"/>
                          <w:smallCaps w:val="0"/>
                          <w:noProof/>
                          <w:sz w:val="18"/>
                          <w:szCs w:val="18"/>
                        </w:rPr>
                      </w:pPr>
                      <w:bookmarkStart w:id="21" w:name="_Toc99099794"/>
                      <w:r w:rsidRPr="00F94CC1">
                        <w:rPr>
                          <w:rFonts w:ascii="Arial" w:hAnsi="Arial" w:cs="Arial"/>
                          <w:smallCaps w:val="0"/>
                          <w:color w:val="9D2235" w:themeColor="accent1"/>
                          <w:sz w:val="18"/>
                          <w:szCs w:val="18"/>
                        </w:rPr>
                        <w:t xml:space="preserve">Ilustración </w:t>
                      </w:r>
                      <w:r w:rsidRPr="00F94CC1">
                        <w:rPr>
                          <w:rFonts w:ascii="Arial" w:hAnsi="Arial" w:cs="Arial"/>
                          <w:smallCaps w:val="0"/>
                          <w:color w:val="9D2235" w:themeColor="accent1"/>
                          <w:sz w:val="18"/>
                          <w:szCs w:val="18"/>
                        </w:rPr>
                        <w:fldChar w:fldCharType="begin"/>
                      </w:r>
                      <w:r w:rsidRPr="00F94CC1">
                        <w:rPr>
                          <w:rFonts w:ascii="Arial" w:hAnsi="Arial" w:cs="Arial"/>
                          <w:smallCaps w:val="0"/>
                          <w:color w:val="9D2235" w:themeColor="accent1"/>
                          <w:sz w:val="18"/>
                          <w:szCs w:val="18"/>
                        </w:rPr>
                        <w:instrText xml:space="preserve"> SEQ Ilustración \* ARABIC </w:instrText>
                      </w:r>
                      <w:r w:rsidRPr="00F94CC1">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6</w:t>
                      </w:r>
                      <w:r w:rsidRPr="00F94CC1">
                        <w:rPr>
                          <w:rFonts w:ascii="Arial" w:hAnsi="Arial" w:cs="Arial"/>
                          <w:smallCaps w:val="0"/>
                          <w:color w:val="9D2235" w:themeColor="accent1"/>
                          <w:sz w:val="18"/>
                          <w:szCs w:val="18"/>
                        </w:rPr>
                        <w:fldChar w:fldCharType="end"/>
                      </w:r>
                      <w:r w:rsidRPr="00F94CC1">
                        <w:rPr>
                          <w:rFonts w:ascii="Arial" w:hAnsi="Arial" w:cs="Arial"/>
                          <w:smallCaps w:val="0"/>
                          <w:color w:val="9D2235" w:themeColor="accent1"/>
                          <w:sz w:val="18"/>
                          <w:szCs w:val="18"/>
                        </w:rPr>
                        <w:t xml:space="preserve">. </w:t>
                      </w:r>
                      <w:r w:rsidRPr="00F94CC1">
                        <w:rPr>
                          <w:rFonts w:ascii="Arial" w:hAnsi="Arial" w:cs="Arial"/>
                          <w:smallCaps w:val="0"/>
                          <w:sz w:val="18"/>
                          <w:szCs w:val="18"/>
                        </w:rPr>
                        <w:t>Infografía del webinar: Día Internacional contra la Corrupción</w:t>
                      </w:r>
                      <w:bookmarkEnd w:id="21"/>
                    </w:p>
                  </w:txbxContent>
                </v:textbox>
                <w10:wrap type="topAndBottom"/>
              </v:shape>
            </w:pict>
          </mc:Fallback>
        </mc:AlternateContent>
      </w:r>
    </w:p>
    <w:p w14:paraId="5550815E" w14:textId="3CF54AFC" w:rsidR="00BB4994" w:rsidRPr="00973028" w:rsidRDefault="001878B6" w:rsidP="001878B6">
      <w:pPr>
        <w:pStyle w:val="NormalWeb"/>
        <w:spacing w:before="0" w:beforeAutospacing="0" w:after="240" w:line="276" w:lineRule="auto"/>
        <w:jc w:val="both"/>
        <w:rPr>
          <w:rFonts w:ascii="Arial" w:eastAsia="Calibri" w:hAnsi="Arial" w:cs="Arial"/>
          <w:sz w:val="21"/>
        </w:rPr>
      </w:pPr>
      <w:r w:rsidRPr="001878B6">
        <w:rPr>
          <w:rFonts w:ascii="Arial" w:hAnsi="Arial" w:cs="Arial"/>
          <w:sz w:val="21"/>
          <w:szCs w:val="21"/>
        </w:rPr>
        <w:t xml:space="preserve">Pueden ver el webinar en el canal de YouTube de la Agencia Valenciana Antifraude en este enlace: </w:t>
      </w:r>
      <w:hyperlink r:id="rId73" w:history="1">
        <w:r w:rsidRPr="001878B6">
          <w:rPr>
            <w:rStyle w:val="Hipervnculo"/>
            <w:rFonts w:ascii="Arial" w:hAnsi="Arial" w:cs="Arial"/>
            <w:sz w:val="21"/>
            <w:szCs w:val="21"/>
          </w:rPr>
          <w:t>https://www.youtube.com/watch?v=EYoCbZYTE4o</w:t>
        </w:r>
      </w:hyperlink>
    </w:p>
    <w:p w14:paraId="0C7FD1B6" w14:textId="56463C7F" w:rsidR="00BB4994" w:rsidRPr="00973028" w:rsidRDefault="00D55884" w:rsidP="00AC1A12">
      <w:pPr>
        <w:pStyle w:val="Prrafodelista"/>
        <w:keepNext/>
        <w:numPr>
          <w:ilvl w:val="2"/>
          <w:numId w:val="15"/>
        </w:numPr>
        <w:spacing w:before="360" w:after="240" w:line="276" w:lineRule="auto"/>
        <w:ind w:left="1134" w:hanging="1134"/>
        <w:contextualSpacing w:val="0"/>
        <w:outlineLvl w:val="2"/>
        <w:rPr>
          <w:rFonts w:ascii="Arial" w:eastAsia="Times New Roman" w:hAnsi="Arial" w:cs="Arial"/>
          <w:b/>
          <w:color w:val="9D2235"/>
          <w:sz w:val="28"/>
          <w:szCs w:val="28"/>
        </w:rPr>
      </w:pPr>
      <w:bookmarkStart w:id="19" w:name="_Toc99106964"/>
      <w:r>
        <w:rPr>
          <w:rFonts w:ascii="Arial" w:eastAsia="Times New Roman" w:hAnsi="Arial" w:cs="Arial"/>
          <w:b/>
          <w:color w:val="9D2235"/>
          <w:sz w:val="28"/>
          <w:szCs w:val="28"/>
        </w:rPr>
        <w:t>Consejo de Participación de la Agencia Valenciana Antifraude</w:t>
      </w:r>
      <w:bookmarkEnd w:id="19"/>
    </w:p>
    <w:p w14:paraId="53C1551C" w14:textId="39EF0063" w:rsidR="003D52CE" w:rsidRPr="003D52CE" w:rsidRDefault="003D52CE" w:rsidP="003D52CE">
      <w:pPr>
        <w:spacing w:after="240" w:line="276" w:lineRule="auto"/>
        <w:jc w:val="both"/>
        <w:rPr>
          <w:rFonts w:ascii="Arial" w:hAnsi="Arial" w:cs="Arial"/>
          <w:sz w:val="21"/>
          <w:szCs w:val="21"/>
        </w:rPr>
      </w:pPr>
      <w:r w:rsidRPr="003D52CE">
        <w:rPr>
          <w:rFonts w:ascii="Arial" w:eastAsia="Times New Roman" w:hAnsi="Arial" w:cs="Arial"/>
          <w:color w:val="000000"/>
          <w:sz w:val="21"/>
          <w:szCs w:val="21"/>
          <w:lang w:eastAsia="es-ES"/>
        </w:rPr>
        <w:t xml:space="preserve">Por </w:t>
      </w:r>
      <w:hyperlink r:id="rId74">
        <w:r w:rsidRPr="003D52CE">
          <w:rPr>
            <w:rStyle w:val="EnlacedeInternet"/>
            <w:rFonts w:ascii="Arial" w:eastAsia="Times New Roman" w:hAnsi="Arial" w:cs="Arial"/>
            <w:sz w:val="21"/>
            <w:szCs w:val="21"/>
            <w:lang w:eastAsia="es-ES"/>
          </w:rPr>
          <w:t>Resolución de 12 de febrero de 2019, del director de la Agencia</w:t>
        </w:r>
      </w:hyperlink>
      <w:r w:rsidRPr="003D52CE">
        <w:rPr>
          <w:rFonts w:ascii="Arial" w:eastAsia="Times New Roman" w:hAnsi="Arial" w:cs="Arial"/>
          <w:color w:val="000000"/>
          <w:sz w:val="21"/>
          <w:szCs w:val="21"/>
          <w:lang w:eastAsia="es-ES"/>
        </w:rPr>
        <w:t>, publicada en el DOGV núm</w:t>
      </w:r>
      <w:r w:rsidR="00D86712">
        <w:rPr>
          <w:rFonts w:ascii="Arial" w:eastAsia="Times New Roman" w:hAnsi="Arial" w:cs="Arial"/>
          <w:color w:val="000000"/>
          <w:sz w:val="21"/>
          <w:szCs w:val="21"/>
          <w:lang w:eastAsia="es-ES"/>
        </w:rPr>
        <w:t>.</w:t>
      </w:r>
      <w:r w:rsidRPr="003D52CE">
        <w:rPr>
          <w:rFonts w:ascii="Arial" w:eastAsia="Times New Roman" w:hAnsi="Arial" w:cs="Arial"/>
          <w:color w:val="000000"/>
          <w:sz w:val="21"/>
          <w:szCs w:val="21"/>
          <w:lang w:eastAsia="es-ES"/>
        </w:rPr>
        <w:t xml:space="preserve"> 346 de 22 de febrero de 2019, se crea el </w:t>
      </w:r>
      <w:hyperlink r:id="rId75">
        <w:r w:rsidRPr="003D52CE">
          <w:rPr>
            <w:rStyle w:val="EnlacedeInternet"/>
            <w:rFonts w:ascii="Arial" w:eastAsia="Times New Roman" w:hAnsi="Arial" w:cs="Arial"/>
            <w:sz w:val="21"/>
            <w:szCs w:val="21"/>
            <w:lang w:eastAsia="es-ES"/>
          </w:rPr>
          <w:t>Consejo de Participación de la Agencia de Prevención y Lucha contra el Fraude y la Corrupción de la Comunitat Valenciana</w:t>
        </w:r>
      </w:hyperlink>
      <w:r w:rsidRPr="003D52CE">
        <w:rPr>
          <w:rFonts w:ascii="Arial" w:eastAsia="Times New Roman" w:hAnsi="Arial" w:cs="Arial"/>
          <w:color w:val="000000"/>
          <w:sz w:val="21"/>
          <w:szCs w:val="21"/>
          <w:lang w:eastAsia="es-ES"/>
        </w:rPr>
        <w:t>, que se reunió en sesión constitutiva el 4 de octubre de 2019 en Val</w:t>
      </w:r>
      <w:r w:rsidR="001F2E8A">
        <w:rPr>
          <w:rFonts w:ascii="Arial" w:eastAsia="Times New Roman" w:hAnsi="Arial" w:cs="Arial"/>
          <w:color w:val="000000"/>
          <w:sz w:val="21"/>
          <w:szCs w:val="21"/>
          <w:lang w:eastAsia="es-ES"/>
        </w:rPr>
        <w:t>è</w:t>
      </w:r>
      <w:r w:rsidRPr="003D52CE">
        <w:rPr>
          <w:rFonts w:ascii="Arial" w:eastAsia="Times New Roman" w:hAnsi="Arial" w:cs="Arial"/>
          <w:color w:val="000000"/>
          <w:sz w:val="21"/>
          <w:szCs w:val="21"/>
          <w:lang w:eastAsia="es-ES"/>
        </w:rPr>
        <w:t xml:space="preserve">ncia. </w:t>
      </w:r>
    </w:p>
    <w:p w14:paraId="65A9AEAF" w14:textId="117A8A98" w:rsidR="003D52CE" w:rsidRPr="003D52CE" w:rsidRDefault="003D52CE" w:rsidP="003D52CE">
      <w:pPr>
        <w:spacing w:after="240" w:line="276" w:lineRule="auto"/>
        <w:jc w:val="both"/>
        <w:rPr>
          <w:rFonts w:ascii="Arial" w:eastAsia="Times New Roman" w:hAnsi="Arial" w:cs="Arial"/>
          <w:color w:val="000000"/>
          <w:sz w:val="21"/>
          <w:szCs w:val="21"/>
          <w:lang w:eastAsia="es-ES"/>
        </w:rPr>
      </w:pPr>
      <w:r w:rsidRPr="003D52CE">
        <w:rPr>
          <w:rFonts w:ascii="Arial" w:eastAsia="Times New Roman" w:hAnsi="Arial" w:cs="Arial"/>
          <w:color w:val="000000"/>
          <w:sz w:val="21"/>
          <w:szCs w:val="21"/>
          <w:lang w:eastAsia="es-ES"/>
        </w:rPr>
        <w:t>Este Consejo</w:t>
      </w:r>
      <w:r w:rsidR="00B50800">
        <w:rPr>
          <w:rFonts w:ascii="Arial" w:eastAsia="Times New Roman" w:hAnsi="Arial" w:cs="Arial"/>
          <w:color w:val="000000"/>
          <w:sz w:val="21"/>
          <w:szCs w:val="21"/>
          <w:lang w:eastAsia="es-ES"/>
        </w:rPr>
        <w:t>,</w:t>
      </w:r>
      <w:r w:rsidRPr="003D52CE">
        <w:rPr>
          <w:rFonts w:ascii="Arial" w:eastAsia="Times New Roman" w:hAnsi="Arial" w:cs="Arial"/>
          <w:color w:val="000000"/>
          <w:sz w:val="21"/>
          <w:szCs w:val="21"/>
          <w:lang w:eastAsia="es-ES"/>
        </w:rPr>
        <w:t xml:space="preserve"> se configura como órgano asesor y de consulta para la participación de la sociedad civil y de personas expertas dentro del ámbito de la prevención y lucha contra el fraude y la corrupción, la transparencia en la actividad pública y la calidad democrática, en aras al mejor cumplimiento de las funciones y finalidades de esta Agencia. Su objetivo es impulsar la vinculación de la Agencia con la sociedad civil y la ciudadanía facilitando su comunicación y relación.</w:t>
      </w:r>
    </w:p>
    <w:p w14:paraId="33E93E77" w14:textId="08789F9D" w:rsidR="003D52CE" w:rsidRPr="003D52CE" w:rsidRDefault="003D52CE" w:rsidP="003D52CE">
      <w:pPr>
        <w:spacing w:after="240" w:line="276" w:lineRule="auto"/>
        <w:jc w:val="both"/>
        <w:rPr>
          <w:rFonts w:ascii="Arial" w:hAnsi="Arial" w:cs="Arial"/>
          <w:sz w:val="21"/>
          <w:szCs w:val="21"/>
        </w:rPr>
      </w:pPr>
      <w:r w:rsidRPr="003D52CE">
        <w:rPr>
          <w:rFonts w:ascii="Arial" w:eastAsia="Times New Roman" w:hAnsi="Arial" w:cs="Arial"/>
          <w:color w:val="000000"/>
          <w:sz w:val="21"/>
          <w:szCs w:val="21"/>
          <w:lang w:eastAsia="es-ES"/>
        </w:rPr>
        <w:t xml:space="preserve">El Consejo de Participación se encuentra regulado en el título IV (artículos 24 a 26), del </w:t>
      </w:r>
      <w:hyperlink r:id="rId76">
        <w:r w:rsidRPr="003D52CE">
          <w:rPr>
            <w:rStyle w:val="EnlacedeInternet"/>
            <w:rFonts w:ascii="Arial" w:eastAsia="Times New Roman" w:hAnsi="Arial" w:cs="Arial"/>
            <w:sz w:val="21"/>
            <w:szCs w:val="21"/>
            <w:lang w:eastAsia="es-ES"/>
          </w:rPr>
          <w:t>Reglamento de funcionamiento y régimen interior</w:t>
        </w:r>
      </w:hyperlink>
      <w:r w:rsidRPr="003D52CE">
        <w:rPr>
          <w:rFonts w:ascii="Arial" w:eastAsia="Times New Roman" w:hAnsi="Arial" w:cs="Arial"/>
          <w:color w:val="000000"/>
          <w:sz w:val="21"/>
          <w:szCs w:val="21"/>
          <w:lang w:eastAsia="es-ES"/>
        </w:rPr>
        <w:t xml:space="preserve"> de la Agencia, de 27 de junio 2019.</w:t>
      </w:r>
    </w:p>
    <w:p w14:paraId="3B58B6BA" w14:textId="2A6868DB" w:rsidR="003D52CE" w:rsidRPr="003D52CE" w:rsidRDefault="003D52CE" w:rsidP="003D52CE">
      <w:pPr>
        <w:spacing w:after="240" w:line="276" w:lineRule="auto"/>
        <w:jc w:val="both"/>
        <w:rPr>
          <w:rFonts w:ascii="Arial" w:hAnsi="Arial" w:cs="Arial"/>
          <w:sz w:val="21"/>
          <w:szCs w:val="21"/>
        </w:rPr>
      </w:pPr>
      <w:r w:rsidRPr="003D52CE">
        <w:rPr>
          <w:rFonts w:ascii="Arial" w:hAnsi="Arial" w:cs="Arial"/>
          <w:sz w:val="21"/>
          <w:szCs w:val="21"/>
        </w:rPr>
        <w:t>En cumplimiento del art. 26.2</w:t>
      </w:r>
      <w:r w:rsidR="00CF04AA">
        <w:rPr>
          <w:rFonts w:ascii="Arial" w:hAnsi="Arial" w:cs="Arial"/>
          <w:sz w:val="21"/>
          <w:szCs w:val="21"/>
        </w:rPr>
        <w:t xml:space="preserve"> del Reglamento</w:t>
      </w:r>
      <w:r w:rsidRPr="003D52CE">
        <w:rPr>
          <w:rFonts w:ascii="Arial" w:hAnsi="Arial" w:cs="Arial"/>
          <w:sz w:val="21"/>
          <w:szCs w:val="21"/>
        </w:rPr>
        <w:t xml:space="preserve">, el Consejo se ha reunido dos veces en el año 2021 aunque, dada la situación de crisis sanitaria, las reuniones siguieron celebrándose de manera virtual. </w:t>
      </w:r>
    </w:p>
    <w:p w14:paraId="65236BA9" w14:textId="77777777" w:rsidR="003D52CE" w:rsidRPr="003D52CE" w:rsidRDefault="003D52CE" w:rsidP="0057607F">
      <w:pPr>
        <w:pStyle w:val="NormalWeb"/>
        <w:spacing w:before="0" w:beforeAutospacing="0" w:after="240" w:line="276" w:lineRule="auto"/>
        <w:jc w:val="both"/>
        <w:rPr>
          <w:rFonts w:ascii="Arial" w:hAnsi="Arial" w:cs="Arial"/>
          <w:sz w:val="21"/>
          <w:szCs w:val="21"/>
        </w:rPr>
      </w:pPr>
      <w:r w:rsidRPr="003D52CE">
        <w:rPr>
          <w:rFonts w:ascii="Arial" w:hAnsi="Arial" w:cs="Arial"/>
          <w:sz w:val="21"/>
          <w:szCs w:val="21"/>
        </w:rPr>
        <w:t>La</w:t>
      </w:r>
      <w:r w:rsidRPr="003D52CE">
        <w:rPr>
          <w:rFonts w:ascii="Arial" w:hAnsi="Arial" w:cs="Arial"/>
          <w:b/>
          <w:sz w:val="21"/>
          <w:szCs w:val="21"/>
        </w:rPr>
        <w:t xml:space="preserve"> IV REUNIÓN DEL CONSEJO DE PARTICIPACIÓN</w:t>
      </w:r>
      <w:r w:rsidRPr="003D52CE">
        <w:rPr>
          <w:rFonts w:ascii="Arial" w:hAnsi="Arial" w:cs="Arial"/>
          <w:sz w:val="21"/>
          <w:szCs w:val="21"/>
        </w:rPr>
        <w:t xml:space="preserve"> tuvo lugar en dos sesiones, el 28 de abril y el 5 de mayo, contando con el siguiente orden del día:</w:t>
      </w:r>
    </w:p>
    <w:p w14:paraId="08759432" w14:textId="1CC4CA2F" w:rsidR="003D52CE" w:rsidRPr="003D52CE" w:rsidRDefault="003D52CE" w:rsidP="0057607F">
      <w:pPr>
        <w:pStyle w:val="NormalWeb"/>
        <w:numPr>
          <w:ilvl w:val="0"/>
          <w:numId w:val="23"/>
        </w:numPr>
        <w:spacing w:before="0" w:beforeAutospacing="0" w:after="120" w:line="276" w:lineRule="auto"/>
        <w:ind w:left="714" w:hanging="357"/>
        <w:jc w:val="both"/>
        <w:rPr>
          <w:rFonts w:ascii="Arial" w:hAnsi="Arial" w:cs="Arial"/>
          <w:sz w:val="21"/>
          <w:szCs w:val="21"/>
        </w:rPr>
      </w:pPr>
      <w:r w:rsidRPr="003D52CE">
        <w:rPr>
          <w:rFonts w:ascii="Arial" w:hAnsi="Arial" w:cs="Arial"/>
          <w:sz w:val="21"/>
          <w:szCs w:val="21"/>
        </w:rPr>
        <w:t>Dación de cuentas de la actividad de la AVAF: Memoria del ejercicio 2020</w:t>
      </w:r>
      <w:r w:rsidR="0057607F">
        <w:rPr>
          <w:rFonts w:ascii="Arial" w:hAnsi="Arial" w:cs="Arial"/>
          <w:sz w:val="21"/>
          <w:szCs w:val="21"/>
        </w:rPr>
        <w:t>.</w:t>
      </w:r>
    </w:p>
    <w:p w14:paraId="21C2E84E" w14:textId="77777777" w:rsidR="003D52CE" w:rsidRPr="003D52CE" w:rsidRDefault="003D52CE" w:rsidP="00E501D4">
      <w:pPr>
        <w:pStyle w:val="NormalWeb"/>
        <w:numPr>
          <w:ilvl w:val="0"/>
          <w:numId w:val="23"/>
        </w:numPr>
        <w:spacing w:before="0" w:beforeAutospacing="0" w:after="240" w:line="276" w:lineRule="auto"/>
        <w:ind w:left="714" w:hanging="357"/>
        <w:jc w:val="both"/>
        <w:rPr>
          <w:rFonts w:ascii="Arial" w:hAnsi="Arial" w:cs="Arial"/>
          <w:sz w:val="21"/>
          <w:szCs w:val="21"/>
        </w:rPr>
      </w:pPr>
      <w:r w:rsidRPr="003D52CE">
        <w:rPr>
          <w:rFonts w:ascii="Arial" w:hAnsi="Arial" w:cs="Arial"/>
          <w:sz w:val="21"/>
          <w:szCs w:val="21"/>
        </w:rPr>
        <w:t>Información y debate sobre la situación de conflicto por la reclamación de expedientes de investigación en curso por parte de los grupos parlamentarios del PP y del PSPV-PSOE. Presentación del informe jurídico emitido por la AVAF.</w:t>
      </w:r>
    </w:p>
    <w:p w14:paraId="13A7DE1B" w14:textId="77777777" w:rsidR="003D52CE" w:rsidRPr="003D52CE" w:rsidRDefault="003D52CE" w:rsidP="00990A9C">
      <w:pPr>
        <w:pStyle w:val="NormalWeb"/>
        <w:spacing w:before="0" w:beforeAutospacing="0" w:after="120" w:line="276" w:lineRule="auto"/>
        <w:jc w:val="both"/>
        <w:rPr>
          <w:rFonts w:ascii="Arial" w:hAnsi="Arial" w:cs="Arial"/>
          <w:sz w:val="21"/>
          <w:szCs w:val="21"/>
        </w:rPr>
      </w:pPr>
      <w:r w:rsidRPr="003D52CE">
        <w:rPr>
          <w:rFonts w:ascii="Arial" w:hAnsi="Arial" w:cs="Arial"/>
          <w:sz w:val="21"/>
          <w:szCs w:val="21"/>
        </w:rPr>
        <w:t>A raíz de esta reunión, y en relación con el punto 2 del orden del día, el Consejo de Participación realizó un Pronunciamiento que difundió a los medios de comunicación e hizo llegar a las Corts Valencianes:</w:t>
      </w:r>
    </w:p>
    <w:p w14:paraId="2A0063B6" w14:textId="77777777" w:rsidR="003D52CE" w:rsidRPr="003D52CE" w:rsidRDefault="00AF48E6" w:rsidP="00990A9C">
      <w:pPr>
        <w:pStyle w:val="NormalWeb"/>
        <w:spacing w:before="0" w:beforeAutospacing="0" w:after="120" w:line="276" w:lineRule="auto"/>
        <w:jc w:val="both"/>
        <w:rPr>
          <w:rFonts w:ascii="Arial" w:hAnsi="Arial" w:cs="Arial"/>
          <w:sz w:val="21"/>
          <w:szCs w:val="21"/>
        </w:rPr>
      </w:pPr>
      <w:hyperlink r:id="rId77" w:history="1">
        <w:r w:rsidR="003D52CE" w:rsidRPr="003D52CE">
          <w:rPr>
            <w:rStyle w:val="Hipervnculo"/>
            <w:rFonts w:ascii="Arial" w:hAnsi="Arial" w:cs="Arial"/>
            <w:sz w:val="21"/>
            <w:szCs w:val="21"/>
          </w:rPr>
          <w:t>http://www.antifraucv.es/wp-content/uploads/2021/04/Pronunciamiento_CdP.pdf</w:t>
        </w:r>
      </w:hyperlink>
      <w:r w:rsidR="003D52CE" w:rsidRPr="003D52CE">
        <w:rPr>
          <w:rFonts w:ascii="Arial" w:hAnsi="Arial" w:cs="Arial"/>
          <w:sz w:val="21"/>
          <w:szCs w:val="21"/>
        </w:rPr>
        <w:t xml:space="preserve">. </w:t>
      </w:r>
    </w:p>
    <w:p w14:paraId="7713198C" w14:textId="219F4C4E" w:rsidR="00EB35E0" w:rsidRDefault="003D52CE" w:rsidP="00F94CC1">
      <w:pPr>
        <w:pStyle w:val="NormalWeb"/>
        <w:jc w:val="both"/>
        <w:rPr>
          <w:rFonts w:ascii="Arial" w:hAnsi="Arial" w:cs="Arial"/>
          <w:sz w:val="21"/>
          <w:szCs w:val="21"/>
        </w:rPr>
      </w:pPr>
      <w:r w:rsidRPr="003D52CE">
        <w:rPr>
          <w:rFonts w:ascii="Arial" w:hAnsi="Arial" w:cs="Arial"/>
          <w:sz w:val="21"/>
          <w:szCs w:val="21"/>
        </w:rPr>
        <w:t>También se constituyó un GRUPO DE TRABAJO con el objetivo de explorar una estrategia conjunta de apoyo al trabajo realizado por la AVAF, así como de encontrar la forma de trasladar a la sociedad la importante labor que realiza la Agencia. Este grupo, encabezado por la vicepresidenta del Consejo de Participación, ha mantenido diversas reuniones y realizado gestiones a lo largo del 2021.</w:t>
      </w:r>
    </w:p>
    <w:p w14:paraId="73A8734A" w14:textId="77777777" w:rsidR="00F94CC1" w:rsidRDefault="00F94CC1" w:rsidP="00F94CC1">
      <w:pPr>
        <w:pStyle w:val="NormalWeb"/>
        <w:keepNext/>
        <w:jc w:val="center"/>
      </w:pPr>
      <w:r w:rsidRPr="00F94CC1">
        <w:rPr>
          <w:rFonts w:ascii="Arial" w:hAnsi="Arial"/>
          <w:noProof/>
          <w:sz w:val="21"/>
          <w:szCs w:val="20"/>
          <w:lang w:eastAsia="en-US"/>
        </w:rPr>
        <w:drawing>
          <wp:inline distT="0" distB="0" distL="0" distR="0" wp14:anchorId="684E8399" wp14:editId="78074346">
            <wp:extent cx="5400040" cy="2697480"/>
            <wp:effectExtent l="0" t="0" r="0" b="7620"/>
            <wp:docPr id="44" name="Imagen 44" descr="https://www.antifraucv.es/wp-content/uploads/2021/04/210429_Cdp-1042x5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antifraucv.es/wp-content/uploads/2021/04/210429_Cdp-1042x521.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040" cy="2697480"/>
                    </a:xfrm>
                    <a:prstGeom prst="rect">
                      <a:avLst/>
                    </a:prstGeom>
                    <a:noFill/>
                    <a:ln>
                      <a:noFill/>
                    </a:ln>
                  </pic:spPr>
                </pic:pic>
              </a:graphicData>
            </a:graphic>
          </wp:inline>
        </w:drawing>
      </w:r>
    </w:p>
    <w:p w14:paraId="773F129E" w14:textId="658F5E05" w:rsidR="00F94CC1" w:rsidRPr="00F94CC1" w:rsidRDefault="00F94CC1" w:rsidP="000D7C6B">
      <w:pPr>
        <w:pStyle w:val="Descripcin"/>
        <w:spacing w:after="240" w:line="276" w:lineRule="auto"/>
        <w:jc w:val="center"/>
        <w:rPr>
          <w:rFonts w:ascii="Arial" w:hAnsi="Arial" w:cs="Arial"/>
          <w:smallCaps w:val="0"/>
          <w:sz w:val="18"/>
          <w:szCs w:val="18"/>
        </w:rPr>
      </w:pPr>
      <w:bookmarkStart w:id="20" w:name="_Toc99099125"/>
      <w:r w:rsidRPr="00F94CC1">
        <w:rPr>
          <w:rFonts w:ascii="Arial" w:hAnsi="Arial" w:cs="Arial"/>
          <w:smallCaps w:val="0"/>
          <w:color w:val="9D2235" w:themeColor="accent1"/>
          <w:sz w:val="18"/>
          <w:szCs w:val="18"/>
        </w:rPr>
        <w:t xml:space="preserve">Imagen </w:t>
      </w:r>
      <w:r w:rsidRPr="00F94CC1">
        <w:rPr>
          <w:rFonts w:ascii="Arial" w:hAnsi="Arial" w:cs="Arial"/>
          <w:smallCaps w:val="0"/>
          <w:color w:val="9D2235" w:themeColor="accent1"/>
          <w:sz w:val="18"/>
          <w:szCs w:val="18"/>
        </w:rPr>
        <w:fldChar w:fldCharType="begin" w:fldLock="1"/>
      </w:r>
      <w:r w:rsidRPr="00F94CC1">
        <w:rPr>
          <w:rFonts w:ascii="Arial" w:hAnsi="Arial" w:cs="Arial"/>
          <w:smallCaps w:val="0"/>
          <w:color w:val="9D2235" w:themeColor="accent1"/>
          <w:sz w:val="18"/>
          <w:szCs w:val="18"/>
        </w:rPr>
        <w:instrText xml:space="preserve"> SEQ Imagen \* ARABIC </w:instrText>
      </w:r>
      <w:r w:rsidRPr="00F94CC1">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w:t>
      </w:r>
      <w:r w:rsidRPr="00F94CC1">
        <w:rPr>
          <w:rFonts w:ascii="Arial" w:hAnsi="Arial" w:cs="Arial"/>
          <w:smallCaps w:val="0"/>
          <w:color w:val="9D2235" w:themeColor="accent1"/>
          <w:sz w:val="18"/>
          <w:szCs w:val="18"/>
        </w:rPr>
        <w:fldChar w:fldCharType="end"/>
      </w:r>
      <w:r w:rsidRPr="00F94CC1">
        <w:rPr>
          <w:rFonts w:ascii="Arial" w:hAnsi="Arial" w:cs="Arial"/>
          <w:smallCaps w:val="0"/>
          <w:color w:val="9D2235" w:themeColor="accent1"/>
          <w:sz w:val="18"/>
          <w:szCs w:val="18"/>
        </w:rPr>
        <w:t xml:space="preserve">. </w:t>
      </w:r>
      <w:r w:rsidRPr="00F94CC1">
        <w:rPr>
          <w:rFonts w:ascii="Arial" w:hAnsi="Arial" w:cs="Arial"/>
          <w:smallCaps w:val="0"/>
          <w:sz w:val="18"/>
          <w:szCs w:val="18"/>
        </w:rPr>
        <w:t xml:space="preserve">IV Reunión del Consejo de </w:t>
      </w:r>
      <w:r w:rsidR="008A11B7">
        <w:rPr>
          <w:rFonts w:ascii="Arial" w:hAnsi="Arial" w:cs="Arial"/>
          <w:smallCaps w:val="0"/>
          <w:sz w:val="18"/>
          <w:szCs w:val="18"/>
        </w:rPr>
        <w:t>P</w:t>
      </w:r>
      <w:r w:rsidRPr="00F94CC1">
        <w:rPr>
          <w:rFonts w:ascii="Arial" w:hAnsi="Arial" w:cs="Arial"/>
          <w:smallCaps w:val="0"/>
          <w:sz w:val="18"/>
          <w:szCs w:val="18"/>
        </w:rPr>
        <w:t>articipación</w:t>
      </w:r>
      <w:bookmarkEnd w:id="20"/>
    </w:p>
    <w:p w14:paraId="4A617921" w14:textId="77777777" w:rsidR="003D52CE" w:rsidRPr="003D52CE" w:rsidRDefault="003D52CE" w:rsidP="00990A9C">
      <w:pPr>
        <w:spacing w:after="240" w:line="276" w:lineRule="auto"/>
        <w:jc w:val="both"/>
        <w:rPr>
          <w:rFonts w:ascii="Arial" w:eastAsia="Times New Roman" w:hAnsi="Arial" w:cs="Arial"/>
          <w:sz w:val="21"/>
          <w:szCs w:val="21"/>
          <w:lang w:eastAsia="es-ES"/>
        </w:rPr>
      </w:pPr>
      <w:r w:rsidRPr="003D52CE">
        <w:rPr>
          <w:rFonts w:ascii="Arial" w:eastAsia="Times New Roman" w:hAnsi="Arial" w:cs="Arial"/>
          <w:sz w:val="21"/>
          <w:szCs w:val="21"/>
          <w:lang w:eastAsia="es-ES"/>
        </w:rPr>
        <w:t xml:space="preserve">Nota de prensa: </w:t>
      </w:r>
      <w:hyperlink r:id="rId79" w:history="1">
        <w:r w:rsidRPr="003D52CE">
          <w:rPr>
            <w:rStyle w:val="Hipervnculo"/>
            <w:rFonts w:ascii="Arial" w:eastAsia="Times New Roman" w:hAnsi="Arial" w:cs="Arial"/>
            <w:sz w:val="21"/>
            <w:szCs w:val="21"/>
            <w:lang w:eastAsia="es-ES"/>
          </w:rPr>
          <w:t>https://www.antifraucv.es/cuarta-reunion-del-consejo-de-participacion-de-la-agencia-valenciana-antifraude/</w:t>
        </w:r>
      </w:hyperlink>
      <w:r w:rsidRPr="003D52CE">
        <w:rPr>
          <w:rFonts w:ascii="Arial" w:eastAsia="Times New Roman" w:hAnsi="Arial" w:cs="Arial"/>
          <w:sz w:val="21"/>
          <w:szCs w:val="21"/>
          <w:lang w:eastAsia="es-ES"/>
        </w:rPr>
        <w:t xml:space="preserve"> </w:t>
      </w:r>
    </w:p>
    <w:p w14:paraId="0D4E5B57" w14:textId="700CEE01" w:rsidR="003D52CE" w:rsidRPr="003D52CE" w:rsidRDefault="003D52CE" w:rsidP="00630471">
      <w:pPr>
        <w:pStyle w:val="NormalWeb"/>
        <w:spacing w:before="0" w:beforeAutospacing="0" w:after="240" w:line="276" w:lineRule="auto"/>
        <w:jc w:val="both"/>
        <w:rPr>
          <w:rFonts w:ascii="Arial" w:hAnsi="Arial" w:cs="Arial"/>
          <w:sz w:val="21"/>
          <w:szCs w:val="21"/>
        </w:rPr>
      </w:pPr>
      <w:r w:rsidRPr="003D52CE">
        <w:rPr>
          <w:rFonts w:ascii="Arial" w:hAnsi="Arial" w:cs="Arial"/>
          <w:sz w:val="21"/>
          <w:szCs w:val="21"/>
        </w:rPr>
        <w:t>La</w:t>
      </w:r>
      <w:r w:rsidRPr="003D52CE">
        <w:rPr>
          <w:rFonts w:ascii="Arial" w:hAnsi="Arial" w:cs="Arial"/>
          <w:b/>
          <w:sz w:val="21"/>
          <w:szCs w:val="21"/>
        </w:rPr>
        <w:t xml:space="preserve"> V REUNIÓN DEL CONSEJO DE PARTICIPACIÓN</w:t>
      </w:r>
      <w:r w:rsidRPr="003D52CE">
        <w:rPr>
          <w:rFonts w:ascii="Arial" w:hAnsi="Arial" w:cs="Arial"/>
          <w:sz w:val="21"/>
          <w:szCs w:val="21"/>
        </w:rPr>
        <w:t xml:space="preserve"> se celebró </w:t>
      </w:r>
      <w:r w:rsidR="00B50800">
        <w:rPr>
          <w:rFonts w:ascii="Arial" w:hAnsi="Arial" w:cs="Arial"/>
          <w:sz w:val="21"/>
          <w:szCs w:val="21"/>
        </w:rPr>
        <w:t xml:space="preserve">el </w:t>
      </w:r>
      <w:r w:rsidRPr="003D52CE">
        <w:rPr>
          <w:rFonts w:ascii="Arial" w:hAnsi="Arial" w:cs="Arial"/>
          <w:sz w:val="21"/>
          <w:szCs w:val="21"/>
        </w:rPr>
        <w:t>miércoles</w:t>
      </w:r>
      <w:r w:rsidR="00B50800">
        <w:rPr>
          <w:rFonts w:ascii="Arial" w:hAnsi="Arial" w:cs="Arial"/>
          <w:sz w:val="21"/>
          <w:szCs w:val="21"/>
        </w:rPr>
        <w:t xml:space="preserve"> </w:t>
      </w:r>
      <w:r w:rsidRPr="003D52CE">
        <w:rPr>
          <w:rFonts w:ascii="Arial" w:hAnsi="Arial" w:cs="Arial"/>
          <w:sz w:val="21"/>
          <w:szCs w:val="21"/>
        </w:rPr>
        <w:t xml:space="preserve">17 de noviembre, también de manera virtual. </w:t>
      </w:r>
    </w:p>
    <w:p w14:paraId="774E663C" w14:textId="77777777" w:rsidR="003D52CE" w:rsidRPr="003D52CE" w:rsidRDefault="003D52CE" w:rsidP="0057607F">
      <w:pPr>
        <w:pStyle w:val="NormalWeb"/>
        <w:spacing w:before="0" w:beforeAutospacing="0" w:after="240" w:line="276" w:lineRule="auto"/>
        <w:jc w:val="both"/>
        <w:rPr>
          <w:rFonts w:ascii="Arial" w:hAnsi="Arial" w:cs="Arial"/>
          <w:sz w:val="21"/>
          <w:szCs w:val="21"/>
        </w:rPr>
      </w:pPr>
      <w:r w:rsidRPr="003D52CE">
        <w:rPr>
          <w:rFonts w:ascii="Arial" w:hAnsi="Arial" w:cs="Arial"/>
          <w:sz w:val="21"/>
          <w:szCs w:val="21"/>
        </w:rPr>
        <w:t>El orden del día fue el siguiente:</w:t>
      </w:r>
    </w:p>
    <w:p w14:paraId="5E6644A3" w14:textId="77777777" w:rsidR="003D52CE" w:rsidRPr="003D52CE" w:rsidRDefault="003D52CE" w:rsidP="0057607F">
      <w:pPr>
        <w:pStyle w:val="Prrafodelista"/>
        <w:numPr>
          <w:ilvl w:val="0"/>
          <w:numId w:val="24"/>
        </w:numPr>
        <w:spacing w:after="120" w:line="276" w:lineRule="auto"/>
        <w:ind w:left="714" w:hanging="357"/>
        <w:contextualSpacing w:val="0"/>
        <w:jc w:val="both"/>
        <w:rPr>
          <w:rFonts w:ascii="Arial" w:hAnsi="Arial" w:cs="Arial"/>
          <w:sz w:val="21"/>
          <w:szCs w:val="21"/>
        </w:rPr>
      </w:pPr>
      <w:r w:rsidRPr="003D52CE">
        <w:rPr>
          <w:rFonts w:ascii="Arial" w:hAnsi="Arial" w:cs="Arial"/>
          <w:sz w:val="21"/>
          <w:szCs w:val="21"/>
        </w:rPr>
        <w:t xml:space="preserve">Dación de cuentas del área de Análisis e Investigación. </w:t>
      </w:r>
    </w:p>
    <w:p w14:paraId="146416DB" w14:textId="77777777" w:rsidR="003D52CE" w:rsidRPr="003D52CE" w:rsidRDefault="003D52CE" w:rsidP="0057607F">
      <w:pPr>
        <w:pStyle w:val="Prrafodelista"/>
        <w:numPr>
          <w:ilvl w:val="0"/>
          <w:numId w:val="24"/>
        </w:numPr>
        <w:spacing w:after="120" w:line="276" w:lineRule="auto"/>
        <w:ind w:left="714" w:hanging="357"/>
        <w:contextualSpacing w:val="0"/>
        <w:jc w:val="both"/>
        <w:rPr>
          <w:rFonts w:ascii="Arial" w:hAnsi="Arial" w:cs="Arial"/>
          <w:sz w:val="21"/>
          <w:szCs w:val="21"/>
        </w:rPr>
      </w:pPr>
      <w:r w:rsidRPr="003D52CE">
        <w:rPr>
          <w:rFonts w:ascii="Arial" w:hAnsi="Arial" w:cs="Arial"/>
          <w:sz w:val="21"/>
          <w:szCs w:val="21"/>
        </w:rPr>
        <w:t>Obligatoriedad de las administraciones de realizar Planes de Prevención de Fraude y Corrupción según la Orden HFP 1030/2021.</w:t>
      </w:r>
    </w:p>
    <w:p w14:paraId="5ECD89C7" w14:textId="77777777" w:rsidR="003D52CE" w:rsidRPr="003D52CE" w:rsidRDefault="003D52CE" w:rsidP="0057607F">
      <w:pPr>
        <w:pStyle w:val="Prrafodelista"/>
        <w:numPr>
          <w:ilvl w:val="0"/>
          <w:numId w:val="24"/>
        </w:numPr>
        <w:spacing w:after="120" w:line="276" w:lineRule="auto"/>
        <w:ind w:left="714" w:hanging="357"/>
        <w:contextualSpacing w:val="0"/>
        <w:jc w:val="both"/>
        <w:rPr>
          <w:rFonts w:ascii="Arial" w:hAnsi="Arial" w:cs="Arial"/>
          <w:sz w:val="21"/>
          <w:szCs w:val="21"/>
        </w:rPr>
      </w:pPr>
      <w:r w:rsidRPr="003D52CE">
        <w:rPr>
          <w:rFonts w:ascii="Arial" w:hAnsi="Arial" w:cs="Arial"/>
          <w:sz w:val="21"/>
          <w:szCs w:val="21"/>
        </w:rPr>
        <w:t>Estado de la trasposición de la Directiva 2019/1937, Whistleblowers.</w:t>
      </w:r>
    </w:p>
    <w:p w14:paraId="0E2B764E" w14:textId="77777777" w:rsidR="003D52CE" w:rsidRPr="003D52CE" w:rsidRDefault="003D52CE" w:rsidP="0057607F">
      <w:pPr>
        <w:pStyle w:val="Prrafodelista"/>
        <w:numPr>
          <w:ilvl w:val="0"/>
          <w:numId w:val="24"/>
        </w:numPr>
        <w:spacing w:after="120" w:line="276" w:lineRule="auto"/>
        <w:ind w:left="714" w:hanging="357"/>
        <w:contextualSpacing w:val="0"/>
        <w:jc w:val="both"/>
        <w:rPr>
          <w:rFonts w:ascii="Arial" w:hAnsi="Arial" w:cs="Arial"/>
          <w:sz w:val="21"/>
          <w:szCs w:val="21"/>
        </w:rPr>
      </w:pPr>
      <w:r w:rsidRPr="003D52CE">
        <w:rPr>
          <w:rFonts w:ascii="Arial" w:hAnsi="Arial" w:cs="Arial"/>
          <w:sz w:val="21"/>
          <w:szCs w:val="21"/>
        </w:rPr>
        <w:t>Presentación de las líneas generales del Plan de Formación de la AVAF y de la propuesta de docufórums y otras actividades formativas para asociaciones, entidades o miembros del Consejo de Participación.</w:t>
      </w:r>
    </w:p>
    <w:p w14:paraId="34664E1A" w14:textId="77777777" w:rsidR="003D52CE" w:rsidRPr="003D52CE" w:rsidRDefault="003D52CE" w:rsidP="00E501D4">
      <w:pPr>
        <w:pStyle w:val="Prrafodelista"/>
        <w:numPr>
          <w:ilvl w:val="0"/>
          <w:numId w:val="24"/>
        </w:numPr>
        <w:spacing w:after="0" w:line="276" w:lineRule="auto"/>
        <w:jc w:val="both"/>
        <w:rPr>
          <w:rFonts w:ascii="Arial" w:hAnsi="Arial" w:cs="Arial"/>
          <w:sz w:val="21"/>
          <w:szCs w:val="21"/>
        </w:rPr>
      </w:pPr>
      <w:r w:rsidRPr="003D52CE">
        <w:rPr>
          <w:rFonts w:ascii="Arial" w:hAnsi="Arial" w:cs="Arial"/>
          <w:sz w:val="21"/>
          <w:szCs w:val="21"/>
        </w:rPr>
        <w:t>Actividades en torno al 5º aniversario de la Ley 11/2016, de creación de la AVAF.</w:t>
      </w:r>
    </w:p>
    <w:p w14:paraId="0531B4CE" w14:textId="3EA0AFB4" w:rsidR="00BB4994" w:rsidRPr="00973028" w:rsidRDefault="003D52CE" w:rsidP="00FF5D48">
      <w:pPr>
        <w:widowControl w:val="0"/>
        <w:suppressAutoHyphens/>
        <w:autoSpaceDN w:val="0"/>
        <w:spacing w:after="120" w:line="276" w:lineRule="auto"/>
        <w:ind w:left="714" w:hanging="5"/>
        <w:jc w:val="both"/>
        <w:rPr>
          <w:rFonts w:ascii="Arial" w:eastAsia="Calibri" w:hAnsi="Arial" w:cs="Arial"/>
          <w:sz w:val="21"/>
        </w:rPr>
      </w:pPr>
      <w:r w:rsidRPr="003D52CE">
        <w:rPr>
          <w:rFonts w:ascii="Arial" w:hAnsi="Arial" w:cs="Arial"/>
          <w:sz w:val="21"/>
          <w:szCs w:val="21"/>
        </w:rPr>
        <w:t>Dación del Grupo de Trabajo 3 - Soporte AVAF</w:t>
      </w:r>
    </w:p>
    <w:p w14:paraId="3AD7847D" w14:textId="05A01D30" w:rsidR="00BB4994" w:rsidRDefault="00165E46" w:rsidP="00AC1A12">
      <w:pPr>
        <w:pStyle w:val="Prrafodelista"/>
        <w:widowControl w:val="0"/>
        <w:numPr>
          <w:ilvl w:val="1"/>
          <w:numId w:val="15"/>
        </w:numPr>
        <w:suppressAutoHyphens/>
        <w:autoSpaceDN w:val="0"/>
        <w:spacing w:before="360" w:after="240" w:line="276" w:lineRule="auto"/>
        <w:ind w:left="851" w:hanging="851"/>
        <w:contextualSpacing w:val="0"/>
        <w:outlineLvl w:val="1"/>
        <w:rPr>
          <w:rFonts w:ascii="Arial" w:eastAsia="Times New Roman" w:hAnsi="Arial" w:cs="Arial"/>
          <w:b/>
          <w:color w:val="9D2235"/>
          <w:sz w:val="32"/>
          <w:szCs w:val="32"/>
        </w:rPr>
      </w:pPr>
      <w:bookmarkStart w:id="21" w:name="_Toc99106965"/>
      <w:r>
        <w:rPr>
          <w:rFonts w:ascii="Arial" w:eastAsia="Times New Roman" w:hAnsi="Arial" w:cs="Arial"/>
          <w:b/>
          <w:color w:val="9D2235"/>
          <w:sz w:val="32"/>
          <w:szCs w:val="32"/>
        </w:rPr>
        <w:t>Red Estatal de Oficinas y Agencias Antifraude</w:t>
      </w:r>
      <w:bookmarkEnd w:id="21"/>
    </w:p>
    <w:p w14:paraId="3FB5D310" w14:textId="109B9D2D" w:rsidR="00AF0B7A" w:rsidRPr="00AF0B7A" w:rsidRDefault="00AF0B7A" w:rsidP="004D44AB">
      <w:pPr>
        <w:spacing w:after="240" w:line="276" w:lineRule="auto"/>
        <w:jc w:val="both"/>
        <w:rPr>
          <w:rFonts w:ascii="Arial" w:eastAsia="Times New Roman" w:hAnsi="Arial" w:cs="Arial"/>
          <w:color w:val="000000"/>
          <w:sz w:val="21"/>
          <w:szCs w:val="21"/>
          <w:lang w:eastAsia="es-ES"/>
        </w:rPr>
      </w:pPr>
      <w:r w:rsidRPr="00AF0B7A">
        <w:rPr>
          <w:rFonts w:ascii="Arial" w:eastAsia="Times New Roman" w:hAnsi="Arial" w:cs="Arial"/>
          <w:color w:val="000000"/>
          <w:sz w:val="21"/>
          <w:szCs w:val="21"/>
          <w:lang w:eastAsia="es-ES"/>
        </w:rPr>
        <w:t>En 2018 se creó un sistema de coordinación entre las oficinas y agencias del Estado</w:t>
      </w:r>
      <w:r w:rsidR="00012999">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denominado Red Estatal de Oficinas y Agencias Antifraude. Los miembros adheridos son: Oficina Antifraude de Cataluña</w:t>
      </w:r>
      <w:r w:rsidR="00012999">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w:t>
      </w:r>
      <w:r w:rsidRPr="00AF0B7A">
        <w:rPr>
          <w:rFonts w:ascii="Arial" w:eastAsia="Times New Roman" w:hAnsi="Arial" w:cs="Arial"/>
          <w:i/>
          <w:color w:val="000000"/>
          <w:sz w:val="21"/>
          <w:szCs w:val="21"/>
          <w:lang w:eastAsia="es-ES"/>
        </w:rPr>
        <w:t>Consello de Contas</w:t>
      </w:r>
      <w:r w:rsidRPr="00AF0B7A">
        <w:rPr>
          <w:rFonts w:ascii="Arial" w:eastAsia="Times New Roman" w:hAnsi="Arial" w:cs="Arial"/>
          <w:color w:val="000000"/>
          <w:sz w:val="21"/>
          <w:szCs w:val="21"/>
          <w:lang w:eastAsia="es-ES"/>
        </w:rPr>
        <w:t xml:space="preserve"> de Galicia; Servicio Nacional de Coordinación Antifraude (SNCA)</w:t>
      </w:r>
      <w:r w:rsidR="00012999">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Agencia de Transparencia del Área Metropolitana de Barcelona (AMB)</w:t>
      </w:r>
      <w:r w:rsidR="00012999">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Dirección de Servicios de Análisis, Órgano gestor del Buzón Ético y de Buen Gobierno del Ayuntamiento de Barcelona</w:t>
      </w:r>
      <w:r w:rsidR="00012999">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Agencia de Prevención y Lucha contra el Fraude y la Corrupción de la Comunitat Valenciana</w:t>
      </w:r>
      <w:r w:rsidR="00012999">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Oficina de Prevención y Lucha contra la Corrupción de las Islas Baleares</w:t>
      </w:r>
      <w:r w:rsidR="00012999">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Oficina Municipal contra el Fraude y la Corrupción del Ayuntamiento de Madrid</w:t>
      </w:r>
      <w:r w:rsidR="00012999">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Audiencia de Cuentas de Canarias</w:t>
      </w:r>
      <w:r w:rsidR="00012999">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Oficina Independiente de Regulación y Supervisión de la Contratación (OIReScon)</w:t>
      </w:r>
      <w:r w:rsidR="00012999">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y la recién creada Oficina Andaluza contra el Fraude y la Corrupción.</w:t>
      </w:r>
    </w:p>
    <w:p w14:paraId="636DDC82" w14:textId="5ECB3C6D" w:rsidR="00AF0B7A" w:rsidRPr="00AF0B7A" w:rsidRDefault="00AF0B7A" w:rsidP="004D44AB">
      <w:pPr>
        <w:spacing w:after="240" w:line="276" w:lineRule="auto"/>
        <w:jc w:val="both"/>
        <w:rPr>
          <w:rFonts w:ascii="Arial" w:eastAsia="Times New Roman" w:hAnsi="Arial" w:cs="Arial"/>
          <w:color w:val="000000"/>
          <w:sz w:val="21"/>
          <w:szCs w:val="21"/>
          <w:lang w:eastAsia="es-ES"/>
        </w:rPr>
      </w:pPr>
      <w:r w:rsidRPr="00AF0B7A">
        <w:rPr>
          <w:rFonts w:ascii="Arial" w:eastAsia="Times New Roman" w:hAnsi="Arial" w:cs="Arial"/>
          <w:color w:val="000000"/>
          <w:sz w:val="21"/>
          <w:szCs w:val="21"/>
          <w:lang w:eastAsia="es-ES"/>
        </w:rPr>
        <w:t>Los objetivos de la Red giran en relación a las cuestiones relativas a la formación del personal y la capacitación de este, la colaboración en actividades formativas en materia de integridad y ética pública, la puesta en común de conocimientos y experiencias prácticas en materia de prevención y lucha contra el fraude y la corrupción, el fomento de la integridad institucional y la transparencia, y también las que tienen como finalidad que la ciudadanía pueda comunicar</w:t>
      </w:r>
      <w:r w:rsidR="00AB4E7B">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de manera confidencial y segura</w:t>
      </w:r>
      <w:r w:rsidR="00AB4E7B">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conductas de las administraciones públicas contrarias a los principios o a las reglas éticas y de buen gobierno y administración</w:t>
      </w:r>
      <w:r w:rsidR="00AB4E7B">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determinados en el ordenamiento jurídico vigente.</w:t>
      </w:r>
    </w:p>
    <w:p w14:paraId="17D70446" w14:textId="77777777" w:rsidR="00AF0B7A" w:rsidRPr="00AF0B7A" w:rsidRDefault="00AF0B7A" w:rsidP="004D44AB">
      <w:pPr>
        <w:spacing w:after="240" w:line="276" w:lineRule="auto"/>
        <w:jc w:val="both"/>
        <w:rPr>
          <w:rFonts w:ascii="Arial" w:eastAsia="Times New Roman" w:hAnsi="Arial" w:cs="Arial"/>
          <w:color w:val="000000"/>
          <w:sz w:val="21"/>
          <w:szCs w:val="21"/>
          <w:lang w:eastAsia="es-ES"/>
        </w:rPr>
      </w:pPr>
      <w:r w:rsidRPr="00AF0B7A">
        <w:rPr>
          <w:rFonts w:ascii="Arial" w:eastAsia="Times New Roman" w:hAnsi="Arial" w:cs="Arial"/>
          <w:color w:val="000000"/>
          <w:sz w:val="21"/>
          <w:szCs w:val="21"/>
          <w:lang w:eastAsia="es-ES"/>
        </w:rPr>
        <w:t>También hay que destacar la colaboración para llevar a cabo estudios en materia de prevención de la corrupción, el fomento de la integridad institucional, la transparencia y el análisis de riesgos.</w:t>
      </w:r>
    </w:p>
    <w:p w14:paraId="5947FE80" w14:textId="35DA00C2" w:rsidR="00AF0B7A" w:rsidRPr="00AF0B7A" w:rsidRDefault="00AF0B7A" w:rsidP="004D44AB">
      <w:pPr>
        <w:spacing w:after="240" w:line="276" w:lineRule="auto"/>
        <w:jc w:val="both"/>
        <w:rPr>
          <w:rFonts w:ascii="Arial" w:hAnsi="Arial" w:cs="Arial"/>
          <w:sz w:val="21"/>
          <w:szCs w:val="21"/>
        </w:rPr>
      </w:pPr>
      <w:r w:rsidRPr="00AF0B7A">
        <w:rPr>
          <w:rFonts w:ascii="Arial" w:eastAsia="Times New Roman" w:hAnsi="Arial" w:cs="Arial"/>
          <w:color w:val="000000"/>
          <w:sz w:val="21"/>
          <w:szCs w:val="21"/>
          <w:lang w:eastAsia="es-ES"/>
        </w:rPr>
        <w:t>Este año el trabajo se ha centrado, mayoritariamente</w:t>
      </w:r>
      <w:r w:rsidR="00AB4E7B">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en el seguimiento de los trabajos para la trasposición de la Directiva (EU) 2019/1937, del Parlamento Europeo y del Consejo de 23 de octubre de 2019, de protección de las personas que informen sobre infracciones del Derecho de la Unión, más conocida como Directiva Whistleblower, cuyo plazo terminó el 17 de diciembre de 2021.</w:t>
      </w:r>
      <w:r w:rsidRPr="00AF0B7A">
        <w:rPr>
          <w:rFonts w:ascii="Arial" w:hAnsi="Arial" w:cs="Arial"/>
          <w:sz w:val="21"/>
          <w:szCs w:val="21"/>
        </w:rPr>
        <w:t xml:space="preserve"> </w:t>
      </w:r>
    </w:p>
    <w:p w14:paraId="785DF842" w14:textId="3CCB1585" w:rsidR="00AF0B7A" w:rsidRDefault="00AF0B7A" w:rsidP="004D44AB">
      <w:pPr>
        <w:spacing w:after="240" w:line="276" w:lineRule="auto"/>
        <w:jc w:val="both"/>
        <w:rPr>
          <w:rFonts w:ascii="Arial" w:eastAsia="Times New Roman" w:hAnsi="Arial" w:cs="Arial"/>
          <w:color w:val="000000"/>
          <w:sz w:val="21"/>
          <w:szCs w:val="21"/>
          <w:lang w:eastAsia="es-ES"/>
        </w:rPr>
      </w:pPr>
      <w:r w:rsidRPr="00AF0B7A">
        <w:rPr>
          <w:rFonts w:ascii="Arial" w:eastAsia="Times New Roman" w:hAnsi="Arial" w:cs="Arial"/>
          <w:sz w:val="21"/>
          <w:szCs w:val="21"/>
          <w:lang w:eastAsia="es-ES"/>
        </w:rPr>
        <w:t xml:space="preserve">Nota de prensa: </w:t>
      </w:r>
      <w:hyperlink r:id="rId80" w:history="1">
        <w:r w:rsidRPr="00514089">
          <w:rPr>
            <w:rStyle w:val="Hipervnculo"/>
            <w:rFonts w:ascii="Arial" w:eastAsia="Times New Roman" w:hAnsi="Arial" w:cs="Arial"/>
            <w:sz w:val="19"/>
            <w:szCs w:val="19"/>
            <w:lang w:eastAsia="es-ES"/>
          </w:rPr>
          <w:t>https://www.antifraucv.es/finaliza-el-plazo-de-transposicion-de-la-directiva-europea-whistleblower-sin-que-el-gobierno-de-espana-haya-realizado-los-trabajos-de-transposicion/</w:t>
        </w:r>
      </w:hyperlink>
      <w:r w:rsidRPr="00514089">
        <w:rPr>
          <w:rFonts w:ascii="Arial" w:eastAsia="Times New Roman" w:hAnsi="Arial" w:cs="Arial"/>
          <w:color w:val="000000"/>
          <w:sz w:val="19"/>
          <w:szCs w:val="19"/>
          <w:lang w:eastAsia="es-ES"/>
        </w:rPr>
        <w:t xml:space="preserve"> </w:t>
      </w:r>
    </w:p>
    <w:p w14:paraId="12C3AE4C" w14:textId="77777777" w:rsidR="00514089" w:rsidRDefault="00514089" w:rsidP="00514089">
      <w:pPr>
        <w:spacing w:after="120" w:line="276" w:lineRule="auto"/>
        <w:jc w:val="both"/>
        <w:rPr>
          <w:rFonts w:ascii="Arial" w:eastAsia="Times New Roman" w:hAnsi="Arial" w:cs="Arial"/>
          <w:color w:val="000000"/>
          <w:sz w:val="21"/>
          <w:szCs w:val="21"/>
          <w:lang w:eastAsia="es-ES"/>
        </w:rPr>
      </w:pPr>
    </w:p>
    <w:p w14:paraId="40E5D06D" w14:textId="64A7C1D3" w:rsidR="00AF0B7A" w:rsidRPr="00AF0B7A" w:rsidRDefault="00AF0B7A" w:rsidP="00514089">
      <w:pPr>
        <w:spacing w:after="120" w:line="276" w:lineRule="auto"/>
        <w:jc w:val="both"/>
        <w:rPr>
          <w:rFonts w:ascii="Arial" w:eastAsia="Times New Roman" w:hAnsi="Arial" w:cs="Arial"/>
          <w:color w:val="000000"/>
          <w:sz w:val="21"/>
          <w:szCs w:val="21"/>
          <w:lang w:eastAsia="es-ES"/>
        </w:rPr>
      </w:pPr>
      <w:r w:rsidRPr="00AF0B7A">
        <w:rPr>
          <w:rFonts w:ascii="Arial" w:eastAsia="Times New Roman" w:hAnsi="Arial" w:cs="Arial"/>
          <w:color w:val="000000"/>
          <w:sz w:val="21"/>
          <w:szCs w:val="21"/>
          <w:lang w:eastAsia="es-ES"/>
        </w:rPr>
        <w:t>Las reuniones de la Red durante 2021 han sido:</w:t>
      </w:r>
    </w:p>
    <w:p w14:paraId="1761AC7E" w14:textId="77777777" w:rsidR="00AF0B7A" w:rsidRPr="00B074DB" w:rsidRDefault="00AF0B7A" w:rsidP="00514089">
      <w:pPr>
        <w:pStyle w:val="Prrafodelista"/>
        <w:numPr>
          <w:ilvl w:val="0"/>
          <w:numId w:val="26"/>
        </w:numPr>
        <w:spacing w:after="120" w:line="276" w:lineRule="auto"/>
        <w:ind w:left="714" w:hanging="357"/>
        <w:rPr>
          <w:rFonts w:ascii="Arial" w:hAnsi="Arial" w:cs="Arial"/>
          <w:sz w:val="21"/>
          <w:szCs w:val="21"/>
        </w:rPr>
      </w:pPr>
      <w:r w:rsidRPr="00B074DB">
        <w:rPr>
          <w:rFonts w:ascii="Arial" w:hAnsi="Arial" w:cs="Arial"/>
          <w:sz w:val="21"/>
          <w:szCs w:val="21"/>
        </w:rPr>
        <w:t>VII Encuentro de la Red Estatal de Oficinas y Agencias Antifraude</w:t>
      </w:r>
    </w:p>
    <w:p w14:paraId="1923269B" w14:textId="77777777" w:rsidR="00AF0B7A" w:rsidRPr="00B074DB" w:rsidRDefault="00AF0B7A" w:rsidP="00E501D4">
      <w:pPr>
        <w:pStyle w:val="Prrafodelista"/>
        <w:numPr>
          <w:ilvl w:val="0"/>
          <w:numId w:val="26"/>
        </w:numPr>
        <w:rPr>
          <w:rFonts w:ascii="Arial" w:hAnsi="Arial" w:cs="Arial"/>
          <w:sz w:val="21"/>
          <w:szCs w:val="21"/>
        </w:rPr>
      </w:pPr>
      <w:r w:rsidRPr="00B074DB">
        <w:rPr>
          <w:rFonts w:ascii="Arial" w:hAnsi="Arial" w:cs="Arial"/>
          <w:sz w:val="21"/>
          <w:szCs w:val="21"/>
        </w:rPr>
        <w:t xml:space="preserve">Reunión virtual, lunes, 28 de junio de 2021 </w:t>
      </w:r>
    </w:p>
    <w:p w14:paraId="593D3AF6" w14:textId="1EEB8B42" w:rsidR="00AF0B7A" w:rsidRPr="00AF0B7A" w:rsidRDefault="00AF0B7A" w:rsidP="001577C7">
      <w:pPr>
        <w:spacing w:after="240" w:line="276" w:lineRule="auto"/>
        <w:jc w:val="both"/>
        <w:rPr>
          <w:rFonts w:ascii="Arial" w:eastAsia="Times New Roman" w:hAnsi="Arial" w:cs="Arial"/>
          <w:color w:val="000000"/>
          <w:sz w:val="21"/>
          <w:szCs w:val="21"/>
          <w:lang w:eastAsia="es-ES"/>
        </w:rPr>
      </w:pPr>
      <w:r w:rsidRPr="00AF0B7A">
        <w:rPr>
          <w:rFonts w:ascii="Arial" w:eastAsia="Times New Roman" w:hAnsi="Arial" w:cs="Arial"/>
          <w:color w:val="000000"/>
          <w:sz w:val="21"/>
          <w:szCs w:val="21"/>
          <w:lang w:eastAsia="es-ES"/>
        </w:rPr>
        <w:t xml:space="preserve">Organizada a través de videoconferencia por el Servicio Nacional de Coordinación Antifraude, este 7º encuentro contó con la ponencia de la Sra. Concepción Sabadell Carnicero, </w:t>
      </w:r>
      <w:r w:rsidR="006D0777">
        <w:rPr>
          <w:rFonts w:ascii="Arial" w:eastAsia="Times New Roman" w:hAnsi="Arial" w:cs="Arial"/>
          <w:color w:val="000000"/>
          <w:sz w:val="21"/>
          <w:szCs w:val="21"/>
          <w:lang w:eastAsia="es-ES"/>
        </w:rPr>
        <w:t>f</w:t>
      </w:r>
      <w:r w:rsidRPr="00AF0B7A">
        <w:rPr>
          <w:rFonts w:ascii="Arial" w:eastAsia="Times New Roman" w:hAnsi="Arial" w:cs="Arial"/>
          <w:color w:val="000000"/>
          <w:sz w:val="21"/>
          <w:szCs w:val="21"/>
          <w:lang w:eastAsia="es-ES"/>
        </w:rPr>
        <w:t xml:space="preserve">iscal </w:t>
      </w:r>
      <w:r w:rsidR="006D0777">
        <w:rPr>
          <w:rFonts w:ascii="Arial" w:eastAsia="Times New Roman" w:hAnsi="Arial" w:cs="Arial"/>
          <w:color w:val="000000"/>
          <w:sz w:val="21"/>
          <w:szCs w:val="21"/>
          <w:lang w:eastAsia="es-ES"/>
        </w:rPr>
        <w:t>e</w:t>
      </w:r>
      <w:r w:rsidRPr="00AF0B7A">
        <w:rPr>
          <w:rFonts w:ascii="Arial" w:eastAsia="Times New Roman" w:hAnsi="Arial" w:cs="Arial"/>
          <w:color w:val="000000"/>
          <w:sz w:val="21"/>
          <w:szCs w:val="21"/>
          <w:lang w:eastAsia="es-ES"/>
        </w:rPr>
        <w:t xml:space="preserve">uropea </w:t>
      </w:r>
      <w:r w:rsidR="006D0777">
        <w:rPr>
          <w:rFonts w:ascii="Arial" w:eastAsia="Times New Roman" w:hAnsi="Arial" w:cs="Arial"/>
          <w:color w:val="000000"/>
          <w:sz w:val="21"/>
          <w:szCs w:val="21"/>
          <w:lang w:eastAsia="es-ES"/>
        </w:rPr>
        <w:t>e</w:t>
      </w:r>
      <w:r w:rsidRPr="00AF0B7A">
        <w:rPr>
          <w:rFonts w:ascii="Arial" w:eastAsia="Times New Roman" w:hAnsi="Arial" w:cs="Arial"/>
          <w:color w:val="000000"/>
          <w:sz w:val="21"/>
          <w:szCs w:val="21"/>
          <w:lang w:eastAsia="es-ES"/>
        </w:rPr>
        <w:t>spañola, que habló sobre la regulación, ámbito de competencias, organización, entrada en funcionamiento y otros aspectos relevantes de la Fiscalía Europea.</w:t>
      </w:r>
    </w:p>
    <w:p w14:paraId="6AFBA7DA" w14:textId="22CA02DD" w:rsidR="00AF0B7A" w:rsidRPr="00AF0B7A" w:rsidRDefault="00AF0B7A" w:rsidP="001577C7">
      <w:pPr>
        <w:spacing w:after="240" w:line="276" w:lineRule="auto"/>
        <w:jc w:val="both"/>
        <w:rPr>
          <w:rFonts w:ascii="Arial" w:eastAsia="Times New Roman" w:hAnsi="Arial" w:cs="Arial"/>
          <w:color w:val="000000"/>
          <w:sz w:val="21"/>
          <w:szCs w:val="21"/>
          <w:lang w:eastAsia="es-ES"/>
        </w:rPr>
      </w:pPr>
      <w:r w:rsidRPr="00AF0B7A">
        <w:rPr>
          <w:rFonts w:ascii="Arial" w:eastAsia="Times New Roman" w:hAnsi="Arial" w:cs="Arial"/>
          <w:color w:val="000000"/>
          <w:sz w:val="21"/>
          <w:szCs w:val="21"/>
          <w:lang w:eastAsia="es-ES"/>
        </w:rPr>
        <w:t xml:space="preserve">El encuentro continuó con otra ponencia, impartida por la Sra. Amada de Juan Quirós, vocal de la División de Supervisión de la Contratación y Relaciones Institucionales de la </w:t>
      </w:r>
      <w:r w:rsidR="00F70FB2">
        <w:rPr>
          <w:rFonts w:ascii="Arial" w:eastAsia="Times New Roman" w:hAnsi="Arial" w:cs="Arial"/>
          <w:color w:val="000000"/>
          <w:sz w:val="21"/>
          <w:szCs w:val="21"/>
          <w:lang w:eastAsia="es-ES"/>
        </w:rPr>
        <w:t>Oficina Independiente de Regulación y Supervisión de la Contratación (</w:t>
      </w:r>
      <w:r w:rsidRPr="00AF0B7A">
        <w:rPr>
          <w:rFonts w:ascii="Arial" w:eastAsia="Times New Roman" w:hAnsi="Arial" w:cs="Arial"/>
          <w:color w:val="000000"/>
          <w:sz w:val="21"/>
          <w:szCs w:val="21"/>
          <w:lang w:eastAsia="es-ES"/>
        </w:rPr>
        <w:t>OIReScon</w:t>
      </w:r>
      <w:r w:rsidR="00F70FB2">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quien presentó la Guía Básica Plan de Recuperación, Transformación y Resiliencia de 1 de junio de 2021.</w:t>
      </w:r>
    </w:p>
    <w:p w14:paraId="21364400" w14:textId="11B46F2E" w:rsidR="00AF0B7A" w:rsidRPr="00AF0B7A" w:rsidRDefault="00AF0B7A" w:rsidP="001577C7">
      <w:pPr>
        <w:spacing w:after="240" w:line="276" w:lineRule="auto"/>
        <w:jc w:val="both"/>
        <w:rPr>
          <w:rFonts w:ascii="Arial" w:eastAsia="Times New Roman" w:hAnsi="Arial" w:cs="Arial"/>
          <w:color w:val="000000"/>
          <w:sz w:val="21"/>
          <w:szCs w:val="21"/>
          <w:lang w:eastAsia="es-ES"/>
        </w:rPr>
      </w:pPr>
      <w:r w:rsidRPr="00AF0B7A">
        <w:rPr>
          <w:rFonts w:ascii="Arial" w:eastAsia="Times New Roman" w:hAnsi="Arial" w:cs="Arial"/>
          <w:color w:val="000000"/>
          <w:sz w:val="21"/>
          <w:szCs w:val="21"/>
          <w:lang w:eastAsia="es-ES"/>
        </w:rPr>
        <w:t xml:space="preserve">La reunión siguió con un debate sobre el estado de tramitación de la Directiva 2019/1937 y una ponencia de la Sra. Mercedes Rodríguez Tarrida, subdirectora general del </w:t>
      </w:r>
      <w:r w:rsidR="00F70FB2">
        <w:rPr>
          <w:rFonts w:ascii="Arial" w:eastAsia="Times New Roman" w:hAnsi="Arial" w:cs="Arial"/>
          <w:color w:val="000000"/>
          <w:sz w:val="21"/>
          <w:szCs w:val="21"/>
          <w:lang w:eastAsia="es-ES"/>
        </w:rPr>
        <w:t>Servicio Nacional de Coordinación Antifraude (</w:t>
      </w:r>
      <w:r w:rsidRPr="00AF0B7A">
        <w:rPr>
          <w:rFonts w:ascii="Arial" w:eastAsia="Times New Roman" w:hAnsi="Arial" w:cs="Arial"/>
          <w:color w:val="000000"/>
          <w:sz w:val="21"/>
          <w:szCs w:val="21"/>
          <w:lang w:eastAsia="es-ES"/>
        </w:rPr>
        <w:t>SNCA</w:t>
      </w:r>
      <w:r w:rsidR="00F70FB2">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que presentó las actuaciones de la entidad que representa en el contexto del Mecanismo para la Recuperación y Resiliencia (MRR) y del Plan Nacional.</w:t>
      </w:r>
    </w:p>
    <w:p w14:paraId="196434EF" w14:textId="5219EA5D" w:rsidR="00AF0B7A" w:rsidRPr="00BE23CA" w:rsidRDefault="00AF0B7A" w:rsidP="001577C7">
      <w:pPr>
        <w:spacing w:after="120" w:line="276" w:lineRule="auto"/>
        <w:contextualSpacing/>
        <w:rPr>
          <w:rFonts w:ascii="Arial" w:hAnsi="Arial" w:cs="Arial"/>
          <w:i/>
          <w:iCs/>
          <w:color w:val="9D2235" w:themeColor="accent1"/>
          <w:sz w:val="21"/>
          <w:szCs w:val="21"/>
        </w:rPr>
      </w:pPr>
      <w:r w:rsidRPr="00BE23CA">
        <w:rPr>
          <w:rFonts w:ascii="Arial" w:hAnsi="Arial" w:cs="Arial"/>
          <w:i/>
          <w:iCs/>
          <w:color w:val="9D2235" w:themeColor="accent1"/>
          <w:sz w:val="21"/>
          <w:szCs w:val="21"/>
        </w:rPr>
        <w:t>VIII Encuentro de la Red Estatal de Oficinas y Agencias Antifraude</w:t>
      </w:r>
      <w:r w:rsidR="00F70FB2" w:rsidRPr="00BE23CA">
        <w:rPr>
          <w:rFonts w:ascii="Arial" w:hAnsi="Arial" w:cs="Arial"/>
          <w:i/>
          <w:iCs/>
          <w:color w:val="9D2235" w:themeColor="accent1"/>
          <w:sz w:val="21"/>
          <w:szCs w:val="21"/>
        </w:rPr>
        <w:t>:</w:t>
      </w:r>
    </w:p>
    <w:p w14:paraId="344F660E" w14:textId="77777777" w:rsidR="00AF0B7A" w:rsidRPr="00BE23CA" w:rsidRDefault="00AF0B7A" w:rsidP="001577C7">
      <w:pPr>
        <w:spacing w:after="120" w:line="276" w:lineRule="auto"/>
        <w:rPr>
          <w:rFonts w:ascii="Arial" w:hAnsi="Arial" w:cs="Arial"/>
          <w:color w:val="9D2235" w:themeColor="accent1"/>
          <w:sz w:val="21"/>
          <w:szCs w:val="21"/>
        </w:rPr>
      </w:pPr>
      <w:r w:rsidRPr="00BE23CA">
        <w:rPr>
          <w:rFonts w:ascii="Arial" w:hAnsi="Arial" w:cs="Arial"/>
          <w:color w:val="9D2235" w:themeColor="accent1"/>
          <w:sz w:val="21"/>
          <w:szCs w:val="21"/>
        </w:rPr>
        <w:t>Alicante, martes 28 y miércoles 29 de septiembre de 2021</w:t>
      </w:r>
    </w:p>
    <w:p w14:paraId="6E60E19C" w14:textId="69E7D7E7" w:rsidR="00AF0B7A" w:rsidRPr="00AF0B7A" w:rsidRDefault="00AF0B7A" w:rsidP="001577C7">
      <w:pPr>
        <w:spacing w:after="240" w:line="276" w:lineRule="auto"/>
        <w:jc w:val="both"/>
        <w:rPr>
          <w:rFonts w:ascii="Arial" w:hAnsi="Arial" w:cs="Arial"/>
          <w:sz w:val="21"/>
          <w:szCs w:val="21"/>
        </w:rPr>
      </w:pPr>
      <w:r w:rsidRPr="00AF0B7A">
        <w:rPr>
          <w:rFonts w:ascii="Arial" w:eastAsia="Times New Roman" w:hAnsi="Arial" w:cs="Arial"/>
          <w:sz w:val="21"/>
          <w:szCs w:val="21"/>
          <w:lang w:eastAsia="es-ES"/>
        </w:rPr>
        <w:t xml:space="preserve">Organizada por la AVAF, esta segunda reunión de 2021 pudo organizarse de manera presencial, aprovechando la celebración del Consejo Internacional de Transparencia </w:t>
      </w:r>
      <w:hyperlink r:id="rId81" w:history="1">
        <w:r w:rsidRPr="00AF0B7A">
          <w:rPr>
            <w:rStyle w:val="Hipervnculo"/>
            <w:rFonts w:ascii="Arial" w:eastAsia="Times New Roman" w:hAnsi="Arial" w:cs="Arial"/>
            <w:sz w:val="21"/>
            <w:szCs w:val="21"/>
            <w:lang w:eastAsia="es-ES"/>
          </w:rPr>
          <w:t>https://congresotransparencia.com/programa-alicante/</w:t>
        </w:r>
      </w:hyperlink>
      <w:r w:rsidRPr="00AF0B7A">
        <w:rPr>
          <w:rFonts w:ascii="Arial" w:eastAsia="Times New Roman" w:hAnsi="Arial" w:cs="Arial"/>
          <w:sz w:val="21"/>
          <w:szCs w:val="21"/>
          <w:lang w:eastAsia="es-ES"/>
        </w:rPr>
        <w:t xml:space="preserve">, </w:t>
      </w:r>
      <w:r w:rsidRPr="00AF0B7A">
        <w:rPr>
          <w:rFonts w:ascii="Arial" w:eastAsia="Times New Roman" w:hAnsi="Arial" w:cs="Arial"/>
          <w:color w:val="000000"/>
          <w:sz w:val="21"/>
          <w:szCs w:val="21"/>
          <w:lang w:eastAsia="es-ES"/>
        </w:rPr>
        <w:t>en la ciudad de Alicante</w:t>
      </w:r>
      <w:r w:rsidR="00F70FB2">
        <w:rPr>
          <w:rFonts w:ascii="Arial" w:eastAsia="Times New Roman" w:hAnsi="Arial" w:cs="Arial"/>
          <w:color w:val="000000"/>
          <w:sz w:val="21"/>
          <w:szCs w:val="21"/>
          <w:lang w:eastAsia="es-ES"/>
        </w:rPr>
        <w:t>,</w:t>
      </w:r>
      <w:r w:rsidRPr="00AF0B7A">
        <w:rPr>
          <w:rFonts w:ascii="Arial" w:eastAsia="Times New Roman" w:hAnsi="Arial" w:cs="Arial"/>
          <w:color w:val="000000"/>
          <w:sz w:val="21"/>
          <w:szCs w:val="21"/>
          <w:lang w:eastAsia="es-ES"/>
        </w:rPr>
        <w:t xml:space="preserve"> los días 28 y 29 de septiembre.</w:t>
      </w:r>
    </w:p>
    <w:p w14:paraId="55F6777C" w14:textId="7C8B4C2A" w:rsidR="00B074DB" w:rsidRDefault="00514089" w:rsidP="001577C7">
      <w:pPr>
        <w:spacing w:after="240" w:line="276" w:lineRule="auto"/>
        <w:jc w:val="both"/>
        <w:rPr>
          <w:rFonts w:ascii="Arial" w:eastAsia="Times New Roman" w:hAnsi="Arial" w:cs="Arial"/>
          <w:color w:val="000000"/>
          <w:sz w:val="21"/>
          <w:szCs w:val="21"/>
          <w:lang w:eastAsia="es-ES"/>
        </w:rPr>
      </w:pPr>
      <w:r>
        <w:rPr>
          <w:noProof/>
        </w:rPr>
        <mc:AlternateContent>
          <mc:Choice Requires="wps">
            <w:drawing>
              <wp:anchor distT="0" distB="0" distL="114300" distR="114300" simplePos="0" relativeHeight="251992064" behindDoc="0" locked="0" layoutInCell="1" allowOverlap="1" wp14:anchorId="35209D77" wp14:editId="296B114A">
                <wp:simplePos x="0" y="0"/>
                <wp:positionH relativeFrom="column">
                  <wp:posOffset>621665</wp:posOffset>
                </wp:positionH>
                <wp:positionV relativeFrom="paragraph">
                  <wp:posOffset>3567430</wp:posOffset>
                </wp:positionV>
                <wp:extent cx="4133850" cy="171450"/>
                <wp:effectExtent l="0" t="0" r="0" b="0"/>
                <wp:wrapTopAndBottom/>
                <wp:docPr id="60" name="Cuadro de texto 60"/>
                <wp:cNvGraphicFramePr/>
                <a:graphic xmlns:a="http://schemas.openxmlformats.org/drawingml/2006/main">
                  <a:graphicData uri="http://schemas.microsoft.com/office/word/2010/wordprocessingShape">
                    <wps:wsp>
                      <wps:cNvSpPr txBox="1"/>
                      <wps:spPr>
                        <a:xfrm>
                          <a:off x="0" y="0"/>
                          <a:ext cx="4133850" cy="171450"/>
                        </a:xfrm>
                        <a:prstGeom prst="rect">
                          <a:avLst/>
                        </a:prstGeom>
                        <a:solidFill>
                          <a:prstClr val="white"/>
                        </a:solidFill>
                        <a:ln>
                          <a:noFill/>
                        </a:ln>
                      </wps:spPr>
                      <wps:txbx>
                        <w:txbxContent>
                          <w:p w14:paraId="1B9251E7" w14:textId="240C1E91" w:rsidR="00EB35E0" w:rsidRPr="00EB35E0" w:rsidRDefault="00EB35E0" w:rsidP="00FF2067">
                            <w:pPr>
                              <w:pStyle w:val="Descripcin"/>
                              <w:jc w:val="center"/>
                              <w:rPr>
                                <w:rFonts w:ascii="Arial" w:hAnsi="Arial" w:cs="Arial"/>
                                <w:smallCaps w:val="0"/>
                                <w:noProof/>
                                <w:sz w:val="18"/>
                                <w:szCs w:val="18"/>
                              </w:rPr>
                            </w:pPr>
                            <w:bookmarkStart w:id="22" w:name="_Toc99099126"/>
                            <w:r w:rsidRPr="00EB35E0">
                              <w:rPr>
                                <w:rFonts w:ascii="Arial" w:hAnsi="Arial" w:cs="Arial"/>
                                <w:smallCaps w:val="0"/>
                                <w:color w:val="9D2235" w:themeColor="accent1"/>
                                <w:sz w:val="18"/>
                                <w:szCs w:val="18"/>
                              </w:rPr>
                              <w:t xml:space="preserve">Imagen </w:t>
                            </w:r>
                            <w:r w:rsidRPr="00EB35E0">
                              <w:rPr>
                                <w:rFonts w:ascii="Arial" w:hAnsi="Arial" w:cs="Arial"/>
                                <w:smallCaps w:val="0"/>
                                <w:color w:val="9D2235" w:themeColor="accent1"/>
                                <w:sz w:val="18"/>
                                <w:szCs w:val="18"/>
                              </w:rPr>
                              <w:fldChar w:fldCharType="begin"/>
                            </w:r>
                            <w:r w:rsidRPr="00EB35E0">
                              <w:rPr>
                                <w:rFonts w:ascii="Arial" w:hAnsi="Arial" w:cs="Arial"/>
                                <w:smallCaps w:val="0"/>
                                <w:color w:val="9D2235" w:themeColor="accent1"/>
                                <w:sz w:val="18"/>
                                <w:szCs w:val="18"/>
                              </w:rPr>
                              <w:instrText xml:space="preserve"> SEQ Imagen \* ARABIC </w:instrText>
                            </w:r>
                            <w:r w:rsidRPr="00EB35E0">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2</w:t>
                            </w:r>
                            <w:r w:rsidRPr="00EB35E0">
                              <w:rPr>
                                <w:rFonts w:ascii="Arial" w:hAnsi="Arial" w:cs="Arial"/>
                                <w:smallCaps w:val="0"/>
                                <w:color w:val="9D2235" w:themeColor="accent1"/>
                                <w:sz w:val="18"/>
                                <w:szCs w:val="18"/>
                              </w:rPr>
                              <w:fldChar w:fldCharType="end"/>
                            </w:r>
                            <w:r w:rsidRPr="00EB35E0">
                              <w:rPr>
                                <w:rFonts w:ascii="Arial" w:hAnsi="Arial" w:cs="Arial"/>
                                <w:smallCaps w:val="0"/>
                                <w:color w:val="9D2235" w:themeColor="accent1"/>
                                <w:sz w:val="18"/>
                                <w:szCs w:val="18"/>
                              </w:rPr>
                              <w:t xml:space="preserve">. </w:t>
                            </w:r>
                            <w:r w:rsidRPr="00EB35E0">
                              <w:rPr>
                                <w:rFonts w:ascii="Arial" w:hAnsi="Arial" w:cs="Arial"/>
                                <w:smallCaps w:val="0"/>
                                <w:sz w:val="18"/>
                                <w:szCs w:val="18"/>
                              </w:rPr>
                              <w:t>VII Encuentro de la Red Estatal de Oficinas y Agencias Antifraude</w:t>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209D77" id="Cuadro de texto 60" o:spid="_x0000_s1032" type="#_x0000_t202" style="position:absolute;left:0;text-align:left;margin-left:48.95pt;margin-top:280.9pt;width:325.5pt;height:13.5pt;z-index:25199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" stroked="f">
                <v:textbox inset="0,0,0,0">
                  <w:txbxContent>
                    <w:p w14:paraId="1B9251E7" w14:textId="240C1E91" w:rsidR="00EB35E0" w:rsidRPr="00EB35E0" w:rsidRDefault="00EB35E0" w:rsidP="00FF2067">
                      <w:pPr>
                        <w:pStyle w:val="Descripcin"/>
                        <w:jc w:val="center"/>
                        <w:rPr>
                          <w:rFonts w:ascii="Arial" w:hAnsi="Arial" w:cs="Arial"/>
                          <w:smallCaps w:val="0"/>
                          <w:noProof/>
                          <w:sz w:val="18"/>
                          <w:szCs w:val="18"/>
                        </w:rPr>
                      </w:pPr>
                      <w:bookmarkStart w:id="26" w:name="_Toc99099126"/>
                      <w:r w:rsidRPr="00EB35E0">
                        <w:rPr>
                          <w:rFonts w:ascii="Arial" w:hAnsi="Arial" w:cs="Arial"/>
                          <w:smallCaps w:val="0"/>
                          <w:color w:val="9D2235" w:themeColor="accent1"/>
                          <w:sz w:val="18"/>
                          <w:szCs w:val="18"/>
                        </w:rPr>
                        <w:t xml:space="preserve">Imagen </w:t>
                      </w:r>
                      <w:r w:rsidRPr="00EB35E0">
                        <w:rPr>
                          <w:rFonts w:ascii="Arial" w:hAnsi="Arial" w:cs="Arial"/>
                          <w:smallCaps w:val="0"/>
                          <w:color w:val="9D2235" w:themeColor="accent1"/>
                          <w:sz w:val="18"/>
                          <w:szCs w:val="18"/>
                        </w:rPr>
                        <w:fldChar w:fldCharType="begin"/>
                      </w:r>
                      <w:r w:rsidRPr="00EB35E0">
                        <w:rPr>
                          <w:rFonts w:ascii="Arial" w:hAnsi="Arial" w:cs="Arial"/>
                          <w:smallCaps w:val="0"/>
                          <w:color w:val="9D2235" w:themeColor="accent1"/>
                          <w:sz w:val="18"/>
                          <w:szCs w:val="18"/>
                        </w:rPr>
                        <w:instrText xml:space="preserve"> SEQ Imagen \* ARABIC </w:instrText>
                      </w:r>
                      <w:r w:rsidRPr="00EB35E0">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2</w:t>
                      </w:r>
                      <w:r w:rsidRPr="00EB35E0">
                        <w:rPr>
                          <w:rFonts w:ascii="Arial" w:hAnsi="Arial" w:cs="Arial"/>
                          <w:smallCaps w:val="0"/>
                          <w:color w:val="9D2235" w:themeColor="accent1"/>
                          <w:sz w:val="18"/>
                          <w:szCs w:val="18"/>
                        </w:rPr>
                        <w:fldChar w:fldCharType="end"/>
                      </w:r>
                      <w:r w:rsidRPr="00EB35E0">
                        <w:rPr>
                          <w:rFonts w:ascii="Arial" w:hAnsi="Arial" w:cs="Arial"/>
                          <w:smallCaps w:val="0"/>
                          <w:color w:val="9D2235" w:themeColor="accent1"/>
                          <w:sz w:val="18"/>
                          <w:szCs w:val="18"/>
                        </w:rPr>
                        <w:t xml:space="preserve">. </w:t>
                      </w:r>
                      <w:r w:rsidRPr="00EB35E0">
                        <w:rPr>
                          <w:rFonts w:ascii="Arial" w:hAnsi="Arial" w:cs="Arial"/>
                          <w:smallCaps w:val="0"/>
                          <w:sz w:val="18"/>
                          <w:szCs w:val="18"/>
                        </w:rPr>
                        <w:t>VII Encuentro de la Red Estatal de Oficinas y Agencias Antifraude</w:t>
                      </w:r>
                      <w:bookmarkEnd w:id="26"/>
                    </w:p>
                  </w:txbxContent>
                </v:textbox>
                <w10:wrap type="topAndBottom"/>
              </v:shape>
            </w:pict>
          </mc:Fallback>
        </mc:AlternateContent>
      </w:r>
      <w:r w:rsidRPr="00AF0B7A">
        <w:rPr>
          <w:rFonts w:ascii="Arial" w:hAnsi="Arial" w:cs="Arial"/>
          <w:noProof/>
          <w:sz w:val="21"/>
          <w:szCs w:val="21"/>
        </w:rPr>
        <w:drawing>
          <wp:anchor distT="0" distB="0" distL="114300" distR="114300" simplePos="0" relativeHeight="251966464" behindDoc="0" locked="0" layoutInCell="1" allowOverlap="1" wp14:anchorId="214C35AD" wp14:editId="03E942D1">
            <wp:simplePos x="0" y="0"/>
            <wp:positionH relativeFrom="margin">
              <wp:align>center</wp:align>
            </wp:positionH>
            <wp:positionV relativeFrom="paragraph">
              <wp:posOffset>427355</wp:posOffset>
            </wp:positionV>
            <wp:extent cx="4133850" cy="3099435"/>
            <wp:effectExtent l="0" t="0" r="0" b="5715"/>
            <wp:wrapTopAndBottom/>
            <wp:docPr id="54" name="Imagen 54" descr="https://www.antifraucv.es/wp-content/uploads/2021/09/210930_declaracion_agencias_alic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antifraucv.es/wp-content/uploads/2021/09/210930_declaracion_agencias_alicante.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33850" cy="3099435"/>
                    </a:xfrm>
                    <a:prstGeom prst="rect">
                      <a:avLst/>
                    </a:prstGeom>
                    <a:noFill/>
                    <a:ln>
                      <a:noFill/>
                    </a:ln>
                  </pic:spPr>
                </pic:pic>
              </a:graphicData>
            </a:graphic>
          </wp:anchor>
        </w:drawing>
      </w:r>
      <w:r w:rsidR="00AF0B7A" w:rsidRPr="00AF0B7A">
        <w:rPr>
          <w:rFonts w:ascii="Arial" w:eastAsia="Times New Roman" w:hAnsi="Arial" w:cs="Arial"/>
          <w:color w:val="000000"/>
          <w:sz w:val="21"/>
          <w:szCs w:val="21"/>
          <w:lang w:eastAsia="es-ES"/>
        </w:rPr>
        <w:t>A esta reunión</w:t>
      </w:r>
      <w:r w:rsidR="00F70FB2">
        <w:rPr>
          <w:rFonts w:ascii="Arial" w:eastAsia="Times New Roman" w:hAnsi="Arial" w:cs="Arial"/>
          <w:color w:val="000000"/>
          <w:sz w:val="21"/>
          <w:szCs w:val="21"/>
          <w:lang w:eastAsia="es-ES"/>
        </w:rPr>
        <w:t>,</w:t>
      </w:r>
      <w:r w:rsidR="00AF0B7A" w:rsidRPr="00AF0B7A">
        <w:rPr>
          <w:rFonts w:ascii="Arial" w:eastAsia="Times New Roman" w:hAnsi="Arial" w:cs="Arial"/>
          <w:color w:val="000000"/>
          <w:sz w:val="21"/>
          <w:szCs w:val="21"/>
          <w:lang w:eastAsia="es-ES"/>
        </w:rPr>
        <w:t xml:space="preserve"> asistió por primera vez el director de la recién creada Agencia Andaluza contra el Fraude y la Corrupción, Sr. Ricardo Puyol Sánchez.</w:t>
      </w:r>
    </w:p>
    <w:p w14:paraId="403F93A7" w14:textId="3480B1BE" w:rsidR="0093630D" w:rsidRDefault="0093630D" w:rsidP="0093630D">
      <w:pPr>
        <w:jc w:val="both"/>
        <w:rPr>
          <w:rFonts w:ascii="Arial" w:eastAsia="Times New Roman" w:hAnsi="Arial" w:cs="Arial"/>
          <w:sz w:val="21"/>
          <w:szCs w:val="21"/>
          <w:lang w:eastAsia="es-ES"/>
        </w:rPr>
      </w:pPr>
    </w:p>
    <w:p w14:paraId="15EB89D4" w14:textId="498CF92A" w:rsidR="00AF0B7A" w:rsidRPr="00AF0B7A" w:rsidRDefault="00AF0B7A" w:rsidP="0093630D">
      <w:pPr>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Los puntos tratados durante este encuentro fueron los siguientes:</w:t>
      </w:r>
    </w:p>
    <w:p w14:paraId="64E01FCE" w14:textId="694567E7" w:rsidR="00AF0B7A" w:rsidRPr="00AF0B7A" w:rsidRDefault="00AF0B7A" w:rsidP="0057607F">
      <w:pPr>
        <w:pStyle w:val="Prrafodelista"/>
        <w:numPr>
          <w:ilvl w:val="0"/>
          <w:numId w:val="25"/>
        </w:numPr>
        <w:spacing w:after="120" w:line="276" w:lineRule="auto"/>
        <w:ind w:left="714" w:hanging="357"/>
        <w:contextualSpacing w:val="0"/>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Acuerdo de institucionalización de la Red de Oficinas y Agencias Antifraude del Estado español.</w:t>
      </w:r>
    </w:p>
    <w:p w14:paraId="053119A6" w14:textId="0E6ECDBC" w:rsidR="00AF0B7A" w:rsidRPr="00AF0B7A" w:rsidRDefault="00AF0B7A" w:rsidP="0057607F">
      <w:pPr>
        <w:pStyle w:val="Prrafodelista"/>
        <w:numPr>
          <w:ilvl w:val="0"/>
          <w:numId w:val="25"/>
        </w:numPr>
        <w:spacing w:after="120" w:line="276" w:lineRule="auto"/>
        <w:ind w:left="714" w:hanging="357"/>
        <w:contextualSpacing w:val="0"/>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Informe sobre el GRECO, Grupo de Estados Contra la Corrupción (exposición a cargo de Rafael Vaillo, delegado de España en el GRECO).</w:t>
      </w:r>
    </w:p>
    <w:p w14:paraId="47B1B9CA" w14:textId="3A4669C1" w:rsidR="00AF0B7A" w:rsidRPr="00AF0B7A" w:rsidRDefault="00AF0B7A" w:rsidP="0057607F">
      <w:pPr>
        <w:pStyle w:val="Prrafodelista"/>
        <w:numPr>
          <w:ilvl w:val="0"/>
          <w:numId w:val="25"/>
        </w:numPr>
        <w:spacing w:after="120" w:line="276" w:lineRule="auto"/>
        <w:ind w:left="714" w:hanging="357"/>
        <w:contextualSpacing w:val="0"/>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Creación de un grupo de trabajo orientado a determinar aspectos de la Directiva que sean de aplicación directa según los criterios del Tribunal de Justicia de la UE.</w:t>
      </w:r>
    </w:p>
    <w:p w14:paraId="083154FA" w14:textId="2DD3DA6E" w:rsidR="00AF0B7A" w:rsidRPr="00AF0B7A" w:rsidRDefault="00AF0B7A" w:rsidP="0057607F">
      <w:pPr>
        <w:pStyle w:val="Prrafodelista"/>
        <w:numPr>
          <w:ilvl w:val="0"/>
          <w:numId w:val="25"/>
        </w:numPr>
        <w:spacing w:after="120" w:line="276" w:lineRule="auto"/>
        <w:ind w:left="714" w:hanging="357"/>
        <w:contextualSpacing w:val="0"/>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Exposición del proyecto para la confección de una estrategia estatal contra la corrupción</w:t>
      </w:r>
      <w:r w:rsidR="00E239E0">
        <w:rPr>
          <w:rFonts w:ascii="Arial" w:eastAsia="Times New Roman" w:hAnsi="Arial" w:cs="Arial"/>
          <w:sz w:val="21"/>
          <w:szCs w:val="21"/>
          <w:lang w:eastAsia="es-ES"/>
        </w:rPr>
        <w:t>,</w:t>
      </w:r>
      <w:r w:rsidRPr="00AF0B7A">
        <w:rPr>
          <w:rFonts w:ascii="Arial" w:eastAsia="Times New Roman" w:hAnsi="Arial" w:cs="Arial"/>
          <w:sz w:val="21"/>
          <w:szCs w:val="21"/>
          <w:lang w:eastAsia="es-ES"/>
        </w:rPr>
        <w:t xml:space="preserve"> (punto a cargo de Mercedes Rodríguez, directora del SNCA)</w:t>
      </w:r>
    </w:p>
    <w:p w14:paraId="67959F15" w14:textId="77777777" w:rsidR="00AF0B7A" w:rsidRPr="00AF0B7A" w:rsidRDefault="00AF0B7A" w:rsidP="0057607F">
      <w:pPr>
        <w:pStyle w:val="Prrafodelista"/>
        <w:numPr>
          <w:ilvl w:val="0"/>
          <w:numId w:val="25"/>
        </w:numPr>
        <w:spacing w:after="120" w:line="276" w:lineRule="auto"/>
        <w:ind w:left="714" w:hanging="357"/>
        <w:contextualSpacing w:val="0"/>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Estado de trasposición de la Directiva y el alcance de su aplicabilidad directa.</w:t>
      </w:r>
    </w:p>
    <w:p w14:paraId="7204E588" w14:textId="310AF560" w:rsidR="00AF0B7A" w:rsidRPr="00AF0B7A" w:rsidRDefault="00AF0B7A" w:rsidP="00E501D4">
      <w:pPr>
        <w:pStyle w:val="Prrafodelista"/>
        <w:numPr>
          <w:ilvl w:val="0"/>
          <w:numId w:val="25"/>
        </w:numPr>
        <w:spacing w:after="240" w:line="276" w:lineRule="auto"/>
        <w:ind w:left="714" w:hanging="357"/>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Preparación de la Declaración Institucional de la Red, a presentar al VI Congreso Internacional de Transparencia.</w:t>
      </w:r>
    </w:p>
    <w:p w14:paraId="67656A12" w14:textId="123EBDA8" w:rsidR="00AF0B7A" w:rsidRPr="00AF0B7A" w:rsidRDefault="00AF0B7A" w:rsidP="005C143D">
      <w:pPr>
        <w:spacing w:after="240" w:line="276" w:lineRule="auto"/>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Esta Declaración Institucional de la Red se hizo pública dentro del Congreso Internacional de Transparencia el miércoles 29 a las 12 horas.</w:t>
      </w:r>
    </w:p>
    <w:p w14:paraId="38A32695" w14:textId="4ADBA87C" w:rsidR="00AF0B7A" w:rsidRPr="00AF0B7A" w:rsidRDefault="00AF0B7A" w:rsidP="005C143D">
      <w:pPr>
        <w:spacing w:after="240" w:line="276" w:lineRule="auto"/>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 xml:space="preserve">Nota de prensa: </w:t>
      </w:r>
      <w:hyperlink r:id="rId83" w:history="1">
        <w:r w:rsidRPr="00AF0B7A">
          <w:rPr>
            <w:rStyle w:val="Hipervnculo"/>
            <w:rFonts w:ascii="Arial" w:eastAsia="Times New Roman" w:hAnsi="Arial" w:cs="Arial"/>
            <w:sz w:val="21"/>
            <w:szCs w:val="21"/>
            <w:lang w:eastAsia="es-ES"/>
          </w:rPr>
          <w:t>https://www.antifraucv.es/las-oficinas-y-agencias-antifraude-de-espana-urgen-a-la-transposicion-de-la-directiva-europea-de-proteccion-de-las-personas-denunciantes/</w:t>
        </w:r>
      </w:hyperlink>
      <w:r w:rsidRPr="00AF0B7A">
        <w:rPr>
          <w:rFonts w:ascii="Arial" w:eastAsia="Times New Roman" w:hAnsi="Arial" w:cs="Arial"/>
          <w:sz w:val="21"/>
          <w:szCs w:val="21"/>
          <w:lang w:eastAsia="es-ES"/>
        </w:rPr>
        <w:t xml:space="preserve"> </w:t>
      </w:r>
    </w:p>
    <w:p w14:paraId="660BE723" w14:textId="6D153458" w:rsidR="00AF0B7A" w:rsidRPr="00AF0B7A" w:rsidRDefault="00AF0B7A" w:rsidP="005C143D">
      <w:pPr>
        <w:spacing w:after="240" w:line="276" w:lineRule="auto"/>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 xml:space="preserve">Declaración institucional: </w:t>
      </w:r>
      <w:hyperlink r:id="rId84" w:history="1">
        <w:r w:rsidRPr="00AF0B7A">
          <w:rPr>
            <w:rStyle w:val="Hipervnculo"/>
            <w:rFonts w:ascii="Arial" w:eastAsia="Times New Roman" w:hAnsi="Arial" w:cs="Arial"/>
            <w:sz w:val="21"/>
            <w:szCs w:val="21"/>
            <w:lang w:eastAsia="es-ES"/>
          </w:rPr>
          <w:t>https://www.antifraucv.es/wp-content/uploads/2021/09/210929-Declaracion-institucional-Agencias-antifraude.pdf</w:t>
        </w:r>
      </w:hyperlink>
      <w:r w:rsidRPr="00AF0B7A">
        <w:rPr>
          <w:rFonts w:ascii="Arial" w:eastAsia="Times New Roman" w:hAnsi="Arial" w:cs="Arial"/>
          <w:sz w:val="21"/>
          <w:szCs w:val="21"/>
          <w:lang w:eastAsia="es-ES"/>
        </w:rPr>
        <w:t xml:space="preserve"> </w:t>
      </w:r>
    </w:p>
    <w:p w14:paraId="71AF0EB7" w14:textId="2CF0FABA" w:rsidR="00AF0B7A" w:rsidRPr="00AF0B7A" w:rsidRDefault="00AF0B7A" w:rsidP="005C143D">
      <w:pPr>
        <w:spacing w:after="240" w:line="276" w:lineRule="auto"/>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Con posterioridad, y también formando parte del programa del Congreso, se celebró un taller seminario que trató de la Directiva Whistleblower y su trasposición al ordenamiento jurídico español</w:t>
      </w:r>
      <w:r w:rsidR="00036E52">
        <w:rPr>
          <w:rFonts w:ascii="Arial" w:eastAsia="Times New Roman" w:hAnsi="Arial" w:cs="Arial"/>
          <w:sz w:val="21"/>
          <w:szCs w:val="21"/>
          <w:lang w:eastAsia="es-ES"/>
        </w:rPr>
        <w:t xml:space="preserve">, </w:t>
      </w:r>
      <w:r w:rsidRPr="00AF0B7A">
        <w:rPr>
          <w:rFonts w:ascii="Arial" w:eastAsia="Times New Roman" w:hAnsi="Arial" w:cs="Arial"/>
          <w:sz w:val="21"/>
          <w:szCs w:val="21"/>
          <w:lang w:eastAsia="es-ES"/>
        </w:rPr>
        <w:t>así como del papel de las agencias y oficinas antifraude.</w:t>
      </w:r>
    </w:p>
    <w:p w14:paraId="4AD6CB75" w14:textId="77777777" w:rsidR="00AF0B7A" w:rsidRPr="001577C7" w:rsidRDefault="00AF0B7A" w:rsidP="001577C7">
      <w:pPr>
        <w:spacing w:after="120" w:line="276" w:lineRule="auto"/>
        <w:rPr>
          <w:rFonts w:ascii="Arial" w:hAnsi="Arial" w:cs="Arial"/>
          <w:i/>
          <w:iCs/>
          <w:color w:val="9D2235" w:themeColor="accent1"/>
          <w:sz w:val="21"/>
          <w:szCs w:val="21"/>
        </w:rPr>
      </w:pPr>
      <w:r w:rsidRPr="001577C7">
        <w:rPr>
          <w:rFonts w:ascii="Arial" w:hAnsi="Arial" w:cs="Arial"/>
          <w:i/>
          <w:iCs/>
          <w:color w:val="9D2235" w:themeColor="accent1"/>
          <w:sz w:val="21"/>
          <w:szCs w:val="21"/>
        </w:rPr>
        <w:t>IX Encuentro de la Red Estatal de Oficinas y Agencias Antifraude</w:t>
      </w:r>
    </w:p>
    <w:p w14:paraId="2D481B80" w14:textId="77777777" w:rsidR="00AF0B7A" w:rsidRPr="001577C7" w:rsidRDefault="00AF0B7A" w:rsidP="001577C7">
      <w:pPr>
        <w:spacing w:after="240" w:line="276" w:lineRule="auto"/>
        <w:rPr>
          <w:rFonts w:ascii="Arial" w:hAnsi="Arial" w:cs="Arial"/>
          <w:color w:val="9D2235" w:themeColor="accent1"/>
          <w:sz w:val="21"/>
          <w:szCs w:val="21"/>
        </w:rPr>
      </w:pPr>
      <w:r w:rsidRPr="001577C7">
        <w:rPr>
          <w:rFonts w:ascii="Arial" w:hAnsi="Arial" w:cs="Arial"/>
          <w:color w:val="9D2235" w:themeColor="accent1"/>
          <w:sz w:val="21"/>
          <w:szCs w:val="21"/>
        </w:rPr>
        <w:t>Barcelona, martes 28 y miércoles 29 de septiembre de 2021</w:t>
      </w:r>
    </w:p>
    <w:p w14:paraId="23486F7F" w14:textId="77777777" w:rsidR="00AF0B7A" w:rsidRPr="00AF0B7A" w:rsidRDefault="00AF0B7A" w:rsidP="0057607F">
      <w:pPr>
        <w:spacing w:after="240" w:line="276" w:lineRule="auto"/>
        <w:jc w:val="both"/>
        <w:rPr>
          <w:rFonts w:ascii="Arial" w:eastAsia="Times New Roman" w:hAnsi="Arial" w:cs="Arial"/>
          <w:color w:val="000000"/>
          <w:sz w:val="21"/>
          <w:szCs w:val="21"/>
          <w:lang w:eastAsia="es-ES"/>
        </w:rPr>
      </w:pPr>
      <w:r w:rsidRPr="00AF0B7A">
        <w:rPr>
          <w:rFonts w:ascii="Arial" w:eastAsia="Times New Roman" w:hAnsi="Arial" w:cs="Arial"/>
          <w:sz w:val="21"/>
          <w:szCs w:val="21"/>
          <w:lang w:eastAsia="es-ES"/>
        </w:rPr>
        <w:t xml:space="preserve">Este encuentro, organizado por la Agencia de Transparencia del Área </w:t>
      </w:r>
      <w:r w:rsidRPr="00AF0B7A">
        <w:rPr>
          <w:rFonts w:ascii="Arial" w:eastAsia="Times New Roman" w:hAnsi="Arial" w:cs="Arial"/>
          <w:color w:val="000000"/>
          <w:sz w:val="21"/>
          <w:szCs w:val="21"/>
          <w:lang w:eastAsia="es-ES"/>
        </w:rPr>
        <w:t>Metropolitana de Barcelona, contó con los siguientes puntos en el orden del día:</w:t>
      </w:r>
    </w:p>
    <w:p w14:paraId="2CEA3281" w14:textId="77777777" w:rsidR="00AF0B7A" w:rsidRPr="00AF0B7A" w:rsidRDefault="00AF0B7A" w:rsidP="0057607F">
      <w:pPr>
        <w:pStyle w:val="Prrafodelista"/>
        <w:numPr>
          <w:ilvl w:val="0"/>
          <w:numId w:val="22"/>
        </w:numPr>
        <w:spacing w:after="120" w:line="276" w:lineRule="auto"/>
        <w:ind w:left="714" w:hanging="357"/>
        <w:contextualSpacing w:val="0"/>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Documento de bases comunes. Presentación del documento de trabajo y de las aportaciones en los distintos ámbitos temáticos.</w:t>
      </w:r>
    </w:p>
    <w:p w14:paraId="2FA050C3" w14:textId="77777777" w:rsidR="00AF0B7A" w:rsidRPr="00AF0B7A" w:rsidRDefault="00AF0B7A" w:rsidP="0057607F">
      <w:pPr>
        <w:pStyle w:val="Prrafodelista"/>
        <w:numPr>
          <w:ilvl w:val="0"/>
          <w:numId w:val="22"/>
        </w:numPr>
        <w:spacing w:after="120" w:line="276" w:lineRule="auto"/>
        <w:ind w:left="714" w:hanging="357"/>
        <w:contextualSpacing w:val="0"/>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Monográfico sobre el catálogo de derechos de la persona alertadora.</w:t>
      </w:r>
    </w:p>
    <w:p w14:paraId="344710C6" w14:textId="77777777" w:rsidR="00AF0B7A" w:rsidRPr="00AF0B7A" w:rsidRDefault="00AF0B7A" w:rsidP="0057607F">
      <w:pPr>
        <w:pStyle w:val="Prrafodelista"/>
        <w:numPr>
          <w:ilvl w:val="0"/>
          <w:numId w:val="22"/>
        </w:numPr>
        <w:spacing w:after="120" w:line="276" w:lineRule="auto"/>
        <w:ind w:left="714" w:hanging="357"/>
        <w:contextualSpacing w:val="0"/>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Aplicación directa de la Directiva (UE) 2019/1937.</w:t>
      </w:r>
    </w:p>
    <w:p w14:paraId="255B3DCB" w14:textId="77777777" w:rsidR="00AF0B7A" w:rsidRPr="00AF0B7A" w:rsidRDefault="00AF0B7A" w:rsidP="00E501D4">
      <w:pPr>
        <w:pStyle w:val="Prrafodelista"/>
        <w:numPr>
          <w:ilvl w:val="0"/>
          <w:numId w:val="22"/>
        </w:numPr>
        <w:spacing w:after="240" w:line="276" w:lineRule="auto"/>
        <w:ind w:left="714" w:hanging="357"/>
        <w:jc w:val="both"/>
        <w:rPr>
          <w:rFonts w:ascii="Arial" w:eastAsia="Times New Roman" w:hAnsi="Arial" w:cs="Arial"/>
          <w:sz w:val="21"/>
          <w:szCs w:val="21"/>
          <w:lang w:eastAsia="es-ES"/>
        </w:rPr>
      </w:pPr>
      <w:r w:rsidRPr="00AF0B7A">
        <w:rPr>
          <w:rFonts w:ascii="Arial" w:eastAsia="Times New Roman" w:hAnsi="Arial" w:cs="Arial"/>
          <w:sz w:val="21"/>
          <w:szCs w:val="21"/>
          <w:lang w:eastAsia="es-ES"/>
        </w:rPr>
        <w:t>Estrategia y metodología común previa a la entrada en vigor de la Directiva (UE) 2019/1937.</w:t>
      </w:r>
    </w:p>
    <w:p w14:paraId="0E9D85FA" w14:textId="77777777" w:rsidR="0057607F" w:rsidRDefault="0057607F" w:rsidP="001577C7">
      <w:pPr>
        <w:rPr>
          <w:rFonts w:ascii="Arial" w:hAnsi="Arial" w:cs="Arial"/>
          <w:i/>
          <w:iCs/>
          <w:color w:val="9D2235" w:themeColor="accent1"/>
          <w:sz w:val="21"/>
          <w:szCs w:val="21"/>
        </w:rPr>
      </w:pPr>
    </w:p>
    <w:p w14:paraId="6CCDF6E7" w14:textId="77777777" w:rsidR="0057607F" w:rsidRDefault="0057607F" w:rsidP="001577C7">
      <w:pPr>
        <w:rPr>
          <w:rFonts w:ascii="Arial" w:hAnsi="Arial" w:cs="Arial"/>
          <w:i/>
          <w:iCs/>
          <w:color w:val="9D2235" w:themeColor="accent1"/>
          <w:sz w:val="21"/>
          <w:szCs w:val="21"/>
        </w:rPr>
      </w:pPr>
    </w:p>
    <w:p w14:paraId="1006E6F7" w14:textId="77777777" w:rsidR="0057607F" w:rsidRDefault="0057607F" w:rsidP="001577C7">
      <w:pPr>
        <w:rPr>
          <w:rFonts w:ascii="Arial" w:hAnsi="Arial" w:cs="Arial"/>
          <w:i/>
          <w:iCs/>
          <w:color w:val="9D2235" w:themeColor="accent1"/>
          <w:sz w:val="21"/>
          <w:szCs w:val="21"/>
        </w:rPr>
      </w:pPr>
    </w:p>
    <w:p w14:paraId="39F28F90" w14:textId="3485E74B" w:rsidR="00AF0B7A" w:rsidRPr="001577C7" w:rsidRDefault="00AF0B7A" w:rsidP="001577C7">
      <w:pPr>
        <w:rPr>
          <w:rFonts w:ascii="Arial" w:hAnsi="Arial" w:cs="Arial"/>
          <w:b/>
          <w:i/>
          <w:iCs/>
          <w:color w:val="9D2235" w:themeColor="accent1"/>
          <w:sz w:val="21"/>
          <w:szCs w:val="21"/>
        </w:rPr>
      </w:pPr>
      <w:r w:rsidRPr="001577C7">
        <w:rPr>
          <w:rFonts w:ascii="Arial" w:hAnsi="Arial" w:cs="Arial"/>
          <w:i/>
          <w:iCs/>
          <w:color w:val="9D2235" w:themeColor="accent1"/>
          <w:sz w:val="21"/>
          <w:szCs w:val="21"/>
        </w:rPr>
        <w:t>Otras reuniones</w:t>
      </w:r>
      <w:r w:rsidRPr="001577C7">
        <w:rPr>
          <w:rFonts w:ascii="Arial" w:hAnsi="Arial" w:cs="Arial"/>
          <w:b/>
          <w:i/>
          <w:iCs/>
          <w:color w:val="9D2235" w:themeColor="accent1"/>
          <w:sz w:val="21"/>
          <w:szCs w:val="21"/>
        </w:rPr>
        <w:t xml:space="preserve"> </w:t>
      </w:r>
    </w:p>
    <w:p w14:paraId="56F96652" w14:textId="77777777" w:rsidR="00AF0B7A" w:rsidRPr="001577C7" w:rsidRDefault="00AF0B7A" w:rsidP="001577C7">
      <w:pPr>
        <w:spacing w:after="120" w:line="276" w:lineRule="auto"/>
        <w:jc w:val="both"/>
        <w:rPr>
          <w:rFonts w:ascii="Arial" w:hAnsi="Arial" w:cs="Arial"/>
          <w:b/>
          <w:sz w:val="21"/>
          <w:szCs w:val="21"/>
        </w:rPr>
      </w:pPr>
      <w:r w:rsidRPr="001577C7">
        <w:rPr>
          <w:rFonts w:ascii="Arial" w:hAnsi="Arial" w:cs="Arial"/>
          <w:b/>
          <w:sz w:val="21"/>
          <w:szCs w:val="21"/>
        </w:rPr>
        <w:t>Lunes, 24 de mayo de 2021</w:t>
      </w:r>
    </w:p>
    <w:p w14:paraId="38D7470F" w14:textId="77777777" w:rsidR="00AF0B7A" w:rsidRPr="00AF0B7A" w:rsidRDefault="00AF0B7A" w:rsidP="001577C7">
      <w:pPr>
        <w:spacing w:after="240" w:line="276" w:lineRule="auto"/>
        <w:jc w:val="both"/>
        <w:rPr>
          <w:rFonts w:ascii="Arial" w:eastAsia="Times New Roman" w:hAnsi="Arial" w:cs="Arial"/>
          <w:color w:val="000000"/>
          <w:sz w:val="21"/>
          <w:szCs w:val="21"/>
          <w:lang w:eastAsia="es-ES"/>
        </w:rPr>
      </w:pPr>
      <w:r w:rsidRPr="00AF0B7A">
        <w:rPr>
          <w:rFonts w:ascii="Arial" w:eastAsia="Times New Roman" w:hAnsi="Arial" w:cs="Arial"/>
          <w:color w:val="000000"/>
          <w:sz w:val="21"/>
          <w:szCs w:val="21"/>
          <w:lang w:eastAsia="es-ES"/>
        </w:rPr>
        <w:t>Organizada a través de videoconferencia por la Agencia de Transparencia del Área Metropolitana de Barcelona, se realizó una reunión para discutir las nuevas iniciativas legislativas emprendidas en torno a la regulación de los conflictos de interés y de la relación con los grupos de interés.</w:t>
      </w:r>
    </w:p>
    <w:p w14:paraId="3537AE04" w14:textId="77777777" w:rsidR="00AF0B7A" w:rsidRPr="001577C7" w:rsidRDefault="00AF0B7A" w:rsidP="001577C7">
      <w:pPr>
        <w:spacing w:after="120" w:line="276" w:lineRule="auto"/>
        <w:jc w:val="both"/>
        <w:rPr>
          <w:rFonts w:ascii="Arial" w:hAnsi="Arial" w:cs="Arial"/>
          <w:b/>
          <w:sz w:val="21"/>
          <w:szCs w:val="21"/>
        </w:rPr>
      </w:pPr>
      <w:r w:rsidRPr="001577C7">
        <w:rPr>
          <w:rFonts w:ascii="Arial" w:hAnsi="Arial" w:cs="Arial"/>
          <w:b/>
          <w:sz w:val="21"/>
          <w:szCs w:val="21"/>
        </w:rPr>
        <w:t>Jueves, 28 de octubre de 2021</w:t>
      </w:r>
    </w:p>
    <w:p w14:paraId="63D484EA" w14:textId="341B95BD" w:rsidR="00165E46" w:rsidRPr="00AF0B7A" w:rsidRDefault="00AF0B7A" w:rsidP="001577C7">
      <w:pPr>
        <w:spacing w:after="240" w:line="276" w:lineRule="auto"/>
        <w:jc w:val="both"/>
        <w:rPr>
          <w:rFonts w:ascii="Arial" w:eastAsia="Times New Roman" w:hAnsi="Arial" w:cs="Arial"/>
          <w:bCs/>
          <w:sz w:val="21"/>
          <w:szCs w:val="21"/>
        </w:rPr>
      </w:pPr>
      <w:r w:rsidRPr="00AF0B7A">
        <w:rPr>
          <w:rFonts w:ascii="Arial" w:hAnsi="Arial" w:cs="Arial"/>
          <w:sz w:val="21"/>
          <w:szCs w:val="21"/>
        </w:rPr>
        <w:t>Reunión del grupo de trabajo de la Red de la Directiva 2019/1937 para establecer la metodología y la distribución del trabajo</w:t>
      </w:r>
    </w:p>
    <w:p w14:paraId="46D3B900" w14:textId="59C46C42" w:rsidR="00BB4994" w:rsidRPr="00973028" w:rsidRDefault="00042757" w:rsidP="00AC1A12">
      <w:pPr>
        <w:pStyle w:val="Prrafodelista"/>
        <w:keepNext/>
        <w:numPr>
          <w:ilvl w:val="1"/>
          <w:numId w:val="15"/>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23" w:name="_Toc99106966"/>
      <w:r>
        <w:rPr>
          <w:rFonts w:ascii="Arial" w:eastAsia="Times New Roman" w:hAnsi="Arial" w:cs="Arial"/>
          <w:b/>
          <w:color w:val="9D2235"/>
          <w:sz w:val="32"/>
          <w:szCs w:val="32"/>
        </w:rPr>
        <w:t>Actividad nacional e internacional</w:t>
      </w:r>
      <w:bookmarkEnd w:id="23"/>
    </w:p>
    <w:p w14:paraId="436D1BBA" w14:textId="3E31E4C0" w:rsidR="00BB4994" w:rsidRPr="00973028" w:rsidRDefault="00042757" w:rsidP="00AC1A12">
      <w:pPr>
        <w:pStyle w:val="Prrafodelista"/>
        <w:keepNext/>
        <w:numPr>
          <w:ilvl w:val="2"/>
          <w:numId w:val="15"/>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4" w:name="_Toc99106967"/>
      <w:r>
        <w:rPr>
          <w:rFonts w:ascii="Arial" w:eastAsia="Times New Roman" w:hAnsi="Arial" w:cs="Arial"/>
          <w:b/>
          <w:color w:val="9D2235"/>
          <w:sz w:val="28"/>
          <w:szCs w:val="28"/>
        </w:rPr>
        <w:t>Firma de convenios y protocolos de colaboración</w:t>
      </w:r>
      <w:bookmarkEnd w:id="24"/>
    </w:p>
    <w:p w14:paraId="5FE2C23D" w14:textId="77777777" w:rsidR="00BC6C8F" w:rsidRPr="00BC6C8F" w:rsidRDefault="00BC6C8F" w:rsidP="0057607F">
      <w:pPr>
        <w:pStyle w:val="Texto"/>
        <w:spacing w:after="240"/>
        <w:rPr>
          <w:rFonts w:ascii="Arial" w:hAnsi="Arial" w:cs="Arial"/>
        </w:rPr>
      </w:pPr>
      <w:r w:rsidRPr="00BC6C8F">
        <w:rPr>
          <w:rFonts w:ascii="Arial" w:hAnsi="Arial" w:cs="Arial"/>
        </w:rPr>
        <w:t>Los convenios y protocolos de colaboración firmados por la Agencia a lo largo del año 2021 han sido los siguientes:</w:t>
      </w:r>
    </w:p>
    <w:p w14:paraId="27F6932C" w14:textId="77777777" w:rsidR="00BC6C8F" w:rsidRPr="00BC6C8F" w:rsidRDefault="00BC6C8F" w:rsidP="00153921">
      <w:pPr>
        <w:pStyle w:val="Texto"/>
        <w:rPr>
          <w:rFonts w:ascii="Arial" w:hAnsi="Arial" w:cs="Arial"/>
        </w:rPr>
      </w:pPr>
      <w:r w:rsidRPr="00BC6C8F">
        <w:rPr>
          <w:rFonts w:ascii="Arial" w:hAnsi="Arial" w:cs="Arial"/>
        </w:rPr>
        <w:t>11 de enero</w:t>
      </w:r>
    </w:p>
    <w:p w14:paraId="3978BDDA" w14:textId="77777777" w:rsidR="00BC6C8F" w:rsidRPr="00BC6C8F" w:rsidRDefault="00BC6C8F" w:rsidP="0057607F">
      <w:pPr>
        <w:tabs>
          <w:tab w:val="left" w:pos="567"/>
        </w:tabs>
        <w:spacing w:after="120" w:line="276" w:lineRule="auto"/>
        <w:ind w:left="567" w:hanging="567"/>
        <w:jc w:val="both"/>
        <w:rPr>
          <w:rFonts w:ascii="Arial" w:eastAsia="Times New Roman" w:hAnsi="Arial" w:cs="Arial"/>
          <w:b/>
          <w:sz w:val="21"/>
          <w:szCs w:val="21"/>
          <w:lang w:eastAsia="es-ES"/>
        </w:rPr>
      </w:pPr>
      <w:r w:rsidRPr="00BC6C8F">
        <w:rPr>
          <w:rFonts w:ascii="Arial" w:eastAsia="Times New Roman" w:hAnsi="Arial" w:cs="Arial"/>
          <w:b/>
          <w:sz w:val="21"/>
          <w:szCs w:val="21"/>
          <w:lang w:eastAsia="es-ES"/>
        </w:rPr>
        <w:t xml:space="preserve">Convenio marco de colaboración </w:t>
      </w:r>
    </w:p>
    <w:p w14:paraId="681816E1" w14:textId="23B9D503" w:rsidR="00BC6C8F" w:rsidRPr="00BC6C8F" w:rsidRDefault="005A3A30" w:rsidP="0057607F">
      <w:pPr>
        <w:pStyle w:val="Prrafodelista"/>
        <w:numPr>
          <w:ilvl w:val="0"/>
          <w:numId w:val="27"/>
        </w:numPr>
        <w:spacing w:after="120" w:line="276" w:lineRule="auto"/>
        <w:ind w:left="714" w:hanging="357"/>
        <w:contextualSpacing w:val="0"/>
        <w:jc w:val="both"/>
        <w:rPr>
          <w:rFonts w:ascii="Arial" w:hAnsi="Arial" w:cs="Arial"/>
          <w:sz w:val="21"/>
          <w:szCs w:val="21"/>
        </w:rPr>
      </w:pPr>
      <w:r>
        <w:rPr>
          <w:rFonts w:ascii="Arial" w:hAnsi="Arial" w:cs="Arial"/>
          <w:sz w:val="21"/>
          <w:szCs w:val="21"/>
        </w:rPr>
        <w:t>C</w:t>
      </w:r>
      <w:r w:rsidR="00BC6C8F" w:rsidRPr="00BC6C8F">
        <w:rPr>
          <w:rFonts w:ascii="Arial" w:hAnsi="Arial" w:cs="Arial"/>
          <w:sz w:val="21"/>
          <w:szCs w:val="21"/>
        </w:rPr>
        <w:t>on la WORLD COMPLIANCE ASSOCIATION, para establecer un canal permanente de comunión y colaboración para mejorar la eficacia en el cumplimiento de objetivos e interés común</w:t>
      </w:r>
      <w:r w:rsidR="00BC6C8F" w:rsidRPr="00BC6C8F">
        <w:rPr>
          <w:rFonts w:ascii="Arial" w:hAnsi="Arial" w:cs="Arial"/>
          <w:b/>
          <w:sz w:val="21"/>
          <w:szCs w:val="21"/>
        </w:rPr>
        <w:t>.</w:t>
      </w:r>
    </w:p>
    <w:p w14:paraId="7F32A8E6" w14:textId="77777777" w:rsidR="00BC6C8F" w:rsidRPr="00BC6C8F" w:rsidRDefault="00AF48E6" w:rsidP="00BC6C8F">
      <w:pPr>
        <w:spacing w:after="120" w:line="276" w:lineRule="auto"/>
        <w:jc w:val="both"/>
        <w:rPr>
          <w:rStyle w:val="EnlacedeInternet"/>
          <w:rFonts w:ascii="Arial" w:eastAsia="Times New Roman" w:hAnsi="Arial" w:cs="Arial"/>
          <w:sz w:val="21"/>
          <w:szCs w:val="21"/>
          <w:lang w:eastAsia="es-ES"/>
        </w:rPr>
      </w:pPr>
      <w:hyperlink r:id="rId85" w:anchor="boc/iniciativa/clau/190313322168732" w:history="1">
        <w:r w:rsidR="00BC6C8F" w:rsidRPr="00BC6C8F">
          <w:rPr>
            <w:rStyle w:val="EnlacedeInternet"/>
            <w:rFonts w:ascii="Arial" w:eastAsia="Times New Roman" w:hAnsi="Arial" w:cs="Arial"/>
            <w:sz w:val="21"/>
            <w:szCs w:val="21"/>
            <w:lang w:eastAsia="es-ES"/>
          </w:rPr>
          <w:t>https://www.cortsvalencianes.es/es/consulta_boc#boc/iniciativa/clau/190313322168732</w:t>
        </w:r>
      </w:hyperlink>
      <w:r w:rsidR="00BC6C8F" w:rsidRPr="00BC6C8F">
        <w:rPr>
          <w:rStyle w:val="EnlacedeInternet"/>
          <w:rFonts w:ascii="Arial" w:eastAsia="Times New Roman" w:hAnsi="Arial" w:cs="Arial"/>
          <w:sz w:val="21"/>
          <w:szCs w:val="21"/>
          <w:lang w:eastAsia="es-ES"/>
        </w:rPr>
        <w:t xml:space="preserve"> </w:t>
      </w:r>
    </w:p>
    <w:p w14:paraId="558686B9" w14:textId="77777777" w:rsidR="00BC6C8F" w:rsidRPr="00BC6C8F" w:rsidRDefault="00BC6C8F" w:rsidP="0057607F">
      <w:pPr>
        <w:spacing w:after="240" w:line="276" w:lineRule="auto"/>
        <w:jc w:val="both"/>
        <w:rPr>
          <w:rStyle w:val="EnlacedeInternet"/>
          <w:rFonts w:ascii="Arial" w:eastAsia="Times New Roman" w:hAnsi="Arial" w:cs="Arial"/>
          <w:sz w:val="21"/>
          <w:szCs w:val="21"/>
          <w:lang w:eastAsia="es-ES"/>
        </w:rPr>
      </w:pPr>
      <w:r w:rsidRPr="00BC6C8F">
        <w:rPr>
          <w:rStyle w:val="EnlacedeInternet"/>
          <w:rFonts w:ascii="Arial" w:hAnsi="Arial" w:cs="Arial"/>
          <w:color w:val="auto"/>
          <w:sz w:val="21"/>
          <w:szCs w:val="21"/>
        </w:rPr>
        <w:t xml:space="preserve">Nota de prensa: </w:t>
      </w:r>
      <w:hyperlink r:id="rId86" w:history="1">
        <w:r w:rsidRPr="00BC6C8F">
          <w:rPr>
            <w:rStyle w:val="Hipervnculo"/>
            <w:rFonts w:ascii="Arial" w:hAnsi="Arial" w:cs="Arial"/>
            <w:sz w:val="21"/>
            <w:szCs w:val="21"/>
          </w:rPr>
          <w:t>https://www.antifraucv.es/la-world-compliance-association-y-la-agencia-valenciana-antifraude-firman-un-convenio-para-colaborar-en-la-lucha-contra-el-fraude-y-la-corrupcion-2/</w:t>
        </w:r>
      </w:hyperlink>
      <w:r w:rsidRPr="00BC6C8F">
        <w:rPr>
          <w:rFonts w:ascii="Arial" w:hAnsi="Arial" w:cs="Arial"/>
          <w:sz w:val="21"/>
          <w:szCs w:val="21"/>
        </w:rPr>
        <w:t xml:space="preserve"> </w:t>
      </w:r>
    </w:p>
    <w:p w14:paraId="74138E06" w14:textId="77777777" w:rsidR="00BC6C8F" w:rsidRPr="00BC6C8F" w:rsidRDefault="00BC6C8F" w:rsidP="00153921">
      <w:pPr>
        <w:pStyle w:val="Texto"/>
        <w:rPr>
          <w:rFonts w:ascii="Arial" w:hAnsi="Arial" w:cs="Arial"/>
        </w:rPr>
      </w:pPr>
      <w:r w:rsidRPr="00BC6C8F">
        <w:rPr>
          <w:rFonts w:ascii="Arial" w:hAnsi="Arial" w:cs="Arial"/>
        </w:rPr>
        <w:t>24 de febrero</w:t>
      </w:r>
    </w:p>
    <w:p w14:paraId="2D3C6D3F" w14:textId="77777777" w:rsidR="00BC6C8F" w:rsidRPr="00BC6C8F" w:rsidRDefault="00BC6C8F" w:rsidP="005A3A30">
      <w:pPr>
        <w:tabs>
          <w:tab w:val="left" w:pos="567"/>
        </w:tabs>
        <w:spacing w:after="120" w:line="276" w:lineRule="auto"/>
        <w:ind w:left="567" w:hanging="567"/>
        <w:jc w:val="both"/>
        <w:rPr>
          <w:rFonts w:ascii="Arial" w:eastAsia="Times New Roman" w:hAnsi="Arial" w:cs="Arial"/>
          <w:b/>
          <w:sz w:val="21"/>
          <w:szCs w:val="21"/>
          <w:lang w:eastAsia="es-ES"/>
        </w:rPr>
      </w:pPr>
      <w:r w:rsidRPr="00BC6C8F">
        <w:rPr>
          <w:rFonts w:ascii="Arial" w:eastAsia="Times New Roman" w:hAnsi="Arial" w:cs="Arial"/>
          <w:b/>
          <w:sz w:val="21"/>
          <w:szCs w:val="21"/>
          <w:lang w:eastAsia="es-ES"/>
        </w:rPr>
        <w:t>Convenio de cooperación educativa</w:t>
      </w:r>
    </w:p>
    <w:p w14:paraId="0237E77A" w14:textId="25FD289B" w:rsidR="00BC6C8F" w:rsidRPr="005A3A30" w:rsidRDefault="005A3A30" w:rsidP="00E501D4">
      <w:pPr>
        <w:pStyle w:val="Prrafodelista"/>
        <w:numPr>
          <w:ilvl w:val="0"/>
          <w:numId w:val="28"/>
        </w:numPr>
        <w:spacing w:after="120"/>
        <w:ind w:left="714" w:hanging="357"/>
        <w:jc w:val="both"/>
        <w:rPr>
          <w:rFonts w:ascii="Arial" w:hAnsi="Arial" w:cs="Arial"/>
          <w:sz w:val="21"/>
          <w:szCs w:val="21"/>
        </w:rPr>
      </w:pPr>
      <w:r>
        <w:rPr>
          <w:rFonts w:ascii="Arial" w:hAnsi="Arial" w:cs="Arial"/>
          <w:sz w:val="21"/>
          <w:szCs w:val="21"/>
        </w:rPr>
        <w:t>C</w:t>
      </w:r>
      <w:r w:rsidR="00BC6C8F" w:rsidRPr="005A3A30">
        <w:rPr>
          <w:rFonts w:ascii="Arial" w:hAnsi="Arial" w:cs="Arial"/>
          <w:sz w:val="21"/>
          <w:szCs w:val="21"/>
        </w:rPr>
        <w:t>on la UNIVERSIDAD CEU CARDENAL HERRERA, para la realización de prácticas formativas por estudiantes universitarios</w:t>
      </w:r>
      <w:r w:rsidR="00BC6C8F" w:rsidRPr="005A3A30">
        <w:rPr>
          <w:rFonts w:ascii="Arial" w:hAnsi="Arial" w:cs="Arial"/>
          <w:b/>
          <w:sz w:val="21"/>
          <w:szCs w:val="21"/>
        </w:rPr>
        <w:t>.</w:t>
      </w:r>
    </w:p>
    <w:p w14:paraId="35B7E1C7" w14:textId="77777777" w:rsidR="00BC6C8F" w:rsidRPr="00BC6C8F" w:rsidRDefault="00BC6C8F" w:rsidP="00153921">
      <w:pPr>
        <w:spacing w:after="240" w:line="276" w:lineRule="auto"/>
        <w:jc w:val="both"/>
        <w:rPr>
          <w:rStyle w:val="EnlacedeInternet"/>
          <w:rFonts w:ascii="Arial" w:eastAsia="Times New Roman" w:hAnsi="Arial" w:cs="Arial"/>
          <w:sz w:val="21"/>
          <w:szCs w:val="21"/>
          <w:lang w:eastAsia="es-ES"/>
        </w:rPr>
      </w:pPr>
      <w:r w:rsidRPr="00BC6C8F">
        <w:rPr>
          <w:rStyle w:val="EnlacedeInternet"/>
          <w:rFonts w:ascii="Arial" w:eastAsia="Times New Roman" w:hAnsi="Arial" w:cs="Arial"/>
          <w:sz w:val="21"/>
          <w:szCs w:val="21"/>
          <w:lang w:eastAsia="es-ES"/>
        </w:rPr>
        <w:t>https://www.cortsvalencianes.es/es/consulta_boc#boc/iniciativa/clau/190347352912692</w:t>
      </w:r>
    </w:p>
    <w:p w14:paraId="1A63BF60" w14:textId="77777777" w:rsidR="00BC6C8F" w:rsidRPr="00BC6C8F" w:rsidRDefault="00BC6C8F" w:rsidP="00153921">
      <w:pPr>
        <w:pStyle w:val="Texto"/>
        <w:rPr>
          <w:rFonts w:ascii="Arial" w:hAnsi="Arial" w:cs="Arial"/>
        </w:rPr>
      </w:pPr>
      <w:r w:rsidRPr="00BC6C8F">
        <w:rPr>
          <w:rFonts w:ascii="Arial" w:hAnsi="Arial" w:cs="Arial"/>
        </w:rPr>
        <w:t>9 de abril</w:t>
      </w:r>
    </w:p>
    <w:p w14:paraId="7FB1984B" w14:textId="77777777" w:rsidR="00BC6C8F" w:rsidRPr="00BC6C8F" w:rsidRDefault="00BC6C8F" w:rsidP="005A3A30">
      <w:pPr>
        <w:tabs>
          <w:tab w:val="left" w:pos="567"/>
        </w:tabs>
        <w:spacing w:after="120" w:line="276" w:lineRule="auto"/>
        <w:ind w:left="567" w:hanging="567"/>
        <w:jc w:val="both"/>
        <w:rPr>
          <w:rFonts w:ascii="Arial" w:eastAsia="Times New Roman" w:hAnsi="Arial" w:cs="Arial"/>
          <w:b/>
          <w:sz w:val="21"/>
          <w:szCs w:val="21"/>
          <w:lang w:eastAsia="es-ES"/>
        </w:rPr>
      </w:pPr>
      <w:r w:rsidRPr="00BC6C8F">
        <w:rPr>
          <w:rFonts w:ascii="Arial" w:eastAsia="Times New Roman" w:hAnsi="Arial" w:cs="Arial"/>
          <w:b/>
          <w:sz w:val="21"/>
          <w:szCs w:val="21"/>
          <w:lang w:eastAsia="es-ES"/>
        </w:rPr>
        <w:t>Convenio de colaboración</w:t>
      </w:r>
    </w:p>
    <w:p w14:paraId="5B2C6DF4" w14:textId="318038D2" w:rsidR="00BC6C8F" w:rsidRPr="005A3A30" w:rsidRDefault="005A3A30" w:rsidP="00E501D4">
      <w:pPr>
        <w:pStyle w:val="Prrafodelista"/>
        <w:numPr>
          <w:ilvl w:val="0"/>
          <w:numId w:val="29"/>
        </w:numPr>
        <w:spacing w:after="120"/>
        <w:ind w:left="714" w:hanging="357"/>
        <w:jc w:val="both"/>
        <w:rPr>
          <w:rFonts w:ascii="Arial" w:hAnsi="Arial" w:cs="Arial"/>
          <w:sz w:val="21"/>
          <w:szCs w:val="21"/>
        </w:rPr>
      </w:pPr>
      <w:r>
        <w:rPr>
          <w:rFonts w:ascii="Arial" w:hAnsi="Arial" w:cs="Arial"/>
          <w:sz w:val="21"/>
          <w:szCs w:val="21"/>
        </w:rPr>
        <w:t>C</w:t>
      </w:r>
      <w:r w:rsidR="00BC6C8F" w:rsidRPr="005A3A30">
        <w:rPr>
          <w:rFonts w:ascii="Arial" w:hAnsi="Arial" w:cs="Arial"/>
          <w:sz w:val="21"/>
          <w:szCs w:val="21"/>
        </w:rPr>
        <w:t>on la FUNDACIÓN CIUDADANA CIVIO, para el desarrollo del proyecto “SceMaps”.</w:t>
      </w:r>
    </w:p>
    <w:p w14:paraId="52831B75" w14:textId="77777777" w:rsidR="00BC6C8F" w:rsidRPr="00BC6C8F" w:rsidRDefault="00BC6C8F" w:rsidP="005A3A30">
      <w:pPr>
        <w:pStyle w:val="Texto"/>
        <w:spacing w:after="120"/>
        <w:rPr>
          <w:rFonts w:ascii="Arial" w:hAnsi="Arial" w:cs="Arial"/>
        </w:rPr>
      </w:pPr>
      <w:r w:rsidRPr="00BC6C8F">
        <w:rPr>
          <w:rStyle w:val="EnlacedeInternet"/>
          <w:rFonts w:ascii="Arial" w:eastAsiaTheme="minorEastAsia" w:hAnsi="Arial" w:cs="Arial"/>
        </w:rPr>
        <w:t>https://www.cortsvalencianes.es/es/consulta_boc#boc/iniciativa/clau/190403339627222</w:t>
      </w:r>
    </w:p>
    <w:p w14:paraId="0AC12DFA" w14:textId="77777777" w:rsidR="00BC6C8F" w:rsidRPr="00BC6C8F" w:rsidRDefault="00BC6C8F" w:rsidP="00153921">
      <w:pPr>
        <w:spacing w:after="240" w:line="276" w:lineRule="auto"/>
        <w:jc w:val="both"/>
        <w:rPr>
          <w:rFonts w:ascii="Arial" w:hAnsi="Arial" w:cs="Arial"/>
          <w:sz w:val="21"/>
          <w:szCs w:val="21"/>
        </w:rPr>
      </w:pPr>
      <w:r w:rsidRPr="00BC6C8F">
        <w:rPr>
          <w:rStyle w:val="EnlacedeInternet"/>
          <w:rFonts w:ascii="Arial" w:hAnsi="Arial" w:cs="Arial"/>
          <w:color w:val="auto"/>
          <w:sz w:val="21"/>
          <w:szCs w:val="21"/>
        </w:rPr>
        <w:t xml:space="preserve">Nota de prensa: </w:t>
      </w:r>
      <w:hyperlink r:id="rId87" w:history="1">
        <w:r w:rsidRPr="00BC6C8F">
          <w:rPr>
            <w:rStyle w:val="Hipervnculo"/>
            <w:rFonts w:ascii="Arial" w:hAnsi="Arial" w:cs="Arial"/>
            <w:sz w:val="21"/>
            <w:szCs w:val="21"/>
          </w:rPr>
          <w:t>https://www.antifraucv.es/la-agencia-valenciana-antifraude-firma-un-convenio-con-la-fundacion-civio-para-el-desarrollo-del-proyecto-scemaps/</w:t>
        </w:r>
      </w:hyperlink>
      <w:r w:rsidRPr="00BC6C8F">
        <w:rPr>
          <w:rFonts w:ascii="Arial" w:hAnsi="Arial" w:cs="Arial"/>
          <w:sz w:val="21"/>
          <w:szCs w:val="21"/>
        </w:rPr>
        <w:t xml:space="preserve">  </w:t>
      </w:r>
    </w:p>
    <w:p w14:paraId="6A01D88F" w14:textId="77777777" w:rsidR="0057607F" w:rsidRDefault="0057607F" w:rsidP="00153921">
      <w:pPr>
        <w:pStyle w:val="Texto"/>
        <w:rPr>
          <w:rFonts w:ascii="Arial" w:hAnsi="Arial" w:cs="Arial"/>
        </w:rPr>
      </w:pPr>
    </w:p>
    <w:p w14:paraId="0F39A5E4" w14:textId="7E7F0578" w:rsidR="00BC6C8F" w:rsidRPr="00BC6C8F" w:rsidRDefault="00BC6C8F" w:rsidP="00153921">
      <w:pPr>
        <w:pStyle w:val="Texto"/>
        <w:rPr>
          <w:rFonts w:ascii="Arial" w:hAnsi="Arial" w:cs="Arial"/>
        </w:rPr>
      </w:pPr>
      <w:r w:rsidRPr="00BC6C8F">
        <w:rPr>
          <w:rFonts w:ascii="Arial" w:hAnsi="Arial" w:cs="Arial"/>
        </w:rPr>
        <w:t>13 de julio</w:t>
      </w:r>
    </w:p>
    <w:p w14:paraId="319DD932" w14:textId="77777777" w:rsidR="00BC6C8F" w:rsidRPr="00BC6C8F" w:rsidRDefault="00BC6C8F" w:rsidP="005A3A30">
      <w:pPr>
        <w:tabs>
          <w:tab w:val="left" w:pos="567"/>
        </w:tabs>
        <w:spacing w:after="120" w:line="276" w:lineRule="auto"/>
        <w:ind w:left="567" w:hanging="567"/>
        <w:jc w:val="both"/>
        <w:rPr>
          <w:rFonts w:ascii="Arial" w:eastAsia="Times New Roman" w:hAnsi="Arial" w:cs="Arial"/>
          <w:b/>
          <w:sz w:val="21"/>
          <w:szCs w:val="21"/>
          <w:lang w:eastAsia="es-ES"/>
        </w:rPr>
      </w:pPr>
      <w:r w:rsidRPr="00BC6C8F">
        <w:rPr>
          <w:rFonts w:ascii="Arial" w:eastAsia="Times New Roman" w:hAnsi="Arial" w:cs="Arial"/>
          <w:b/>
          <w:sz w:val="21"/>
          <w:szCs w:val="21"/>
          <w:lang w:eastAsia="es-ES"/>
        </w:rPr>
        <w:t>Convenio marco de colaboración</w:t>
      </w:r>
    </w:p>
    <w:p w14:paraId="0FA223F1" w14:textId="1B6A5DB7" w:rsidR="00BC6C8F" w:rsidRPr="005A3A30" w:rsidRDefault="005A3A30" w:rsidP="00E501D4">
      <w:pPr>
        <w:pStyle w:val="Prrafodelista"/>
        <w:numPr>
          <w:ilvl w:val="0"/>
          <w:numId w:val="29"/>
        </w:numPr>
        <w:spacing w:after="120"/>
        <w:ind w:left="714" w:hanging="357"/>
        <w:rPr>
          <w:rFonts w:ascii="Arial" w:hAnsi="Arial" w:cs="Arial"/>
          <w:b/>
          <w:sz w:val="21"/>
          <w:szCs w:val="21"/>
        </w:rPr>
      </w:pPr>
      <w:r>
        <w:rPr>
          <w:rFonts w:ascii="Arial" w:hAnsi="Arial" w:cs="Arial"/>
          <w:sz w:val="21"/>
          <w:szCs w:val="21"/>
        </w:rPr>
        <w:t>C</w:t>
      </w:r>
      <w:r w:rsidR="00BC6C8F" w:rsidRPr="005A3A30">
        <w:rPr>
          <w:rFonts w:ascii="Arial" w:hAnsi="Arial" w:cs="Arial"/>
          <w:sz w:val="21"/>
          <w:szCs w:val="21"/>
        </w:rPr>
        <w:t>on la UNIVERSIDAD POLITÉCNICA DE VALENCIA, para la colaboración cultura, educativa y científica</w:t>
      </w:r>
      <w:r w:rsidR="00BC6C8F" w:rsidRPr="005A3A30">
        <w:rPr>
          <w:rFonts w:ascii="Arial" w:hAnsi="Arial" w:cs="Arial"/>
          <w:b/>
          <w:sz w:val="21"/>
          <w:szCs w:val="21"/>
        </w:rPr>
        <w:t>.</w:t>
      </w:r>
    </w:p>
    <w:p w14:paraId="5A4980AF" w14:textId="77777777" w:rsidR="00BC6C8F" w:rsidRPr="00BC6C8F" w:rsidRDefault="00AF48E6" w:rsidP="005A3A30">
      <w:pPr>
        <w:spacing w:after="120" w:line="276" w:lineRule="auto"/>
        <w:jc w:val="both"/>
        <w:rPr>
          <w:rStyle w:val="EnlacedeInternet"/>
          <w:rFonts w:ascii="Arial" w:eastAsia="Times New Roman" w:hAnsi="Arial" w:cs="Arial"/>
          <w:sz w:val="21"/>
          <w:szCs w:val="21"/>
          <w:lang w:eastAsia="es-ES"/>
        </w:rPr>
      </w:pPr>
      <w:hyperlink r:id="rId88" w:anchor="boc/iniciativa/clau/190496337516172" w:history="1">
        <w:r w:rsidR="00BC6C8F" w:rsidRPr="00BC6C8F">
          <w:rPr>
            <w:rStyle w:val="Hipervnculo"/>
            <w:rFonts w:ascii="Arial" w:eastAsia="Times New Roman" w:hAnsi="Arial" w:cs="Arial"/>
            <w:sz w:val="21"/>
            <w:szCs w:val="21"/>
            <w:lang w:eastAsia="es-ES"/>
          </w:rPr>
          <w:t>https://www.cortsvalencianes.es/es/consulta_boc#boc/iniciativa/clau/190496337516172</w:t>
        </w:r>
      </w:hyperlink>
    </w:p>
    <w:p w14:paraId="50DA92E3" w14:textId="77777777" w:rsidR="00BC6C8F" w:rsidRPr="00BC6C8F" w:rsidRDefault="00BC6C8F" w:rsidP="005A3A30">
      <w:pPr>
        <w:spacing w:after="240" w:line="276" w:lineRule="auto"/>
        <w:jc w:val="both"/>
        <w:rPr>
          <w:rFonts w:ascii="Arial" w:hAnsi="Arial" w:cs="Arial"/>
          <w:sz w:val="21"/>
          <w:szCs w:val="21"/>
        </w:rPr>
      </w:pPr>
      <w:r w:rsidRPr="00BC6C8F">
        <w:rPr>
          <w:rStyle w:val="EnlacedeInternet"/>
          <w:rFonts w:ascii="Arial" w:hAnsi="Arial" w:cs="Arial"/>
          <w:color w:val="auto"/>
          <w:sz w:val="21"/>
          <w:szCs w:val="21"/>
        </w:rPr>
        <w:t xml:space="preserve">Nota de prensa: </w:t>
      </w:r>
      <w:hyperlink r:id="rId89" w:history="1">
        <w:r w:rsidRPr="00BC6C8F">
          <w:rPr>
            <w:rStyle w:val="Hipervnculo"/>
            <w:rFonts w:ascii="Arial" w:hAnsi="Arial" w:cs="Arial"/>
            <w:sz w:val="21"/>
            <w:szCs w:val="21"/>
          </w:rPr>
          <w:t>https://www.antifraucv.es/la-upv-y-la-agencia-valenciana-antifraude-impulsan-la-formacion-y-la-investigacion-en-el-ambito-de-la-lucha-contra-el-fraude/</w:t>
        </w:r>
      </w:hyperlink>
      <w:r w:rsidRPr="00BC6C8F">
        <w:rPr>
          <w:rFonts w:ascii="Arial" w:hAnsi="Arial" w:cs="Arial"/>
          <w:sz w:val="21"/>
          <w:szCs w:val="21"/>
        </w:rPr>
        <w:t xml:space="preserve"> </w:t>
      </w:r>
    </w:p>
    <w:p w14:paraId="3A70A7DE" w14:textId="77777777" w:rsidR="00BC6C8F" w:rsidRPr="00BC6C8F" w:rsidRDefault="00BC6C8F" w:rsidP="00153921">
      <w:pPr>
        <w:pStyle w:val="Texto"/>
        <w:rPr>
          <w:rFonts w:ascii="Arial" w:hAnsi="Arial" w:cs="Arial"/>
        </w:rPr>
      </w:pPr>
      <w:r w:rsidRPr="00BC6C8F">
        <w:rPr>
          <w:rFonts w:ascii="Arial" w:hAnsi="Arial" w:cs="Arial"/>
        </w:rPr>
        <w:t>8 de noviembre</w:t>
      </w:r>
    </w:p>
    <w:p w14:paraId="0EE4BB67" w14:textId="77777777" w:rsidR="00BC6C8F" w:rsidRPr="00BC6C8F" w:rsidRDefault="00BC6C8F" w:rsidP="005A3A30">
      <w:pPr>
        <w:tabs>
          <w:tab w:val="left" w:pos="567"/>
        </w:tabs>
        <w:spacing w:after="120" w:line="276" w:lineRule="auto"/>
        <w:ind w:left="567" w:hanging="567"/>
        <w:jc w:val="both"/>
        <w:rPr>
          <w:rFonts w:ascii="Arial" w:eastAsia="Times New Roman" w:hAnsi="Arial" w:cs="Arial"/>
          <w:b/>
          <w:sz w:val="21"/>
          <w:szCs w:val="21"/>
          <w:lang w:eastAsia="es-ES"/>
        </w:rPr>
      </w:pPr>
      <w:r w:rsidRPr="00BC6C8F">
        <w:rPr>
          <w:rFonts w:ascii="Arial" w:eastAsia="Times New Roman" w:hAnsi="Arial" w:cs="Arial"/>
          <w:b/>
          <w:sz w:val="21"/>
          <w:szCs w:val="21"/>
          <w:lang w:eastAsia="es-ES"/>
        </w:rPr>
        <w:t>Convenio de colaboración académica</w:t>
      </w:r>
    </w:p>
    <w:p w14:paraId="77F62A64" w14:textId="32D6121E" w:rsidR="00BC6C8F" w:rsidRPr="005A3A30" w:rsidRDefault="00726DCA" w:rsidP="00E501D4">
      <w:pPr>
        <w:pStyle w:val="Prrafodelista"/>
        <w:numPr>
          <w:ilvl w:val="0"/>
          <w:numId w:val="29"/>
        </w:numPr>
        <w:spacing w:after="120"/>
        <w:ind w:left="714" w:hanging="357"/>
        <w:jc w:val="both"/>
        <w:rPr>
          <w:rFonts w:ascii="Arial" w:hAnsi="Arial" w:cs="Arial"/>
          <w:sz w:val="21"/>
          <w:szCs w:val="21"/>
        </w:rPr>
      </w:pPr>
      <w:r>
        <w:rPr>
          <w:rFonts w:ascii="Arial" w:hAnsi="Arial" w:cs="Arial"/>
          <w:sz w:val="21"/>
          <w:szCs w:val="21"/>
        </w:rPr>
        <w:t>C</w:t>
      </w:r>
      <w:r w:rsidR="00BC6C8F" w:rsidRPr="005A3A30">
        <w:rPr>
          <w:rFonts w:ascii="Arial" w:hAnsi="Arial" w:cs="Arial"/>
          <w:sz w:val="21"/>
          <w:szCs w:val="21"/>
        </w:rPr>
        <w:t>on la UNIVERSIDAD DE SALAMANCA, para la colaboración académica, científica y cultural, así como asistencia mutua entre las partes.</w:t>
      </w:r>
    </w:p>
    <w:p w14:paraId="39C54593" w14:textId="77777777" w:rsidR="00BC6C8F" w:rsidRPr="00BC6C8F" w:rsidRDefault="00BC6C8F" w:rsidP="00726DCA">
      <w:pPr>
        <w:pStyle w:val="Texto"/>
        <w:spacing w:after="120"/>
        <w:rPr>
          <w:rFonts w:ascii="Arial" w:hAnsi="Arial" w:cs="Arial"/>
        </w:rPr>
      </w:pPr>
      <w:r w:rsidRPr="00BC6C8F">
        <w:rPr>
          <w:rStyle w:val="EnlacedeInternet"/>
          <w:rFonts w:ascii="Arial" w:eastAsiaTheme="minorEastAsia" w:hAnsi="Arial" w:cs="Arial"/>
        </w:rPr>
        <w:t>https://www.cortsvalencianes.es/es/consulta_boc#boc/iniciativa/clau/190604323084872</w:t>
      </w:r>
    </w:p>
    <w:p w14:paraId="600AECFF" w14:textId="77777777" w:rsidR="00BC6C8F" w:rsidRPr="00BC6C8F" w:rsidRDefault="00BC6C8F" w:rsidP="00726DCA">
      <w:pPr>
        <w:pStyle w:val="Texto"/>
        <w:spacing w:after="240"/>
        <w:rPr>
          <w:rFonts w:ascii="Arial" w:hAnsi="Arial" w:cs="Arial"/>
        </w:rPr>
      </w:pPr>
      <w:r w:rsidRPr="00BC6C8F">
        <w:rPr>
          <w:rStyle w:val="EnlacedeInternet"/>
          <w:rFonts w:ascii="Arial" w:eastAsiaTheme="minorEastAsia" w:hAnsi="Arial" w:cs="Arial"/>
          <w:color w:val="auto"/>
        </w:rPr>
        <w:t xml:space="preserve">Nota de prensa: </w:t>
      </w:r>
      <w:hyperlink r:id="rId90" w:history="1">
        <w:r w:rsidRPr="00BC6C8F">
          <w:rPr>
            <w:rStyle w:val="Hipervnculo"/>
            <w:rFonts w:ascii="Arial" w:hAnsi="Arial" w:cs="Arial"/>
          </w:rPr>
          <w:t>https://www.antifraucv.es/la-universidad-de-salamanca-y-la-agencia-valenciana-antifraude-firman-un-convenio-de-colaboracion-que-incluye-estancias-de-investigacion-para-estudiantes-de-doctorado/</w:t>
        </w:r>
      </w:hyperlink>
    </w:p>
    <w:p w14:paraId="1E459136" w14:textId="77777777" w:rsidR="00BC6C8F" w:rsidRPr="00BC6C8F" w:rsidRDefault="00BC6C8F" w:rsidP="00153921">
      <w:pPr>
        <w:pStyle w:val="Texto"/>
        <w:rPr>
          <w:rFonts w:ascii="Arial" w:hAnsi="Arial" w:cs="Arial"/>
        </w:rPr>
      </w:pPr>
      <w:r w:rsidRPr="00BC6C8F">
        <w:rPr>
          <w:rFonts w:ascii="Arial" w:hAnsi="Arial" w:cs="Arial"/>
        </w:rPr>
        <w:t>19 de noviembre</w:t>
      </w:r>
    </w:p>
    <w:p w14:paraId="6DE0789D" w14:textId="77777777" w:rsidR="00BC6C8F" w:rsidRPr="00BC6C8F" w:rsidRDefault="00BC6C8F" w:rsidP="00726DCA">
      <w:pPr>
        <w:tabs>
          <w:tab w:val="left" w:pos="567"/>
        </w:tabs>
        <w:spacing w:after="120" w:line="276" w:lineRule="auto"/>
        <w:ind w:left="567" w:hanging="567"/>
        <w:jc w:val="both"/>
        <w:rPr>
          <w:rFonts w:ascii="Arial" w:eastAsia="Times New Roman" w:hAnsi="Arial" w:cs="Arial"/>
          <w:b/>
          <w:sz w:val="21"/>
          <w:szCs w:val="21"/>
          <w:lang w:eastAsia="es-ES"/>
        </w:rPr>
      </w:pPr>
      <w:r w:rsidRPr="00BC6C8F">
        <w:rPr>
          <w:rFonts w:ascii="Arial" w:eastAsia="Times New Roman" w:hAnsi="Arial" w:cs="Arial"/>
          <w:b/>
          <w:sz w:val="21"/>
          <w:szCs w:val="21"/>
          <w:lang w:eastAsia="es-ES"/>
        </w:rPr>
        <w:t xml:space="preserve">Protocolo de colaboración </w:t>
      </w:r>
    </w:p>
    <w:p w14:paraId="5780217C" w14:textId="41DC8520" w:rsidR="00BC6C8F" w:rsidRPr="005A3A30" w:rsidRDefault="00726DCA" w:rsidP="00E501D4">
      <w:pPr>
        <w:pStyle w:val="Prrafodelista"/>
        <w:numPr>
          <w:ilvl w:val="0"/>
          <w:numId w:val="29"/>
        </w:numPr>
        <w:spacing w:after="120"/>
        <w:ind w:left="714" w:hanging="357"/>
        <w:jc w:val="both"/>
        <w:rPr>
          <w:rFonts w:ascii="Arial" w:hAnsi="Arial" w:cs="Arial"/>
          <w:sz w:val="21"/>
          <w:szCs w:val="21"/>
        </w:rPr>
      </w:pPr>
      <w:r>
        <w:rPr>
          <w:rFonts w:ascii="Arial" w:hAnsi="Arial" w:cs="Arial"/>
          <w:sz w:val="21"/>
          <w:szCs w:val="21"/>
        </w:rPr>
        <w:t>C</w:t>
      </w:r>
      <w:r w:rsidR="00BC6C8F" w:rsidRPr="005A3A30">
        <w:rPr>
          <w:rFonts w:ascii="Arial" w:hAnsi="Arial" w:cs="Arial"/>
          <w:sz w:val="21"/>
          <w:szCs w:val="21"/>
        </w:rPr>
        <w:t>on el AYUNTAMIENTO DE VALÈNCIA, para mejorar la coordinación y colaboración de las dos instituciones.</w:t>
      </w:r>
    </w:p>
    <w:p w14:paraId="69917506" w14:textId="77777777" w:rsidR="00BC6C8F" w:rsidRPr="00BC6C8F" w:rsidRDefault="00AF48E6" w:rsidP="00726DCA">
      <w:pPr>
        <w:spacing w:after="120" w:line="276" w:lineRule="auto"/>
        <w:jc w:val="both"/>
        <w:rPr>
          <w:rStyle w:val="EnlacedeInternet"/>
          <w:rFonts w:ascii="Arial" w:eastAsia="Times New Roman" w:hAnsi="Arial" w:cs="Arial"/>
          <w:sz w:val="21"/>
          <w:szCs w:val="21"/>
          <w:lang w:eastAsia="es-ES"/>
        </w:rPr>
      </w:pPr>
      <w:hyperlink r:id="rId91" w:anchor="boc/iniciativa/clau/190628497348262" w:history="1">
        <w:r w:rsidR="00BC6C8F" w:rsidRPr="00BC6C8F">
          <w:rPr>
            <w:rStyle w:val="Hipervnculo"/>
            <w:rFonts w:ascii="Arial" w:eastAsia="Times New Roman" w:hAnsi="Arial" w:cs="Arial"/>
            <w:sz w:val="21"/>
            <w:szCs w:val="21"/>
            <w:lang w:eastAsia="es-ES"/>
          </w:rPr>
          <w:t>https://www.cortsvalencianes.es/es/consulta_boc#boc/iniciativa/clau/190628497348262</w:t>
        </w:r>
      </w:hyperlink>
    </w:p>
    <w:p w14:paraId="0C43655D" w14:textId="77777777" w:rsidR="00BC6C8F" w:rsidRPr="00BC6C8F" w:rsidRDefault="00BC6C8F" w:rsidP="00726DCA">
      <w:pPr>
        <w:spacing w:after="240" w:line="276" w:lineRule="auto"/>
        <w:jc w:val="both"/>
        <w:rPr>
          <w:rStyle w:val="EnlacedeInternet"/>
          <w:rFonts w:ascii="Arial" w:hAnsi="Arial" w:cs="Arial"/>
          <w:sz w:val="21"/>
          <w:szCs w:val="21"/>
        </w:rPr>
      </w:pPr>
      <w:r w:rsidRPr="00BC6C8F">
        <w:rPr>
          <w:rStyle w:val="EnlacedeInternet"/>
          <w:rFonts w:ascii="Arial" w:hAnsi="Arial" w:cs="Arial"/>
          <w:color w:val="auto"/>
          <w:sz w:val="21"/>
          <w:szCs w:val="21"/>
        </w:rPr>
        <w:t xml:space="preserve">Nota de prensa: </w:t>
      </w:r>
      <w:r w:rsidRPr="00BC6C8F">
        <w:rPr>
          <w:rStyle w:val="EnlacedeInternet"/>
          <w:rFonts w:ascii="Arial" w:hAnsi="Arial" w:cs="Arial"/>
          <w:sz w:val="21"/>
          <w:szCs w:val="21"/>
        </w:rPr>
        <w:t>https://www.antifraucv.es/el-ayuntamiento-de-valencia-es-la-primera-institucion-publica-valenciana-que-conectara-su-web-al-buzon-de-denuncias-de-la-agencia-valenciana-antifraude/</w:t>
      </w:r>
    </w:p>
    <w:p w14:paraId="24C4E7C6" w14:textId="77777777" w:rsidR="00BC6C8F" w:rsidRPr="00F76BA2" w:rsidRDefault="00BC6C8F" w:rsidP="00153921">
      <w:pPr>
        <w:pStyle w:val="Texto"/>
        <w:rPr>
          <w:rFonts w:ascii="Arial" w:hAnsi="Arial" w:cs="Arial"/>
        </w:rPr>
      </w:pPr>
      <w:r w:rsidRPr="00F76BA2">
        <w:rPr>
          <w:rFonts w:ascii="Arial" w:hAnsi="Arial" w:cs="Arial"/>
        </w:rPr>
        <w:t>2 de diciembre</w:t>
      </w:r>
    </w:p>
    <w:p w14:paraId="30FC5B0A" w14:textId="77777777" w:rsidR="00BC6C8F" w:rsidRPr="00BC6C8F" w:rsidRDefault="00BC6C8F" w:rsidP="00726DCA">
      <w:pPr>
        <w:tabs>
          <w:tab w:val="left" w:pos="567"/>
        </w:tabs>
        <w:spacing w:after="120" w:line="276" w:lineRule="auto"/>
        <w:ind w:left="567" w:hanging="567"/>
        <w:jc w:val="both"/>
        <w:rPr>
          <w:rFonts w:ascii="Arial" w:eastAsia="Times New Roman" w:hAnsi="Arial" w:cs="Arial"/>
          <w:b/>
          <w:sz w:val="21"/>
          <w:szCs w:val="21"/>
          <w:lang w:eastAsia="es-ES"/>
        </w:rPr>
      </w:pPr>
      <w:r w:rsidRPr="00BC6C8F">
        <w:rPr>
          <w:rFonts w:ascii="Arial" w:eastAsia="Times New Roman" w:hAnsi="Arial" w:cs="Arial"/>
          <w:b/>
          <w:sz w:val="21"/>
          <w:szCs w:val="21"/>
          <w:lang w:eastAsia="es-ES"/>
        </w:rPr>
        <w:t>Protocolo de colaboración</w:t>
      </w:r>
    </w:p>
    <w:p w14:paraId="5C3D6CBE" w14:textId="0DD86CB1" w:rsidR="00BC6C8F" w:rsidRPr="005A3A30" w:rsidRDefault="00726DCA" w:rsidP="00E501D4">
      <w:pPr>
        <w:pStyle w:val="Prrafodelista"/>
        <w:numPr>
          <w:ilvl w:val="0"/>
          <w:numId w:val="29"/>
        </w:numPr>
        <w:spacing w:after="120"/>
        <w:ind w:left="714" w:hanging="357"/>
        <w:jc w:val="both"/>
        <w:rPr>
          <w:rFonts w:ascii="Arial" w:hAnsi="Arial" w:cs="Arial"/>
          <w:sz w:val="21"/>
          <w:szCs w:val="21"/>
        </w:rPr>
      </w:pPr>
      <w:r>
        <w:rPr>
          <w:rFonts w:ascii="Arial" w:hAnsi="Arial" w:cs="Arial"/>
          <w:sz w:val="21"/>
          <w:szCs w:val="21"/>
        </w:rPr>
        <w:t>C</w:t>
      </w:r>
      <w:r w:rsidR="00BC6C8F" w:rsidRPr="005A3A30">
        <w:rPr>
          <w:rFonts w:ascii="Arial" w:hAnsi="Arial" w:cs="Arial"/>
          <w:sz w:val="21"/>
          <w:szCs w:val="21"/>
        </w:rPr>
        <w:t>on la DIPUTACIÓN DE CASTELLÓN, para mejorar la coordinación y colaboración de las dos instituciones.</w:t>
      </w:r>
    </w:p>
    <w:p w14:paraId="3B819442" w14:textId="77777777" w:rsidR="00BC6C8F" w:rsidRPr="00BC6C8F" w:rsidRDefault="00BC6C8F" w:rsidP="00726DCA">
      <w:pPr>
        <w:spacing w:after="120" w:line="276" w:lineRule="auto"/>
        <w:jc w:val="both"/>
        <w:rPr>
          <w:rStyle w:val="EnlacedeInternet"/>
          <w:rFonts w:ascii="Arial" w:hAnsi="Arial" w:cs="Arial"/>
          <w:sz w:val="21"/>
          <w:szCs w:val="21"/>
        </w:rPr>
      </w:pPr>
      <w:r w:rsidRPr="00BC6C8F">
        <w:rPr>
          <w:rStyle w:val="EnlacedeInternet"/>
          <w:rFonts w:ascii="Arial" w:eastAsia="Times New Roman" w:hAnsi="Arial" w:cs="Arial"/>
          <w:sz w:val="21"/>
          <w:szCs w:val="21"/>
          <w:lang w:eastAsia="es-ES"/>
        </w:rPr>
        <w:t>https://www.cortsvalencianes.es/es/consulta_boc#boc/iniciativa/clau/190649311942342</w:t>
      </w:r>
    </w:p>
    <w:p w14:paraId="474AA7FB" w14:textId="75217CA5" w:rsidR="00BC6C8F" w:rsidRPr="00973028" w:rsidRDefault="00BC6C8F" w:rsidP="00726DCA">
      <w:pPr>
        <w:widowControl w:val="0"/>
        <w:suppressAutoHyphens/>
        <w:autoSpaceDN w:val="0"/>
        <w:spacing w:after="240" w:line="276" w:lineRule="auto"/>
        <w:jc w:val="both"/>
        <w:rPr>
          <w:rFonts w:ascii="Arial" w:eastAsia="Calibri" w:hAnsi="Arial" w:cs="Arial"/>
          <w:sz w:val="21"/>
        </w:rPr>
      </w:pPr>
      <w:r w:rsidRPr="00BC6C8F">
        <w:rPr>
          <w:rStyle w:val="EnlacedeInternet"/>
          <w:rFonts w:ascii="Arial" w:hAnsi="Arial" w:cs="Arial"/>
          <w:color w:val="auto"/>
          <w:sz w:val="21"/>
          <w:szCs w:val="21"/>
        </w:rPr>
        <w:t xml:space="preserve">Nota de prensa: </w:t>
      </w:r>
      <w:r w:rsidRPr="00BC6C8F">
        <w:rPr>
          <w:rStyle w:val="EnlacedeInternet"/>
          <w:rFonts w:ascii="Arial" w:hAnsi="Arial" w:cs="Arial"/>
          <w:sz w:val="21"/>
          <w:szCs w:val="21"/>
        </w:rPr>
        <w:t>https://www.antifraucv.es/la-diputacion-de-castellon-y-la-agencia-valenciana-antifraude-firman-un-convenio-de-colaboracion/</w:t>
      </w:r>
    </w:p>
    <w:p w14:paraId="616160AC" w14:textId="6EE33FB0" w:rsidR="00BB4994" w:rsidRPr="00973028" w:rsidRDefault="00FA6182" w:rsidP="00AC1A12">
      <w:pPr>
        <w:pStyle w:val="Prrafodelista"/>
        <w:keepNext/>
        <w:numPr>
          <w:ilvl w:val="2"/>
          <w:numId w:val="15"/>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5" w:name="_Toc99106968"/>
      <w:r>
        <w:rPr>
          <w:rFonts w:ascii="Arial" w:eastAsia="Times New Roman" w:hAnsi="Arial" w:cs="Arial"/>
          <w:b/>
          <w:color w:val="9D2235"/>
          <w:sz w:val="28"/>
          <w:szCs w:val="28"/>
        </w:rPr>
        <w:t>Socios Europeos contra la Corrupción (EPAC) y la Red Europea de Puntos de Contacto contra la Corrupción (EAPCN)</w:t>
      </w:r>
      <w:bookmarkEnd w:id="25"/>
    </w:p>
    <w:p w14:paraId="34D49AF3" w14:textId="116FF184" w:rsidR="00F76BA2" w:rsidRPr="00F76BA2" w:rsidRDefault="00F76BA2" w:rsidP="00F76BA2">
      <w:pPr>
        <w:spacing w:after="240" w:line="276" w:lineRule="auto"/>
        <w:jc w:val="both"/>
        <w:rPr>
          <w:rFonts w:ascii="Arial" w:hAnsi="Arial" w:cs="Arial"/>
          <w:sz w:val="21"/>
          <w:szCs w:val="21"/>
        </w:rPr>
      </w:pPr>
      <w:r w:rsidRPr="00F76BA2">
        <w:rPr>
          <w:rFonts w:ascii="Arial" w:eastAsia="Times New Roman" w:hAnsi="Arial" w:cs="Arial"/>
          <w:color w:val="000000"/>
          <w:sz w:val="21"/>
          <w:szCs w:val="21"/>
          <w:lang w:eastAsia="es-ES"/>
        </w:rPr>
        <w:t xml:space="preserve">Desde 2018, la Agencia es miembro de la </w:t>
      </w:r>
      <w:r w:rsidRPr="00F76BA2">
        <w:rPr>
          <w:rFonts w:ascii="Arial" w:hAnsi="Arial" w:cs="Arial"/>
          <w:sz w:val="21"/>
          <w:szCs w:val="21"/>
        </w:rPr>
        <w:t xml:space="preserve">EPAC / EACN </w:t>
      </w:r>
      <w:r w:rsidRPr="00F76BA2">
        <w:rPr>
          <w:rStyle w:val="EnlacedeInternet"/>
          <w:rFonts w:ascii="Arial" w:eastAsia="Times New Roman" w:hAnsi="Arial" w:cs="Arial"/>
          <w:sz w:val="21"/>
          <w:szCs w:val="21"/>
          <w:lang w:eastAsia="es-ES"/>
        </w:rPr>
        <w:t>https://www.epac-eacn.org/,</w:t>
      </w:r>
      <w:r w:rsidRPr="00F76BA2">
        <w:rPr>
          <w:rFonts w:ascii="Arial" w:eastAsia="Times New Roman" w:hAnsi="Arial" w:cs="Arial"/>
          <w:color w:val="000000"/>
          <w:sz w:val="21"/>
          <w:szCs w:val="21"/>
          <w:lang w:eastAsia="es-ES"/>
        </w:rPr>
        <w:t xml:space="preserve"> Red europea de agencias de lucha contra el fraude y la corrupción (EPAC </w:t>
      </w:r>
      <w:r w:rsidRPr="00F76BA2">
        <w:rPr>
          <w:rFonts w:ascii="Arial" w:eastAsia="Times New Roman" w:hAnsi="Arial" w:cs="Arial"/>
          <w:i/>
          <w:iCs/>
          <w:color w:val="000000"/>
          <w:sz w:val="21"/>
          <w:szCs w:val="21"/>
          <w:lang w:eastAsia="es-ES"/>
        </w:rPr>
        <w:t>The European Partners against Corruption</w:t>
      </w:r>
      <w:r w:rsidRPr="00F76BA2">
        <w:rPr>
          <w:rFonts w:ascii="Arial" w:eastAsia="Times New Roman" w:hAnsi="Arial" w:cs="Arial"/>
          <w:color w:val="000000"/>
          <w:sz w:val="21"/>
          <w:szCs w:val="21"/>
          <w:lang w:eastAsia="es-ES"/>
        </w:rPr>
        <w:t xml:space="preserve">, Socios europeos contra la corrupción - EACN </w:t>
      </w:r>
      <w:r w:rsidRPr="00F76BA2">
        <w:rPr>
          <w:rFonts w:ascii="Arial" w:eastAsia="Times New Roman" w:hAnsi="Arial" w:cs="Arial"/>
          <w:i/>
          <w:iCs/>
          <w:color w:val="000000"/>
          <w:sz w:val="21"/>
          <w:szCs w:val="21"/>
          <w:lang w:eastAsia="es-ES"/>
        </w:rPr>
        <w:t>European contact-point network against corruption</w:t>
      </w:r>
      <w:r w:rsidRPr="00F76BA2">
        <w:rPr>
          <w:rFonts w:ascii="Arial" w:eastAsia="Times New Roman" w:hAnsi="Arial" w:cs="Arial"/>
          <w:color w:val="000000"/>
          <w:sz w:val="21"/>
          <w:szCs w:val="21"/>
          <w:lang w:eastAsia="es-ES"/>
        </w:rPr>
        <w:t>, Red europea de puntos de contacto contra la corrupción). Esta organización supranacional</w:t>
      </w:r>
      <w:r w:rsidR="00036E52">
        <w:rPr>
          <w:rFonts w:ascii="Arial" w:eastAsia="Times New Roman" w:hAnsi="Arial" w:cs="Arial"/>
          <w:color w:val="000000"/>
          <w:sz w:val="21"/>
          <w:szCs w:val="21"/>
          <w:lang w:eastAsia="es-ES"/>
        </w:rPr>
        <w:t>,</w:t>
      </w:r>
      <w:r w:rsidRPr="00F76BA2">
        <w:rPr>
          <w:rFonts w:ascii="Arial" w:eastAsia="Times New Roman" w:hAnsi="Arial" w:cs="Arial"/>
          <w:color w:val="000000"/>
          <w:sz w:val="21"/>
          <w:szCs w:val="21"/>
          <w:lang w:eastAsia="es-ES"/>
        </w:rPr>
        <w:t xml:space="preserve"> integra más de 60 autoridades anticorrupción y órganos de supervisión policial del Consejo de Europa</w:t>
      </w:r>
      <w:r w:rsidR="00036E52">
        <w:rPr>
          <w:rFonts w:ascii="Arial" w:eastAsia="Times New Roman" w:hAnsi="Arial" w:cs="Arial"/>
          <w:color w:val="000000"/>
          <w:sz w:val="21"/>
          <w:szCs w:val="21"/>
          <w:lang w:eastAsia="es-ES"/>
        </w:rPr>
        <w:t>,</w:t>
      </w:r>
      <w:r w:rsidRPr="00F76BA2">
        <w:rPr>
          <w:rFonts w:ascii="Arial" w:eastAsia="Times New Roman" w:hAnsi="Arial" w:cs="Arial"/>
          <w:color w:val="000000"/>
          <w:sz w:val="21"/>
          <w:szCs w:val="21"/>
          <w:lang w:eastAsia="es-ES"/>
        </w:rPr>
        <w:t xml:space="preserve"> y cerca de 50 autoridades anticorrupción de los </w:t>
      </w:r>
      <w:r w:rsidR="009D670D">
        <w:rPr>
          <w:rFonts w:ascii="Arial" w:eastAsia="Times New Roman" w:hAnsi="Arial" w:cs="Arial"/>
          <w:color w:val="000000"/>
          <w:sz w:val="21"/>
          <w:szCs w:val="21"/>
          <w:lang w:eastAsia="es-ES"/>
        </w:rPr>
        <w:t>E</w:t>
      </w:r>
      <w:r w:rsidRPr="00F76BA2">
        <w:rPr>
          <w:rFonts w:ascii="Arial" w:eastAsia="Times New Roman" w:hAnsi="Arial" w:cs="Arial"/>
          <w:color w:val="000000"/>
          <w:sz w:val="21"/>
          <w:szCs w:val="21"/>
          <w:lang w:eastAsia="es-ES"/>
        </w:rPr>
        <w:t>stados miembros de la Unión Europea.</w:t>
      </w:r>
    </w:p>
    <w:p w14:paraId="20386AE5" w14:textId="0E90FDA4" w:rsidR="00F76BA2" w:rsidRPr="00F76BA2" w:rsidRDefault="00F76BA2" w:rsidP="00F76BA2">
      <w:pPr>
        <w:spacing w:after="240" w:line="276" w:lineRule="auto"/>
        <w:jc w:val="both"/>
        <w:rPr>
          <w:rFonts w:ascii="Arial" w:eastAsia="Times New Roman" w:hAnsi="Arial" w:cs="Arial"/>
          <w:color w:val="000000"/>
          <w:sz w:val="21"/>
          <w:szCs w:val="21"/>
          <w:lang w:eastAsia="es-ES"/>
        </w:rPr>
      </w:pPr>
      <w:r w:rsidRPr="00F76BA2">
        <w:rPr>
          <w:rFonts w:ascii="Arial" w:eastAsia="Times New Roman" w:hAnsi="Arial" w:cs="Arial"/>
          <w:color w:val="000000"/>
          <w:sz w:val="21"/>
          <w:szCs w:val="21"/>
          <w:lang w:eastAsia="es-ES"/>
        </w:rPr>
        <w:t>En 2019, la Agencia colaboró con el Grupo de Trabajo “EU-Integridad”</w:t>
      </w:r>
      <w:r w:rsidR="009D670D">
        <w:rPr>
          <w:rFonts w:ascii="Arial" w:eastAsia="Times New Roman" w:hAnsi="Arial" w:cs="Arial"/>
          <w:color w:val="000000"/>
          <w:sz w:val="21"/>
          <w:szCs w:val="21"/>
          <w:lang w:eastAsia="es-ES"/>
        </w:rPr>
        <w:t>,</w:t>
      </w:r>
      <w:r w:rsidRPr="00F76BA2">
        <w:rPr>
          <w:rFonts w:ascii="Arial" w:eastAsia="Times New Roman" w:hAnsi="Arial" w:cs="Arial"/>
          <w:color w:val="000000"/>
          <w:sz w:val="21"/>
          <w:szCs w:val="21"/>
          <w:lang w:eastAsia="es-ES"/>
        </w:rPr>
        <w:t xml:space="preserve"> creado en la 18ª Asamblea General EPAC / ENAC </w:t>
      </w:r>
      <w:hyperlink r:id="rId92" w:history="1">
        <w:r w:rsidRPr="00F76BA2">
          <w:rPr>
            <w:rStyle w:val="Hipervnculo"/>
            <w:rFonts w:ascii="Arial" w:eastAsia="Times New Roman" w:hAnsi="Arial" w:cs="Arial"/>
            <w:sz w:val="21"/>
            <w:szCs w:val="21"/>
            <w:lang w:eastAsia="es-ES"/>
          </w:rPr>
          <w:t>https://www.epac-eacn.org/latest-news/259-18th-epac-eacn-conference</w:t>
        </w:r>
      </w:hyperlink>
      <w:r w:rsidRPr="00F76BA2">
        <w:rPr>
          <w:rFonts w:ascii="Arial" w:eastAsia="Times New Roman" w:hAnsi="Arial" w:cs="Arial"/>
          <w:color w:val="000000"/>
          <w:sz w:val="21"/>
          <w:szCs w:val="21"/>
          <w:lang w:eastAsia="es-ES"/>
        </w:rPr>
        <w:t xml:space="preserve"> (celebrada el 24 de octubre de 2018 en Rust, Austria).</w:t>
      </w:r>
    </w:p>
    <w:p w14:paraId="01541DC9" w14:textId="3F9C74F3" w:rsidR="00F76BA2" w:rsidRPr="00F76BA2" w:rsidRDefault="00F76BA2" w:rsidP="00F76BA2">
      <w:pPr>
        <w:spacing w:after="240" w:line="276" w:lineRule="auto"/>
        <w:jc w:val="both"/>
        <w:rPr>
          <w:rFonts w:ascii="Arial" w:hAnsi="Arial" w:cs="Arial"/>
          <w:sz w:val="21"/>
          <w:szCs w:val="21"/>
        </w:rPr>
      </w:pPr>
      <w:r w:rsidRPr="00F76BA2">
        <w:rPr>
          <w:rFonts w:ascii="Arial" w:eastAsia="Times New Roman" w:hAnsi="Arial" w:cs="Arial"/>
          <w:color w:val="000000"/>
          <w:sz w:val="21"/>
          <w:szCs w:val="21"/>
          <w:lang w:eastAsia="es-ES"/>
        </w:rPr>
        <w:t>Desafortunadamente, en 2020 todas</w:t>
      </w:r>
      <w:r w:rsidR="009D670D">
        <w:rPr>
          <w:rFonts w:ascii="Arial" w:eastAsia="Times New Roman" w:hAnsi="Arial" w:cs="Arial"/>
          <w:color w:val="000000"/>
          <w:sz w:val="21"/>
          <w:szCs w:val="21"/>
          <w:lang w:eastAsia="es-ES"/>
        </w:rPr>
        <w:t xml:space="preserve"> las</w:t>
      </w:r>
      <w:r w:rsidRPr="00F76BA2">
        <w:rPr>
          <w:rFonts w:ascii="Arial" w:eastAsia="Times New Roman" w:hAnsi="Arial" w:cs="Arial"/>
          <w:color w:val="000000"/>
          <w:sz w:val="21"/>
          <w:szCs w:val="21"/>
          <w:lang w:eastAsia="es-ES"/>
        </w:rPr>
        <w:t xml:space="preserve"> reuniones se vieron pospuestas debido a la situación de emergencia sanitaria, incluyendo la </w:t>
      </w:r>
      <w:r w:rsidRPr="00F76BA2">
        <w:rPr>
          <w:rFonts w:ascii="Arial" w:hAnsi="Arial" w:cs="Arial"/>
          <w:sz w:val="21"/>
          <w:szCs w:val="21"/>
        </w:rPr>
        <w:t>20ª EPAC/EACN Conferencia Profesional anual y Asamblea General, que debía de haberse celebrado en Vílnius, Lituania, del 1 al 3 de diciembre de 2020.</w:t>
      </w:r>
    </w:p>
    <w:p w14:paraId="1AC9DA45" w14:textId="77777777" w:rsidR="00F76BA2" w:rsidRPr="00F76BA2" w:rsidRDefault="00F76BA2" w:rsidP="00F76BA2">
      <w:pPr>
        <w:spacing w:after="240" w:line="276" w:lineRule="auto"/>
        <w:jc w:val="both"/>
        <w:rPr>
          <w:rFonts w:ascii="Arial" w:hAnsi="Arial" w:cs="Arial"/>
          <w:sz w:val="21"/>
          <w:szCs w:val="21"/>
        </w:rPr>
      </w:pPr>
      <w:r w:rsidRPr="00F76BA2">
        <w:rPr>
          <w:rFonts w:ascii="Arial" w:hAnsi="Arial" w:cs="Arial"/>
          <w:sz w:val="21"/>
          <w:szCs w:val="21"/>
        </w:rPr>
        <w:t xml:space="preserve">Con la mejora de la situación sanitaria, pudo celebrarse esta 20ª edición de la Conferencia y Asamblea, los días 1 y 2 de diciembre de 2021, bajo el lema “Repensar la lucha contra la corrupción y la supervisión policial”. </w:t>
      </w:r>
    </w:p>
    <w:p w14:paraId="16F52DDC" w14:textId="19DBAD59" w:rsidR="00F76BA2" w:rsidRPr="00F76BA2" w:rsidRDefault="00F76BA2" w:rsidP="00F76BA2">
      <w:pPr>
        <w:spacing w:after="240" w:line="276" w:lineRule="auto"/>
        <w:jc w:val="both"/>
        <w:rPr>
          <w:rFonts w:ascii="Arial" w:hAnsi="Arial" w:cs="Arial"/>
          <w:sz w:val="21"/>
          <w:szCs w:val="21"/>
        </w:rPr>
      </w:pPr>
      <w:r w:rsidRPr="00F76BA2">
        <w:rPr>
          <w:rFonts w:ascii="Arial" w:hAnsi="Arial" w:cs="Arial"/>
          <w:sz w:val="21"/>
          <w:szCs w:val="21"/>
        </w:rPr>
        <w:t>Esta edición, tal y como estaba previsto para el año 2020, fue organizada por el Servicio de Investigación Especial de la República de Lituania y se celebró físicamente en Vílnius</w:t>
      </w:r>
      <w:r w:rsidR="00183A63">
        <w:rPr>
          <w:rFonts w:ascii="Arial" w:hAnsi="Arial" w:cs="Arial"/>
          <w:sz w:val="21"/>
          <w:szCs w:val="21"/>
        </w:rPr>
        <w:t>,</w:t>
      </w:r>
      <w:r w:rsidRPr="00F76BA2">
        <w:rPr>
          <w:rFonts w:ascii="Arial" w:hAnsi="Arial" w:cs="Arial"/>
          <w:sz w:val="21"/>
          <w:szCs w:val="21"/>
        </w:rPr>
        <w:t xml:space="preserve"> pero también se organizó de manera virtual para que pudieran asistir el mayor número de representantes. La Agencia estuvo representada por dos personas.</w:t>
      </w:r>
    </w:p>
    <w:p w14:paraId="5E052C45" w14:textId="4A90D75B" w:rsidR="00F76BA2" w:rsidRPr="00F76BA2" w:rsidRDefault="00F76BA2" w:rsidP="00F76BA2">
      <w:pPr>
        <w:spacing w:after="240" w:line="276" w:lineRule="auto"/>
        <w:jc w:val="both"/>
        <w:rPr>
          <w:rFonts w:ascii="Arial" w:hAnsi="Arial" w:cs="Arial"/>
          <w:sz w:val="21"/>
          <w:szCs w:val="21"/>
        </w:rPr>
      </w:pPr>
      <w:r w:rsidRPr="00F76BA2">
        <w:rPr>
          <w:rFonts w:ascii="Arial" w:hAnsi="Arial" w:cs="Arial"/>
          <w:sz w:val="21"/>
          <w:szCs w:val="21"/>
        </w:rPr>
        <w:t xml:space="preserve">Este encuentro, que marca el 20° aniversario de la EPAC, sirvió como escenario para discutir lo que se ha hecho en estos 20 años de vida de la organización y para buscar nuevos caminos en los campos de anticorrupción y control policial. Se trataron temas relacionados con el </w:t>
      </w:r>
      <w:r w:rsidR="00D17D41">
        <w:rPr>
          <w:rFonts w:ascii="Arial" w:hAnsi="Arial" w:cs="Arial"/>
          <w:sz w:val="21"/>
          <w:szCs w:val="21"/>
        </w:rPr>
        <w:t>E</w:t>
      </w:r>
      <w:r w:rsidRPr="00F76BA2">
        <w:rPr>
          <w:rFonts w:ascii="Arial" w:hAnsi="Arial" w:cs="Arial"/>
          <w:sz w:val="21"/>
          <w:szCs w:val="21"/>
        </w:rPr>
        <w:t>stado de derecho, anticorrupción, independencia de las agencias autónomas, acceso a la información y similares.</w:t>
      </w:r>
    </w:p>
    <w:p w14:paraId="493302CE" w14:textId="77777777" w:rsidR="00FC73D2" w:rsidRDefault="00F76BA2" w:rsidP="00FC73D2">
      <w:pPr>
        <w:spacing w:after="0" w:line="276" w:lineRule="auto"/>
        <w:jc w:val="both"/>
        <w:rPr>
          <w:rFonts w:ascii="Arial" w:eastAsia="Times New Roman" w:hAnsi="Arial" w:cs="Arial"/>
          <w:color w:val="000000"/>
          <w:sz w:val="21"/>
          <w:szCs w:val="21"/>
          <w:lang w:eastAsia="es-ES"/>
        </w:rPr>
      </w:pPr>
      <w:r w:rsidRPr="00F76BA2">
        <w:rPr>
          <w:rFonts w:ascii="Arial" w:hAnsi="Arial" w:cs="Arial"/>
          <w:sz w:val="21"/>
          <w:szCs w:val="21"/>
        </w:rPr>
        <w:t xml:space="preserve">Aprovechando el marco de la conferencia, se presentó el manual realizado por el grupo de trabajo constituido en la 18º Asamblea, </w:t>
      </w:r>
      <w:r w:rsidRPr="00F76BA2">
        <w:rPr>
          <w:rFonts w:ascii="Arial" w:eastAsia="Times New Roman" w:hAnsi="Arial" w:cs="Arial"/>
          <w:color w:val="000000"/>
          <w:sz w:val="21"/>
          <w:szCs w:val="21"/>
          <w:lang w:eastAsia="es-ES"/>
        </w:rPr>
        <w:t>“EU-Integridad”</w:t>
      </w:r>
      <w:r w:rsidR="00FC73D2">
        <w:rPr>
          <w:rFonts w:ascii="Arial" w:eastAsia="Times New Roman" w:hAnsi="Arial" w:cs="Arial"/>
          <w:color w:val="000000"/>
          <w:sz w:val="21"/>
          <w:szCs w:val="21"/>
          <w:lang w:eastAsia="es-ES"/>
        </w:rPr>
        <w:t>,</w:t>
      </w:r>
      <w:r w:rsidRPr="00F76BA2">
        <w:rPr>
          <w:rFonts w:ascii="Arial" w:eastAsia="Times New Roman" w:hAnsi="Arial" w:cs="Arial"/>
          <w:color w:val="000000"/>
          <w:sz w:val="21"/>
          <w:szCs w:val="21"/>
          <w:lang w:eastAsia="es-ES"/>
        </w:rPr>
        <w:t xml:space="preserve"> que pueden consultar en este enlace</w:t>
      </w:r>
      <w:r w:rsidR="00FC73D2">
        <w:rPr>
          <w:rFonts w:ascii="Arial" w:eastAsia="Times New Roman" w:hAnsi="Arial" w:cs="Arial"/>
          <w:color w:val="000000"/>
          <w:sz w:val="21"/>
          <w:szCs w:val="21"/>
          <w:lang w:eastAsia="es-ES"/>
        </w:rPr>
        <w:t>:</w:t>
      </w:r>
    </w:p>
    <w:p w14:paraId="5AF9F572" w14:textId="23F6AC0C" w:rsidR="00F76BA2" w:rsidRPr="00F76BA2" w:rsidRDefault="00F76BA2" w:rsidP="00F76BA2">
      <w:pPr>
        <w:spacing w:after="240" w:line="276" w:lineRule="auto"/>
        <w:jc w:val="both"/>
        <w:rPr>
          <w:rFonts w:ascii="Arial" w:hAnsi="Arial" w:cs="Arial"/>
          <w:sz w:val="21"/>
          <w:szCs w:val="21"/>
        </w:rPr>
      </w:pPr>
      <w:r w:rsidRPr="00F76BA2">
        <w:rPr>
          <w:rFonts w:ascii="Arial" w:eastAsia="Times New Roman" w:hAnsi="Arial" w:cs="Arial"/>
          <w:color w:val="000000"/>
          <w:sz w:val="21"/>
          <w:szCs w:val="21"/>
          <w:lang w:eastAsia="es-ES"/>
        </w:rPr>
        <w:t xml:space="preserve"> </w:t>
      </w:r>
      <w:hyperlink r:id="rId93" w:history="1">
        <w:r w:rsidRPr="00F76BA2">
          <w:rPr>
            <w:rStyle w:val="Hipervnculo"/>
            <w:rFonts w:ascii="Arial" w:eastAsia="Times New Roman" w:hAnsi="Arial" w:cs="Arial"/>
            <w:sz w:val="21"/>
            <w:szCs w:val="21"/>
            <w:lang w:eastAsia="es-ES"/>
          </w:rPr>
          <w:t>https://www.epac-eacn.org/fileadmin/Documents/EPAC_EACN_EU_Integrity_Manual.pdf</w:t>
        </w:r>
      </w:hyperlink>
      <w:r w:rsidRPr="00F76BA2">
        <w:rPr>
          <w:rFonts w:ascii="Arial" w:eastAsia="Times New Roman" w:hAnsi="Arial" w:cs="Arial"/>
          <w:color w:val="000000"/>
          <w:sz w:val="21"/>
          <w:szCs w:val="21"/>
          <w:lang w:eastAsia="es-ES"/>
        </w:rPr>
        <w:t xml:space="preserve">. </w:t>
      </w:r>
    </w:p>
    <w:p w14:paraId="06500D2F" w14:textId="77777777" w:rsidR="00FC73D2" w:rsidRDefault="00F76BA2" w:rsidP="00FC73D2">
      <w:pPr>
        <w:widowControl w:val="0"/>
        <w:suppressAutoHyphens/>
        <w:autoSpaceDN w:val="0"/>
        <w:spacing w:after="0" w:line="276" w:lineRule="auto"/>
        <w:jc w:val="both"/>
        <w:rPr>
          <w:rFonts w:ascii="Arial" w:hAnsi="Arial" w:cs="Arial"/>
          <w:sz w:val="21"/>
          <w:szCs w:val="21"/>
        </w:rPr>
      </w:pPr>
      <w:r w:rsidRPr="00F76BA2">
        <w:rPr>
          <w:rFonts w:ascii="Arial" w:hAnsi="Arial" w:cs="Arial"/>
          <w:sz w:val="21"/>
          <w:szCs w:val="21"/>
        </w:rPr>
        <w:t>También se aprobó una declaración institucional, llamada “Declaración de Vílnius 2021”, a la que la Agencia dio difusión en su ámbito y que pueden consultar aquí</w:t>
      </w:r>
      <w:r w:rsidR="00FC73D2">
        <w:rPr>
          <w:rFonts w:ascii="Arial" w:hAnsi="Arial" w:cs="Arial"/>
          <w:sz w:val="21"/>
          <w:szCs w:val="21"/>
        </w:rPr>
        <w:t>:</w:t>
      </w:r>
    </w:p>
    <w:p w14:paraId="5284AC8F" w14:textId="70B3B889" w:rsidR="00BB4994" w:rsidRPr="00FC73D2" w:rsidRDefault="00AF48E6" w:rsidP="00FC73D2">
      <w:pPr>
        <w:widowControl w:val="0"/>
        <w:suppressAutoHyphens/>
        <w:autoSpaceDN w:val="0"/>
        <w:spacing w:after="0" w:line="276" w:lineRule="auto"/>
        <w:jc w:val="both"/>
        <w:rPr>
          <w:rFonts w:ascii="Arial" w:eastAsia="Calibri" w:hAnsi="Arial" w:cs="Arial"/>
          <w:sz w:val="19"/>
          <w:szCs w:val="19"/>
        </w:rPr>
      </w:pPr>
      <w:hyperlink r:id="rId94" w:history="1">
        <w:r w:rsidR="00FC73D2" w:rsidRPr="00FC73D2">
          <w:rPr>
            <w:rStyle w:val="Hipervnculo"/>
            <w:rFonts w:ascii="Arial" w:hAnsi="Arial" w:cs="Arial"/>
            <w:sz w:val="19"/>
            <w:szCs w:val="19"/>
          </w:rPr>
          <w:t>https://www.antifraucv.es/wp-content/uploads/2021/12/2021_EPAC_declaracion_vilnius_EN_CS.pdf</w:t>
        </w:r>
      </w:hyperlink>
    </w:p>
    <w:p w14:paraId="46DCBAA6" w14:textId="2AE2D0A5" w:rsidR="00BB4994" w:rsidRPr="00973028" w:rsidRDefault="00CD3862" w:rsidP="00AC1A12">
      <w:pPr>
        <w:pStyle w:val="Prrafodelista"/>
        <w:keepNext/>
        <w:numPr>
          <w:ilvl w:val="2"/>
          <w:numId w:val="15"/>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26" w:name="_Toc99106969"/>
      <w:r>
        <w:rPr>
          <w:rFonts w:ascii="Arial" w:eastAsia="Times New Roman" w:hAnsi="Arial" w:cs="Arial"/>
          <w:b/>
          <w:color w:val="9D2235"/>
          <w:sz w:val="28"/>
          <w:szCs w:val="28"/>
        </w:rPr>
        <w:t xml:space="preserve">Red de Autoridades Europeas de Integridad y Alertadores </w:t>
      </w:r>
      <w:r w:rsidR="00FC73D2">
        <w:rPr>
          <w:rFonts w:ascii="Arial" w:eastAsia="Times New Roman" w:hAnsi="Arial" w:cs="Arial"/>
          <w:b/>
          <w:color w:val="9D2235"/>
          <w:sz w:val="28"/>
          <w:szCs w:val="28"/>
        </w:rPr>
        <w:t>(</w:t>
      </w:r>
      <w:r>
        <w:rPr>
          <w:rFonts w:ascii="Arial" w:eastAsia="Times New Roman" w:hAnsi="Arial" w:cs="Arial"/>
          <w:b/>
          <w:color w:val="9D2235"/>
          <w:sz w:val="28"/>
          <w:szCs w:val="28"/>
        </w:rPr>
        <w:t>NEIWA</w:t>
      </w:r>
      <w:r w:rsidR="00FC73D2">
        <w:rPr>
          <w:rFonts w:ascii="Arial" w:eastAsia="Times New Roman" w:hAnsi="Arial" w:cs="Arial"/>
          <w:b/>
          <w:color w:val="9D2235"/>
          <w:sz w:val="28"/>
          <w:szCs w:val="28"/>
        </w:rPr>
        <w:t>)</w:t>
      </w:r>
      <w:bookmarkEnd w:id="26"/>
    </w:p>
    <w:p w14:paraId="016C8335" w14:textId="31A29E7E" w:rsidR="004D4DD4" w:rsidRPr="004D4DD4" w:rsidRDefault="004D4DD4" w:rsidP="004D4DD4">
      <w:pPr>
        <w:spacing w:after="240" w:line="276" w:lineRule="auto"/>
        <w:jc w:val="both"/>
        <w:rPr>
          <w:rFonts w:ascii="Arial" w:hAnsi="Arial" w:cs="Arial"/>
          <w:sz w:val="21"/>
          <w:szCs w:val="21"/>
        </w:rPr>
      </w:pPr>
      <w:r w:rsidRPr="004D4DD4">
        <w:rPr>
          <w:rFonts w:ascii="Arial" w:eastAsia="Times New Roman" w:hAnsi="Arial" w:cs="Arial"/>
          <w:color w:val="000000"/>
          <w:sz w:val="21"/>
          <w:szCs w:val="21"/>
          <w:lang w:eastAsia="es-ES"/>
        </w:rPr>
        <w:t>El 2019, la Unión Europea adoptó la Directiva sobre protección de las personas alertadoras de las infracciones del derecho de la Unión (</w:t>
      </w:r>
      <w:r w:rsidRPr="004D4DD4">
        <w:rPr>
          <w:rFonts w:ascii="Arial" w:eastAsia="Times New Roman" w:hAnsi="Arial" w:cs="Arial"/>
          <w:i/>
          <w:color w:val="000000"/>
          <w:sz w:val="21"/>
          <w:szCs w:val="21"/>
          <w:lang w:eastAsia="es-ES"/>
        </w:rPr>
        <w:t>DIRECTIVA (UE) 2019/1937 DEL PARLAMENTO EUROPEO Y DEL CONSEJO de 23 de octubre de 2019 relativa a la protección de las personas que informen sobre infracciones del Derecho de la Unión</w:t>
      </w:r>
      <w:r w:rsidRPr="004D4DD4">
        <w:rPr>
          <w:rFonts w:ascii="Arial" w:eastAsia="Times New Roman" w:hAnsi="Arial" w:cs="Arial"/>
          <w:color w:val="000000"/>
          <w:sz w:val="21"/>
          <w:szCs w:val="21"/>
          <w:lang w:eastAsia="es-ES"/>
        </w:rPr>
        <w:t xml:space="preserve">). </w:t>
      </w:r>
    </w:p>
    <w:p w14:paraId="7732A5E7" w14:textId="462BABDB" w:rsidR="004D4DD4" w:rsidRPr="004D4DD4" w:rsidRDefault="004D4DD4" w:rsidP="004D4DD4">
      <w:pPr>
        <w:spacing w:after="240" w:line="276" w:lineRule="auto"/>
        <w:jc w:val="both"/>
        <w:rPr>
          <w:rFonts w:ascii="Arial" w:hAnsi="Arial" w:cs="Arial"/>
          <w:sz w:val="21"/>
          <w:szCs w:val="21"/>
        </w:rPr>
      </w:pPr>
      <w:r w:rsidRPr="004D4DD4">
        <w:rPr>
          <w:rFonts w:ascii="Arial" w:eastAsia="Times New Roman" w:hAnsi="Arial" w:cs="Arial"/>
          <w:color w:val="000000"/>
          <w:sz w:val="21"/>
          <w:szCs w:val="21"/>
          <w:lang w:eastAsia="es-ES"/>
        </w:rPr>
        <w:t xml:space="preserve">La Red de Autoridades </w:t>
      </w:r>
      <w:r w:rsidR="00FC73D2">
        <w:rPr>
          <w:rFonts w:ascii="Arial" w:eastAsia="Times New Roman" w:hAnsi="Arial" w:cs="Arial"/>
          <w:color w:val="000000"/>
          <w:sz w:val="21"/>
          <w:szCs w:val="21"/>
          <w:lang w:eastAsia="es-ES"/>
        </w:rPr>
        <w:t xml:space="preserve">Europeas </w:t>
      </w:r>
      <w:r w:rsidRPr="004D4DD4">
        <w:rPr>
          <w:rFonts w:ascii="Arial" w:eastAsia="Times New Roman" w:hAnsi="Arial" w:cs="Arial"/>
          <w:color w:val="000000"/>
          <w:sz w:val="21"/>
          <w:szCs w:val="21"/>
          <w:lang w:eastAsia="es-ES"/>
        </w:rPr>
        <w:t>de Integridad y Alertadores (</w:t>
      </w:r>
      <w:r w:rsidRPr="004D4DD4">
        <w:rPr>
          <w:rFonts w:ascii="Arial" w:hAnsi="Arial" w:cs="Arial"/>
          <w:sz w:val="21"/>
          <w:szCs w:val="21"/>
        </w:rPr>
        <w:t>NEIWA</w:t>
      </w:r>
      <w:r w:rsidRPr="004D4DD4">
        <w:rPr>
          <w:rFonts w:ascii="Arial" w:eastAsia="Times New Roman" w:hAnsi="Arial" w:cs="Arial"/>
          <w:color w:val="000000"/>
          <w:sz w:val="21"/>
          <w:szCs w:val="21"/>
          <w:lang w:eastAsia="es-ES"/>
        </w:rPr>
        <w:t>), que actualmente representa a 23 estados miembros, se constituyó en mayo de ese mismo año para ofrecer una plataforma de cooperación e intercambio de conocimientos y experiencias en el campo de la integridad y la denuncia de irregularidades.</w:t>
      </w:r>
    </w:p>
    <w:p w14:paraId="6DDDF1D0" w14:textId="598BC130" w:rsidR="00BB4994" w:rsidRDefault="004D4DD4" w:rsidP="004D4DD4">
      <w:pPr>
        <w:widowControl w:val="0"/>
        <w:suppressAutoHyphens/>
        <w:autoSpaceDN w:val="0"/>
        <w:spacing w:after="240" w:line="276" w:lineRule="auto"/>
        <w:jc w:val="both"/>
        <w:rPr>
          <w:rFonts w:ascii="Arial" w:eastAsia="Calibri" w:hAnsi="Arial" w:cs="Arial"/>
          <w:sz w:val="21"/>
        </w:rPr>
      </w:pPr>
      <w:r w:rsidRPr="004D4DD4">
        <w:rPr>
          <w:rFonts w:ascii="Arial" w:eastAsia="Times New Roman" w:hAnsi="Arial" w:cs="Arial"/>
          <w:color w:val="000000"/>
          <w:sz w:val="21"/>
          <w:szCs w:val="21"/>
          <w:lang w:eastAsia="es-ES"/>
        </w:rPr>
        <w:t>La Agencia Valenciana Antifraude es miembro desde 2019</w:t>
      </w:r>
      <w:r w:rsidR="00FC73D2">
        <w:rPr>
          <w:rFonts w:ascii="Arial" w:eastAsia="Times New Roman" w:hAnsi="Arial" w:cs="Arial"/>
          <w:color w:val="000000"/>
          <w:sz w:val="21"/>
          <w:szCs w:val="21"/>
          <w:lang w:eastAsia="es-ES"/>
        </w:rPr>
        <w:t>,</w:t>
      </w:r>
      <w:r w:rsidRPr="004D4DD4">
        <w:rPr>
          <w:rFonts w:ascii="Arial" w:eastAsia="Times New Roman" w:hAnsi="Arial" w:cs="Arial"/>
          <w:color w:val="000000"/>
          <w:sz w:val="21"/>
          <w:szCs w:val="21"/>
          <w:lang w:eastAsia="es-ES"/>
        </w:rPr>
        <w:t xml:space="preserve"> y participó en el año 2021 en las reuniones plenarias, las preparatorias</w:t>
      </w:r>
      <w:r w:rsidR="00FC73D2">
        <w:rPr>
          <w:rFonts w:ascii="Arial" w:eastAsia="Times New Roman" w:hAnsi="Arial" w:cs="Arial"/>
          <w:color w:val="000000"/>
          <w:sz w:val="21"/>
          <w:szCs w:val="21"/>
          <w:lang w:eastAsia="es-ES"/>
        </w:rPr>
        <w:t>,</w:t>
      </w:r>
      <w:r w:rsidRPr="004D4DD4">
        <w:rPr>
          <w:rFonts w:ascii="Arial" w:eastAsia="Times New Roman" w:hAnsi="Arial" w:cs="Arial"/>
          <w:color w:val="000000"/>
          <w:sz w:val="21"/>
          <w:szCs w:val="21"/>
          <w:lang w:eastAsia="es-ES"/>
        </w:rPr>
        <w:t xml:space="preserve"> y dos grupos de trabajo. Pueden encontrar información en este sentido en el apartado 4.5.2.</w:t>
      </w:r>
      <w:r w:rsidR="00D17D41">
        <w:rPr>
          <w:rFonts w:ascii="Arial" w:eastAsia="Times New Roman" w:hAnsi="Arial" w:cs="Arial"/>
          <w:color w:val="000000"/>
          <w:sz w:val="21"/>
          <w:szCs w:val="21"/>
          <w:lang w:eastAsia="es-ES"/>
        </w:rPr>
        <w:t xml:space="preserve"> </w:t>
      </w:r>
      <w:r w:rsidRPr="004D4DD4">
        <w:rPr>
          <w:rFonts w:ascii="Arial" w:eastAsia="Times New Roman" w:hAnsi="Arial" w:cs="Arial"/>
          <w:color w:val="000000"/>
          <w:sz w:val="21"/>
          <w:szCs w:val="21"/>
          <w:lang w:eastAsia="es-ES"/>
        </w:rPr>
        <w:t>de esta Memoria</w:t>
      </w:r>
      <w:r w:rsidR="00BB4994" w:rsidRPr="00973028">
        <w:rPr>
          <w:rFonts w:ascii="Arial" w:eastAsia="Calibri" w:hAnsi="Arial" w:cs="Arial"/>
          <w:sz w:val="21"/>
        </w:rPr>
        <w:t>.</w:t>
      </w:r>
    </w:p>
    <w:p w14:paraId="6AD1B04C" w14:textId="22CCD330" w:rsidR="00A04950" w:rsidRDefault="00A04950" w:rsidP="0062597C">
      <w:pPr>
        <w:pStyle w:val="Prrafodelista"/>
        <w:keepNext/>
        <w:numPr>
          <w:ilvl w:val="1"/>
          <w:numId w:val="15"/>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27" w:name="_Toc99106970"/>
      <w:r>
        <w:rPr>
          <w:rFonts w:ascii="Arial" w:eastAsia="Times New Roman" w:hAnsi="Arial" w:cs="Arial"/>
          <w:b/>
          <w:color w:val="9D2235"/>
          <w:sz w:val="32"/>
          <w:szCs w:val="32"/>
        </w:rPr>
        <w:t>Asistencia a actos</w:t>
      </w:r>
      <w:bookmarkEnd w:id="27"/>
    </w:p>
    <w:p w14:paraId="794879DA" w14:textId="77777777" w:rsidR="00EB59C9" w:rsidRPr="00EB59C9" w:rsidRDefault="00EB59C9" w:rsidP="00EB59C9">
      <w:pPr>
        <w:jc w:val="both"/>
        <w:rPr>
          <w:rFonts w:ascii="Arial" w:hAnsi="Arial" w:cs="Arial"/>
          <w:sz w:val="21"/>
          <w:szCs w:val="21"/>
        </w:rPr>
      </w:pPr>
      <w:r w:rsidRPr="00EB59C9">
        <w:rPr>
          <w:rFonts w:ascii="Arial" w:eastAsia="Times New Roman" w:hAnsi="Arial" w:cs="Arial"/>
          <w:sz w:val="21"/>
          <w:szCs w:val="21"/>
          <w:lang w:eastAsia="es-ES"/>
        </w:rPr>
        <w:t xml:space="preserve">Durante el año 2021, debido a la continuación de la situación de pandemia provocada por la Covid-19, la organización de actos se ha visto limitada y algunos de ellos se han realizado de manera virtual. El director, como representante de la </w:t>
      </w:r>
      <w:r w:rsidRPr="003D46E8">
        <w:rPr>
          <w:rFonts w:ascii="Arial" w:eastAsia="Times New Roman" w:hAnsi="Arial" w:cs="Arial"/>
          <w:sz w:val="21"/>
          <w:szCs w:val="21"/>
          <w:lang w:eastAsia="es-ES"/>
        </w:rPr>
        <w:t>Agencia</w:t>
      </w:r>
      <w:r w:rsidRPr="00EB59C9">
        <w:rPr>
          <w:rFonts w:ascii="Arial" w:eastAsia="Times New Roman" w:hAnsi="Arial" w:cs="Arial"/>
          <w:sz w:val="21"/>
          <w:szCs w:val="21"/>
          <w:lang w:eastAsia="es-ES"/>
        </w:rPr>
        <w:t xml:space="preserve"> ha estado presente, a lo largo del año, en los siguientes actos:</w:t>
      </w:r>
    </w:p>
    <w:p w14:paraId="70DA42BC" w14:textId="3167267E" w:rsidR="008014A6" w:rsidRPr="00E1158C" w:rsidRDefault="00D570C1" w:rsidP="00E1158C">
      <w:pPr>
        <w:pStyle w:val="Descripcin"/>
        <w:keepNext/>
        <w:spacing w:after="120" w:line="276" w:lineRule="auto"/>
        <w:rPr>
          <w:rFonts w:ascii="Arial" w:hAnsi="Arial" w:cs="Arial"/>
          <w:smallCaps w:val="0"/>
          <w:sz w:val="18"/>
          <w:szCs w:val="18"/>
        </w:rPr>
      </w:pPr>
      <w:bookmarkStart w:id="28" w:name="_Toc99107139"/>
      <w:r w:rsidRPr="00E1158C">
        <w:rPr>
          <w:rFonts w:ascii="Arial" w:hAnsi="Arial" w:cs="Arial"/>
          <w:smallCaps w:val="0"/>
          <w:color w:val="9D2235" w:themeColor="accent1"/>
          <w:sz w:val="18"/>
          <w:szCs w:val="18"/>
        </w:rPr>
        <w:t xml:space="preserve">Tabla </w:t>
      </w:r>
      <w:r w:rsidR="008014A6" w:rsidRPr="00E1158C">
        <w:rPr>
          <w:rFonts w:ascii="Arial" w:hAnsi="Arial" w:cs="Arial"/>
          <w:smallCaps w:val="0"/>
          <w:color w:val="9D2235" w:themeColor="accent1"/>
          <w:sz w:val="18"/>
          <w:szCs w:val="18"/>
        </w:rPr>
        <w:fldChar w:fldCharType="begin" w:fldLock="1"/>
      </w:r>
      <w:r w:rsidR="008014A6" w:rsidRPr="00E1158C">
        <w:rPr>
          <w:rFonts w:ascii="Arial" w:hAnsi="Arial" w:cs="Arial"/>
          <w:smallCaps w:val="0"/>
          <w:color w:val="9D2235" w:themeColor="accent1"/>
          <w:sz w:val="18"/>
          <w:szCs w:val="18"/>
        </w:rPr>
        <w:instrText xml:space="preserve"> SEQ Tabla \* ARABIC </w:instrText>
      </w:r>
      <w:r w:rsidR="008014A6" w:rsidRPr="00E1158C">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w:t>
      </w:r>
      <w:r w:rsidR="008014A6" w:rsidRPr="00E1158C">
        <w:rPr>
          <w:rFonts w:ascii="Arial" w:hAnsi="Arial" w:cs="Arial"/>
          <w:smallCaps w:val="0"/>
          <w:color w:val="9D2235" w:themeColor="accent1"/>
          <w:sz w:val="18"/>
          <w:szCs w:val="18"/>
        </w:rPr>
        <w:fldChar w:fldCharType="end"/>
      </w:r>
      <w:r w:rsidR="0067063C" w:rsidRPr="00E1158C">
        <w:rPr>
          <w:rFonts w:ascii="Arial" w:hAnsi="Arial" w:cs="Arial"/>
          <w:smallCaps w:val="0"/>
          <w:color w:val="9D2235" w:themeColor="accent1"/>
          <w:sz w:val="18"/>
          <w:szCs w:val="18"/>
        </w:rPr>
        <w:t xml:space="preserve">. </w:t>
      </w:r>
      <w:r w:rsidRPr="00E1158C">
        <w:rPr>
          <w:rFonts w:ascii="Arial" w:hAnsi="Arial" w:cs="Arial"/>
          <w:smallCaps w:val="0"/>
          <w:color w:val="auto"/>
          <w:sz w:val="18"/>
          <w:szCs w:val="18"/>
        </w:rPr>
        <w:t xml:space="preserve">Actos con participación de la </w:t>
      </w:r>
      <w:r w:rsidR="00D70F8E">
        <w:rPr>
          <w:rFonts w:ascii="Arial" w:hAnsi="Arial" w:cs="Arial"/>
          <w:smallCaps w:val="0"/>
          <w:color w:val="auto"/>
          <w:sz w:val="18"/>
          <w:szCs w:val="18"/>
        </w:rPr>
        <w:t>A</w:t>
      </w:r>
      <w:r w:rsidRPr="00E1158C">
        <w:rPr>
          <w:rFonts w:ascii="Arial" w:hAnsi="Arial" w:cs="Arial"/>
          <w:smallCaps w:val="0"/>
          <w:color w:val="auto"/>
          <w:sz w:val="18"/>
          <w:szCs w:val="18"/>
        </w:rPr>
        <w:t>gencia</w:t>
      </w:r>
      <w:bookmarkEnd w:id="28"/>
    </w:p>
    <w:tbl>
      <w:tblPr>
        <w:tblW w:w="8526" w:type="dxa"/>
        <w:tblLayout w:type="fixed"/>
        <w:tblCellMar>
          <w:top w:w="28" w:type="dxa"/>
          <w:left w:w="0" w:type="dxa"/>
          <w:bottom w:w="28" w:type="dxa"/>
          <w:right w:w="0" w:type="dxa"/>
        </w:tblCellMar>
        <w:tblLook w:val="04A0" w:firstRow="1" w:lastRow="0" w:firstColumn="1" w:lastColumn="0" w:noHBand="0" w:noVBand="1"/>
      </w:tblPr>
      <w:tblGrid>
        <w:gridCol w:w="1560"/>
        <w:gridCol w:w="6945"/>
        <w:gridCol w:w="21"/>
      </w:tblGrid>
      <w:tr w:rsidR="00EB59C9" w14:paraId="03CD922F" w14:textId="77777777" w:rsidTr="006F0C5C">
        <w:trPr>
          <w:gridAfter w:val="1"/>
          <w:wAfter w:w="21" w:type="dxa"/>
          <w:trHeight w:val="397"/>
          <w:tblHeader/>
        </w:trPr>
        <w:tc>
          <w:tcPr>
            <w:tcW w:w="1560" w:type="dxa"/>
            <w:tcBorders>
              <w:top w:val="single" w:sz="6" w:space="0" w:color="993333"/>
              <w:bottom w:val="single" w:sz="6" w:space="0" w:color="993333"/>
            </w:tcBorders>
            <w:shd w:val="clear" w:color="auto" w:fill="993333"/>
            <w:vAlign w:val="center"/>
          </w:tcPr>
          <w:p w14:paraId="52C2AEE0" w14:textId="77777777" w:rsidR="00EB59C9" w:rsidRPr="00153921" w:rsidRDefault="00EB59C9" w:rsidP="00BD00BC">
            <w:pPr>
              <w:rPr>
                <w:rFonts w:ascii="Arial" w:eastAsia="Times New Roman" w:hAnsi="Arial" w:cs="Arial"/>
                <w:sz w:val="20"/>
                <w:szCs w:val="20"/>
                <w:lang w:eastAsia="es-ES"/>
              </w:rPr>
            </w:pPr>
            <w:r w:rsidRPr="00153921">
              <w:rPr>
                <w:rFonts w:ascii="Arial" w:eastAsia="Times New Roman" w:hAnsi="Arial" w:cs="Arial"/>
                <w:b/>
                <w:bCs/>
                <w:color w:val="FFFFFF"/>
                <w:sz w:val="20"/>
                <w:szCs w:val="20"/>
                <w:lang w:eastAsia="es-ES"/>
              </w:rPr>
              <w:t>Fecha</w:t>
            </w:r>
          </w:p>
        </w:tc>
        <w:tc>
          <w:tcPr>
            <w:tcW w:w="6945" w:type="dxa"/>
            <w:tcBorders>
              <w:top w:val="single" w:sz="6" w:space="0" w:color="993333"/>
              <w:left w:val="single" w:sz="8" w:space="0" w:color="993333"/>
              <w:bottom w:val="single" w:sz="6" w:space="0" w:color="993333"/>
            </w:tcBorders>
            <w:shd w:val="clear" w:color="auto" w:fill="993333"/>
            <w:tcMar>
              <w:left w:w="28" w:type="dxa"/>
            </w:tcMar>
          </w:tcPr>
          <w:p w14:paraId="11BB9D05" w14:textId="77777777" w:rsidR="00EB59C9" w:rsidRPr="00153921" w:rsidRDefault="00EB59C9" w:rsidP="00BD00BC">
            <w:pPr>
              <w:rPr>
                <w:rFonts w:ascii="Arial" w:eastAsia="Times New Roman" w:hAnsi="Arial" w:cs="Arial"/>
                <w:b/>
                <w:bCs/>
                <w:color w:val="FFFFFF"/>
                <w:sz w:val="20"/>
                <w:szCs w:val="20"/>
                <w:lang w:eastAsia="es-ES"/>
              </w:rPr>
            </w:pPr>
            <w:r w:rsidRPr="00153921">
              <w:rPr>
                <w:rFonts w:ascii="Arial" w:eastAsia="Times New Roman" w:hAnsi="Arial" w:cs="Arial"/>
                <w:b/>
                <w:bCs/>
                <w:color w:val="FFFFFF"/>
                <w:sz w:val="20"/>
                <w:szCs w:val="20"/>
                <w:lang w:eastAsia="es-ES"/>
              </w:rPr>
              <w:t xml:space="preserve">Entidad </w:t>
            </w:r>
            <w:r w:rsidRPr="00153921">
              <w:rPr>
                <w:rFonts w:ascii="Arial" w:eastAsia="Times New Roman" w:hAnsi="Arial" w:cs="Arial"/>
                <w:b/>
                <w:bCs/>
                <w:i/>
                <w:color w:val="FFFFFF"/>
                <w:sz w:val="20"/>
                <w:szCs w:val="20"/>
                <w:lang w:eastAsia="es-ES"/>
              </w:rPr>
              <w:t>Lugar</w:t>
            </w:r>
          </w:p>
          <w:p w14:paraId="658393E5" w14:textId="77777777" w:rsidR="00EB59C9" w:rsidRPr="00153921" w:rsidRDefault="00EB59C9" w:rsidP="00BD00BC">
            <w:pPr>
              <w:rPr>
                <w:rFonts w:ascii="Arial" w:eastAsia="Times New Roman" w:hAnsi="Arial" w:cs="Arial"/>
                <w:b/>
                <w:bCs/>
                <w:color w:val="FFFFFF"/>
                <w:sz w:val="20"/>
                <w:szCs w:val="20"/>
                <w:lang w:eastAsia="es-ES"/>
              </w:rPr>
            </w:pPr>
            <w:r w:rsidRPr="00153921">
              <w:rPr>
                <w:rFonts w:ascii="Arial" w:eastAsia="Times New Roman" w:hAnsi="Arial" w:cs="Arial"/>
                <w:b/>
                <w:bCs/>
                <w:color w:val="FFFFFF"/>
                <w:sz w:val="20"/>
                <w:szCs w:val="20"/>
                <w:lang w:eastAsia="es-ES"/>
              </w:rPr>
              <w:t>ACTIVIDAD</w:t>
            </w:r>
          </w:p>
        </w:tc>
      </w:tr>
      <w:tr w:rsidR="00EB59C9" w14:paraId="6D625CFB" w14:textId="77777777" w:rsidTr="006F0C5C">
        <w:trPr>
          <w:trHeight w:val="397"/>
        </w:trPr>
        <w:tc>
          <w:tcPr>
            <w:tcW w:w="1560" w:type="dxa"/>
            <w:tcBorders>
              <w:bottom w:val="single" w:sz="6" w:space="0" w:color="993333"/>
            </w:tcBorders>
            <w:shd w:val="clear" w:color="auto" w:fill="auto"/>
            <w:vAlign w:val="center"/>
          </w:tcPr>
          <w:p w14:paraId="0F90F0F1" w14:textId="75B44D54" w:rsidR="00EB59C9" w:rsidRPr="00153921" w:rsidRDefault="00EB59C9" w:rsidP="006049F0">
            <w:pPr>
              <w:spacing w:after="0" w:line="276" w:lineRule="auto"/>
              <w:rPr>
                <w:rFonts w:ascii="Arial" w:eastAsia="Times New Roman" w:hAnsi="Arial" w:cs="Arial"/>
                <w:sz w:val="18"/>
                <w:szCs w:val="18"/>
                <w:lang w:eastAsia="es-ES"/>
              </w:rPr>
            </w:pPr>
            <w:r w:rsidRPr="00153921">
              <w:rPr>
                <w:rFonts w:ascii="Arial" w:eastAsia="Times New Roman" w:hAnsi="Arial" w:cs="Arial"/>
                <w:color w:val="000000"/>
                <w:sz w:val="18"/>
                <w:szCs w:val="18"/>
                <w:lang w:eastAsia="es-ES"/>
              </w:rPr>
              <w:t>15 de febrero</w:t>
            </w:r>
          </w:p>
        </w:tc>
        <w:tc>
          <w:tcPr>
            <w:tcW w:w="6945" w:type="dxa"/>
            <w:tcBorders>
              <w:bottom w:val="single" w:sz="6" w:space="0" w:color="993333"/>
            </w:tcBorders>
            <w:shd w:val="clear" w:color="auto" w:fill="auto"/>
          </w:tcPr>
          <w:p w14:paraId="4677F62A" w14:textId="77777777" w:rsidR="00EB59C9" w:rsidRPr="00153921" w:rsidRDefault="00EB59C9" w:rsidP="006049F0">
            <w:pPr>
              <w:spacing w:after="0" w:line="276" w:lineRule="auto"/>
              <w:jc w:val="both"/>
              <w:rPr>
                <w:rFonts w:ascii="Arial" w:eastAsia="Times New Roman" w:hAnsi="Arial" w:cs="Arial"/>
                <w:color w:val="000000"/>
                <w:sz w:val="18"/>
                <w:szCs w:val="18"/>
                <w:lang w:eastAsia="es-ES"/>
              </w:rPr>
            </w:pPr>
            <w:r w:rsidRPr="00153921">
              <w:rPr>
                <w:rFonts w:ascii="Arial" w:eastAsia="Times New Roman" w:hAnsi="Arial" w:cs="Arial"/>
                <w:color w:val="000000"/>
                <w:sz w:val="18"/>
                <w:szCs w:val="18"/>
                <w:lang w:eastAsia="es-ES"/>
              </w:rPr>
              <w:t>Transparency International España.</w:t>
            </w:r>
            <w:r w:rsidRPr="00153921">
              <w:rPr>
                <w:rFonts w:ascii="Arial" w:eastAsia="Times New Roman" w:hAnsi="Arial" w:cs="Arial"/>
                <w:i/>
                <w:sz w:val="18"/>
                <w:szCs w:val="18"/>
                <w:lang w:eastAsia="es-ES"/>
              </w:rPr>
              <w:t xml:space="preserve"> Virtual</w:t>
            </w:r>
          </w:p>
          <w:p w14:paraId="032B7979" w14:textId="77777777" w:rsidR="00EB59C9" w:rsidRPr="00153921" w:rsidRDefault="00EB59C9" w:rsidP="006049F0">
            <w:pPr>
              <w:spacing w:after="0" w:line="276" w:lineRule="auto"/>
              <w:ind w:right="142"/>
              <w:jc w:val="both"/>
              <w:rPr>
                <w:rFonts w:ascii="Arial" w:eastAsia="Times New Roman" w:hAnsi="Arial" w:cs="Arial"/>
                <w:color w:val="000000"/>
                <w:sz w:val="18"/>
                <w:szCs w:val="18"/>
                <w:lang w:eastAsia="es-ES"/>
              </w:rPr>
            </w:pPr>
            <w:r w:rsidRPr="00153921">
              <w:rPr>
                <w:rFonts w:ascii="Arial" w:eastAsia="Times New Roman" w:hAnsi="Arial" w:cs="Arial"/>
                <w:color w:val="000000"/>
                <w:sz w:val="18"/>
                <w:szCs w:val="18"/>
                <w:lang w:eastAsia="es-ES"/>
              </w:rPr>
              <w:t>Jornada "</w:t>
            </w:r>
            <w:r w:rsidRPr="00153921">
              <w:rPr>
                <w:rFonts w:ascii="Arial" w:eastAsia="Times New Roman" w:hAnsi="Arial" w:cs="Arial"/>
                <w:i/>
                <w:color w:val="000000"/>
                <w:sz w:val="18"/>
                <w:szCs w:val="18"/>
                <w:lang w:eastAsia="es-ES"/>
              </w:rPr>
              <w:t>Avances y retos en transparencia e integridad en el Congreso de los Diputados y el Senado de España</w:t>
            </w:r>
            <w:r w:rsidRPr="00153921">
              <w:rPr>
                <w:rFonts w:ascii="Arial" w:eastAsia="Times New Roman" w:hAnsi="Arial" w:cs="Arial"/>
                <w:color w:val="000000"/>
                <w:sz w:val="18"/>
                <w:szCs w:val="18"/>
                <w:lang w:eastAsia="es-ES"/>
              </w:rPr>
              <w:t xml:space="preserve">". </w:t>
            </w:r>
          </w:p>
          <w:p w14:paraId="35DFC869" w14:textId="77777777" w:rsidR="00EB59C9" w:rsidRPr="00153921" w:rsidRDefault="00AF48E6" w:rsidP="006049F0">
            <w:pPr>
              <w:spacing w:after="0" w:line="276" w:lineRule="auto"/>
              <w:jc w:val="both"/>
              <w:rPr>
                <w:rFonts w:ascii="Arial" w:eastAsia="Times New Roman" w:hAnsi="Arial" w:cs="Arial"/>
                <w:color w:val="000000"/>
                <w:sz w:val="18"/>
                <w:szCs w:val="18"/>
                <w:lang w:eastAsia="es-ES"/>
              </w:rPr>
            </w:pPr>
            <w:hyperlink r:id="rId95" w:history="1">
              <w:r w:rsidR="00EB59C9" w:rsidRPr="00153921">
                <w:rPr>
                  <w:rStyle w:val="Hipervnculo"/>
                  <w:rFonts w:ascii="Arial" w:eastAsia="Times New Roman" w:hAnsi="Arial" w:cs="Arial"/>
                  <w:sz w:val="18"/>
                  <w:szCs w:val="18"/>
                  <w:lang w:eastAsia="es-ES"/>
                </w:rPr>
                <w:t>https://transparencia.org.es/wp-content/uploads/2021/02/Programa-Avances-y-retos-en-transparencia-e-integridad-en-el-Congreso-de-los-Diputados-y-el-Senado-de-Espana-1.pdf</w:t>
              </w:r>
            </w:hyperlink>
            <w:r w:rsidR="00EB59C9" w:rsidRPr="00153921">
              <w:rPr>
                <w:rFonts w:ascii="Arial" w:eastAsia="Times New Roman" w:hAnsi="Arial" w:cs="Arial"/>
                <w:color w:val="000000"/>
                <w:sz w:val="18"/>
                <w:szCs w:val="18"/>
                <w:lang w:eastAsia="es-ES"/>
              </w:rPr>
              <w:t xml:space="preserve"> </w:t>
            </w:r>
          </w:p>
        </w:tc>
        <w:tc>
          <w:tcPr>
            <w:tcW w:w="21" w:type="dxa"/>
            <w:shd w:val="clear" w:color="auto" w:fill="auto"/>
          </w:tcPr>
          <w:p w14:paraId="6518397D" w14:textId="77777777" w:rsidR="00EB59C9" w:rsidRDefault="00EB59C9" w:rsidP="00BD00BC">
            <w:pPr>
              <w:rPr>
                <w:rFonts w:cs="Arial"/>
                <w:szCs w:val="21"/>
              </w:rPr>
            </w:pPr>
          </w:p>
        </w:tc>
      </w:tr>
      <w:tr w:rsidR="00EB59C9" w14:paraId="7F903F4F" w14:textId="77777777" w:rsidTr="006F0C5C">
        <w:trPr>
          <w:trHeight w:val="397"/>
        </w:trPr>
        <w:tc>
          <w:tcPr>
            <w:tcW w:w="1560" w:type="dxa"/>
            <w:tcBorders>
              <w:bottom w:val="single" w:sz="6" w:space="0" w:color="993333"/>
            </w:tcBorders>
            <w:shd w:val="clear" w:color="auto" w:fill="auto"/>
            <w:vAlign w:val="center"/>
          </w:tcPr>
          <w:p w14:paraId="1F5581CB" w14:textId="21077D70" w:rsidR="00EB59C9" w:rsidRPr="00153921" w:rsidRDefault="00EB59C9" w:rsidP="006049F0">
            <w:pPr>
              <w:spacing w:after="0" w:line="276" w:lineRule="auto"/>
              <w:rPr>
                <w:rFonts w:ascii="Arial" w:eastAsia="Times New Roman" w:hAnsi="Arial" w:cs="Arial"/>
                <w:color w:val="000000"/>
                <w:sz w:val="18"/>
                <w:szCs w:val="18"/>
                <w:lang w:eastAsia="es-ES"/>
              </w:rPr>
            </w:pPr>
            <w:r w:rsidRPr="00153921">
              <w:rPr>
                <w:rFonts w:ascii="Arial" w:eastAsia="Times New Roman" w:hAnsi="Arial" w:cs="Arial"/>
                <w:color w:val="000000"/>
                <w:sz w:val="18"/>
                <w:szCs w:val="18"/>
                <w:lang w:eastAsia="es-ES"/>
              </w:rPr>
              <w:t>25 de abril</w:t>
            </w:r>
          </w:p>
        </w:tc>
        <w:tc>
          <w:tcPr>
            <w:tcW w:w="6945" w:type="dxa"/>
            <w:tcBorders>
              <w:bottom w:val="single" w:sz="6" w:space="0" w:color="993333"/>
            </w:tcBorders>
            <w:shd w:val="clear" w:color="auto" w:fill="auto"/>
          </w:tcPr>
          <w:p w14:paraId="2E61019E" w14:textId="77777777" w:rsidR="00EB59C9" w:rsidRPr="00153921" w:rsidRDefault="00EB59C9" w:rsidP="006049F0">
            <w:pPr>
              <w:spacing w:after="0" w:line="276" w:lineRule="auto"/>
              <w:jc w:val="both"/>
              <w:rPr>
                <w:rFonts w:ascii="Arial" w:eastAsia="Times New Roman" w:hAnsi="Arial" w:cs="Arial"/>
                <w:i/>
                <w:color w:val="000000"/>
                <w:sz w:val="18"/>
                <w:szCs w:val="18"/>
                <w:lang w:eastAsia="es-ES"/>
              </w:rPr>
            </w:pPr>
            <w:r w:rsidRPr="00153921">
              <w:rPr>
                <w:rFonts w:ascii="Arial" w:eastAsia="Times New Roman" w:hAnsi="Arial" w:cs="Arial"/>
                <w:color w:val="000000"/>
                <w:sz w:val="18"/>
                <w:szCs w:val="18"/>
                <w:lang w:eastAsia="es-ES"/>
              </w:rPr>
              <w:t xml:space="preserve">Corts Valencianes. </w:t>
            </w:r>
            <w:r w:rsidRPr="00153921">
              <w:rPr>
                <w:rFonts w:ascii="Arial" w:eastAsia="Times New Roman" w:hAnsi="Arial" w:cs="Arial"/>
                <w:i/>
                <w:color w:val="000000"/>
                <w:sz w:val="18"/>
                <w:szCs w:val="18"/>
                <w:lang w:eastAsia="es-ES"/>
              </w:rPr>
              <w:t>València</w:t>
            </w:r>
          </w:p>
          <w:p w14:paraId="5A87DF11" w14:textId="77777777" w:rsidR="00EB59C9" w:rsidRPr="00153921" w:rsidRDefault="00EB59C9" w:rsidP="006049F0">
            <w:pPr>
              <w:spacing w:after="0" w:line="276" w:lineRule="auto"/>
              <w:jc w:val="both"/>
              <w:rPr>
                <w:rFonts w:ascii="Arial" w:eastAsia="Times New Roman" w:hAnsi="Arial" w:cs="Arial"/>
                <w:color w:val="000000"/>
                <w:sz w:val="18"/>
                <w:szCs w:val="18"/>
                <w:lang w:eastAsia="es-ES"/>
              </w:rPr>
            </w:pPr>
            <w:r w:rsidRPr="00153921">
              <w:rPr>
                <w:rFonts w:ascii="Arial" w:eastAsia="Times New Roman" w:hAnsi="Arial" w:cs="Arial"/>
                <w:color w:val="000000"/>
                <w:sz w:val="18"/>
                <w:szCs w:val="18"/>
                <w:lang w:eastAsia="es-ES"/>
              </w:rPr>
              <w:t>Acto en conmemoración del Dia de Les Corts.</w:t>
            </w:r>
          </w:p>
        </w:tc>
        <w:tc>
          <w:tcPr>
            <w:tcW w:w="21" w:type="dxa"/>
            <w:shd w:val="clear" w:color="auto" w:fill="auto"/>
          </w:tcPr>
          <w:p w14:paraId="298572C2" w14:textId="77777777" w:rsidR="00EB59C9" w:rsidRDefault="00EB59C9" w:rsidP="00BD00BC">
            <w:pPr>
              <w:rPr>
                <w:rFonts w:cs="Arial"/>
                <w:szCs w:val="21"/>
              </w:rPr>
            </w:pPr>
          </w:p>
        </w:tc>
      </w:tr>
      <w:tr w:rsidR="00EB59C9" w14:paraId="62176DEB" w14:textId="77777777" w:rsidTr="006F0C5C">
        <w:trPr>
          <w:gridAfter w:val="1"/>
          <w:wAfter w:w="21" w:type="dxa"/>
          <w:trHeight w:val="397"/>
        </w:trPr>
        <w:tc>
          <w:tcPr>
            <w:tcW w:w="1560" w:type="dxa"/>
            <w:tcBorders>
              <w:bottom w:val="single" w:sz="6" w:space="0" w:color="993333"/>
            </w:tcBorders>
            <w:shd w:val="clear" w:color="auto" w:fill="auto"/>
            <w:tcMar>
              <w:top w:w="0" w:type="dxa"/>
            </w:tcMar>
            <w:vAlign w:val="center"/>
          </w:tcPr>
          <w:p w14:paraId="5BD9BACD" w14:textId="77777777" w:rsidR="00EB59C9" w:rsidRPr="00153921" w:rsidRDefault="00EB59C9" w:rsidP="006049F0">
            <w:pPr>
              <w:spacing w:after="0" w:line="276" w:lineRule="auto"/>
              <w:rPr>
                <w:rFonts w:ascii="Arial" w:eastAsia="Times New Roman" w:hAnsi="Arial" w:cs="Arial"/>
                <w:sz w:val="18"/>
                <w:szCs w:val="18"/>
                <w:lang w:eastAsia="es-ES"/>
              </w:rPr>
            </w:pPr>
            <w:r w:rsidRPr="00153921">
              <w:rPr>
                <w:rFonts w:ascii="Arial" w:eastAsia="Times New Roman" w:hAnsi="Arial" w:cs="Arial"/>
                <w:color w:val="000000"/>
                <w:sz w:val="18"/>
                <w:szCs w:val="18"/>
                <w:lang w:eastAsia="es-ES"/>
              </w:rPr>
              <w:t xml:space="preserve">9 de septiembre </w:t>
            </w:r>
          </w:p>
        </w:tc>
        <w:tc>
          <w:tcPr>
            <w:tcW w:w="6945" w:type="dxa"/>
            <w:tcBorders>
              <w:bottom w:val="single" w:sz="6" w:space="0" w:color="993333"/>
            </w:tcBorders>
            <w:shd w:val="clear" w:color="auto" w:fill="auto"/>
            <w:tcMar>
              <w:top w:w="0" w:type="dxa"/>
            </w:tcMar>
          </w:tcPr>
          <w:p w14:paraId="4AE0231D" w14:textId="77777777" w:rsidR="00EB59C9" w:rsidRPr="00153921" w:rsidRDefault="00EB59C9" w:rsidP="006049F0">
            <w:pPr>
              <w:spacing w:after="0" w:line="276" w:lineRule="auto"/>
              <w:jc w:val="both"/>
              <w:rPr>
                <w:rFonts w:ascii="Arial" w:eastAsia="Times New Roman" w:hAnsi="Arial" w:cs="Arial"/>
                <w:color w:val="000000"/>
                <w:sz w:val="18"/>
                <w:szCs w:val="18"/>
                <w:lang w:eastAsia="es-ES"/>
              </w:rPr>
            </w:pPr>
            <w:r w:rsidRPr="00153921">
              <w:rPr>
                <w:rFonts w:ascii="Arial" w:eastAsia="Times New Roman" w:hAnsi="Arial" w:cs="Arial"/>
                <w:color w:val="000000"/>
                <w:sz w:val="18"/>
                <w:szCs w:val="18"/>
                <w:lang w:eastAsia="es-ES"/>
              </w:rPr>
              <w:t xml:space="preserve">SER Radio Valencia. </w:t>
            </w:r>
            <w:r w:rsidRPr="00153921">
              <w:rPr>
                <w:rFonts w:ascii="Arial" w:eastAsia="Times New Roman" w:hAnsi="Arial" w:cs="Arial"/>
                <w:i/>
                <w:sz w:val="18"/>
                <w:szCs w:val="18"/>
                <w:lang w:eastAsia="es-ES"/>
              </w:rPr>
              <w:t>València</w:t>
            </w:r>
          </w:p>
          <w:p w14:paraId="13AFE4CE" w14:textId="77777777" w:rsidR="00EB59C9" w:rsidRPr="00153921" w:rsidRDefault="00EB59C9" w:rsidP="006049F0">
            <w:pPr>
              <w:spacing w:after="0" w:line="276" w:lineRule="auto"/>
              <w:jc w:val="both"/>
              <w:rPr>
                <w:rFonts w:ascii="Arial" w:eastAsia="Times New Roman" w:hAnsi="Arial" w:cs="Arial"/>
                <w:color w:val="000000"/>
                <w:sz w:val="18"/>
                <w:szCs w:val="18"/>
                <w:lang w:eastAsia="es-ES"/>
              </w:rPr>
            </w:pPr>
            <w:r w:rsidRPr="00153921">
              <w:rPr>
                <w:rFonts w:ascii="Arial" w:eastAsia="Times New Roman" w:hAnsi="Arial" w:cs="Arial"/>
                <w:color w:val="000000"/>
                <w:sz w:val="18"/>
                <w:szCs w:val="18"/>
                <w:lang w:eastAsia="es-ES"/>
              </w:rPr>
              <w:t>Diálogos SER con Nadia Calviño, vicepresidenta primera y ministra de Economía y Transformación Digital.</w:t>
            </w:r>
          </w:p>
          <w:p w14:paraId="5DE9816F" w14:textId="77777777" w:rsidR="00EB59C9" w:rsidRPr="00153921" w:rsidRDefault="00AF48E6" w:rsidP="006049F0">
            <w:pPr>
              <w:spacing w:after="0" w:line="276" w:lineRule="auto"/>
              <w:jc w:val="both"/>
              <w:rPr>
                <w:rFonts w:ascii="Arial" w:eastAsia="Times New Roman" w:hAnsi="Arial" w:cs="Arial"/>
                <w:color w:val="000000"/>
                <w:sz w:val="18"/>
                <w:szCs w:val="18"/>
                <w:lang w:eastAsia="es-ES"/>
              </w:rPr>
            </w:pPr>
            <w:hyperlink r:id="rId96" w:history="1">
              <w:r w:rsidR="00EB59C9" w:rsidRPr="00153921">
                <w:rPr>
                  <w:rStyle w:val="Hipervnculo"/>
                  <w:rFonts w:ascii="Arial" w:eastAsia="Times New Roman" w:hAnsi="Arial" w:cs="Arial"/>
                  <w:sz w:val="18"/>
                  <w:szCs w:val="18"/>
                  <w:lang w:eastAsia="es-ES"/>
                </w:rPr>
                <w:t>https://cadenaser.com/emisora/2021/09/09/radio_valencia/1631174207_764962.html</w:t>
              </w:r>
            </w:hyperlink>
            <w:r w:rsidR="00EB59C9" w:rsidRPr="00153921">
              <w:rPr>
                <w:rFonts w:ascii="Arial" w:eastAsia="Times New Roman" w:hAnsi="Arial" w:cs="Arial"/>
                <w:color w:val="000000"/>
                <w:sz w:val="18"/>
                <w:szCs w:val="18"/>
                <w:lang w:eastAsia="es-ES"/>
              </w:rPr>
              <w:t xml:space="preserve"> </w:t>
            </w:r>
          </w:p>
        </w:tc>
      </w:tr>
      <w:tr w:rsidR="00EB59C9" w14:paraId="6DA6BDF8" w14:textId="77777777" w:rsidTr="006F0C5C">
        <w:trPr>
          <w:gridAfter w:val="1"/>
          <w:wAfter w:w="21" w:type="dxa"/>
          <w:trHeight w:val="397"/>
        </w:trPr>
        <w:tc>
          <w:tcPr>
            <w:tcW w:w="1560" w:type="dxa"/>
            <w:tcBorders>
              <w:bottom w:val="single" w:sz="6" w:space="0" w:color="993333"/>
            </w:tcBorders>
            <w:shd w:val="clear" w:color="auto" w:fill="auto"/>
            <w:tcMar>
              <w:top w:w="0" w:type="dxa"/>
            </w:tcMar>
            <w:vAlign w:val="center"/>
          </w:tcPr>
          <w:p w14:paraId="37E0AE1B" w14:textId="77777777" w:rsidR="00EB59C9" w:rsidRPr="00153921" w:rsidRDefault="00EB59C9" w:rsidP="006049F0">
            <w:pPr>
              <w:spacing w:after="0" w:line="276" w:lineRule="auto"/>
              <w:rPr>
                <w:rFonts w:ascii="Arial" w:eastAsia="Times New Roman" w:hAnsi="Arial" w:cs="Arial"/>
                <w:sz w:val="18"/>
                <w:szCs w:val="18"/>
                <w:lang w:eastAsia="es-ES"/>
              </w:rPr>
            </w:pPr>
            <w:r w:rsidRPr="00153921">
              <w:rPr>
                <w:rFonts w:ascii="Arial" w:eastAsia="Times New Roman" w:hAnsi="Arial" w:cs="Arial"/>
                <w:color w:val="000000"/>
                <w:sz w:val="18"/>
                <w:szCs w:val="18"/>
                <w:lang w:eastAsia="es-ES"/>
              </w:rPr>
              <w:t>16 de septiembre</w:t>
            </w:r>
          </w:p>
        </w:tc>
        <w:tc>
          <w:tcPr>
            <w:tcW w:w="6945" w:type="dxa"/>
            <w:tcBorders>
              <w:bottom w:val="single" w:sz="6" w:space="0" w:color="993333"/>
            </w:tcBorders>
            <w:shd w:val="clear" w:color="auto" w:fill="auto"/>
            <w:tcMar>
              <w:top w:w="0" w:type="dxa"/>
            </w:tcMar>
          </w:tcPr>
          <w:p w14:paraId="41842490" w14:textId="77777777" w:rsidR="00EB59C9" w:rsidRPr="00153921" w:rsidRDefault="00EB59C9" w:rsidP="006049F0">
            <w:pPr>
              <w:spacing w:after="0" w:line="276" w:lineRule="auto"/>
              <w:jc w:val="both"/>
              <w:rPr>
                <w:rFonts w:ascii="Arial" w:eastAsia="Times New Roman" w:hAnsi="Arial" w:cs="Arial"/>
                <w:color w:val="000000"/>
                <w:sz w:val="18"/>
                <w:szCs w:val="18"/>
                <w:lang w:eastAsia="es-ES"/>
              </w:rPr>
            </w:pPr>
            <w:r w:rsidRPr="00153921">
              <w:rPr>
                <w:rFonts w:ascii="Arial" w:eastAsia="Times New Roman" w:hAnsi="Arial" w:cs="Arial"/>
                <w:color w:val="000000"/>
                <w:sz w:val="18"/>
                <w:szCs w:val="18"/>
                <w:lang w:eastAsia="es-ES"/>
              </w:rPr>
              <w:t xml:space="preserve">SER Radio Valencia. </w:t>
            </w:r>
            <w:r w:rsidRPr="00153921">
              <w:rPr>
                <w:rFonts w:ascii="Arial" w:eastAsia="Times New Roman" w:hAnsi="Arial" w:cs="Arial"/>
                <w:i/>
                <w:sz w:val="18"/>
                <w:szCs w:val="18"/>
                <w:lang w:eastAsia="es-ES"/>
              </w:rPr>
              <w:t>València</w:t>
            </w:r>
          </w:p>
          <w:p w14:paraId="057B9197" w14:textId="77777777" w:rsidR="00EB59C9" w:rsidRPr="00153921" w:rsidRDefault="00EB59C9" w:rsidP="006049F0">
            <w:pPr>
              <w:spacing w:after="0" w:line="276" w:lineRule="auto"/>
              <w:jc w:val="both"/>
              <w:rPr>
                <w:rFonts w:ascii="Arial" w:eastAsia="Times New Roman" w:hAnsi="Arial" w:cs="Arial"/>
                <w:color w:val="000000"/>
                <w:sz w:val="18"/>
                <w:szCs w:val="18"/>
                <w:lang w:eastAsia="es-ES"/>
              </w:rPr>
            </w:pPr>
            <w:r w:rsidRPr="00153921">
              <w:rPr>
                <w:rFonts w:ascii="Arial" w:eastAsia="Times New Roman" w:hAnsi="Arial" w:cs="Arial"/>
                <w:color w:val="000000"/>
                <w:sz w:val="18"/>
                <w:szCs w:val="18"/>
                <w:lang w:eastAsia="es-ES"/>
              </w:rPr>
              <w:t>Acto en conmemoración del 90 aniversario de Radio Valencia.</w:t>
            </w:r>
          </w:p>
          <w:p w14:paraId="708D0932" w14:textId="77777777" w:rsidR="00EB59C9" w:rsidRPr="00153921" w:rsidRDefault="00AF48E6" w:rsidP="006049F0">
            <w:pPr>
              <w:spacing w:after="0" w:line="276" w:lineRule="auto"/>
              <w:jc w:val="both"/>
              <w:rPr>
                <w:rFonts w:ascii="Arial" w:hAnsi="Arial" w:cs="Arial"/>
                <w:sz w:val="18"/>
                <w:szCs w:val="18"/>
              </w:rPr>
            </w:pPr>
            <w:hyperlink r:id="rId97" w:history="1">
              <w:r w:rsidR="00EB59C9" w:rsidRPr="00153921">
                <w:rPr>
                  <w:rStyle w:val="Hipervnculo"/>
                  <w:rFonts w:ascii="Arial" w:eastAsia="Times New Roman" w:hAnsi="Arial" w:cs="Arial"/>
                  <w:sz w:val="18"/>
                  <w:szCs w:val="18"/>
                  <w:lang w:eastAsia="es-ES"/>
                </w:rPr>
                <w:t>https://cadenaser.com/emisora/2021/12/21/radio_valencia/1640079185_445942.html</w:t>
              </w:r>
            </w:hyperlink>
            <w:r w:rsidR="00EB59C9" w:rsidRPr="00153921">
              <w:rPr>
                <w:rFonts w:ascii="Arial" w:eastAsia="Times New Roman" w:hAnsi="Arial" w:cs="Arial"/>
                <w:color w:val="000000"/>
                <w:sz w:val="18"/>
                <w:szCs w:val="18"/>
                <w:lang w:eastAsia="es-ES"/>
              </w:rPr>
              <w:t xml:space="preserve"> </w:t>
            </w:r>
          </w:p>
        </w:tc>
      </w:tr>
      <w:tr w:rsidR="00EB59C9" w14:paraId="2D463156" w14:textId="77777777" w:rsidTr="006F0C5C">
        <w:trPr>
          <w:gridAfter w:val="1"/>
          <w:wAfter w:w="21" w:type="dxa"/>
          <w:trHeight w:val="397"/>
        </w:trPr>
        <w:tc>
          <w:tcPr>
            <w:tcW w:w="1560" w:type="dxa"/>
            <w:tcBorders>
              <w:bottom w:val="single" w:sz="6" w:space="0" w:color="993333"/>
            </w:tcBorders>
            <w:shd w:val="clear" w:color="auto" w:fill="auto"/>
            <w:tcMar>
              <w:top w:w="0" w:type="dxa"/>
            </w:tcMar>
            <w:vAlign w:val="center"/>
          </w:tcPr>
          <w:p w14:paraId="30D2C835" w14:textId="77777777" w:rsidR="00EB59C9" w:rsidRPr="00153921" w:rsidRDefault="00EB59C9" w:rsidP="006049F0">
            <w:pPr>
              <w:spacing w:after="0" w:line="276" w:lineRule="auto"/>
              <w:rPr>
                <w:rFonts w:ascii="Arial" w:eastAsia="Times New Roman" w:hAnsi="Arial" w:cs="Arial"/>
                <w:sz w:val="18"/>
                <w:szCs w:val="18"/>
                <w:lang w:eastAsia="es-ES"/>
              </w:rPr>
            </w:pPr>
            <w:r w:rsidRPr="00153921">
              <w:rPr>
                <w:rFonts w:ascii="Arial" w:eastAsia="Times New Roman" w:hAnsi="Arial" w:cs="Arial"/>
                <w:color w:val="000000"/>
                <w:sz w:val="18"/>
                <w:szCs w:val="18"/>
                <w:lang w:eastAsia="es-ES"/>
              </w:rPr>
              <w:t>27-29 de septiembre</w:t>
            </w:r>
          </w:p>
        </w:tc>
        <w:tc>
          <w:tcPr>
            <w:tcW w:w="6945" w:type="dxa"/>
            <w:tcBorders>
              <w:bottom w:val="single" w:sz="6" w:space="0" w:color="993333"/>
            </w:tcBorders>
            <w:shd w:val="clear" w:color="auto" w:fill="auto"/>
            <w:tcMar>
              <w:top w:w="0" w:type="dxa"/>
            </w:tcMar>
          </w:tcPr>
          <w:p w14:paraId="21576F80" w14:textId="77777777" w:rsidR="00EB59C9" w:rsidRPr="00153921" w:rsidRDefault="00EB59C9" w:rsidP="006049F0">
            <w:pPr>
              <w:spacing w:after="0" w:line="276" w:lineRule="auto"/>
              <w:jc w:val="both"/>
              <w:rPr>
                <w:rFonts w:ascii="Arial" w:eastAsia="Times New Roman" w:hAnsi="Arial" w:cs="Arial"/>
                <w:color w:val="000000"/>
                <w:sz w:val="18"/>
                <w:szCs w:val="18"/>
                <w:lang w:eastAsia="es-ES"/>
              </w:rPr>
            </w:pPr>
            <w:r w:rsidRPr="00153921">
              <w:rPr>
                <w:rFonts w:ascii="Arial" w:eastAsia="Times New Roman" w:hAnsi="Arial" w:cs="Arial"/>
                <w:color w:val="000000"/>
                <w:sz w:val="18"/>
                <w:szCs w:val="18"/>
                <w:lang w:eastAsia="es-ES"/>
              </w:rPr>
              <w:t xml:space="preserve">VI Congreso Internacional de Transparencia. </w:t>
            </w:r>
            <w:r w:rsidRPr="00153921">
              <w:rPr>
                <w:rFonts w:ascii="Arial" w:eastAsia="Times New Roman" w:hAnsi="Arial" w:cs="Arial"/>
                <w:i/>
                <w:sz w:val="18"/>
                <w:szCs w:val="18"/>
                <w:lang w:eastAsia="es-ES"/>
              </w:rPr>
              <w:t>Alicante</w:t>
            </w:r>
          </w:p>
          <w:p w14:paraId="325D3799" w14:textId="77777777" w:rsidR="00EB59C9" w:rsidRPr="00153921" w:rsidRDefault="00EB59C9" w:rsidP="006049F0">
            <w:pPr>
              <w:spacing w:after="0" w:line="276" w:lineRule="auto"/>
              <w:jc w:val="both"/>
              <w:rPr>
                <w:rFonts w:ascii="Arial" w:eastAsia="Times New Roman" w:hAnsi="Arial" w:cs="Arial"/>
                <w:color w:val="000000"/>
                <w:sz w:val="18"/>
                <w:szCs w:val="18"/>
                <w:lang w:eastAsia="es-ES"/>
              </w:rPr>
            </w:pPr>
            <w:r w:rsidRPr="00153921">
              <w:rPr>
                <w:rFonts w:ascii="Arial" w:eastAsia="Times New Roman" w:hAnsi="Arial" w:cs="Arial"/>
                <w:color w:val="000000"/>
                <w:sz w:val="18"/>
                <w:szCs w:val="18"/>
                <w:lang w:eastAsia="es-ES"/>
              </w:rPr>
              <w:t>Asistencia presencial al Congreso Internacional de Transparencia, celebrado en la Universidad de Alicante.</w:t>
            </w:r>
          </w:p>
          <w:p w14:paraId="3D2AC7F7" w14:textId="77777777" w:rsidR="00EB59C9" w:rsidRPr="00153921" w:rsidRDefault="00AF48E6" w:rsidP="006049F0">
            <w:pPr>
              <w:spacing w:after="0" w:line="276" w:lineRule="auto"/>
              <w:jc w:val="both"/>
              <w:rPr>
                <w:rFonts w:ascii="Arial" w:eastAsia="Times New Roman" w:hAnsi="Arial" w:cs="Arial"/>
                <w:color w:val="000000"/>
                <w:sz w:val="18"/>
                <w:szCs w:val="18"/>
                <w:lang w:eastAsia="es-ES"/>
              </w:rPr>
            </w:pPr>
            <w:hyperlink r:id="rId98" w:history="1">
              <w:r w:rsidR="00EB59C9" w:rsidRPr="00153921">
                <w:rPr>
                  <w:rStyle w:val="Hipervnculo"/>
                  <w:rFonts w:ascii="Arial" w:eastAsia="Times New Roman" w:hAnsi="Arial" w:cs="Arial"/>
                  <w:sz w:val="18"/>
                  <w:szCs w:val="18"/>
                  <w:lang w:eastAsia="es-ES"/>
                </w:rPr>
                <w:t>https://congresotransparencia.com/programa-alicante/</w:t>
              </w:r>
            </w:hyperlink>
            <w:r w:rsidR="00EB59C9" w:rsidRPr="00153921">
              <w:rPr>
                <w:rFonts w:ascii="Arial" w:eastAsia="Times New Roman" w:hAnsi="Arial" w:cs="Arial"/>
                <w:color w:val="000000"/>
                <w:sz w:val="18"/>
                <w:szCs w:val="18"/>
                <w:lang w:eastAsia="es-ES"/>
              </w:rPr>
              <w:t xml:space="preserve"> </w:t>
            </w:r>
          </w:p>
        </w:tc>
      </w:tr>
      <w:tr w:rsidR="00EB59C9" w14:paraId="65A02400" w14:textId="77777777" w:rsidTr="006F0C5C">
        <w:trPr>
          <w:gridAfter w:val="1"/>
          <w:wAfter w:w="21" w:type="dxa"/>
          <w:trHeight w:val="397"/>
        </w:trPr>
        <w:tc>
          <w:tcPr>
            <w:tcW w:w="1560" w:type="dxa"/>
            <w:tcBorders>
              <w:bottom w:val="single" w:sz="6" w:space="0" w:color="993333"/>
            </w:tcBorders>
            <w:shd w:val="clear" w:color="auto" w:fill="auto"/>
            <w:tcMar>
              <w:top w:w="0" w:type="dxa"/>
            </w:tcMar>
            <w:vAlign w:val="center"/>
          </w:tcPr>
          <w:p w14:paraId="78DF8B94" w14:textId="77777777" w:rsidR="00EB59C9" w:rsidRPr="00153921" w:rsidRDefault="00EB59C9" w:rsidP="006049F0">
            <w:pPr>
              <w:spacing w:after="0" w:line="276" w:lineRule="auto"/>
              <w:rPr>
                <w:rFonts w:ascii="Arial" w:eastAsia="Times New Roman" w:hAnsi="Arial" w:cs="Arial"/>
                <w:sz w:val="18"/>
                <w:szCs w:val="18"/>
                <w:lang w:eastAsia="es-ES"/>
              </w:rPr>
            </w:pPr>
            <w:r w:rsidRPr="00153921">
              <w:rPr>
                <w:rFonts w:ascii="Arial" w:eastAsia="Times New Roman" w:hAnsi="Arial" w:cs="Arial"/>
                <w:color w:val="000000"/>
                <w:sz w:val="18"/>
                <w:szCs w:val="18"/>
                <w:lang w:eastAsia="es-ES"/>
              </w:rPr>
              <w:t>21 de octubre</w:t>
            </w:r>
          </w:p>
        </w:tc>
        <w:tc>
          <w:tcPr>
            <w:tcW w:w="6945" w:type="dxa"/>
            <w:tcBorders>
              <w:bottom w:val="single" w:sz="6" w:space="0" w:color="993333"/>
            </w:tcBorders>
            <w:shd w:val="clear" w:color="auto" w:fill="auto"/>
            <w:tcMar>
              <w:top w:w="0" w:type="dxa"/>
            </w:tcMar>
          </w:tcPr>
          <w:p w14:paraId="32FA96B7" w14:textId="77777777" w:rsidR="00EB59C9" w:rsidRPr="00153921" w:rsidRDefault="00EB59C9" w:rsidP="006049F0">
            <w:pPr>
              <w:spacing w:after="0" w:line="276" w:lineRule="auto"/>
              <w:jc w:val="both"/>
              <w:rPr>
                <w:rFonts w:ascii="Arial" w:eastAsia="Times New Roman" w:hAnsi="Arial" w:cs="Arial"/>
                <w:color w:val="000000"/>
                <w:sz w:val="18"/>
                <w:szCs w:val="18"/>
                <w:lang w:eastAsia="es-ES"/>
              </w:rPr>
            </w:pPr>
            <w:r w:rsidRPr="00153921">
              <w:rPr>
                <w:rFonts w:ascii="Arial" w:eastAsia="Times New Roman" w:hAnsi="Arial" w:cs="Arial"/>
                <w:color w:val="000000"/>
                <w:sz w:val="18"/>
                <w:szCs w:val="18"/>
                <w:lang w:eastAsia="es-ES"/>
              </w:rPr>
              <w:t xml:space="preserve">Universidad CEU – Cardenal Herrera. </w:t>
            </w:r>
            <w:r w:rsidRPr="00153921">
              <w:rPr>
                <w:rFonts w:ascii="Arial" w:eastAsia="Times New Roman" w:hAnsi="Arial" w:cs="Arial"/>
                <w:i/>
                <w:color w:val="000000"/>
                <w:sz w:val="18"/>
                <w:szCs w:val="18"/>
                <w:lang w:eastAsia="es-ES"/>
              </w:rPr>
              <w:t>Alfara del Patriarca</w:t>
            </w:r>
          </w:p>
          <w:p w14:paraId="5274BE53" w14:textId="77777777" w:rsidR="00EB59C9" w:rsidRPr="00153921" w:rsidRDefault="00EB59C9" w:rsidP="006049F0">
            <w:pPr>
              <w:spacing w:after="0" w:line="276" w:lineRule="auto"/>
              <w:jc w:val="both"/>
              <w:rPr>
                <w:rFonts w:ascii="Arial" w:eastAsia="Times New Roman" w:hAnsi="Arial" w:cs="Arial"/>
                <w:color w:val="000000"/>
                <w:sz w:val="18"/>
                <w:szCs w:val="18"/>
                <w:lang w:eastAsia="es-ES"/>
              </w:rPr>
            </w:pPr>
            <w:r w:rsidRPr="00153921">
              <w:rPr>
                <w:rFonts w:ascii="Arial" w:eastAsia="Times New Roman" w:hAnsi="Arial" w:cs="Arial"/>
                <w:color w:val="000000"/>
                <w:sz w:val="18"/>
                <w:szCs w:val="18"/>
                <w:lang w:eastAsia="es-ES"/>
              </w:rPr>
              <w:t>Acto entrega de los Sellos Infoparticipa 2020.</w:t>
            </w:r>
          </w:p>
          <w:p w14:paraId="63B659CE" w14:textId="77777777" w:rsidR="00EB59C9" w:rsidRPr="00153921" w:rsidRDefault="00AF48E6" w:rsidP="006049F0">
            <w:pPr>
              <w:spacing w:after="0" w:line="276" w:lineRule="auto"/>
              <w:jc w:val="both"/>
              <w:rPr>
                <w:rFonts w:ascii="Arial" w:hAnsi="Arial" w:cs="Arial"/>
                <w:sz w:val="18"/>
                <w:szCs w:val="18"/>
              </w:rPr>
            </w:pPr>
            <w:hyperlink r:id="rId99" w:history="1">
              <w:r w:rsidR="00EB59C9" w:rsidRPr="00153921">
                <w:rPr>
                  <w:rStyle w:val="Hipervnculo"/>
                  <w:rFonts w:ascii="Arial" w:hAnsi="Arial" w:cs="Arial"/>
                  <w:sz w:val="18"/>
                  <w:szCs w:val="18"/>
                </w:rPr>
                <w:t>https://www.antifraucv.es/los-ayuntamientos-y-diputaciones-mas-transparentes-de-la-comunidad-valenciana-recogen-en-la-ceu-uch-los-sellos-infoparticipa-2020/</w:t>
              </w:r>
            </w:hyperlink>
            <w:r w:rsidR="00EB59C9" w:rsidRPr="00153921">
              <w:rPr>
                <w:rFonts w:ascii="Arial" w:hAnsi="Arial" w:cs="Arial"/>
                <w:sz w:val="18"/>
                <w:szCs w:val="18"/>
              </w:rPr>
              <w:t xml:space="preserve"> </w:t>
            </w:r>
          </w:p>
        </w:tc>
      </w:tr>
    </w:tbl>
    <w:p w14:paraId="53FB1CF6" w14:textId="68F6829C" w:rsidR="00A12857" w:rsidRDefault="00A12857" w:rsidP="00A12857">
      <w:pPr>
        <w:rPr>
          <w:rFonts w:ascii="Arial" w:eastAsia="Times New Roman" w:hAnsi="Arial" w:cs="Arial"/>
          <w:bCs/>
          <w:sz w:val="21"/>
          <w:szCs w:val="21"/>
        </w:rPr>
      </w:pPr>
    </w:p>
    <w:p w14:paraId="09049428" w14:textId="4C181C1B" w:rsidR="00AE10B3" w:rsidRDefault="00AE10B3" w:rsidP="0062597C">
      <w:pPr>
        <w:pStyle w:val="Prrafodelista"/>
        <w:keepNext/>
        <w:numPr>
          <w:ilvl w:val="1"/>
          <w:numId w:val="15"/>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29" w:name="_Toc99106971"/>
      <w:r>
        <w:rPr>
          <w:rFonts w:ascii="Arial" w:eastAsia="Times New Roman" w:hAnsi="Arial" w:cs="Arial"/>
          <w:b/>
          <w:color w:val="9D2235"/>
          <w:sz w:val="32"/>
          <w:szCs w:val="32"/>
        </w:rPr>
        <w:t>Conferencias impartidas</w:t>
      </w:r>
      <w:bookmarkEnd w:id="29"/>
    </w:p>
    <w:p w14:paraId="021A2055" w14:textId="77777777" w:rsidR="00D570C1" w:rsidRPr="00D570C1" w:rsidRDefault="00D570C1" w:rsidP="00153921">
      <w:pPr>
        <w:spacing w:after="360" w:line="276" w:lineRule="auto"/>
        <w:jc w:val="both"/>
        <w:rPr>
          <w:rFonts w:ascii="Arial" w:eastAsia="Times New Roman" w:hAnsi="Arial" w:cs="Arial"/>
          <w:sz w:val="21"/>
          <w:szCs w:val="21"/>
          <w:lang w:eastAsia="es-ES"/>
        </w:rPr>
      </w:pPr>
      <w:r w:rsidRPr="00D570C1">
        <w:rPr>
          <w:rFonts w:ascii="Arial" w:eastAsia="Times New Roman" w:hAnsi="Arial" w:cs="Arial"/>
          <w:sz w:val="21"/>
          <w:szCs w:val="21"/>
          <w:lang w:eastAsia="es-ES"/>
        </w:rPr>
        <w:t>Asimismo, el director de la Agencia ha pronunciado las siguientes conferencias a lo largo de 2021. Las conferencias han tenido lugar tanto en la Comunitat Valenciana como en el resto de España, y todas se refieren a la prevención y la erradicación del fraude y la corrupción, el impulso de la integridad y la ética pública, el fomento de una cultura de buenas prácticas en el diseño, la ejecución y la evaluación de políticas públicas, así como en la gestión de recursos públicos, que son los ejes fundamentales de la actuación de esta Agencia.</w:t>
      </w:r>
    </w:p>
    <w:p w14:paraId="0B12799D" w14:textId="77777777" w:rsidR="00D570C1" w:rsidRPr="00D570C1" w:rsidRDefault="00D570C1" w:rsidP="00153921">
      <w:pPr>
        <w:spacing w:after="360" w:line="276" w:lineRule="auto"/>
        <w:jc w:val="both"/>
        <w:rPr>
          <w:rFonts w:ascii="Arial" w:eastAsia="Times New Roman" w:hAnsi="Arial" w:cs="Arial"/>
          <w:sz w:val="21"/>
          <w:szCs w:val="21"/>
          <w:lang w:eastAsia="es-ES"/>
        </w:rPr>
      </w:pPr>
      <w:r w:rsidRPr="00D570C1">
        <w:rPr>
          <w:rFonts w:ascii="Arial" w:eastAsia="Times New Roman" w:hAnsi="Arial" w:cs="Arial"/>
          <w:sz w:val="21"/>
          <w:szCs w:val="21"/>
          <w:lang w:eastAsia="es-ES"/>
        </w:rPr>
        <w:t>Todas estas actividades las ha llevado a cabo el director de la Agencia en razón de su cargo y, por tanto, sin recibir ningún tipo de contraprestación económica.</w:t>
      </w:r>
    </w:p>
    <w:p w14:paraId="41ECDE83" w14:textId="066B5959" w:rsidR="00E1158C" w:rsidRPr="00E1158C" w:rsidRDefault="00E1158C" w:rsidP="00E1158C">
      <w:pPr>
        <w:pStyle w:val="Descripcin"/>
        <w:keepNext/>
        <w:spacing w:after="120" w:line="276" w:lineRule="auto"/>
        <w:rPr>
          <w:rFonts w:ascii="Arial" w:hAnsi="Arial" w:cs="Arial"/>
          <w:smallCaps w:val="0"/>
          <w:sz w:val="18"/>
          <w:szCs w:val="18"/>
        </w:rPr>
      </w:pPr>
      <w:bookmarkStart w:id="30" w:name="_Toc99107140"/>
      <w:r w:rsidRPr="00E1158C">
        <w:rPr>
          <w:rFonts w:ascii="Arial" w:hAnsi="Arial" w:cs="Arial"/>
          <w:smallCaps w:val="0"/>
          <w:color w:val="9D2235" w:themeColor="accent1"/>
          <w:sz w:val="18"/>
          <w:szCs w:val="18"/>
        </w:rPr>
        <w:t xml:space="preserve">Tabla </w:t>
      </w:r>
      <w:r w:rsidRPr="00E1158C">
        <w:rPr>
          <w:rFonts w:ascii="Arial" w:hAnsi="Arial" w:cs="Arial"/>
          <w:smallCaps w:val="0"/>
          <w:color w:val="9D2235" w:themeColor="accent1"/>
          <w:sz w:val="18"/>
          <w:szCs w:val="18"/>
        </w:rPr>
        <w:fldChar w:fldCharType="begin" w:fldLock="1"/>
      </w:r>
      <w:r w:rsidRPr="00E1158C">
        <w:rPr>
          <w:rFonts w:ascii="Arial" w:hAnsi="Arial" w:cs="Arial"/>
          <w:smallCaps w:val="0"/>
          <w:color w:val="9D2235" w:themeColor="accent1"/>
          <w:sz w:val="18"/>
          <w:szCs w:val="18"/>
        </w:rPr>
        <w:instrText xml:space="preserve"> SEQ Tabla \* ARABIC </w:instrText>
      </w:r>
      <w:r w:rsidRPr="00E1158C">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w:t>
      </w:r>
      <w:r w:rsidRPr="00E1158C">
        <w:rPr>
          <w:rFonts w:ascii="Arial" w:hAnsi="Arial" w:cs="Arial"/>
          <w:smallCaps w:val="0"/>
          <w:color w:val="9D2235" w:themeColor="accent1"/>
          <w:sz w:val="18"/>
          <w:szCs w:val="18"/>
        </w:rPr>
        <w:fldChar w:fldCharType="end"/>
      </w:r>
      <w:r w:rsidRPr="00E1158C">
        <w:rPr>
          <w:rFonts w:ascii="Arial" w:hAnsi="Arial" w:cs="Arial"/>
          <w:smallCaps w:val="0"/>
          <w:color w:val="9D2235" w:themeColor="accent1"/>
          <w:sz w:val="18"/>
          <w:szCs w:val="18"/>
        </w:rPr>
        <w:t xml:space="preserve">. </w:t>
      </w:r>
      <w:r w:rsidRPr="00E1158C">
        <w:rPr>
          <w:rFonts w:ascii="Arial" w:hAnsi="Arial" w:cs="Arial"/>
          <w:smallCaps w:val="0"/>
          <w:sz w:val="18"/>
          <w:szCs w:val="18"/>
        </w:rPr>
        <w:t>Conferencias impartidas por la Agencia</w:t>
      </w:r>
      <w:bookmarkEnd w:id="30"/>
    </w:p>
    <w:tbl>
      <w:tblPr>
        <w:tblW w:w="0" w:type="auto"/>
        <w:tblLayout w:type="fixed"/>
        <w:tblCellMar>
          <w:left w:w="0" w:type="dxa"/>
          <w:bottom w:w="28" w:type="dxa"/>
          <w:right w:w="0" w:type="dxa"/>
        </w:tblCellMar>
        <w:tblLook w:val="04A0" w:firstRow="1" w:lastRow="0" w:firstColumn="1" w:lastColumn="0" w:noHBand="0" w:noVBand="1"/>
      </w:tblPr>
      <w:tblGrid>
        <w:gridCol w:w="1418"/>
        <w:gridCol w:w="7086"/>
      </w:tblGrid>
      <w:tr w:rsidR="00D570C1" w14:paraId="3486EDB0" w14:textId="77777777" w:rsidTr="005D344D">
        <w:trPr>
          <w:trHeight w:val="454"/>
          <w:tblHeader/>
        </w:trPr>
        <w:tc>
          <w:tcPr>
            <w:tcW w:w="1418" w:type="dxa"/>
            <w:tcBorders>
              <w:bottom w:val="single" w:sz="6" w:space="0" w:color="993333"/>
            </w:tcBorders>
            <w:shd w:val="clear" w:color="auto" w:fill="993333"/>
            <w:vAlign w:val="center"/>
          </w:tcPr>
          <w:p w14:paraId="17569C29" w14:textId="77777777" w:rsidR="00D570C1" w:rsidRPr="00A12857" w:rsidRDefault="00D570C1" w:rsidP="00BD00BC">
            <w:pPr>
              <w:rPr>
                <w:rFonts w:ascii="Arial" w:eastAsia="Times New Roman" w:hAnsi="Arial" w:cs="Arial"/>
                <w:sz w:val="20"/>
                <w:szCs w:val="20"/>
                <w:lang w:eastAsia="es-ES"/>
              </w:rPr>
            </w:pPr>
            <w:r w:rsidRPr="00A12857">
              <w:rPr>
                <w:rFonts w:ascii="Arial" w:eastAsia="Times New Roman" w:hAnsi="Arial" w:cs="Arial"/>
                <w:b/>
                <w:bCs/>
                <w:color w:val="FFFFFF"/>
                <w:sz w:val="20"/>
                <w:szCs w:val="20"/>
                <w:lang w:eastAsia="es-ES"/>
              </w:rPr>
              <w:t>Fecha</w:t>
            </w:r>
          </w:p>
        </w:tc>
        <w:tc>
          <w:tcPr>
            <w:tcW w:w="7086" w:type="dxa"/>
            <w:tcBorders>
              <w:bottom w:val="single" w:sz="6" w:space="0" w:color="993333"/>
            </w:tcBorders>
            <w:shd w:val="clear" w:color="auto" w:fill="993333"/>
          </w:tcPr>
          <w:p w14:paraId="70B19574" w14:textId="77777777" w:rsidR="00D570C1" w:rsidRPr="00A12857" w:rsidRDefault="00D570C1" w:rsidP="00BD00BC">
            <w:pPr>
              <w:rPr>
                <w:rFonts w:ascii="Arial" w:eastAsia="Times New Roman" w:hAnsi="Arial" w:cs="Arial"/>
                <w:b/>
                <w:bCs/>
                <w:color w:val="FFFFFF"/>
                <w:sz w:val="20"/>
                <w:szCs w:val="20"/>
                <w:lang w:eastAsia="es-ES"/>
              </w:rPr>
            </w:pPr>
            <w:r w:rsidRPr="00A12857">
              <w:rPr>
                <w:rFonts w:ascii="Arial" w:eastAsia="Times New Roman" w:hAnsi="Arial" w:cs="Arial"/>
                <w:b/>
                <w:bCs/>
                <w:color w:val="FFFFFF"/>
                <w:sz w:val="20"/>
                <w:szCs w:val="20"/>
                <w:lang w:eastAsia="es-ES"/>
              </w:rPr>
              <w:t xml:space="preserve">Entidad </w:t>
            </w:r>
            <w:r w:rsidRPr="00A12857">
              <w:rPr>
                <w:rFonts w:ascii="Arial" w:eastAsia="Times New Roman" w:hAnsi="Arial" w:cs="Arial"/>
                <w:b/>
                <w:bCs/>
                <w:i/>
                <w:color w:val="FFFFFF"/>
                <w:sz w:val="20"/>
                <w:szCs w:val="20"/>
                <w:lang w:eastAsia="es-ES"/>
              </w:rPr>
              <w:t>Lugar</w:t>
            </w:r>
          </w:p>
          <w:p w14:paraId="67BF64B2" w14:textId="77777777" w:rsidR="00D570C1" w:rsidRPr="00A12857" w:rsidRDefault="00D570C1" w:rsidP="00BD00BC">
            <w:pPr>
              <w:rPr>
                <w:rFonts w:ascii="Arial" w:eastAsia="Times New Roman" w:hAnsi="Arial" w:cs="Arial"/>
                <w:b/>
                <w:bCs/>
                <w:color w:val="FFFFFF"/>
                <w:sz w:val="20"/>
                <w:szCs w:val="20"/>
                <w:lang w:eastAsia="es-ES"/>
              </w:rPr>
            </w:pPr>
            <w:r w:rsidRPr="00A12857">
              <w:rPr>
                <w:rFonts w:ascii="Arial" w:eastAsia="Times New Roman" w:hAnsi="Arial" w:cs="Arial"/>
                <w:b/>
                <w:bCs/>
                <w:color w:val="FFFFFF"/>
                <w:sz w:val="20"/>
                <w:szCs w:val="20"/>
                <w:lang w:eastAsia="es-ES"/>
              </w:rPr>
              <w:t>ACTIVIDAD</w:t>
            </w:r>
          </w:p>
        </w:tc>
      </w:tr>
      <w:tr w:rsidR="00D570C1" w14:paraId="3F9AD54D" w14:textId="77777777" w:rsidTr="005D344D">
        <w:trPr>
          <w:trHeight w:val="454"/>
        </w:trPr>
        <w:tc>
          <w:tcPr>
            <w:tcW w:w="1418" w:type="dxa"/>
            <w:tcBorders>
              <w:bottom w:val="single" w:sz="6" w:space="0" w:color="993333"/>
            </w:tcBorders>
            <w:shd w:val="clear" w:color="auto" w:fill="auto"/>
            <w:vAlign w:val="center"/>
          </w:tcPr>
          <w:p w14:paraId="74B03D2A" w14:textId="1C270DAA" w:rsidR="00D570C1" w:rsidRPr="00A12857" w:rsidRDefault="00D570C1" w:rsidP="005D344D">
            <w:pPr>
              <w:rPr>
                <w:rFonts w:ascii="Arial" w:eastAsia="Times New Roman" w:hAnsi="Arial" w:cs="Arial"/>
                <w:sz w:val="18"/>
                <w:szCs w:val="18"/>
                <w:lang w:eastAsia="es-ES"/>
              </w:rPr>
            </w:pPr>
            <w:r w:rsidRPr="00A12857">
              <w:rPr>
                <w:rFonts w:ascii="Arial" w:eastAsia="Times New Roman" w:hAnsi="Arial" w:cs="Arial"/>
                <w:color w:val="000000"/>
                <w:sz w:val="18"/>
                <w:szCs w:val="18"/>
                <w:lang w:eastAsia="es-ES"/>
              </w:rPr>
              <w:t>3 de febrero</w:t>
            </w:r>
          </w:p>
        </w:tc>
        <w:tc>
          <w:tcPr>
            <w:tcW w:w="7086" w:type="dxa"/>
            <w:tcBorders>
              <w:bottom w:val="single" w:sz="6" w:space="0" w:color="993333"/>
            </w:tcBorders>
            <w:shd w:val="clear" w:color="auto" w:fill="auto"/>
          </w:tcPr>
          <w:p w14:paraId="28277C08" w14:textId="77777777" w:rsidR="00D570C1" w:rsidRPr="00A12857" w:rsidRDefault="00D570C1" w:rsidP="005D344D">
            <w:pPr>
              <w:spacing w:after="0" w:line="276" w:lineRule="auto"/>
              <w:jc w:val="both"/>
              <w:rPr>
                <w:rFonts w:ascii="Arial" w:eastAsia="Times New Roman" w:hAnsi="Arial" w:cs="Arial"/>
                <w:color w:val="666666"/>
                <w:sz w:val="18"/>
                <w:szCs w:val="18"/>
                <w:lang w:eastAsia="es-ES"/>
              </w:rPr>
            </w:pPr>
            <w:r w:rsidRPr="00A12857">
              <w:rPr>
                <w:rFonts w:ascii="Arial" w:eastAsia="Times New Roman" w:hAnsi="Arial" w:cs="Arial"/>
                <w:color w:val="666666"/>
                <w:sz w:val="18"/>
                <w:szCs w:val="18"/>
                <w:lang w:eastAsia="es-ES"/>
              </w:rPr>
              <w:t xml:space="preserve">Colegio de Registradores de España. </w:t>
            </w:r>
            <w:r w:rsidRPr="00A12857">
              <w:rPr>
                <w:rFonts w:ascii="Arial" w:eastAsia="Times New Roman" w:hAnsi="Arial" w:cs="Arial"/>
                <w:i/>
                <w:sz w:val="18"/>
                <w:szCs w:val="18"/>
                <w:lang w:eastAsia="es-ES"/>
              </w:rPr>
              <w:t>Virtual</w:t>
            </w:r>
          </w:p>
          <w:p w14:paraId="0DCDF77B" w14:textId="77777777" w:rsidR="00D570C1" w:rsidRPr="00A12857" w:rsidRDefault="00D570C1" w:rsidP="005D344D">
            <w:pPr>
              <w:spacing w:after="0" w:line="276" w:lineRule="auto"/>
              <w:jc w:val="both"/>
              <w:rPr>
                <w:rFonts w:ascii="Arial" w:eastAsia="Times New Roman" w:hAnsi="Arial" w:cs="Arial"/>
                <w:b/>
                <w:sz w:val="18"/>
                <w:szCs w:val="18"/>
                <w:lang w:eastAsia="es-ES"/>
              </w:rPr>
            </w:pPr>
            <w:r w:rsidRPr="00A12857">
              <w:rPr>
                <w:rFonts w:ascii="Arial" w:eastAsia="Times New Roman" w:hAnsi="Arial" w:cs="Arial"/>
                <w:b/>
                <w:sz w:val="18"/>
                <w:szCs w:val="18"/>
                <w:lang w:eastAsia="es-ES"/>
              </w:rPr>
              <w:t>La protección de los denunciantes: de asignatura pendiente a realidad</w:t>
            </w:r>
          </w:p>
          <w:p w14:paraId="319BE27B" w14:textId="4969BDCB" w:rsidR="00D570C1" w:rsidRPr="00A12857" w:rsidRDefault="00D570C1" w:rsidP="005D344D">
            <w:pPr>
              <w:spacing w:after="0" w:line="276" w:lineRule="auto"/>
              <w:jc w:val="both"/>
              <w:rPr>
                <w:rFonts w:ascii="Arial" w:eastAsia="Times New Roman" w:hAnsi="Arial" w:cs="Arial"/>
                <w:color w:val="000000"/>
                <w:sz w:val="18"/>
                <w:szCs w:val="18"/>
                <w:lang w:eastAsia="es-ES"/>
              </w:rPr>
            </w:pPr>
            <w:r w:rsidRPr="00A12857">
              <w:rPr>
                <w:rFonts w:ascii="Arial" w:eastAsia="Times New Roman" w:hAnsi="Arial" w:cs="Arial"/>
                <w:color w:val="000000"/>
                <w:sz w:val="18"/>
                <w:szCs w:val="18"/>
                <w:lang w:eastAsia="es-ES"/>
              </w:rPr>
              <w:t>Ponencia en el marco del I Foro de debate “R”</w:t>
            </w:r>
            <w:r w:rsidR="006F0C5C">
              <w:rPr>
                <w:rFonts w:ascii="Arial" w:eastAsia="Times New Roman" w:hAnsi="Arial" w:cs="Arial"/>
                <w:color w:val="000000"/>
                <w:sz w:val="18"/>
                <w:szCs w:val="18"/>
                <w:lang w:eastAsia="es-ES"/>
              </w:rPr>
              <w:t>,</w:t>
            </w:r>
            <w:r w:rsidRPr="00A12857">
              <w:rPr>
                <w:rFonts w:ascii="Arial" w:eastAsia="Times New Roman" w:hAnsi="Arial" w:cs="Arial"/>
                <w:color w:val="000000"/>
                <w:sz w:val="18"/>
                <w:szCs w:val="18"/>
                <w:lang w:eastAsia="es-ES"/>
              </w:rPr>
              <w:t xml:space="preserve"> organizado por el Colegio de Registradores de España en torno a la trasposición de la Directiva 2019/1937, Whistleblowing. </w:t>
            </w:r>
          </w:p>
          <w:p w14:paraId="444C5662" w14:textId="77777777" w:rsidR="00D570C1" w:rsidRPr="00A12857" w:rsidRDefault="00AF48E6" w:rsidP="005D344D">
            <w:pPr>
              <w:spacing w:after="0" w:line="276" w:lineRule="auto"/>
              <w:jc w:val="both"/>
              <w:rPr>
                <w:rFonts w:ascii="Arial" w:hAnsi="Arial" w:cs="Arial"/>
                <w:sz w:val="18"/>
                <w:szCs w:val="18"/>
              </w:rPr>
            </w:pPr>
            <w:hyperlink r:id="rId100" w:history="1">
              <w:r w:rsidR="00D570C1" w:rsidRPr="00A12857">
                <w:rPr>
                  <w:rStyle w:val="Hipervnculo"/>
                  <w:rFonts w:ascii="Arial" w:hAnsi="Arial" w:cs="Arial"/>
                  <w:sz w:val="18"/>
                  <w:szCs w:val="18"/>
                </w:rPr>
                <w:t>https://vimeo.com/507994078</w:t>
              </w:r>
            </w:hyperlink>
            <w:r w:rsidR="00D570C1" w:rsidRPr="00A12857">
              <w:rPr>
                <w:rFonts w:ascii="Arial" w:hAnsi="Arial" w:cs="Arial"/>
                <w:sz w:val="18"/>
                <w:szCs w:val="18"/>
              </w:rPr>
              <w:t xml:space="preserve"> </w:t>
            </w:r>
          </w:p>
        </w:tc>
      </w:tr>
      <w:tr w:rsidR="00D570C1" w14:paraId="65025F99" w14:textId="77777777" w:rsidTr="005D344D">
        <w:trPr>
          <w:trHeight w:val="454"/>
        </w:trPr>
        <w:tc>
          <w:tcPr>
            <w:tcW w:w="1418" w:type="dxa"/>
            <w:tcBorders>
              <w:bottom w:val="single" w:sz="8" w:space="0" w:color="993333"/>
            </w:tcBorders>
            <w:shd w:val="clear" w:color="auto" w:fill="auto"/>
            <w:vAlign w:val="center"/>
          </w:tcPr>
          <w:p w14:paraId="3ECB175F" w14:textId="19688756" w:rsidR="00D570C1" w:rsidRPr="00A12857" w:rsidRDefault="00D570C1" w:rsidP="005D344D">
            <w:pPr>
              <w:rPr>
                <w:rFonts w:ascii="Arial" w:eastAsia="Times New Roman" w:hAnsi="Arial" w:cs="Arial"/>
                <w:color w:val="000000"/>
                <w:sz w:val="18"/>
                <w:szCs w:val="18"/>
                <w:lang w:eastAsia="es-ES"/>
              </w:rPr>
            </w:pPr>
            <w:r w:rsidRPr="00A12857">
              <w:rPr>
                <w:rFonts w:ascii="Arial" w:eastAsia="Times New Roman" w:hAnsi="Arial" w:cs="Arial"/>
                <w:color w:val="000000"/>
                <w:sz w:val="18"/>
                <w:szCs w:val="18"/>
                <w:lang w:eastAsia="es-ES"/>
              </w:rPr>
              <w:t>10 de febrero</w:t>
            </w:r>
          </w:p>
        </w:tc>
        <w:tc>
          <w:tcPr>
            <w:tcW w:w="7086" w:type="dxa"/>
            <w:tcBorders>
              <w:bottom w:val="single" w:sz="8" w:space="0" w:color="993333"/>
            </w:tcBorders>
            <w:shd w:val="clear" w:color="auto" w:fill="auto"/>
          </w:tcPr>
          <w:p w14:paraId="104C5E52" w14:textId="77777777" w:rsidR="00D570C1" w:rsidRPr="00A12857" w:rsidRDefault="00D570C1" w:rsidP="008F610B">
            <w:pPr>
              <w:spacing w:after="0" w:line="276" w:lineRule="auto"/>
              <w:jc w:val="both"/>
              <w:rPr>
                <w:rFonts w:ascii="Arial" w:eastAsia="Times New Roman" w:hAnsi="Arial" w:cs="Arial"/>
                <w:sz w:val="18"/>
                <w:szCs w:val="18"/>
                <w:lang w:eastAsia="es-ES"/>
              </w:rPr>
            </w:pPr>
            <w:r w:rsidRPr="00A12857">
              <w:rPr>
                <w:rFonts w:ascii="Arial" w:eastAsia="Times New Roman" w:hAnsi="Arial" w:cs="Arial"/>
                <w:color w:val="666666"/>
                <w:sz w:val="18"/>
                <w:szCs w:val="18"/>
                <w:lang w:eastAsia="es-ES"/>
              </w:rPr>
              <w:t xml:space="preserve">Festival Humans Fest. </w:t>
            </w:r>
            <w:r w:rsidRPr="00A12857">
              <w:rPr>
                <w:rFonts w:ascii="Arial" w:eastAsia="Times New Roman" w:hAnsi="Arial" w:cs="Arial"/>
                <w:i/>
                <w:sz w:val="18"/>
                <w:szCs w:val="18"/>
                <w:lang w:eastAsia="es-ES"/>
              </w:rPr>
              <w:t>Virtual</w:t>
            </w:r>
          </w:p>
          <w:p w14:paraId="5CCB3C37"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Corrupción, un mal local de efectos globales</w:t>
            </w:r>
          </w:p>
          <w:p w14:paraId="7BD1EE4E" w14:textId="1F9ECB89" w:rsidR="00D570C1" w:rsidRPr="00A12857" w:rsidRDefault="00D570C1" w:rsidP="008F610B">
            <w:pPr>
              <w:spacing w:after="0" w:line="276" w:lineRule="auto"/>
              <w:jc w:val="both"/>
              <w:rPr>
                <w:rFonts w:ascii="Arial" w:eastAsia="Times New Roman" w:hAnsi="Arial" w:cs="Arial"/>
                <w:bCs/>
                <w:sz w:val="18"/>
                <w:szCs w:val="18"/>
                <w:lang w:eastAsia="es-ES"/>
              </w:rPr>
            </w:pPr>
            <w:r w:rsidRPr="00A12857">
              <w:rPr>
                <w:rFonts w:ascii="Arial" w:eastAsia="Times New Roman" w:hAnsi="Arial" w:cs="Arial"/>
                <w:bCs/>
                <w:sz w:val="18"/>
                <w:szCs w:val="18"/>
                <w:lang w:eastAsia="es-ES"/>
              </w:rPr>
              <w:t>Debate dentro del Festival Human Fest</w:t>
            </w:r>
            <w:r w:rsidR="006F0C5C">
              <w:rPr>
                <w:rFonts w:ascii="Arial" w:eastAsia="Times New Roman" w:hAnsi="Arial" w:cs="Arial"/>
                <w:bCs/>
                <w:sz w:val="18"/>
                <w:szCs w:val="18"/>
                <w:lang w:eastAsia="es-ES"/>
              </w:rPr>
              <w:t>,</w:t>
            </w:r>
            <w:r w:rsidRPr="00A12857">
              <w:rPr>
                <w:rFonts w:ascii="Arial" w:eastAsia="Times New Roman" w:hAnsi="Arial" w:cs="Arial"/>
                <w:bCs/>
                <w:sz w:val="18"/>
                <w:szCs w:val="18"/>
                <w:lang w:eastAsia="es-ES"/>
              </w:rPr>
              <w:t xml:space="preserve"> en el que se habló de la corrupción en un mundo globalizado. Moderado por Luis Manglano, coordinador de la asociación Jueces y Juezas para la Democracia</w:t>
            </w:r>
            <w:r w:rsidR="006F0C5C">
              <w:rPr>
                <w:rFonts w:ascii="Arial" w:eastAsia="Times New Roman" w:hAnsi="Arial" w:cs="Arial"/>
                <w:bCs/>
                <w:sz w:val="18"/>
                <w:szCs w:val="18"/>
                <w:lang w:eastAsia="es-ES"/>
              </w:rPr>
              <w:t>,</w:t>
            </w:r>
            <w:r w:rsidRPr="00A12857">
              <w:rPr>
                <w:rFonts w:ascii="Arial" w:eastAsia="Times New Roman" w:hAnsi="Arial" w:cs="Arial"/>
                <w:bCs/>
                <w:sz w:val="18"/>
                <w:szCs w:val="18"/>
                <w:lang w:eastAsia="es-ES"/>
              </w:rPr>
              <w:t xml:space="preserve"> contó con la participación de Nacho Gay, de Amnistía Internacional, Hervé Falciani y el director de la AVAF.</w:t>
            </w:r>
          </w:p>
          <w:p w14:paraId="3FB02EDB" w14:textId="77777777" w:rsidR="00D570C1" w:rsidRPr="00A12857" w:rsidRDefault="00AF48E6" w:rsidP="008F610B">
            <w:pPr>
              <w:spacing w:after="0" w:line="276" w:lineRule="auto"/>
              <w:jc w:val="both"/>
              <w:rPr>
                <w:rFonts w:ascii="Arial" w:eastAsia="Times New Roman" w:hAnsi="Arial" w:cs="Arial"/>
                <w:sz w:val="18"/>
                <w:szCs w:val="18"/>
                <w:lang w:eastAsia="es-ES"/>
              </w:rPr>
            </w:pPr>
            <w:hyperlink r:id="rId101" w:history="1">
              <w:r w:rsidR="00D570C1" w:rsidRPr="00A12857">
                <w:rPr>
                  <w:rStyle w:val="Hipervnculo"/>
                  <w:rFonts w:ascii="Arial" w:eastAsia="Times New Roman" w:hAnsi="Arial" w:cs="Arial"/>
                  <w:bCs/>
                  <w:sz w:val="18"/>
                  <w:szCs w:val="18"/>
                  <w:lang w:eastAsia="es-ES"/>
                </w:rPr>
                <w:t>https://es-es.facebook.com/FICValencia/videos/debates-humans-fest-2021-corrupci%C3%B3n-un-mal-local-de-efectos-globales/425850832033633/</w:t>
              </w:r>
            </w:hyperlink>
          </w:p>
        </w:tc>
      </w:tr>
      <w:tr w:rsidR="00D570C1" w14:paraId="4CFED8A9" w14:textId="77777777" w:rsidTr="005D344D">
        <w:trPr>
          <w:trHeight w:val="454"/>
        </w:trPr>
        <w:tc>
          <w:tcPr>
            <w:tcW w:w="1418" w:type="dxa"/>
            <w:tcBorders>
              <w:bottom w:val="single" w:sz="8" w:space="0" w:color="993333"/>
            </w:tcBorders>
            <w:shd w:val="clear" w:color="auto" w:fill="auto"/>
            <w:vAlign w:val="center"/>
          </w:tcPr>
          <w:p w14:paraId="391B6696" w14:textId="5A1CA9BC" w:rsidR="00D570C1" w:rsidRPr="00A12857" w:rsidRDefault="00D570C1" w:rsidP="005D344D">
            <w:pPr>
              <w:rPr>
                <w:rFonts w:ascii="Arial" w:eastAsia="Times New Roman" w:hAnsi="Arial" w:cs="Arial"/>
                <w:sz w:val="18"/>
                <w:szCs w:val="18"/>
                <w:lang w:eastAsia="es-ES"/>
              </w:rPr>
            </w:pPr>
            <w:r w:rsidRPr="00A12857">
              <w:rPr>
                <w:rFonts w:ascii="Arial" w:eastAsia="Times New Roman" w:hAnsi="Arial" w:cs="Arial"/>
                <w:color w:val="000000"/>
                <w:sz w:val="18"/>
                <w:szCs w:val="18"/>
                <w:lang w:eastAsia="es-ES"/>
              </w:rPr>
              <w:t>18 de febrero</w:t>
            </w:r>
          </w:p>
        </w:tc>
        <w:tc>
          <w:tcPr>
            <w:tcW w:w="7086" w:type="dxa"/>
            <w:tcBorders>
              <w:bottom w:val="single" w:sz="8" w:space="0" w:color="993333"/>
            </w:tcBorders>
            <w:shd w:val="clear" w:color="auto" w:fill="auto"/>
          </w:tcPr>
          <w:p w14:paraId="6B3B4DB9" w14:textId="77777777" w:rsidR="00D570C1" w:rsidRPr="00A12857" w:rsidRDefault="00D570C1" w:rsidP="008F610B">
            <w:pPr>
              <w:spacing w:after="0" w:line="276" w:lineRule="auto"/>
              <w:jc w:val="both"/>
              <w:rPr>
                <w:rFonts w:ascii="Arial" w:eastAsia="Times New Roman" w:hAnsi="Arial" w:cs="Arial"/>
                <w:color w:val="666666"/>
                <w:sz w:val="18"/>
                <w:szCs w:val="18"/>
                <w:lang w:eastAsia="es-ES"/>
              </w:rPr>
            </w:pPr>
            <w:r w:rsidRPr="00A12857">
              <w:rPr>
                <w:rFonts w:ascii="Arial" w:eastAsia="Times New Roman" w:hAnsi="Arial" w:cs="Arial"/>
                <w:color w:val="666666"/>
                <w:sz w:val="18"/>
                <w:szCs w:val="18"/>
                <w:lang w:eastAsia="es-ES"/>
              </w:rPr>
              <w:t xml:space="preserve">COSITAL Network. </w:t>
            </w:r>
            <w:r w:rsidRPr="00A12857">
              <w:rPr>
                <w:rFonts w:ascii="Arial" w:eastAsia="Times New Roman" w:hAnsi="Arial" w:cs="Arial"/>
                <w:i/>
                <w:sz w:val="18"/>
                <w:szCs w:val="18"/>
                <w:lang w:eastAsia="es-ES"/>
              </w:rPr>
              <w:t>Virtual</w:t>
            </w:r>
          </w:p>
          <w:p w14:paraId="5D21AC1D"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Control Interno y Lucha contra el Fraude</w:t>
            </w:r>
          </w:p>
          <w:p w14:paraId="6FD4C2C1" w14:textId="74910AB3" w:rsidR="00D570C1" w:rsidRPr="00A12857" w:rsidRDefault="00D570C1" w:rsidP="008F610B">
            <w:pPr>
              <w:spacing w:after="0" w:line="276" w:lineRule="auto"/>
              <w:jc w:val="both"/>
              <w:rPr>
                <w:rFonts w:ascii="Arial" w:eastAsia="Times New Roman" w:hAnsi="Arial" w:cs="Arial"/>
                <w:sz w:val="18"/>
                <w:szCs w:val="18"/>
                <w:lang w:eastAsia="es-ES"/>
              </w:rPr>
            </w:pPr>
            <w:r w:rsidRPr="00A12857">
              <w:rPr>
                <w:rFonts w:ascii="Arial" w:eastAsia="Times New Roman" w:hAnsi="Arial" w:cs="Arial"/>
                <w:sz w:val="18"/>
                <w:szCs w:val="18"/>
                <w:lang w:eastAsia="es-ES"/>
              </w:rPr>
              <w:t xml:space="preserve">Dentro del I Congreso virtual del Portal de Control Interno, organizado por COSITAL Network (Colegio de Secretarios, Interventores-Tesoreros y Secretarios-Interventores de administración local), el director participa en una mesa redonda moderada por Santiago Gómez, interventor del Ayuntamiento de Elda, junto a Mercedes Rodríguez, </w:t>
            </w:r>
            <w:r w:rsidR="006F0C5C">
              <w:rPr>
                <w:rFonts w:ascii="Arial" w:eastAsia="Times New Roman" w:hAnsi="Arial" w:cs="Arial"/>
                <w:sz w:val="18"/>
                <w:szCs w:val="18"/>
                <w:lang w:eastAsia="es-ES"/>
              </w:rPr>
              <w:t>s</w:t>
            </w:r>
            <w:r w:rsidRPr="00A12857">
              <w:rPr>
                <w:rFonts w:ascii="Arial" w:eastAsia="Times New Roman" w:hAnsi="Arial" w:cs="Arial"/>
                <w:sz w:val="18"/>
                <w:szCs w:val="18"/>
                <w:lang w:eastAsia="es-ES"/>
              </w:rPr>
              <w:t xml:space="preserve">ubdirectora </w:t>
            </w:r>
            <w:r w:rsidR="006F0C5C">
              <w:rPr>
                <w:rFonts w:ascii="Arial" w:eastAsia="Times New Roman" w:hAnsi="Arial" w:cs="Arial"/>
                <w:sz w:val="18"/>
                <w:szCs w:val="18"/>
                <w:lang w:eastAsia="es-ES"/>
              </w:rPr>
              <w:t>g</w:t>
            </w:r>
            <w:r w:rsidRPr="00A12857">
              <w:rPr>
                <w:rFonts w:ascii="Arial" w:eastAsia="Times New Roman" w:hAnsi="Arial" w:cs="Arial"/>
                <w:sz w:val="18"/>
                <w:szCs w:val="18"/>
                <w:lang w:eastAsia="es-ES"/>
              </w:rPr>
              <w:t>eneral del Servicio Nacional de Coordinación Antifraude, y Concepción Campos Acuña, secretaria del Ayuntamiento de Vigo.</w:t>
            </w:r>
          </w:p>
          <w:p w14:paraId="5040475F" w14:textId="77777777" w:rsidR="00D570C1" w:rsidRPr="00A12857" w:rsidRDefault="00AF48E6" w:rsidP="008F610B">
            <w:pPr>
              <w:spacing w:after="0" w:line="276" w:lineRule="auto"/>
              <w:jc w:val="both"/>
              <w:rPr>
                <w:rFonts w:ascii="Arial" w:hAnsi="Arial" w:cs="Arial"/>
                <w:sz w:val="18"/>
                <w:szCs w:val="18"/>
              </w:rPr>
            </w:pPr>
            <w:hyperlink r:id="rId102" w:history="1">
              <w:r w:rsidR="00D570C1" w:rsidRPr="00A12857">
                <w:rPr>
                  <w:rStyle w:val="Hipervnculo"/>
                  <w:rFonts w:ascii="Arial" w:eastAsia="Times New Roman" w:hAnsi="Arial" w:cs="Arial"/>
                  <w:bCs/>
                  <w:sz w:val="18"/>
                  <w:szCs w:val="18"/>
                  <w:lang w:eastAsia="es-ES"/>
                </w:rPr>
                <w:t>https://cositalmadrid.es/wp-content/uploads/2021/02/I-Congreso-Virtual-del-Portal-de-Control-Interno-15-16-feb.pdf</w:t>
              </w:r>
            </w:hyperlink>
            <w:r w:rsidR="00D570C1" w:rsidRPr="00A12857">
              <w:rPr>
                <w:rStyle w:val="Hipervnculo"/>
                <w:rFonts w:ascii="Arial" w:eastAsia="Times New Roman" w:hAnsi="Arial" w:cs="Arial"/>
                <w:bCs/>
                <w:sz w:val="18"/>
                <w:szCs w:val="18"/>
                <w:lang w:eastAsia="es-ES"/>
              </w:rPr>
              <w:t xml:space="preserve"> </w:t>
            </w:r>
          </w:p>
        </w:tc>
      </w:tr>
      <w:tr w:rsidR="00D570C1" w14:paraId="4E2DF7FD" w14:textId="77777777" w:rsidTr="005D344D">
        <w:trPr>
          <w:trHeight w:val="454"/>
        </w:trPr>
        <w:tc>
          <w:tcPr>
            <w:tcW w:w="1418" w:type="dxa"/>
            <w:tcBorders>
              <w:bottom w:val="single" w:sz="8" w:space="0" w:color="993333"/>
            </w:tcBorders>
            <w:shd w:val="clear" w:color="auto" w:fill="auto"/>
            <w:vAlign w:val="center"/>
          </w:tcPr>
          <w:p w14:paraId="6290F338" w14:textId="18A873AE" w:rsidR="00D570C1" w:rsidRPr="00A12857" w:rsidRDefault="00D570C1" w:rsidP="005D344D">
            <w:pPr>
              <w:rPr>
                <w:rFonts w:ascii="Arial" w:eastAsia="Times New Roman" w:hAnsi="Arial" w:cs="Arial"/>
                <w:sz w:val="18"/>
                <w:szCs w:val="18"/>
                <w:lang w:eastAsia="es-ES"/>
              </w:rPr>
            </w:pPr>
            <w:r w:rsidRPr="00A12857">
              <w:rPr>
                <w:rFonts w:ascii="Arial" w:eastAsia="Times New Roman" w:hAnsi="Arial" w:cs="Arial"/>
                <w:color w:val="000000"/>
                <w:sz w:val="18"/>
                <w:szCs w:val="18"/>
                <w:lang w:eastAsia="es-ES"/>
              </w:rPr>
              <w:t>2 de marzo</w:t>
            </w:r>
          </w:p>
        </w:tc>
        <w:tc>
          <w:tcPr>
            <w:tcW w:w="7086" w:type="dxa"/>
            <w:tcBorders>
              <w:bottom w:val="single" w:sz="8" w:space="0" w:color="993333"/>
            </w:tcBorders>
            <w:shd w:val="clear" w:color="auto" w:fill="auto"/>
          </w:tcPr>
          <w:p w14:paraId="6DCF9AD6" w14:textId="77777777" w:rsidR="00D570C1" w:rsidRPr="00A12857" w:rsidRDefault="00D570C1" w:rsidP="008F610B">
            <w:pPr>
              <w:spacing w:after="0" w:line="276" w:lineRule="auto"/>
              <w:ind w:right="140"/>
              <w:jc w:val="both"/>
              <w:rPr>
                <w:rFonts w:ascii="Arial" w:eastAsia="Times New Roman" w:hAnsi="Arial" w:cs="Arial"/>
                <w:color w:val="666666"/>
                <w:sz w:val="18"/>
                <w:szCs w:val="18"/>
                <w:lang w:eastAsia="es-ES"/>
              </w:rPr>
            </w:pPr>
            <w:r w:rsidRPr="00A12857">
              <w:rPr>
                <w:rFonts w:ascii="Arial" w:eastAsia="Times New Roman" w:hAnsi="Arial" w:cs="Arial"/>
                <w:color w:val="666666"/>
                <w:sz w:val="18"/>
                <w:szCs w:val="18"/>
                <w:lang w:eastAsia="es-ES"/>
              </w:rPr>
              <w:t xml:space="preserve">Más Madrid, Sectorial de transparencia, participación y buen gobierno. </w:t>
            </w:r>
            <w:r w:rsidRPr="00A12857">
              <w:rPr>
                <w:rFonts w:ascii="Arial" w:eastAsia="Times New Roman" w:hAnsi="Arial" w:cs="Arial"/>
                <w:i/>
                <w:sz w:val="18"/>
                <w:szCs w:val="18"/>
                <w:lang w:eastAsia="es-ES"/>
              </w:rPr>
              <w:t>Virtual</w:t>
            </w:r>
          </w:p>
          <w:p w14:paraId="5073E85F"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 xml:space="preserve">La Agencia Valenciana Antifraude, una experiencia de lucha contra la corrupción </w:t>
            </w:r>
          </w:p>
          <w:p w14:paraId="09A65C42" w14:textId="7B54674A" w:rsidR="00D570C1" w:rsidRPr="00A12857" w:rsidRDefault="00D570C1" w:rsidP="008F610B">
            <w:pPr>
              <w:spacing w:after="0" w:line="276" w:lineRule="auto"/>
              <w:jc w:val="both"/>
              <w:rPr>
                <w:rFonts w:ascii="Arial" w:hAnsi="Arial" w:cs="Arial"/>
                <w:sz w:val="18"/>
                <w:szCs w:val="18"/>
              </w:rPr>
            </w:pPr>
            <w:r w:rsidRPr="00A12857">
              <w:rPr>
                <w:rFonts w:ascii="Arial" w:eastAsia="Times New Roman" w:hAnsi="Arial" w:cs="Arial"/>
                <w:sz w:val="18"/>
                <w:szCs w:val="18"/>
                <w:lang w:eastAsia="es-ES"/>
              </w:rPr>
              <w:t>Jornada titulada “Fraude y corrupción institucional: Protección a denunciantes”</w:t>
            </w:r>
            <w:r w:rsidR="006F0C5C">
              <w:rPr>
                <w:rFonts w:ascii="Arial" w:eastAsia="Times New Roman" w:hAnsi="Arial" w:cs="Arial"/>
                <w:sz w:val="18"/>
                <w:szCs w:val="18"/>
                <w:lang w:eastAsia="es-ES"/>
              </w:rPr>
              <w:t>,</w:t>
            </w:r>
            <w:r w:rsidRPr="00A12857">
              <w:rPr>
                <w:rFonts w:ascii="Arial" w:eastAsia="Times New Roman" w:hAnsi="Arial" w:cs="Arial"/>
                <w:sz w:val="18"/>
                <w:szCs w:val="18"/>
                <w:lang w:eastAsia="es-ES"/>
              </w:rPr>
              <w:t xml:space="preserve"> que contó con la participación del director y de Ana Garrido, activista contra la corrupción, y Lara Carrasco, abogada experta en anticorrupción y presidenta de Corruptil.</w:t>
            </w:r>
            <w:r w:rsidRPr="00A12857">
              <w:rPr>
                <w:rFonts w:ascii="Arial" w:hAnsi="Arial" w:cs="Arial"/>
                <w:sz w:val="18"/>
                <w:szCs w:val="18"/>
              </w:rPr>
              <w:t xml:space="preserve"> </w:t>
            </w:r>
          </w:p>
        </w:tc>
      </w:tr>
      <w:tr w:rsidR="00D570C1" w14:paraId="6868E8AF" w14:textId="77777777" w:rsidTr="005D344D">
        <w:trPr>
          <w:trHeight w:val="454"/>
        </w:trPr>
        <w:tc>
          <w:tcPr>
            <w:tcW w:w="1418" w:type="dxa"/>
            <w:tcBorders>
              <w:bottom w:val="single" w:sz="8" w:space="0" w:color="993333"/>
            </w:tcBorders>
            <w:shd w:val="clear" w:color="auto" w:fill="auto"/>
            <w:vAlign w:val="center"/>
          </w:tcPr>
          <w:p w14:paraId="1FF89DAF" w14:textId="116AA0A6" w:rsidR="00D570C1" w:rsidRPr="00A12857" w:rsidRDefault="00D570C1" w:rsidP="005D344D">
            <w:pPr>
              <w:rPr>
                <w:rFonts w:ascii="Arial" w:eastAsia="Times New Roman" w:hAnsi="Arial" w:cs="Arial"/>
                <w:sz w:val="18"/>
                <w:szCs w:val="18"/>
                <w:lang w:eastAsia="es-ES"/>
              </w:rPr>
            </w:pPr>
            <w:r w:rsidRPr="00A12857">
              <w:rPr>
                <w:rFonts w:ascii="Arial" w:eastAsia="Times New Roman" w:hAnsi="Arial" w:cs="Arial"/>
                <w:color w:val="000000"/>
                <w:sz w:val="18"/>
                <w:szCs w:val="18"/>
                <w:lang w:eastAsia="es-ES"/>
              </w:rPr>
              <w:t>4 de marzo</w:t>
            </w:r>
          </w:p>
        </w:tc>
        <w:tc>
          <w:tcPr>
            <w:tcW w:w="7086" w:type="dxa"/>
            <w:tcBorders>
              <w:bottom w:val="single" w:sz="8" w:space="0" w:color="993333"/>
            </w:tcBorders>
            <w:shd w:val="clear" w:color="auto" w:fill="auto"/>
          </w:tcPr>
          <w:p w14:paraId="1FC5FDD8" w14:textId="77777777" w:rsidR="00D570C1" w:rsidRPr="00A12857" w:rsidRDefault="00D570C1" w:rsidP="008F610B">
            <w:pPr>
              <w:spacing w:after="0" w:line="276" w:lineRule="auto"/>
              <w:jc w:val="both"/>
              <w:rPr>
                <w:rFonts w:ascii="Arial" w:eastAsia="Times New Roman" w:hAnsi="Arial" w:cs="Arial"/>
                <w:color w:val="666666"/>
                <w:sz w:val="18"/>
                <w:szCs w:val="18"/>
                <w:lang w:eastAsia="es-ES"/>
              </w:rPr>
            </w:pPr>
            <w:r w:rsidRPr="00A12857">
              <w:rPr>
                <w:rFonts w:ascii="Arial" w:eastAsia="Times New Roman" w:hAnsi="Arial" w:cs="Arial"/>
                <w:color w:val="666666"/>
                <w:sz w:val="18"/>
                <w:szCs w:val="18"/>
                <w:lang w:eastAsia="es-ES"/>
              </w:rPr>
              <w:t xml:space="preserve">Universidad CEU Cardenal Herrera. </w:t>
            </w:r>
            <w:r w:rsidRPr="00A12857">
              <w:rPr>
                <w:rFonts w:ascii="Arial" w:eastAsia="Times New Roman" w:hAnsi="Arial" w:cs="Arial"/>
                <w:i/>
                <w:sz w:val="18"/>
                <w:szCs w:val="18"/>
                <w:lang w:eastAsia="es-ES"/>
              </w:rPr>
              <w:t>Virtual</w:t>
            </w:r>
          </w:p>
          <w:p w14:paraId="09A814F3"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Políticas por los ODS: Objetivo 16.6</w:t>
            </w:r>
          </w:p>
          <w:p w14:paraId="10385AB7" w14:textId="77777777" w:rsidR="00D570C1" w:rsidRPr="00A12857" w:rsidRDefault="00D570C1" w:rsidP="008F610B">
            <w:pPr>
              <w:spacing w:after="0" w:line="276" w:lineRule="auto"/>
              <w:jc w:val="both"/>
              <w:rPr>
                <w:rFonts w:ascii="Arial" w:eastAsia="Times New Roman" w:hAnsi="Arial" w:cs="Arial"/>
                <w:sz w:val="18"/>
                <w:szCs w:val="18"/>
                <w:lang w:eastAsia="es-ES"/>
              </w:rPr>
            </w:pPr>
            <w:r w:rsidRPr="00A12857">
              <w:rPr>
                <w:rFonts w:ascii="Arial" w:eastAsia="Times New Roman" w:hAnsi="Arial" w:cs="Arial"/>
                <w:sz w:val="18"/>
                <w:szCs w:val="18"/>
                <w:lang w:eastAsia="es-ES"/>
              </w:rPr>
              <w:t>Participación institucional del director en la actividad formativa “Políticas por los ODS” del Grado en Ciencias Políticas, donde se abordó el Objetivo 16.6 “Crear instituciones eficaces, responsables y transparentes en todos los niveles.</w:t>
            </w:r>
          </w:p>
          <w:p w14:paraId="5CFCC6F1" w14:textId="77777777" w:rsidR="00D570C1" w:rsidRPr="00A12857" w:rsidRDefault="00AF48E6" w:rsidP="008F610B">
            <w:pPr>
              <w:spacing w:after="0" w:line="276" w:lineRule="auto"/>
              <w:jc w:val="both"/>
              <w:rPr>
                <w:rFonts w:ascii="Arial" w:hAnsi="Arial" w:cs="Arial"/>
                <w:sz w:val="18"/>
                <w:szCs w:val="18"/>
              </w:rPr>
            </w:pPr>
            <w:hyperlink r:id="rId103" w:history="1">
              <w:r w:rsidR="00D570C1" w:rsidRPr="00A12857">
                <w:rPr>
                  <w:rStyle w:val="Hipervnculo"/>
                  <w:rFonts w:ascii="Arial" w:hAnsi="Arial" w:cs="Arial"/>
                  <w:sz w:val="18"/>
                  <w:szCs w:val="18"/>
                </w:rPr>
                <w:t>https://www.antifraucv.es/el-director-de-la-avaf-participa-en-una-mesa-redonda-con-organismos-de-control-dentro-de-la-actividad-politicas-por-los-ods-objetivo-16-6-en-la-universidad-cardenal-herrera-ceu/</w:t>
              </w:r>
            </w:hyperlink>
            <w:r w:rsidR="00D570C1" w:rsidRPr="00A12857">
              <w:rPr>
                <w:rFonts w:ascii="Arial" w:hAnsi="Arial" w:cs="Arial"/>
                <w:sz w:val="18"/>
                <w:szCs w:val="18"/>
              </w:rPr>
              <w:t xml:space="preserve"> </w:t>
            </w:r>
          </w:p>
        </w:tc>
      </w:tr>
      <w:tr w:rsidR="00D570C1" w14:paraId="660C52F7" w14:textId="77777777" w:rsidTr="005D344D">
        <w:trPr>
          <w:trHeight w:val="454"/>
        </w:trPr>
        <w:tc>
          <w:tcPr>
            <w:tcW w:w="1418" w:type="dxa"/>
            <w:tcBorders>
              <w:bottom w:val="single" w:sz="8" w:space="0" w:color="993333"/>
            </w:tcBorders>
            <w:shd w:val="clear" w:color="auto" w:fill="auto"/>
            <w:vAlign w:val="center"/>
          </w:tcPr>
          <w:p w14:paraId="4F41AF94" w14:textId="42A1A9E4" w:rsidR="00D570C1" w:rsidRPr="00A12857" w:rsidRDefault="00D570C1" w:rsidP="005D344D">
            <w:pPr>
              <w:rPr>
                <w:rFonts w:ascii="Arial" w:eastAsia="Times New Roman" w:hAnsi="Arial" w:cs="Arial"/>
                <w:sz w:val="18"/>
                <w:szCs w:val="18"/>
                <w:lang w:eastAsia="es-ES"/>
              </w:rPr>
            </w:pPr>
            <w:r w:rsidRPr="00A12857">
              <w:rPr>
                <w:rFonts w:ascii="Arial" w:eastAsia="Times New Roman" w:hAnsi="Arial" w:cs="Arial"/>
                <w:color w:val="000000"/>
                <w:sz w:val="18"/>
                <w:szCs w:val="18"/>
                <w:lang w:eastAsia="es-ES"/>
              </w:rPr>
              <w:t>25 de marzo</w:t>
            </w:r>
          </w:p>
        </w:tc>
        <w:tc>
          <w:tcPr>
            <w:tcW w:w="7086" w:type="dxa"/>
            <w:tcBorders>
              <w:bottom w:val="single" w:sz="8" w:space="0" w:color="993333"/>
            </w:tcBorders>
            <w:shd w:val="clear" w:color="auto" w:fill="auto"/>
          </w:tcPr>
          <w:p w14:paraId="25F99F7A" w14:textId="77777777" w:rsidR="00D570C1" w:rsidRPr="00A12857" w:rsidRDefault="00D570C1" w:rsidP="008F610B">
            <w:pPr>
              <w:spacing w:after="0" w:line="276" w:lineRule="auto"/>
              <w:jc w:val="both"/>
              <w:rPr>
                <w:rFonts w:ascii="Arial" w:eastAsia="Times New Roman" w:hAnsi="Arial" w:cs="Arial"/>
                <w:sz w:val="18"/>
                <w:szCs w:val="18"/>
                <w:lang w:eastAsia="es-ES"/>
              </w:rPr>
            </w:pPr>
            <w:r w:rsidRPr="00A12857">
              <w:rPr>
                <w:rFonts w:ascii="Arial" w:eastAsia="Times New Roman" w:hAnsi="Arial" w:cs="Arial"/>
                <w:color w:val="666666"/>
                <w:sz w:val="18"/>
                <w:szCs w:val="18"/>
                <w:lang w:eastAsia="es-ES"/>
              </w:rPr>
              <w:t xml:space="preserve">Universitat de València. </w:t>
            </w:r>
            <w:r w:rsidRPr="00A12857">
              <w:rPr>
                <w:rFonts w:ascii="Arial" w:eastAsia="Times New Roman" w:hAnsi="Arial" w:cs="Arial"/>
                <w:i/>
                <w:sz w:val="18"/>
                <w:szCs w:val="18"/>
                <w:lang w:eastAsia="es-ES"/>
              </w:rPr>
              <w:t>Virtual</w:t>
            </w:r>
          </w:p>
          <w:p w14:paraId="7467D592"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La función desarrollada por las Agencias Antifraude</w:t>
            </w:r>
          </w:p>
          <w:p w14:paraId="4E794277" w14:textId="77777777" w:rsidR="00D570C1" w:rsidRPr="00A12857" w:rsidRDefault="00D570C1" w:rsidP="008F610B">
            <w:pPr>
              <w:spacing w:after="0" w:line="276" w:lineRule="auto"/>
              <w:jc w:val="both"/>
              <w:rPr>
                <w:rFonts w:ascii="Arial" w:eastAsia="Times New Roman" w:hAnsi="Arial" w:cs="Arial"/>
                <w:sz w:val="18"/>
                <w:szCs w:val="18"/>
                <w:lang w:eastAsia="es-ES"/>
              </w:rPr>
            </w:pPr>
            <w:r w:rsidRPr="00A12857">
              <w:rPr>
                <w:rFonts w:ascii="Arial" w:eastAsia="Times New Roman" w:hAnsi="Arial" w:cs="Arial"/>
                <w:sz w:val="18"/>
                <w:szCs w:val="18"/>
                <w:lang w:eastAsia="es-ES"/>
              </w:rPr>
              <w:t>Presencia institucional del director en la 3ª edición del máster propio de la Universitat de València titulado “Contratación Pública y Compliance”</w:t>
            </w:r>
            <w:r w:rsidRPr="00A12857">
              <w:rPr>
                <w:rFonts w:ascii="Arial" w:hAnsi="Arial" w:cs="Arial"/>
                <w:sz w:val="18"/>
                <w:szCs w:val="18"/>
              </w:rPr>
              <w:t xml:space="preserve">, </w:t>
            </w:r>
            <w:r w:rsidRPr="00A12857">
              <w:rPr>
                <w:rFonts w:ascii="Arial" w:eastAsia="Times New Roman" w:hAnsi="Arial" w:cs="Arial"/>
                <w:sz w:val="18"/>
                <w:szCs w:val="18"/>
                <w:lang w:eastAsia="es-ES"/>
              </w:rPr>
              <w:t>el director de la Agencia imparte una clase sobre la función desarrollada por las Agencias Antifraude.</w:t>
            </w:r>
          </w:p>
          <w:p w14:paraId="1CF7B5F6" w14:textId="77777777" w:rsidR="00D570C1" w:rsidRPr="00A12857" w:rsidRDefault="00AF48E6" w:rsidP="008F610B">
            <w:pPr>
              <w:spacing w:after="0" w:line="276" w:lineRule="auto"/>
              <w:jc w:val="both"/>
              <w:rPr>
                <w:rFonts w:ascii="Arial" w:hAnsi="Arial" w:cs="Arial"/>
                <w:sz w:val="18"/>
                <w:szCs w:val="18"/>
              </w:rPr>
            </w:pPr>
            <w:hyperlink r:id="rId104" w:history="1">
              <w:r w:rsidR="00D570C1" w:rsidRPr="00A12857">
                <w:rPr>
                  <w:rStyle w:val="Hipervnculo"/>
                  <w:rFonts w:ascii="Arial" w:hAnsi="Arial" w:cs="Arial"/>
                  <w:sz w:val="18"/>
                  <w:szCs w:val="18"/>
                </w:rPr>
                <w:t>https://postgrado.adeituv.es/es/cursos/area_juridica_y_social-2/contratacion-publica-compliance/home.htm</w:t>
              </w:r>
            </w:hyperlink>
            <w:r w:rsidR="00D570C1" w:rsidRPr="00A12857">
              <w:rPr>
                <w:rFonts w:ascii="Arial" w:hAnsi="Arial" w:cs="Arial"/>
                <w:sz w:val="18"/>
                <w:szCs w:val="18"/>
              </w:rPr>
              <w:t xml:space="preserve"> </w:t>
            </w:r>
          </w:p>
        </w:tc>
      </w:tr>
      <w:tr w:rsidR="00D570C1" w14:paraId="64A3DC38" w14:textId="77777777" w:rsidTr="005D344D">
        <w:trPr>
          <w:trHeight w:val="454"/>
        </w:trPr>
        <w:tc>
          <w:tcPr>
            <w:tcW w:w="1418" w:type="dxa"/>
            <w:tcBorders>
              <w:bottom w:val="single" w:sz="8" w:space="0" w:color="993333"/>
            </w:tcBorders>
            <w:shd w:val="clear" w:color="auto" w:fill="auto"/>
            <w:vAlign w:val="center"/>
          </w:tcPr>
          <w:p w14:paraId="4C357BD4" w14:textId="4EFF6266" w:rsidR="00D570C1" w:rsidRPr="00A12857" w:rsidRDefault="00D570C1" w:rsidP="005D344D">
            <w:pPr>
              <w:rPr>
                <w:rFonts w:ascii="Arial" w:eastAsia="Times New Roman" w:hAnsi="Arial" w:cs="Arial"/>
                <w:sz w:val="18"/>
                <w:szCs w:val="18"/>
                <w:lang w:eastAsia="es-ES"/>
              </w:rPr>
            </w:pPr>
            <w:r w:rsidRPr="00A12857">
              <w:rPr>
                <w:rFonts w:ascii="Arial" w:eastAsia="Times New Roman" w:hAnsi="Arial" w:cs="Arial"/>
                <w:sz w:val="18"/>
                <w:szCs w:val="18"/>
                <w:lang w:eastAsia="es-ES"/>
              </w:rPr>
              <w:t>10 de mayo</w:t>
            </w:r>
          </w:p>
        </w:tc>
        <w:tc>
          <w:tcPr>
            <w:tcW w:w="7086" w:type="dxa"/>
            <w:tcBorders>
              <w:bottom w:val="single" w:sz="8" w:space="0" w:color="993333"/>
            </w:tcBorders>
            <w:shd w:val="clear" w:color="auto" w:fill="auto"/>
          </w:tcPr>
          <w:p w14:paraId="3ADC47DD" w14:textId="77777777" w:rsidR="00D570C1" w:rsidRPr="00A12857" w:rsidRDefault="00D570C1" w:rsidP="008F610B">
            <w:pPr>
              <w:spacing w:after="0" w:line="276" w:lineRule="auto"/>
              <w:jc w:val="both"/>
              <w:rPr>
                <w:rFonts w:ascii="Arial" w:eastAsia="Times New Roman" w:hAnsi="Arial" w:cs="Arial"/>
                <w:sz w:val="18"/>
                <w:szCs w:val="18"/>
                <w:lang w:eastAsia="es-ES"/>
              </w:rPr>
            </w:pPr>
            <w:r w:rsidRPr="00A12857">
              <w:rPr>
                <w:rFonts w:ascii="Arial" w:eastAsia="Times New Roman" w:hAnsi="Arial" w:cs="Arial"/>
                <w:color w:val="666666"/>
                <w:sz w:val="18"/>
                <w:szCs w:val="18"/>
                <w:lang w:eastAsia="es-ES"/>
              </w:rPr>
              <w:t xml:space="preserve">Fundación Hay Derecho. </w:t>
            </w:r>
            <w:r w:rsidRPr="00A12857">
              <w:rPr>
                <w:rFonts w:ascii="Arial" w:eastAsia="Times New Roman" w:hAnsi="Arial" w:cs="Arial"/>
                <w:i/>
                <w:sz w:val="18"/>
                <w:szCs w:val="18"/>
                <w:lang w:eastAsia="es-ES"/>
              </w:rPr>
              <w:t>Virtual</w:t>
            </w:r>
          </w:p>
          <w:p w14:paraId="2FBDBD95"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 xml:space="preserve">Claves para la trasposición de la Directiva europea sobre protección de denunciantes de corrupción </w:t>
            </w:r>
          </w:p>
          <w:p w14:paraId="1D1EBDDF" w14:textId="390BE033" w:rsidR="00D570C1" w:rsidRPr="00A12857" w:rsidRDefault="00D570C1" w:rsidP="008F610B">
            <w:pPr>
              <w:spacing w:after="0" w:line="276" w:lineRule="auto"/>
              <w:jc w:val="both"/>
              <w:rPr>
                <w:rFonts w:ascii="Arial" w:eastAsia="Times New Roman" w:hAnsi="Arial" w:cs="Arial"/>
                <w:sz w:val="18"/>
                <w:szCs w:val="18"/>
                <w:lang w:eastAsia="es-ES"/>
              </w:rPr>
            </w:pPr>
            <w:r w:rsidRPr="00A12857">
              <w:rPr>
                <w:rFonts w:ascii="Arial" w:eastAsia="Times New Roman" w:hAnsi="Arial" w:cs="Arial"/>
                <w:sz w:val="18"/>
                <w:szCs w:val="18"/>
                <w:lang w:eastAsia="es-ES"/>
              </w:rPr>
              <w:t>Presentación del informe con las conclusiones del estudio elaborado con el apoyo de la Agencia de Transparencia del Área Metropolitana de Barcelona</w:t>
            </w:r>
            <w:r w:rsidR="006F0C5C">
              <w:rPr>
                <w:rFonts w:ascii="Arial" w:eastAsia="Times New Roman" w:hAnsi="Arial" w:cs="Arial"/>
                <w:sz w:val="18"/>
                <w:szCs w:val="18"/>
                <w:lang w:eastAsia="es-ES"/>
              </w:rPr>
              <w:t>,</w:t>
            </w:r>
            <w:r w:rsidRPr="00A12857">
              <w:rPr>
                <w:rFonts w:ascii="Arial" w:eastAsia="Times New Roman" w:hAnsi="Arial" w:cs="Arial"/>
                <w:sz w:val="18"/>
                <w:szCs w:val="18"/>
                <w:lang w:eastAsia="es-ES"/>
              </w:rPr>
              <w:t xml:space="preserve"> sobre los riesgos y recomendaciones para la trasposición de la Directiva EU 2019/1937 para la protección de los denunciantes de corrupción</w:t>
            </w:r>
            <w:r w:rsidR="006F0C5C">
              <w:rPr>
                <w:rFonts w:ascii="Arial" w:eastAsia="Times New Roman" w:hAnsi="Arial" w:cs="Arial"/>
                <w:sz w:val="18"/>
                <w:szCs w:val="18"/>
                <w:lang w:eastAsia="es-ES"/>
              </w:rPr>
              <w:t>,</w:t>
            </w:r>
            <w:r w:rsidRPr="00A12857">
              <w:rPr>
                <w:rFonts w:ascii="Arial" w:eastAsia="Times New Roman" w:hAnsi="Arial" w:cs="Arial"/>
                <w:sz w:val="18"/>
                <w:szCs w:val="18"/>
                <w:lang w:eastAsia="es-ES"/>
              </w:rPr>
              <w:t xml:space="preserve"> elaborado a partir de entrevistas a varios denunciantes de corrupción en Cataluña y en el que participa el director de la Agencia.</w:t>
            </w:r>
          </w:p>
          <w:p w14:paraId="3F66C517" w14:textId="77777777" w:rsidR="00D570C1" w:rsidRPr="00A12857" w:rsidRDefault="00AF48E6" w:rsidP="008F610B">
            <w:pPr>
              <w:spacing w:after="0" w:line="276" w:lineRule="auto"/>
              <w:jc w:val="both"/>
              <w:rPr>
                <w:rFonts w:ascii="Arial" w:hAnsi="Arial" w:cs="Arial"/>
                <w:sz w:val="18"/>
                <w:szCs w:val="18"/>
              </w:rPr>
            </w:pPr>
            <w:hyperlink r:id="rId105" w:history="1">
              <w:r w:rsidR="00D570C1" w:rsidRPr="00A12857">
                <w:rPr>
                  <w:rStyle w:val="Hipervnculo"/>
                  <w:rFonts w:ascii="Arial" w:eastAsia="Times New Roman" w:hAnsi="Arial" w:cs="Arial"/>
                  <w:sz w:val="18"/>
                  <w:szCs w:val="18"/>
                  <w:lang w:eastAsia="es-ES"/>
                </w:rPr>
                <w:t>https://www.youtube.com/watch?v=Ya417xLo4X0</w:t>
              </w:r>
            </w:hyperlink>
            <w:r w:rsidR="00D570C1" w:rsidRPr="00A12857">
              <w:rPr>
                <w:rFonts w:ascii="Arial" w:eastAsia="Times New Roman" w:hAnsi="Arial" w:cs="Arial"/>
                <w:sz w:val="18"/>
                <w:szCs w:val="18"/>
                <w:lang w:eastAsia="es-ES"/>
              </w:rPr>
              <w:t xml:space="preserve"> </w:t>
            </w:r>
          </w:p>
        </w:tc>
      </w:tr>
      <w:tr w:rsidR="00D570C1" w14:paraId="77D7F881" w14:textId="77777777" w:rsidTr="005D344D">
        <w:trPr>
          <w:trHeight w:val="454"/>
        </w:trPr>
        <w:tc>
          <w:tcPr>
            <w:tcW w:w="1418" w:type="dxa"/>
            <w:tcBorders>
              <w:bottom w:val="single" w:sz="8" w:space="0" w:color="993333"/>
            </w:tcBorders>
            <w:shd w:val="clear" w:color="auto" w:fill="FFFFFF"/>
            <w:vAlign w:val="center"/>
          </w:tcPr>
          <w:p w14:paraId="3D85C28E" w14:textId="366EC357" w:rsidR="00D570C1" w:rsidRPr="00A12857" w:rsidRDefault="00D570C1" w:rsidP="005D344D">
            <w:pPr>
              <w:rPr>
                <w:rFonts w:ascii="Arial" w:eastAsia="Times New Roman" w:hAnsi="Arial" w:cs="Arial"/>
                <w:sz w:val="18"/>
                <w:szCs w:val="18"/>
                <w:lang w:eastAsia="es-ES"/>
              </w:rPr>
            </w:pPr>
            <w:r w:rsidRPr="00A12857">
              <w:rPr>
                <w:rFonts w:ascii="Arial" w:eastAsia="Times New Roman" w:hAnsi="Arial" w:cs="Arial"/>
                <w:sz w:val="18"/>
                <w:szCs w:val="18"/>
                <w:lang w:eastAsia="es-ES"/>
              </w:rPr>
              <w:t>12 de mayo</w:t>
            </w:r>
          </w:p>
        </w:tc>
        <w:tc>
          <w:tcPr>
            <w:tcW w:w="7086" w:type="dxa"/>
            <w:tcBorders>
              <w:bottom w:val="single" w:sz="8" w:space="0" w:color="993333"/>
            </w:tcBorders>
            <w:shd w:val="clear" w:color="auto" w:fill="FFFFFF"/>
          </w:tcPr>
          <w:p w14:paraId="4F858AF1" w14:textId="77777777" w:rsidR="00D570C1" w:rsidRPr="00A12857" w:rsidRDefault="00D570C1" w:rsidP="008F610B">
            <w:pPr>
              <w:spacing w:after="0" w:line="276" w:lineRule="auto"/>
              <w:jc w:val="both"/>
              <w:rPr>
                <w:rFonts w:ascii="Arial" w:eastAsia="Times New Roman" w:hAnsi="Arial" w:cs="Arial"/>
                <w:sz w:val="18"/>
                <w:szCs w:val="18"/>
                <w:lang w:eastAsia="es-ES"/>
              </w:rPr>
            </w:pPr>
            <w:r w:rsidRPr="00A12857">
              <w:rPr>
                <w:rFonts w:ascii="Arial" w:eastAsia="Times New Roman" w:hAnsi="Arial" w:cs="Arial"/>
                <w:color w:val="666666"/>
                <w:sz w:val="18"/>
                <w:szCs w:val="18"/>
                <w:lang w:eastAsia="es-ES"/>
              </w:rPr>
              <w:t xml:space="preserve">ACICOM. </w:t>
            </w:r>
            <w:r w:rsidRPr="00A12857">
              <w:rPr>
                <w:rFonts w:ascii="Arial" w:eastAsia="Times New Roman" w:hAnsi="Arial" w:cs="Arial"/>
                <w:i/>
                <w:sz w:val="18"/>
                <w:szCs w:val="18"/>
                <w:lang w:eastAsia="es-ES"/>
              </w:rPr>
              <w:t xml:space="preserve">València </w:t>
            </w:r>
          </w:p>
          <w:p w14:paraId="513012B8"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Documental "Cómo robar un país"</w:t>
            </w:r>
          </w:p>
          <w:p w14:paraId="3C4B0E83" w14:textId="77777777" w:rsidR="00D570C1" w:rsidRPr="00A12857" w:rsidRDefault="00D570C1" w:rsidP="008F610B">
            <w:pPr>
              <w:spacing w:after="0" w:line="276" w:lineRule="auto"/>
              <w:jc w:val="both"/>
              <w:rPr>
                <w:rFonts w:ascii="Arial" w:eastAsia="Times New Roman" w:hAnsi="Arial" w:cs="Arial"/>
                <w:sz w:val="18"/>
                <w:szCs w:val="18"/>
                <w:lang w:eastAsia="es-ES"/>
              </w:rPr>
            </w:pPr>
            <w:r w:rsidRPr="00A12857">
              <w:rPr>
                <w:rFonts w:ascii="Arial" w:eastAsia="Times New Roman" w:hAnsi="Arial" w:cs="Arial"/>
                <w:sz w:val="18"/>
                <w:szCs w:val="18"/>
                <w:lang w:eastAsia="es-ES"/>
              </w:rPr>
              <w:t>Dentro del marco del Cine Club Acció Documental +, el director de la Agencia participó en la mesa redonda junto con Alejandro Mañés, patrono de Fundación por la Justicia, y Laura Ballester, periodista de Levante EMT.</w:t>
            </w:r>
          </w:p>
          <w:p w14:paraId="2678801F" w14:textId="77777777" w:rsidR="00D570C1" w:rsidRPr="00A12857" w:rsidRDefault="00AF48E6" w:rsidP="008F610B">
            <w:pPr>
              <w:spacing w:after="0" w:line="276" w:lineRule="auto"/>
              <w:jc w:val="both"/>
              <w:rPr>
                <w:rFonts w:ascii="Arial" w:eastAsia="Times New Roman" w:hAnsi="Arial" w:cs="Arial"/>
                <w:sz w:val="18"/>
                <w:szCs w:val="18"/>
                <w:lang w:eastAsia="es-ES"/>
              </w:rPr>
            </w:pPr>
            <w:hyperlink r:id="rId106" w:history="1">
              <w:r w:rsidR="00D570C1" w:rsidRPr="00A12857">
                <w:rPr>
                  <w:rStyle w:val="Hipervnculo"/>
                  <w:rFonts w:ascii="Arial" w:eastAsia="Times New Roman" w:hAnsi="Arial" w:cs="Arial"/>
                  <w:sz w:val="18"/>
                  <w:szCs w:val="18"/>
                  <w:lang w:eastAsia="es-ES"/>
                </w:rPr>
                <w:t>https://acicom.org/com-robar-un-pais-cine-club-accio-documental-dimecres-12-5-2021-a-les-1800h-octubre-ccc/</w:t>
              </w:r>
            </w:hyperlink>
            <w:r w:rsidR="00D570C1" w:rsidRPr="00A12857">
              <w:rPr>
                <w:rFonts w:ascii="Arial" w:eastAsia="Times New Roman" w:hAnsi="Arial" w:cs="Arial"/>
                <w:sz w:val="18"/>
                <w:szCs w:val="18"/>
                <w:lang w:eastAsia="es-ES"/>
              </w:rPr>
              <w:t xml:space="preserve"> </w:t>
            </w:r>
          </w:p>
        </w:tc>
      </w:tr>
      <w:tr w:rsidR="00D570C1" w14:paraId="50CA351E" w14:textId="77777777" w:rsidTr="005D344D">
        <w:trPr>
          <w:trHeight w:val="454"/>
        </w:trPr>
        <w:tc>
          <w:tcPr>
            <w:tcW w:w="1418" w:type="dxa"/>
            <w:tcBorders>
              <w:bottom w:val="single" w:sz="8" w:space="0" w:color="993333"/>
            </w:tcBorders>
            <w:shd w:val="clear" w:color="auto" w:fill="auto"/>
            <w:vAlign w:val="center"/>
          </w:tcPr>
          <w:p w14:paraId="53F3A40F" w14:textId="5248A3BE" w:rsidR="00D570C1" w:rsidRPr="00A12857" w:rsidRDefault="00D570C1" w:rsidP="005D344D">
            <w:pPr>
              <w:rPr>
                <w:rFonts w:ascii="Arial" w:eastAsia="Times New Roman" w:hAnsi="Arial" w:cs="Arial"/>
                <w:sz w:val="18"/>
                <w:szCs w:val="18"/>
                <w:lang w:eastAsia="es-ES"/>
              </w:rPr>
            </w:pPr>
            <w:r w:rsidRPr="00A12857">
              <w:rPr>
                <w:rFonts w:ascii="Arial" w:eastAsia="Times New Roman" w:hAnsi="Arial" w:cs="Arial"/>
                <w:color w:val="000000"/>
                <w:sz w:val="18"/>
                <w:szCs w:val="18"/>
                <w:lang w:eastAsia="es-ES"/>
              </w:rPr>
              <w:t>21 de junio</w:t>
            </w:r>
          </w:p>
        </w:tc>
        <w:tc>
          <w:tcPr>
            <w:tcW w:w="7086" w:type="dxa"/>
            <w:tcBorders>
              <w:bottom w:val="single" w:sz="8" w:space="0" w:color="993333"/>
            </w:tcBorders>
            <w:shd w:val="clear" w:color="auto" w:fill="auto"/>
          </w:tcPr>
          <w:p w14:paraId="44E9B502" w14:textId="77777777" w:rsidR="00D570C1" w:rsidRPr="00A12857" w:rsidRDefault="00D570C1" w:rsidP="008F610B">
            <w:pPr>
              <w:spacing w:after="0" w:line="276" w:lineRule="auto"/>
              <w:jc w:val="both"/>
              <w:rPr>
                <w:rFonts w:ascii="Arial" w:eastAsia="Times New Roman" w:hAnsi="Arial" w:cs="Arial"/>
                <w:sz w:val="18"/>
                <w:szCs w:val="18"/>
                <w:lang w:eastAsia="es-ES"/>
              </w:rPr>
            </w:pPr>
            <w:r w:rsidRPr="00A12857">
              <w:rPr>
                <w:rFonts w:ascii="Arial" w:eastAsia="Times New Roman" w:hAnsi="Arial" w:cs="Arial"/>
                <w:color w:val="666666"/>
                <w:sz w:val="18"/>
                <w:szCs w:val="18"/>
                <w:lang w:eastAsia="es-ES"/>
              </w:rPr>
              <w:t xml:space="preserve">Diputació d’Alacant. </w:t>
            </w:r>
            <w:r w:rsidRPr="00A12857">
              <w:rPr>
                <w:rFonts w:ascii="Arial" w:eastAsia="Times New Roman" w:hAnsi="Arial" w:cs="Arial"/>
                <w:i/>
                <w:sz w:val="18"/>
                <w:szCs w:val="18"/>
                <w:lang w:eastAsia="es-ES"/>
              </w:rPr>
              <w:t>Virtual</w:t>
            </w:r>
          </w:p>
          <w:p w14:paraId="54D1D43C"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 xml:space="preserve">La Agencia Valenciana Antifraude y el papel del personal al servicio de las Administraciones Públicas en la lucha contra la Corrupción </w:t>
            </w:r>
          </w:p>
          <w:p w14:paraId="5DD1B2EE" w14:textId="7E863904" w:rsidR="00D570C1" w:rsidRPr="00A12857" w:rsidRDefault="00D570C1" w:rsidP="00353C4E">
            <w:pPr>
              <w:spacing w:after="0" w:line="276" w:lineRule="auto"/>
              <w:jc w:val="both"/>
              <w:rPr>
                <w:rFonts w:ascii="Arial" w:eastAsia="Times New Roman" w:hAnsi="Arial" w:cs="Arial"/>
                <w:bCs/>
                <w:sz w:val="18"/>
                <w:szCs w:val="18"/>
                <w:lang w:eastAsia="es-ES"/>
              </w:rPr>
            </w:pPr>
            <w:r w:rsidRPr="00A12857">
              <w:rPr>
                <w:rFonts w:ascii="Arial" w:eastAsia="Times New Roman" w:hAnsi="Arial" w:cs="Arial"/>
                <w:bCs/>
                <w:sz w:val="18"/>
                <w:szCs w:val="18"/>
                <w:lang w:eastAsia="es-ES"/>
              </w:rPr>
              <w:t xml:space="preserve">Intervención institucional del director explicando las funciones de la Agencia en la actividad formativa dedicada a la Ley 19/2013, de Transparencia, accesos a la información pública y buen gobierno, para debatir sobre su implantación en la administración local. </w:t>
            </w:r>
          </w:p>
        </w:tc>
      </w:tr>
      <w:tr w:rsidR="00D570C1" w14:paraId="08E51499" w14:textId="77777777" w:rsidTr="005D344D">
        <w:trPr>
          <w:trHeight w:val="454"/>
        </w:trPr>
        <w:tc>
          <w:tcPr>
            <w:tcW w:w="1418" w:type="dxa"/>
            <w:tcBorders>
              <w:bottom w:val="single" w:sz="8" w:space="0" w:color="993333"/>
            </w:tcBorders>
            <w:shd w:val="clear" w:color="auto" w:fill="auto"/>
            <w:vAlign w:val="center"/>
          </w:tcPr>
          <w:p w14:paraId="483C6462" w14:textId="724BC582" w:rsidR="00D570C1" w:rsidRPr="00A12857" w:rsidRDefault="00D570C1" w:rsidP="005D344D">
            <w:pPr>
              <w:rPr>
                <w:rFonts w:ascii="Arial" w:eastAsia="Times New Roman" w:hAnsi="Arial" w:cs="Arial"/>
                <w:sz w:val="18"/>
                <w:szCs w:val="18"/>
                <w:lang w:eastAsia="es-ES"/>
              </w:rPr>
            </w:pPr>
            <w:r w:rsidRPr="00A12857">
              <w:rPr>
                <w:rFonts w:ascii="Arial" w:eastAsia="Times New Roman" w:hAnsi="Arial" w:cs="Arial"/>
                <w:sz w:val="18"/>
                <w:szCs w:val="18"/>
                <w:lang w:eastAsia="es-ES"/>
              </w:rPr>
              <w:t>7 de</w:t>
            </w:r>
            <w:r w:rsidR="005D344D" w:rsidRPr="00A12857">
              <w:rPr>
                <w:rFonts w:ascii="Arial" w:eastAsia="Times New Roman" w:hAnsi="Arial" w:cs="Arial"/>
                <w:sz w:val="18"/>
                <w:szCs w:val="18"/>
                <w:lang w:eastAsia="es-ES"/>
              </w:rPr>
              <w:t xml:space="preserve"> </w:t>
            </w:r>
            <w:r w:rsidRPr="00A12857">
              <w:rPr>
                <w:rFonts w:ascii="Arial" w:eastAsia="Times New Roman" w:hAnsi="Arial" w:cs="Arial"/>
                <w:sz w:val="18"/>
                <w:szCs w:val="18"/>
                <w:lang w:eastAsia="es-ES"/>
              </w:rPr>
              <w:t>julio</w:t>
            </w:r>
          </w:p>
        </w:tc>
        <w:tc>
          <w:tcPr>
            <w:tcW w:w="7086" w:type="dxa"/>
            <w:tcBorders>
              <w:bottom w:val="single" w:sz="8" w:space="0" w:color="993333"/>
            </w:tcBorders>
            <w:shd w:val="clear" w:color="auto" w:fill="auto"/>
          </w:tcPr>
          <w:p w14:paraId="4FE3CD8E" w14:textId="77777777" w:rsidR="00D570C1" w:rsidRPr="00A12857" w:rsidRDefault="00D570C1" w:rsidP="008F610B">
            <w:pPr>
              <w:spacing w:after="0" w:line="276" w:lineRule="auto"/>
              <w:ind w:left="708" w:hanging="708"/>
              <w:jc w:val="both"/>
              <w:rPr>
                <w:rFonts w:ascii="Arial" w:eastAsia="Times New Roman" w:hAnsi="Arial" w:cs="Arial"/>
                <w:sz w:val="18"/>
                <w:szCs w:val="18"/>
                <w:lang w:eastAsia="es-ES"/>
              </w:rPr>
            </w:pPr>
            <w:r w:rsidRPr="00A12857">
              <w:rPr>
                <w:rFonts w:ascii="Arial" w:eastAsia="Times New Roman" w:hAnsi="Arial" w:cs="Arial"/>
                <w:color w:val="666666"/>
                <w:sz w:val="18"/>
                <w:szCs w:val="18"/>
                <w:lang w:eastAsia="es-ES"/>
              </w:rPr>
              <w:t xml:space="preserve">Fearless Cities. </w:t>
            </w:r>
            <w:r w:rsidRPr="00A12857">
              <w:rPr>
                <w:rFonts w:ascii="Arial" w:eastAsia="Times New Roman" w:hAnsi="Arial" w:cs="Arial"/>
                <w:i/>
                <w:sz w:val="18"/>
                <w:szCs w:val="18"/>
                <w:lang w:eastAsia="es-ES"/>
              </w:rPr>
              <w:t>Virtual</w:t>
            </w:r>
          </w:p>
          <w:p w14:paraId="7151A523"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Municipios transparentes y justos: lucha contra la corrupción y el crimen organizado</w:t>
            </w:r>
          </w:p>
          <w:p w14:paraId="643926C6" w14:textId="77777777" w:rsidR="00D570C1" w:rsidRPr="00A12857" w:rsidRDefault="00D570C1" w:rsidP="008F610B">
            <w:pPr>
              <w:spacing w:after="0" w:line="276" w:lineRule="auto"/>
              <w:jc w:val="both"/>
              <w:rPr>
                <w:rFonts w:ascii="Arial" w:hAnsi="Arial" w:cs="Arial"/>
                <w:sz w:val="18"/>
                <w:szCs w:val="18"/>
              </w:rPr>
            </w:pPr>
            <w:r w:rsidRPr="00A12857">
              <w:rPr>
                <w:rFonts w:ascii="Arial" w:eastAsia="Times New Roman" w:hAnsi="Arial" w:cs="Arial"/>
                <w:bCs/>
                <w:sz w:val="18"/>
                <w:szCs w:val="18"/>
                <w:lang w:eastAsia="es-ES"/>
              </w:rPr>
              <w:t>Mesa redonda con la participación del director para hablar de la corrupción y el crimen organizado, que afectan a los municipios de todas las regiones del mundo y que deben combatirse para unas ciudades más justas y con justicia social.</w:t>
            </w:r>
          </w:p>
          <w:p w14:paraId="7F916BE4" w14:textId="77777777" w:rsidR="00D570C1" w:rsidRPr="00A12857" w:rsidRDefault="00AF48E6" w:rsidP="008F610B">
            <w:pPr>
              <w:spacing w:after="0" w:line="276" w:lineRule="auto"/>
              <w:jc w:val="both"/>
              <w:rPr>
                <w:rFonts w:ascii="Arial" w:hAnsi="Arial" w:cs="Arial"/>
                <w:sz w:val="18"/>
                <w:szCs w:val="18"/>
              </w:rPr>
            </w:pPr>
            <w:hyperlink r:id="rId107" w:history="1">
              <w:r w:rsidR="00D570C1" w:rsidRPr="00A12857">
                <w:rPr>
                  <w:rStyle w:val="Hipervnculo"/>
                  <w:rFonts w:ascii="Arial" w:hAnsi="Arial" w:cs="Arial"/>
                  <w:sz w:val="18"/>
                  <w:szCs w:val="18"/>
                </w:rPr>
                <w:t>https://www.youtube.com/watch?v=GV7pXR2NW_E</w:t>
              </w:r>
            </w:hyperlink>
            <w:r w:rsidR="00D570C1" w:rsidRPr="00A12857">
              <w:rPr>
                <w:rFonts w:ascii="Arial" w:hAnsi="Arial" w:cs="Arial"/>
                <w:sz w:val="18"/>
                <w:szCs w:val="18"/>
              </w:rPr>
              <w:t xml:space="preserve"> </w:t>
            </w:r>
          </w:p>
        </w:tc>
      </w:tr>
      <w:tr w:rsidR="00D570C1" w14:paraId="6674B638" w14:textId="77777777" w:rsidTr="005D344D">
        <w:trPr>
          <w:trHeight w:val="454"/>
        </w:trPr>
        <w:tc>
          <w:tcPr>
            <w:tcW w:w="1418" w:type="dxa"/>
            <w:tcBorders>
              <w:bottom w:val="single" w:sz="8" w:space="0" w:color="993333"/>
            </w:tcBorders>
            <w:shd w:val="clear" w:color="auto" w:fill="auto"/>
            <w:vAlign w:val="center"/>
          </w:tcPr>
          <w:p w14:paraId="4AD1A7BD" w14:textId="5FE50263" w:rsidR="00D570C1" w:rsidRPr="00A12857" w:rsidRDefault="00D570C1" w:rsidP="005D344D">
            <w:pPr>
              <w:rPr>
                <w:rFonts w:ascii="Arial" w:eastAsia="Times New Roman" w:hAnsi="Arial" w:cs="Arial"/>
                <w:sz w:val="18"/>
                <w:szCs w:val="18"/>
                <w:lang w:eastAsia="es-ES"/>
              </w:rPr>
            </w:pPr>
            <w:r w:rsidRPr="00A12857">
              <w:rPr>
                <w:rFonts w:ascii="Arial" w:eastAsia="Times New Roman" w:hAnsi="Arial" w:cs="Arial"/>
                <w:color w:val="000000"/>
                <w:sz w:val="18"/>
                <w:szCs w:val="18"/>
                <w:lang w:eastAsia="es-ES"/>
              </w:rPr>
              <w:t>7 de octubre</w:t>
            </w:r>
          </w:p>
        </w:tc>
        <w:tc>
          <w:tcPr>
            <w:tcW w:w="7086" w:type="dxa"/>
            <w:tcBorders>
              <w:bottom w:val="single" w:sz="8" w:space="0" w:color="993333"/>
            </w:tcBorders>
            <w:shd w:val="clear" w:color="auto" w:fill="auto"/>
          </w:tcPr>
          <w:p w14:paraId="681CDA58" w14:textId="77777777" w:rsidR="00D570C1" w:rsidRPr="00A12857" w:rsidRDefault="00D570C1" w:rsidP="008F610B">
            <w:pPr>
              <w:spacing w:after="0" w:line="276" w:lineRule="auto"/>
              <w:jc w:val="both"/>
              <w:rPr>
                <w:rFonts w:ascii="Arial" w:eastAsia="Times New Roman" w:hAnsi="Arial" w:cs="Arial"/>
                <w:sz w:val="18"/>
                <w:szCs w:val="18"/>
                <w:lang w:eastAsia="es-ES"/>
              </w:rPr>
            </w:pPr>
            <w:r w:rsidRPr="00A12857">
              <w:rPr>
                <w:rFonts w:ascii="Arial" w:eastAsia="Times New Roman" w:hAnsi="Arial" w:cs="Arial"/>
                <w:color w:val="666666"/>
                <w:sz w:val="18"/>
                <w:szCs w:val="18"/>
                <w:lang w:eastAsia="es-ES"/>
              </w:rPr>
              <w:t xml:space="preserve">Diputació d’Alacant. </w:t>
            </w:r>
            <w:r w:rsidRPr="00A12857">
              <w:rPr>
                <w:rFonts w:ascii="Arial" w:eastAsia="Times New Roman" w:hAnsi="Arial" w:cs="Arial"/>
                <w:i/>
                <w:sz w:val="18"/>
                <w:szCs w:val="18"/>
                <w:lang w:eastAsia="es-ES"/>
              </w:rPr>
              <w:t>Virtual</w:t>
            </w:r>
          </w:p>
          <w:p w14:paraId="35F15642"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 xml:space="preserve">La Agencia Valenciana Antifraude y el papel del personal al servicio de las Administraciones Públicas en la lucha contra la Corrupción </w:t>
            </w:r>
          </w:p>
          <w:p w14:paraId="18F3B1EE" w14:textId="77777777" w:rsidR="00353C4E" w:rsidRPr="00A12857" w:rsidRDefault="00D570C1" w:rsidP="00353C4E">
            <w:pPr>
              <w:spacing w:after="0" w:line="276" w:lineRule="auto"/>
              <w:jc w:val="both"/>
              <w:rPr>
                <w:rFonts w:ascii="Arial" w:eastAsia="Times New Roman" w:hAnsi="Arial" w:cs="Arial"/>
                <w:bCs/>
                <w:sz w:val="18"/>
                <w:szCs w:val="18"/>
                <w:lang w:eastAsia="es-ES"/>
              </w:rPr>
            </w:pPr>
            <w:r w:rsidRPr="00A12857">
              <w:rPr>
                <w:rFonts w:ascii="Arial" w:eastAsia="Times New Roman" w:hAnsi="Arial" w:cs="Arial"/>
                <w:bCs/>
                <w:sz w:val="18"/>
                <w:szCs w:val="18"/>
                <w:lang w:eastAsia="es-ES"/>
              </w:rPr>
              <w:t>Intervención institucional del director</w:t>
            </w:r>
            <w:r w:rsidR="006F0C5C">
              <w:rPr>
                <w:rFonts w:ascii="Arial" w:eastAsia="Times New Roman" w:hAnsi="Arial" w:cs="Arial"/>
                <w:bCs/>
                <w:sz w:val="18"/>
                <w:szCs w:val="18"/>
                <w:lang w:eastAsia="es-ES"/>
              </w:rPr>
              <w:t>,</w:t>
            </w:r>
            <w:r w:rsidRPr="00A12857">
              <w:rPr>
                <w:rFonts w:ascii="Arial" w:eastAsia="Times New Roman" w:hAnsi="Arial" w:cs="Arial"/>
                <w:bCs/>
                <w:sz w:val="18"/>
                <w:szCs w:val="18"/>
                <w:lang w:eastAsia="es-ES"/>
              </w:rPr>
              <w:t xml:space="preserve"> explicando las funciones de la Agencia en la actividad formativa dedicada a la Ley 19/2013, de Transparencia, accesos a la información pública y buen gobierno, para debatir sobre su implantación en la administración local.</w:t>
            </w:r>
            <w:r w:rsidR="00353C4E" w:rsidRPr="00A12857">
              <w:rPr>
                <w:rFonts w:ascii="Arial" w:eastAsia="Times New Roman" w:hAnsi="Arial" w:cs="Arial"/>
                <w:bCs/>
                <w:sz w:val="18"/>
                <w:szCs w:val="18"/>
                <w:lang w:eastAsia="es-ES"/>
              </w:rPr>
              <w:t xml:space="preserve"> </w:t>
            </w:r>
          </w:p>
          <w:p w14:paraId="02ED58CF" w14:textId="57FDAED5" w:rsidR="00D570C1" w:rsidRPr="00A12857" w:rsidRDefault="00AF48E6" w:rsidP="00353C4E">
            <w:pPr>
              <w:spacing w:after="0" w:line="276" w:lineRule="auto"/>
              <w:jc w:val="both"/>
              <w:rPr>
                <w:rFonts w:ascii="Arial" w:hAnsi="Arial" w:cs="Arial"/>
                <w:sz w:val="18"/>
                <w:szCs w:val="18"/>
              </w:rPr>
            </w:pPr>
            <w:hyperlink r:id="rId108" w:history="1">
              <w:r w:rsidR="00353C4E" w:rsidRPr="00A12857">
                <w:rPr>
                  <w:rStyle w:val="Hipervnculo"/>
                  <w:rFonts w:ascii="Arial" w:hAnsi="Arial" w:cs="Arial"/>
                  <w:sz w:val="18"/>
                  <w:szCs w:val="18"/>
                </w:rPr>
                <w:t>https://www.antifraucv.es/el-director-de-lavaf-participa-en-la-segona-edicio-del-curs-de-la-llei-de-transparencia-implantacio-en-ladministracio-local-de-la-diputacio-dalacant/</w:t>
              </w:r>
            </w:hyperlink>
            <w:r w:rsidR="00D570C1" w:rsidRPr="00A12857">
              <w:rPr>
                <w:rFonts w:ascii="Arial" w:hAnsi="Arial" w:cs="Arial"/>
                <w:sz w:val="18"/>
                <w:szCs w:val="18"/>
              </w:rPr>
              <w:t xml:space="preserve"> </w:t>
            </w:r>
          </w:p>
        </w:tc>
      </w:tr>
      <w:tr w:rsidR="00D570C1" w14:paraId="2BAF9206" w14:textId="77777777" w:rsidTr="005D344D">
        <w:trPr>
          <w:trHeight w:val="454"/>
        </w:trPr>
        <w:tc>
          <w:tcPr>
            <w:tcW w:w="1418" w:type="dxa"/>
            <w:tcBorders>
              <w:bottom w:val="single" w:sz="8" w:space="0" w:color="993333"/>
            </w:tcBorders>
            <w:shd w:val="clear" w:color="auto" w:fill="FFFFFF"/>
            <w:vAlign w:val="center"/>
          </w:tcPr>
          <w:p w14:paraId="267F64F4" w14:textId="77777777" w:rsidR="00D570C1" w:rsidRPr="00A12857" w:rsidRDefault="00D570C1" w:rsidP="00BD00BC">
            <w:pPr>
              <w:rPr>
                <w:rFonts w:ascii="Arial" w:eastAsia="Times New Roman" w:hAnsi="Arial" w:cs="Arial"/>
                <w:sz w:val="18"/>
                <w:szCs w:val="18"/>
                <w:lang w:eastAsia="es-ES"/>
              </w:rPr>
            </w:pPr>
            <w:r w:rsidRPr="00A12857">
              <w:rPr>
                <w:rFonts w:ascii="Arial" w:eastAsia="Times New Roman" w:hAnsi="Arial" w:cs="Arial"/>
                <w:color w:val="000000"/>
                <w:sz w:val="18"/>
                <w:szCs w:val="18"/>
                <w:lang w:eastAsia="es-ES"/>
              </w:rPr>
              <w:t>28 de octubre</w:t>
            </w:r>
          </w:p>
        </w:tc>
        <w:tc>
          <w:tcPr>
            <w:tcW w:w="7086" w:type="dxa"/>
            <w:tcBorders>
              <w:bottom w:val="single" w:sz="8" w:space="0" w:color="993333"/>
            </w:tcBorders>
            <w:shd w:val="clear" w:color="auto" w:fill="FFFFFF"/>
          </w:tcPr>
          <w:p w14:paraId="0050B09F" w14:textId="77777777" w:rsidR="00D570C1" w:rsidRPr="00A12857" w:rsidRDefault="00D570C1" w:rsidP="008F610B">
            <w:pPr>
              <w:spacing w:after="0" w:line="276" w:lineRule="auto"/>
              <w:ind w:left="708" w:hanging="708"/>
              <w:jc w:val="both"/>
              <w:rPr>
                <w:rFonts w:ascii="Arial" w:eastAsia="Times New Roman" w:hAnsi="Arial" w:cs="Arial"/>
                <w:b/>
                <w:sz w:val="18"/>
                <w:szCs w:val="18"/>
                <w:lang w:eastAsia="es-ES"/>
              </w:rPr>
            </w:pPr>
            <w:r w:rsidRPr="00A12857">
              <w:rPr>
                <w:rFonts w:ascii="Arial" w:eastAsia="Times New Roman" w:hAnsi="Arial" w:cs="Arial"/>
                <w:color w:val="666666"/>
                <w:sz w:val="18"/>
                <w:szCs w:val="18"/>
                <w:lang w:eastAsia="es-ES"/>
              </w:rPr>
              <w:t xml:space="preserve">Universitat Jaume I. </w:t>
            </w:r>
            <w:r w:rsidRPr="00A12857">
              <w:rPr>
                <w:rFonts w:ascii="Arial" w:eastAsia="Times New Roman" w:hAnsi="Arial" w:cs="Arial"/>
                <w:i/>
                <w:sz w:val="18"/>
                <w:szCs w:val="18"/>
                <w:lang w:eastAsia="es-ES"/>
              </w:rPr>
              <w:t>Castelló de la Plana</w:t>
            </w:r>
          </w:p>
          <w:p w14:paraId="32947E48"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El papel de las agencias antifraude en la lucha contra la corrupción y por la integridad pública</w:t>
            </w:r>
          </w:p>
          <w:p w14:paraId="05BD64AE" w14:textId="77777777" w:rsidR="00D570C1" w:rsidRPr="00A12857" w:rsidRDefault="00D570C1" w:rsidP="008F610B">
            <w:pPr>
              <w:spacing w:after="0" w:line="276" w:lineRule="auto"/>
              <w:jc w:val="both"/>
              <w:rPr>
                <w:rFonts w:ascii="Arial" w:hAnsi="Arial" w:cs="Arial"/>
                <w:sz w:val="18"/>
                <w:szCs w:val="18"/>
              </w:rPr>
            </w:pPr>
            <w:r w:rsidRPr="00A12857">
              <w:rPr>
                <w:rFonts w:ascii="Arial" w:hAnsi="Arial" w:cs="Arial"/>
                <w:sz w:val="18"/>
                <w:szCs w:val="18"/>
              </w:rPr>
              <w:t>Intervención institucional del director en la inauguración de la actividad formativa titulada “Instituciones y gobernanza después de la pandemia: Perspectivas internacionales”, el director participó con una conferencia sobre el papel de las agencias antifraude en la lucha contra la corrupción.</w:t>
            </w:r>
          </w:p>
          <w:p w14:paraId="4DCC24E0" w14:textId="724FA831" w:rsidR="00D570C1" w:rsidRPr="00A12857" w:rsidRDefault="00AF48E6" w:rsidP="008F610B">
            <w:pPr>
              <w:spacing w:after="0" w:line="276" w:lineRule="auto"/>
              <w:jc w:val="both"/>
              <w:rPr>
                <w:rFonts w:ascii="Arial" w:hAnsi="Arial" w:cs="Arial"/>
                <w:sz w:val="18"/>
                <w:szCs w:val="18"/>
              </w:rPr>
            </w:pPr>
            <w:hyperlink r:id="rId109" w:history="1">
              <w:r w:rsidR="00353C4E" w:rsidRPr="00A12857">
                <w:rPr>
                  <w:rStyle w:val="Hipervnculo"/>
                  <w:rFonts w:ascii="Arial" w:hAnsi="Arial" w:cs="Arial"/>
                  <w:sz w:val="18"/>
                  <w:szCs w:val="18"/>
                </w:rPr>
                <w:t>https://www.uji.es/com/agenda/2021/10/28/workshop-iidl/</w:t>
              </w:r>
            </w:hyperlink>
            <w:r w:rsidR="00D570C1" w:rsidRPr="00A12857">
              <w:rPr>
                <w:rFonts w:ascii="Arial" w:hAnsi="Arial" w:cs="Arial"/>
                <w:sz w:val="18"/>
                <w:szCs w:val="18"/>
              </w:rPr>
              <w:t xml:space="preserve">   </w:t>
            </w:r>
          </w:p>
        </w:tc>
      </w:tr>
      <w:tr w:rsidR="00D570C1" w14:paraId="20444B21" w14:textId="77777777" w:rsidTr="005D344D">
        <w:trPr>
          <w:trHeight w:val="454"/>
        </w:trPr>
        <w:tc>
          <w:tcPr>
            <w:tcW w:w="1418" w:type="dxa"/>
            <w:tcBorders>
              <w:bottom w:val="single" w:sz="8" w:space="0" w:color="993333"/>
            </w:tcBorders>
            <w:shd w:val="clear" w:color="auto" w:fill="FFFFFF"/>
            <w:vAlign w:val="center"/>
          </w:tcPr>
          <w:p w14:paraId="0981B232" w14:textId="77777777" w:rsidR="00D570C1" w:rsidRPr="00A12857" w:rsidRDefault="00D570C1" w:rsidP="00BD00BC">
            <w:pPr>
              <w:rPr>
                <w:rFonts w:ascii="Arial" w:eastAsia="Times New Roman" w:hAnsi="Arial" w:cs="Arial"/>
                <w:sz w:val="18"/>
                <w:szCs w:val="18"/>
                <w:lang w:eastAsia="es-ES"/>
              </w:rPr>
            </w:pPr>
            <w:r w:rsidRPr="00A12857">
              <w:rPr>
                <w:rFonts w:ascii="Arial" w:eastAsia="Times New Roman" w:hAnsi="Arial" w:cs="Arial"/>
                <w:color w:val="000000"/>
                <w:sz w:val="18"/>
                <w:szCs w:val="18"/>
                <w:lang w:eastAsia="es-ES"/>
              </w:rPr>
              <w:t>29 de octubre</w:t>
            </w:r>
          </w:p>
        </w:tc>
        <w:tc>
          <w:tcPr>
            <w:tcW w:w="7086" w:type="dxa"/>
            <w:tcBorders>
              <w:bottom w:val="single" w:sz="8" w:space="0" w:color="993333"/>
            </w:tcBorders>
            <w:shd w:val="clear" w:color="auto" w:fill="FFFFFF"/>
          </w:tcPr>
          <w:p w14:paraId="4F9DDC9D" w14:textId="77777777" w:rsidR="00D570C1" w:rsidRPr="00A12857" w:rsidRDefault="00D570C1" w:rsidP="008F610B">
            <w:pPr>
              <w:spacing w:after="0" w:line="276" w:lineRule="auto"/>
              <w:ind w:left="708" w:hanging="708"/>
              <w:jc w:val="both"/>
              <w:rPr>
                <w:rFonts w:ascii="Arial" w:eastAsia="Times New Roman" w:hAnsi="Arial" w:cs="Arial"/>
                <w:sz w:val="18"/>
                <w:szCs w:val="18"/>
                <w:lang w:eastAsia="es-ES"/>
              </w:rPr>
            </w:pPr>
            <w:r w:rsidRPr="00A12857">
              <w:rPr>
                <w:rFonts w:ascii="Arial" w:eastAsia="Times New Roman" w:hAnsi="Arial" w:cs="Arial"/>
                <w:color w:val="666666"/>
                <w:sz w:val="18"/>
                <w:szCs w:val="18"/>
                <w:lang w:eastAsia="es-ES"/>
              </w:rPr>
              <w:t xml:space="preserve">Congreso NOVAGOB 2021. </w:t>
            </w:r>
            <w:r w:rsidRPr="00A12857">
              <w:rPr>
                <w:rFonts w:ascii="Arial" w:eastAsia="Times New Roman" w:hAnsi="Arial" w:cs="Arial"/>
                <w:i/>
                <w:sz w:val="18"/>
                <w:szCs w:val="18"/>
                <w:lang w:eastAsia="es-ES"/>
              </w:rPr>
              <w:t>Virtual</w:t>
            </w:r>
          </w:p>
          <w:p w14:paraId="76255291"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Fórmulas para una Administración más abierta e íntegra</w:t>
            </w:r>
          </w:p>
          <w:p w14:paraId="10DD7539" w14:textId="4C99974F" w:rsidR="00D570C1" w:rsidRPr="00A12857" w:rsidRDefault="00D570C1" w:rsidP="008F610B">
            <w:pPr>
              <w:spacing w:after="0" w:line="276" w:lineRule="auto"/>
              <w:jc w:val="both"/>
              <w:rPr>
                <w:rFonts w:ascii="Arial" w:eastAsia="Times New Roman" w:hAnsi="Arial" w:cs="Arial"/>
                <w:bCs/>
                <w:sz w:val="18"/>
                <w:szCs w:val="18"/>
                <w:lang w:eastAsia="es-ES"/>
              </w:rPr>
            </w:pPr>
            <w:r w:rsidRPr="00A12857">
              <w:rPr>
                <w:rFonts w:ascii="Arial" w:eastAsia="Times New Roman" w:hAnsi="Arial" w:cs="Arial"/>
                <w:bCs/>
                <w:sz w:val="18"/>
                <w:szCs w:val="18"/>
                <w:lang w:eastAsia="es-ES"/>
              </w:rPr>
              <w:t xml:space="preserve">Intervención institucional del director para exponer el trabajo de la Agencia en el marco del Congreso Novagob 2021, en una mesa redonda, moderada por Rafa Camacho, junto a Mercè Crosas, </w:t>
            </w:r>
            <w:r w:rsidR="006F0C5C">
              <w:rPr>
                <w:rFonts w:ascii="Arial" w:eastAsia="Times New Roman" w:hAnsi="Arial" w:cs="Arial"/>
                <w:bCs/>
                <w:sz w:val="18"/>
                <w:szCs w:val="18"/>
                <w:lang w:eastAsia="es-ES"/>
              </w:rPr>
              <w:t>s</w:t>
            </w:r>
            <w:r w:rsidRPr="00A12857">
              <w:rPr>
                <w:rFonts w:ascii="Arial" w:eastAsia="Times New Roman" w:hAnsi="Arial" w:cs="Arial"/>
                <w:bCs/>
                <w:sz w:val="18"/>
                <w:szCs w:val="18"/>
                <w:lang w:eastAsia="es-ES"/>
              </w:rPr>
              <w:t xml:space="preserve">ecretaria de Gobierno Abierto de la Generalitat Catalunya, Olivié Bayón, </w:t>
            </w:r>
            <w:r w:rsidR="006F0C5C">
              <w:rPr>
                <w:rFonts w:ascii="Arial" w:eastAsia="Times New Roman" w:hAnsi="Arial" w:cs="Arial"/>
                <w:bCs/>
                <w:sz w:val="18"/>
                <w:szCs w:val="18"/>
                <w:lang w:eastAsia="es-ES"/>
              </w:rPr>
              <w:t>d</w:t>
            </w:r>
            <w:r w:rsidRPr="00A12857">
              <w:rPr>
                <w:rFonts w:ascii="Arial" w:eastAsia="Times New Roman" w:hAnsi="Arial" w:cs="Arial"/>
                <w:bCs/>
                <w:sz w:val="18"/>
                <w:szCs w:val="18"/>
                <w:lang w:eastAsia="es-ES"/>
              </w:rPr>
              <w:t xml:space="preserve">irector </w:t>
            </w:r>
            <w:r w:rsidR="006F0C5C">
              <w:rPr>
                <w:rFonts w:ascii="Arial" w:eastAsia="Times New Roman" w:hAnsi="Arial" w:cs="Arial"/>
                <w:bCs/>
                <w:sz w:val="18"/>
                <w:szCs w:val="18"/>
                <w:lang w:eastAsia="es-ES"/>
              </w:rPr>
              <w:t>g</w:t>
            </w:r>
            <w:r w:rsidRPr="00A12857">
              <w:rPr>
                <w:rFonts w:ascii="Arial" w:eastAsia="Times New Roman" w:hAnsi="Arial" w:cs="Arial"/>
                <w:bCs/>
                <w:sz w:val="18"/>
                <w:szCs w:val="18"/>
                <w:lang w:eastAsia="es-ES"/>
              </w:rPr>
              <w:t xml:space="preserve">eneral </w:t>
            </w:r>
            <w:r w:rsidR="006F0C5C">
              <w:rPr>
                <w:rFonts w:ascii="Arial" w:eastAsia="Times New Roman" w:hAnsi="Arial" w:cs="Arial"/>
                <w:bCs/>
                <w:sz w:val="18"/>
                <w:szCs w:val="18"/>
                <w:lang w:eastAsia="es-ES"/>
              </w:rPr>
              <w:t xml:space="preserve">de </w:t>
            </w:r>
            <w:r w:rsidRPr="00A12857">
              <w:rPr>
                <w:rFonts w:ascii="Arial" w:eastAsia="Times New Roman" w:hAnsi="Arial" w:cs="Arial"/>
                <w:bCs/>
                <w:sz w:val="18"/>
                <w:szCs w:val="18"/>
                <w:lang w:eastAsia="es-ES"/>
              </w:rPr>
              <w:t xml:space="preserve">Gobernanza Pública del Gobierno de España y Kani Cubo, </w:t>
            </w:r>
            <w:r w:rsidR="006F0C5C">
              <w:rPr>
                <w:rFonts w:ascii="Arial" w:eastAsia="Times New Roman" w:hAnsi="Arial" w:cs="Arial"/>
                <w:bCs/>
                <w:sz w:val="18"/>
                <w:szCs w:val="18"/>
                <w:lang w:eastAsia="es-ES"/>
              </w:rPr>
              <w:t>p</w:t>
            </w:r>
            <w:r w:rsidRPr="00A12857">
              <w:rPr>
                <w:rFonts w:ascii="Arial" w:eastAsia="Times New Roman" w:hAnsi="Arial" w:cs="Arial"/>
                <w:bCs/>
                <w:sz w:val="18"/>
                <w:szCs w:val="18"/>
                <w:lang w:eastAsia="es-ES"/>
              </w:rPr>
              <w:t xml:space="preserve">ortavoz de la #ComunidadAspasia, </w:t>
            </w:r>
            <w:r w:rsidR="00D34F12">
              <w:rPr>
                <w:rFonts w:ascii="Arial" w:eastAsia="Times New Roman" w:hAnsi="Arial" w:cs="Arial"/>
                <w:bCs/>
                <w:sz w:val="18"/>
                <w:szCs w:val="18"/>
                <w:lang w:eastAsia="es-ES"/>
              </w:rPr>
              <w:t>a</w:t>
            </w:r>
            <w:r w:rsidRPr="00A12857">
              <w:rPr>
                <w:rFonts w:ascii="Arial" w:eastAsia="Times New Roman" w:hAnsi="Arial" w:cs="Arial"/>
                <w:bCs/>
                <w:sz w:val="18"/>
                <w:szCs w:val="18"/>
                <w:lang w:eastAsia="es-ES"/>
              </w:rPr>
              <w:t>sesora técnica de la Dirección General de Gobierno Abierto e Innovación Social del Gobierno de Aragón.</w:t>
            </w:r>
          </w:p>
          <w:p w14:paraId="1AE6B897" w14:textId="77777777" w:rsidR="00D570C1" w:rsidRPr="00A12857" w:rsidRDefault="00AF48E6" w:rsidP="008F610B">
            <w:pPr>
              <w:spacing w:after="0" w:line="276" w:lineRule="auto"/>
              <w:jc w:val="both"/>
              <w:rPr>
                <w:rFonts w:ascii="Arial" w:hAnsi="Arial" w:cs="Arial"/>
                <w:sz w:val="18"/>
                <w:szCs w:val="18"/>
              </w:rPr>
            </w:pPr>
            <w:hyperlink r:id="rId110" w:history="1">
              <w:r w:rsidR="00D570C1" w:rsidRPr="00A12857">
                <w:rPr>
                  <w:rStyle w:val="Hipervnculo"/>
                  <w:rFonts w:ascii="Arial" w:eastAsia="Times New Roman" w:hAnsi="Arial" w:cs="Arial"/>
                  <w:bCs/>
                  <w:sz w:val="18"/>
                  <w:szCs w:val="18"/>
                  <w:lang w:eastAsia="es-ES"/>
                </w:rPr>
                <w:t>https://www.youtube.com/watch?v=vpwVdUqlRKk</w:t>
              </w:r>
            </w:hyperlink>
            <w:r w:rsidR="00D570C1" w:rsidRPr="00A12857">
              <w:rPr>
                <w:rFonts w:ascii="Arial" w:eastAsia="Times New Roman" w:hAnsi="Arial" w:cs="Arial"/>
                <w:bCs/>
                <w:sz w:val="18"/>
                <w:szCs w:val="18"/>
                <w:lang w:eastAsia="es-ES"/>
              </w:rPr>
              <w:t xml:space="preserve"> </w:t>
            </w:r>
          </w:p>
        </w:tc>
      </w:tr>
      <w:tr w:rsidR="00D570C1" w14:paraId="3FFAD63E" w14:textId="77777777" w:rsidTr="005D344D">
        <w:trPr>
          <w:trHeight w:val="454"/>
        </w:trPr>
        <w:tc>
          <w:tcPr>
            <w:tcW w:w="1418" w:type="dxa"/>
            <w:tcBorders>
              <w:top w:val="single" w:sz="8" w:space="0" w:color="993333"/>
              <w:bottom w:val="single" w:sz="8" w:space="0" w:color="993333"/>
            </w:tcBorders>
            <w:shd w:val="clear" w:color="auto" w:fill="FFFFFF"/>
            <w:vAlign w:val="center"/>
          </w:tcPr>
          <w:p w14:paraId="7702F565" w14:textId="77777777" w:rsidR="00D570C1" w:rsidRPr="00A12857" w:rsidRDefault="00D570C1" w:rsidP="00BD00BC">
            <w:pPr>
              <w:rPr>
                <w:rFonts w:ascii="Arial" w:eastAsia="Times New Roman" w:hAnsi="Arial" w:cs="Arial"/>
                <w:sz w:val="18"/>
                <w:szCs w:val="18"/>
                <w:lang w:eastAsia="es-ES"/>
              </w:rPr>
            </w:pPr>
            <w:r w:rsidRPr="00A12857">
              <w:rPr>
                <w:rFonts w:ascii="Arial" w:eastAsia="Times New Roman" w:hAnsi="Arial" w:cs="Arial"/>
                <w:color w:val="000000"/>
                <w:sz w:val="18"/>
                <w:szCs w:val="18"/>
                <w:lang w:eastAsia="es-ES"/>
              </w:rPr>
              <w:t>2 de noviembre</w:t>
            </w:r>
          </w:p>
        </w:tc>
        <w:tc>
          <w:tcPr>
            <w:tcW w:w="7086" w:type="dxa"/>
            <w:tcBorders>
              <w:top w:val="single" w:sz="8" w:space="0" w:color="993333"/>
              <w:bottom w:val="single" w:sz="8" w:space="0" w:color="993333"/>
            </w:tcBorders>
            <w:shd w:val="clear" w:color="auto" w:fill="FFFFFF"/>
          </w:tcPr>
          <w:p w14:paraId="478D1DAD" w14:textId="77777777" w:rsidR="00D570C1" w:rsidRPr="00A12857" w:rsidRDefault="00D570C1" w:rsidP="008F610B">
            <w:pPr>
              <w:spacing w:after="0" w:line="276" w:lineRule="auto"/>
              <w:ind w:left="708" w:hanging="708"/>
              <w:jc w:val="both"/>
              <w:rPr>
                <w:rFonts w:ascii="Arial" w:eastAsia="Times New Roman" w:hAnsi="Arial" w:cs="Arial"/>
                <w:sz w:val="18"/>
                <w:szCs w:val="18"/>
                <w:lang w:eastAsia="es-ES"/>
              </w:rPr>
            </w:pPr>
            <w:r w:rsidRPr="00A12857">
              <w:rPr>
                <w:rFonts w:ascii="Arial" w:eastAsia="Times New Roman" w:hAnsi="Arial" w:cs="Arial"/>
                <w:color w:val="666666"/>
                <w:sz w:val="18"/>
                <w:szCs w:val="18"/>
                <w:lang w:eastAsia="es-ES"/>
              </w:rPr>
              <w:t xml:space="preserve">INAP </w:t>
            </w:r>
            <w:r w:rsidRPr="00A12857">
              <w:rPr>
                <w:rFonts w:ascii="Arial" w:eastAsia="Times New Roman" w:hAnsi="Arial" w:cs="Arial"/>
                <w:i/>
                <w:sz w:val="18"/>
                <w:szCs w:val="18"/>
                <w:lang w:eastAsia="es-ES"/>
              </w:rPr>
              <w:t>Virtual</w:t>
            </w:r>
          </w:p>
          <w:p w14:paraId="0BB8449A"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El papel de las agencias antifraude en la lucha contra la corrupción y por la integridad pública</w:t>
            </w:r>
          </w:p>
          <w:p w14:paraId="372C77C0" w14:textId="3B4E9FEB" w:rsidR="00D570C1" w:rsidRPr="00A12857" w:rsidRDefault="00D570C1" w:rsidP="008F610B">
            <w:pPr>
              <w:spacing w:after="0" w:line="276" w:lineRule="auto"/>
              <w:jc w:val="both"/>
              <w:rPr>
                <w:rFonts w:ascii="Arial" w:hAnsi="Arial" w:cs="Arial"/>
                <w:sz w:val="18"/>
                <w:szCs w:val="18"/>
              </w:rPr>
            </w:pPr>
            <w:r w:rsidRPr="00A12857">
              <w:rPr>
                <w:rFonts w:ascii="Arial" w:eastAsia="Times New Roman" w:hAnsi="Arial" w:cs="Arial"/>
                <w:bCs/>
                <w:sz w:val="18"/>
                <w:szCs w:val="18"/>
                <w:lang w:eastAsia="es-ES"/>
              </w:rPr>
              <w:t>Presentación institucional de las funciones y líneas de actuación de la Agencia dentro del módulo educativo dedicado a políticas anticorrupción</w:t>
            </w:r>
            <w:r w:rsidR="00D34F12">
              <w:rPr>
                <w:rFonts w:ascii="Arial" w:eastAsia="Times New Roman" w:hAnsi="Arial" w:cs="Arial"/>
                <w:bCs/>
                <w:sz w:val="18"/>
                <w:szCs w:val="18"/>
                <w:lang w:eastAsia="es-ES"/>
              </w:rPr>
              <w:t>,</w:t>
            </w:r>
            <w:r w:rsidRPr="00A12857">
              <w:rPr>
                <w:rFonts w:ascii="Arial" w:eastAsia="Times New Roman" w:hAnsi="Arial" w:cs="Arial"/>
                <w:bCs/>
                <w:sz w:val="18"/>
                <w:szCs w:val="18"/>
                <w:lang w:eastAsia="es-ES"/>
              </w:rPr>
              <w:t xml:space="preserve"> en la actividad formativa del curso selectivo del Cuerpo de Administradores Civiles del Estado. </w:t>
            </w:r>
          </w:p>
        </w:tc>
      </w:tr>
      <w:tr w:rsidR="00D570C1" w14:paraId="3EAC8809" w14:textId="77777777" w:rsidTr="005D344D">
        <w:trPr>
          <w:trHeight w:val="454"/>
        </w:trPr>
        <w:tc>
          <w:tcPr>
            <w:tcW w:w="1418" w:type="dxa"/>
            <w:tcBorders>
              <w:bottom w:val="single" w:sz="8" w:space="0" w:color="993333"/>
            </w:tcBorders>
            <w:shd w:val="clear" w:color="auto" w:fill="FFFFFF"/>
            <w:vAlign w:val="center"/>
          </w:tcPr>
          <w:p w14:paraId="14F9EC08" w14:textId="77777777" w:rsidR="00D570C1" w:rsidRPr="00A12857" w:rsidRDefault="00D570C1" w:rsidP="00BD00BC">
            <w:pPr>
              <w:rPr>
                <w:rFonts w:ascii="Arial" w:eastAsia="Times New Roman" w:hAnsi="Arial" w:cs="Arial"/>
                <w:sz w:val="18"/>
                <w:szCs w:val="18"/>
                <w:lang w:eastAsia="es-ES"/>
              </w:rPr>
            </w:pPr>
            <w:r w:rsidRPr="00A12857">
              <w:rPr>
                <w:rFonts w:ascii="Arial" w:eastAsia="Times New Roman" w:hAnsi="Arial" w:cs="Arial"/>
                <w:color w:val="000000"/>
                <w:sz w:val="18"/>
                <w:szCs w:val="18"/>
                <w:lang w:eastAsia="es-ES"/>
              </w:rPr>
              <w:t>3 de noviembre</w:t>
            </w:r>
          </w:p>
        </w:tc>
        <w:tc>
          <w:tcPr>
            <w:tcW w:w="7086" w:type="dxa"/>
            <w:tcBorders>
              <w:bottom w:val="single" w:sz="8" w:space="0" w:color="993333"/>
            </w:tcBorders>
            <w:shd w:val="clear" w:color="auto" w:fill="FFFFFF"/>
          </w:tcPr>
          <w:p w14:paraId="52E0AAC6" w14:textId="77777777" w:rsidR="00D570C1" w:rsidRPr="00A12857" w:rsidRDefault="00D570C1" w:rsidP="008F610B">
            <w:pPr>
              <w:spacing w:after="0" w:line="276" w:lineRule="auto"/>
              <w:ind w:left="708" w:hanging="708"/>
              <w:jc w:val="both"/>
              <w:rPr>
                <w:rFonts w:ascii="Arial" w:eastAsia="Times New Roman" w:hAnsi="Arial" w:cs="Arial"/>
                <w:b/>
                <w:sz w:val="18"/>
                <w:szCs w:val="18"/>
                <w:lang w:eastAsia="es-ES"/>
              </w:rPr>
            </w:pPr>
            <w:r w:rsidRPr="00A12857">
              <w:rPr>
                <w:rFonts w:ascii="Arial" w:eastAsia="Times New Roman" w:hAnsi="Arial" w:cs="Arial"/>
                <w:color w:val="666666"/>
                <w:sz w:val="18"/>
                <w:szCs w:val="18"/>
                <w:lang w:eastAsia="es-ES"/>
              </w:rPr>
              <w:t xml:space="preserve">Universitat Jaume I. </w:t>
            </w:r>
            <w:r w:rsidRPr="00A12857">
              <w:rPr>
                <w:rFonts w:ascii="Arial" w:eastAsia="Times New Roman" w:hAnsi="Arial" w:cs="Arial"/>
                <w:i/>
                <w:sz w:val="18"/>
                <w:szCs w:val="18"/>
                <w:lang w:eastAsia="es-ES"/>
              </w:rPr>
              <w:t>Castelló de la Plana</w:t>
            </w:r>
          </w:p>
          <w:p w14:paraId="10044CCB"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Buen Gobierno en la Función Pública local.</w:t>
            </w:r>
          </w:p>
          <w:p w14:paraId="1002B994" w14:textId="77777777" w:rsidR="00D570C1" w:rsidRPr="00A12857" w:rsidRDefault="00D570C1" w:rsidP="008F610B">
            <w:pPr>
              <w:spacing w:after="0" w:line="276" w:lineRule="auto"/>
              <w:jc w:val="both"/>
              <w:rPr>
                <w:rFonts w:ascii="Arial" w:hAnsi="Arial" w:cs="Arial"/>
                <w:sz w:val="18"/>
                <w:szCs w:val="18"/>
              </w:rPr>
            </w:pPr>
            <w:r w:rsidRPr="00A12857">
              <w:rPr>
                <w:rFonts w:ascii="Arial" w:hAnsi="Arial" w:cs="Arial"/>
                <w:sz w:val="18"/>
                <w:szCs w:val="18"/>
              </w:rPr>
              <w:t>Representación institucional en la inauguración de la jornada formativa junto a Antoni Llorente, secretario autonómico de Participación y Transparencia y Cristina Pauner, secretaria general y profesora titular de Derecho Constitucional de la UJI.</w:t>
            </w:r>
          </w:p>
          <w:p w14:paraId="53960E39" w14:textId="77777777" w:rsidR="00D570C1" w:rsidRPr="00A12857" w:rsidRDefault="00AF48E6" w:rsidP="008F610B">
            <w:pPr>
              <w:spacing w:after="0" w:line="276" w:lineRule="auto"/>
              <w:jc w:val="both"/>
              <w:rPr>
                <w:rFonts w:ascii="Arial" w:hAnsi="Arial" w:cs="Arial"/>
                <w:sz w:val="18"/>
                <w:szCs w:val="18"/>
              </w:rPr>
            </w:pPr>
            <w:hyperlink r:id="rId111" w:history="1">
              <w:r w:rsidR="00D570C1" w:rsidRPr="00A12857">
                <w:rPr>
                  <w:rStyle w:val="Hipervnculo"/>
                  <w:rFonts w:ascii="Arial" w:hAnsi="Arial" w:cs="Arial"/>
                  <w:sz w:val="18"/>
                  <w:szCs w:val="18"/>
                </w:rPr>
                <w:t>https://www.uji.es/com/agenda/2021/11/03/jornada-bon-govern/</w:t>
              </w:r>
            </w:hyperlink>
            <w:r w:rsidR="00D570C1" w:rsidRPr="00A12857">
              <w:rPr>
                <w:rFonts w:ascii="Arial" w:hAnsi="Arial" w:cs="Arial"/>
                <w:sz w:val="18"/>
                <w:szCs w:val="18"/>
              </w:rPr>
              <w:t xml:space="preserve"> </w:t>
            </w:r>
          </w:p>
        </w:tc>
      </w:tr>
      <w:tr w:rsidR="00D570C1" w14:paraId="3A5DADAA" w14:textId="77777777" w:rsidTr="005D344D">
        <w:trPr>
          <w:trHeight w:val="454"/>
        </w:trPr>
        <w:tc>
          <w:tcPr>
            <w:tcW w:w="1418" w:type="dxa"/>
            <w:tcBorders>
              <w:bottom w:val="single" w:sz="8" w:space="0" w:color="993333"/>
            </w:tcBorders>
            <w:shd w:val="clear" w:color="auto" w:fill="FFFFFF"/>
            <w:vAlign w:val="center"/>
          </w:tcPr>
          <w:p w14:paraId="7BEB8740" w14:textId="6F997B09" w:rsidR="00D570C1" w:rsidRPr="00A12857" w:rsidRDefault="00D570C1" w:rsidP="00BD00BC">
            <w:pPr>
              <w:rPr>
                <w:rFonts w:ascii="Arial" w:eastAsia="Times New Roman" w:hAnsi="Arial" w:cs="Arial"/>
                <w:color w:val="000000"/>
                <w:sz w:val="18"/>
                <w:szCs w:val="18"/>
                <w:lang w:eastAsia="es-ES"/>
              </w:rPr>
            </w:pPr>
            <w:r w:rsidRPr="00A12857">
              <w:rPr>
                <w:rFonts w:ascii="Arial" w:eastAsia="Times New Roman" w:hAnsi="Arial" w:cs="Arial"/>
                <w:color w:val="000000"/>
                <w:sz w:val="18"/>
                <w:szCs w:val="18"/>
                <w:lang w:eastAsia="es-ES"/>
              </w:rPr>
              <w:t>6 de noviembre</w:t>
            </w:r>
          </w:p>
        </w:tc>
        <w:tc>
          <w:tcPr>
            <w:tcW w:w="7086" w:type="dxa"/>
            <w:tcBorders>
              <w:bottom w:val="single" w:sz="8" w:space="0" w:color="993333"/>
            </w:tcBorders>
            <w:shd w:val="clear" w:color="auto" w:fill="FFFFFF"/>
          </w:tcPr>
          <w:p w14:paraId="15B0951E" w14:textId="77777777" w:rsidR="00D570C1" w:rsidRPr="00A12857" w:rsidRDefault="00D570C1" w:rsidP="008F610B">
            <w:pPr>
              <w:spacing w:after="0" w:line="276" w:lineRule="auto"/>
              <w:ind w:left="708" w:hanging="708"/>
              <w:jc w:val="both"/>
              <w:rPr>
                <w:rFonts w:ascii="Arial" w:eastAsia="Times New Roman" w:hAnsi="Arial" w:cs="Arial"/>
                <w:b/>
                <w:sz w:val="18"/>
                <w:szCs w:val="18"/>
                <w:lang w:eastAsia="es-ES"/>
              </w:rPr>
            </w:pPr>
            <w:r w:rsidRPr="00A12857">
              <w:rPr>
                <w:rFonts w:ascii="Arial" w:eastAsia="Times New Roman" w:hAnsi="Arial" w:cs="Arial"/>
                <w:color w:val="666666"/>
                <w:sz w:val="18"/>
                <w:szCs w:val="18"/>
                <w:lang w:eastAsia="es-ES"/>
              </w:rPr>
              <w:t xml:space="preserve">Centro Nacional de Educación Ambiental (CENEAM). </w:t>
            </w:r>
            <w:r w:rsidRPr="00A12857">
              <w:rPr>
                <w:rFonts w:ascii="Arial" w:eastAsia="Times New Roman" w:hAnsi="Arial" w:cs="Arial"/>
                <w:i/>
                <w:sz w:val="18"/>
                <w:szCs w:val="18"/>
                <w:lang w:eastAsia="es-ES"/>
              </w:rPr>
              <w:t>Valsaín, Segovia</w:t>
            </w:r>
          </w:p>
          <w:p w14:paraId="325564E9"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Corrupción y medio ambiente.</w:t>
            </w:r>
          </w:p>
          <w:p w14:paraId="110CFD4A" w14:textId="5259DBA1" w:rsidR="00D570C1" w:rsidRPr="00A12857" w:rsidRDefault="00D570C1" w:rsidP="008F610B">
            <w:pPr>
              <w:spacing w:after="0" w:line="276" w:lineRule="auto"/>
              <w:jc w:val="both"/>
              <w:rPr>
                <w:rFonts w:ascii="Arial" w:eastAsia="Times New Roman" w:hAnsi="Arial" w:cs="Arial"/>
                <w:color w:val="666666"/>
                <w:sz w:val="18"/>
                <w:szCs w:val="18"/>
                <w:lang w:eastAsia="es-ES"/>
              </w:rPr>
            </w:pPr>
            <w:r w:rsidRPr="00A12857">
              <w:rPr>
                <w:rFonts w:ascii="Arial" w:hAnsi="Arial" w:cs="Arial"/>
                <w:sz w:val="18"/>
                <w:szCs w:val="18"/>
              </w:rPr>
              <w:t>Mesa redonda en torno a los aspectos particulares de la especialidad en el seno de la jornada organizado por el CENEAM</w:t>
            </w:r>
            <w:r w:rsidR="00D34F12">
              <w:rPr>
                <w:rFonts w:ascii="Arial" w:hAnsi="Arial" w:cs="Arial"/>
                <w:sz w:val="18"/>
                <w:szCs w:val="18"/>
              </w:rPr>
              <w:t>,</w:t>
            </w:r>
            <w:r w:rsidRPr="00A12857">
              <w:rPr>
                <w:rFonts w:ascii="Arial" w:hAnsi="Arial" w:cs="Arial"/>
                <w:sz w:val="18"/>
                <w:szCs w:val="18"/>
              </w:rPr>
              <w:t xml:space="preserve"> para las Fiscalías de Medio Ambiente.</w:t>
            </w:r>
          </w:p>
        </w:tc>
      </w:tr>
      <w:tr w:rsidR="00D570C1" w14:paraId="7BFEB449" w14:textId="77777777" w:rsidTr="005D344D">
        <w:trPr>
          <w:trHeight w:val="454"/>
        </w:trPr>
        <w:tc>
          <w:tcPr>
            <w:tcW w:w="1418" w:type="dxa"/>
            <w:tcBorders>
              <w:top w:val="single" w:sz="8" w:space="0" w:color="993333"/>
              <w:bottom w:val="single" w:sz="8" w:space="0" w:color="993333"/>
            </w:tcBorders>
            <w:shd w:val="clear" w:color="auto" w:fill="FFFFFF"/>
            <w:vAlign w:val="center"/>
          </w:tcPr>
          <w:p w14:paraId="36DC2BEC" w14:textId="77777777" w:rsidR="00D570C1" w:rsidRPr="00A12857" w:rsidRDefault="00D570C1" w:rsidP="00BD00BC">
            <w:pPr>
              <w:rPr>
                <w:rFonts w:ascii="Arial" w:eastAsia="Times New Roman" w:hAnsi="Arial" w:cs="Arial"/>
                <w:color w:val="000000"/>
                <w:sz w:val="18"/>
                <w:szCs w:val="18"/>
                <w:lang w:eastAsia="es-ES"/>
              </w:rPr>
            </w:pPr>
            <w:r w:rsidRPr="00A12857">
              <w:rPr>
                <w:rFonts w:ascii="Arial" w:eastAsia="Times New Roman" w:hAnsi="Arial" w:cs="Arial"/>
                <w:color w:val="000000"/>
                <w:sz w:val="18"/>
                <w:szCs w:val="18"/>
                <w:lang w:eastAsia="es-ES"/>
              </w:rPr>
              <w:t>23 de noviembre</w:t>
            </w:r>
          </w:p>
        </w:tc>
        <w:tc>
          <w:tcPr>
            <w:tcW w:w="7086" w:type="dxa"/>
            <w:tcBorders>
              <w:top w:val="single" w:sz="8" w:space="0" w:color="993333"/>
              <w:bottom w:val="single" w:sz="8" w:space="0" w:color="993333"/>
            </w:tcBorders>
            <w:shd w:val="clear" w:color="auto" w:fill="FFFFFF"/>
          </w:tcPr>
          <w:p w14:paraId="378DDC6B" w14:textId="77777777" w:rsidR="00D570C1" w:rsidRPr="00A12857" w:rsidRDefault="00D570C1" w:rsidP="008F610B">
            <w:pPr>
              <w:spacing w:after="0" w:line="276" w:lineRule="auto"/>
              <w:jc w:val="both"/>
              <w:rPr>
                <w:rFonts w:ascii="Arial" w:eastAsia="Times New Roman" w:hAnsi="Arial" w:cs="Arial"/>
                <w:sz w:val="18"/>
                <w:szCs w:val="18"/>
                <w:lang w:eastAsia="es-ES"/>
              </w:rPr>
            </w:pPr>
            <w:r w:rsidRPr="00A12857">
              <w:rPr>
                <w:rFonts w:ascii="Arial" w:eastAsia="Times New Roman" w:hAnsi="Arial" w:cs="Arial"/>
                <w:color w:val="666666"/>
                <w:sz w:val="18"/>
                <w:szCs w:val="18"/>
                <w:lang w:eastAsia="es-ES"/>
              </w:rPr>
              <w:t xml:space="preserve">Diputació de València. </w:t>
            </w:r>
            <w:r w:rsidRPr="00A12857">
              <w:rPr>
                <w:rFonts w:ascii="Arial" w:eastAsia="Times New Roman" w:hAnsi="Arial" w:cs="Arial"/>
                <w:i/>
                <w:sz w:val="18"/>
                <w:szCs w:val="18"/>
                <w:lang w:eastAsia="es-ES"/>
              </w:rPr>
              <w:t>Virtual</w:t>
            </w:r>
          </w:p>
          <w:p w14:paraId="584DCCFC"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 xml:space="preserve">Los canales de denuncia como instrumento para la consecución de instituciones sólidas </w:t>
            </w:r>
          </w:p>
          <w:p w14:paraId="3BBDD0C4" w14:textId="578CFC72" w:rsidR="00D570C1" w:rsidRPr="00A12857" w:rsidRDefault="00D570C1" w:rsidP="008F610B">
            <w:pPr>
              <w:spacing w:after="0" w:line="276" w:lineRule="auto"/>
              <w:jc w:val="both"/>
              <w:rPr>
                <w:rFonts w:ascii="Arial" w:eastAsia="Times New Roman" w:hAnsi="Arial" w:cs="Arial"/>
                <w:color w:val="666666"/>
                <w:sz w:val="18"/>
                <w:szCs w:val="18"/>
                <w:lang w:eastAsia="es-ES"/>
              </w:rPr>
            </w:pPr>
            <w:r w:rsidRPr="00A12857">
              <w:rPr>
                <w:rFonts w:ascii="Arial" w:eastAsia="Times New Roman" w:hAnsi="Arial" w:cs="Arial"/>
                <w:bCs/>
                <w:sz w:val="18"/>
                <w:szCs w:val="18"/>
                <w:lang w:eastAsia="es-ES"/>
              </w:rPr>
              <w:t>Intervención institucional presentando la Agencia</w:t>
            </w:r>
            <w:r w:rsidR="00D34F12">
              <w:rPr>
                <w:rFonts w:ascii="Arial" w:eastAsia="Times New Roman" w:hAnsi="Arial" w:cs="Arial"/>
                <w:bCs/>
                <w:sz w:val="18"/>
                <w:szCs w:val="18"/>
                <w:lang w:eastAsia="es-ES"/>
              </w:rPr>
              <w:t>,</w:t>
            </w:r>
            <w:r w:rsidRPr="00A12857">
              <w:rPr>
                <w:rFonts w:ascii="Arial" w:eastAsia="Times New Roman" w:hAnsi="Arial" w:cs="Arial"/>
                <w:bCs/>
                <w:sz w:val="18"/>
                <w:szCs w:val="18"/>
                <w:lang w:eastAsia="es-ES"/>
              </w:rPr>
              <w:t xml:space="preserve"> dentro del módulo educativo dedicado a políticas antifraude</w:t>
            </w:r>
            <w:r w:rsidR="00D34F12">
              <w:rPr>
                <w:rFonts w:ascii="Arial" w:eastAsia="Times New Roman" w:hAnsi="Arial" w:cs="Arial"/>
                <w:bCs/>
                <w:sz w:val="18"/>
                <w:szCs w:val="18"/>
                <w:lang w:eastAsia="es-ES"/>
              </w:rPr>
              <w:t>,</w:t>
            </w:r>
            <w:r w:rsidRPr="00A12857">
              <w:rPr>
                <w:rFonts w:ascii="Arial" w:eastAsia="Times New Roman" w:hAnsi="Arial" w:cs="Arial"/>
                <w:bCs/>
                <w:sz w:val="18"/>
                <w:szCs w:val="18"/>
                <w:lang w:eastAsia="es-ES"/>
              </w:rPr>
              <w:t xml:space="preserve"> de la actividad formativa del curso “Los nuevos retos de la contratación del Sector Público: instrumentos prácticos. ODS y fondos Next Generation EU para una cultura administrativa sostenible”. </w:t>
            </w:r>
          </w:p>
        </w:tc>
      </w:tr>
      <w:tr w:rsidR="00D570C1" w14:paraId="5E3DD71B" w14:textId="77777777" w:rsidTr="005D344D">
        <w:trPr>
          <w:trHeight w:val="454"/>
        </w:trPr>
        <w:tc>
          <w:tcPr>
            <w:tcW w:w="1418" w:type="dxa"/>
            <w:tcBorders>
              <w:top w:val="single" w:sz="8" w:space="0" w:color="993333"/>
              <w:bottom w:val="single" w:sz="8" w:space="0" w:color="993333"/>
            </w:tcBorders>
            <w:shd w:val="clear" w:color="auto" w:fill="FFFFFF"/>
            <w:vAlign w:val="center"/>
          </w:tcPr>
          <w:p w14:paraId="2F51F1E0" w14:textId="25AAAAF3" w:rsidR="00D570C1" w:rsidRPr="00A12857" w:rsidRDefault="00D570C1" w:rsidP="00C87B3E">
            <w:pPr>
              <w:rPr>
                <w:rFonts w:ascii="Arial" w:eastAsia="Times New Roman" w:hAnsi="Arial" w:cs="Arial"/>
                <w:color w:val="000000"/>
                <w:sz w:val="18"/>
                <w:szCs w:val="18"/>
                <w:lang w:eastAsia="es-ES"/>
              </w:rPr>
            </w:pPr>
            <w:r w:rsidRPr="00A12857">
              <w:rPr>
                <w:rFonts w:ascii="Arial" w:eastAsia="Times New Roman" w:hAnsi="Arial" w:cs="Arial"/>
                <w:color w:val="000000"/>
                <w:sz w:val="18"/>
                <w:szCs w:val="18"/>
                <w:lang w:eastAsia="es-ES"/>
              </w:rPr>
              <w:t>2 de</w:t>
            </w:r>
            <w:r w:rsidR="00C87B3E">
              <w:rPr>
                <w:rFonts w:ascii="Arial" w:eastAsia="Times New Roman" w:hAnsi="Arial" w:cs="Arial"/>
                <w:color w:val="000000"/>
                <w:sz w:val="18"/>
                <w:szCs w:val="18"/>
                <w:lang w:eastAsia="es-ES"/>
              </w:rPr>
              <w:t xml:space="preserve"> </w:t>
            </w:r>
            <w:r w:rsidRPr="00A12857">
              <w:rPr>
                <w:rFonts w:ascii="Arial" w:eastAsia="Times New Roman" w:hAnsi="Arial" w:cs="Arial"/>
                <w:color w:val="000000"/>
                <w:sz w:val="18"/>
                <w:szCs w:val="18"/>
                <w:lang w:eastAsia="es-ES"/>
              </w:rPr>
              <w:t>diciembre</w:t>
            </w:r>
          </w:p>
        </w:tc>
        <w:tc>
          <w:tcPr>
            <w:tcW w:w="7086" w:type="dxa"/>
            <w:tcBorders>
              <w:top w:val="single" w:sz="8" w:space="0" w:color="993333"/>
              <w:bottom w:val="single" w:sz="8" w:space="0" w:color="993333"/>
            </w:tcBorders>
            <w:shd w:val="clear" w:color="auto" w:fill="FFFFFF"/>
          </w:tcPr>
          <w:p w14:paraId="75B8D897" w14:textId="77777777" w:rsidR="00D570C1" w:rsidRPr="00A12857" w:rsidRDefault="00D570C1" w:rsidP="008F610B">
            <w:pPr>
              <w:spacing w:after="0" w:line="276" w:lineRule="auto"/>
              <w:jc w:val="both"/>
              <w:rPr>
                <w:rFonts w:ascii="Arial" w:eastAsia="Times New Roman" w:hAnsi="Arial" w:cs="Arial"/>
                <w:sz w:val="18"/>
                <w:szCs w:val="18"/>
                <w:lang w:eastAsia="es-ES"/>
              </w:rPr>
            </w:pPr>
            <w:r w:rsidRPr="00A12857">
              <w:rPr>
                <w:rFonts w:ascii="Arial" w:eastAsia="Times New Roman" w:hAnsi="Arial" w:cs="Arial"/>
                <w:color w:val="666666"/>
                <w:sz w:val="18"/>
                <w:szCs w:val="18"/>
                <w:lang w:eastAsia="es-ES"/>
              </w:rPr>
              <w:t xml:space="preserve">Universidad Politécnica de Valencia. </w:t>
            </w:r>
            <w:r w:rsidRPr="00A12857">
              <w:rPr>
                <w:rFonts w:ascii="Arial" w:eastAsia="Times New Roman" w:hAnsi="Arial" w:cs="Arial"/>
                <w:i/>
                <w:sz w:val="18"/>
                <w:szCs w:val="18"/>
                <w:lang w:eastAsia="es-ES"/>
              </w:rPr>
              <w:t>València</w:t>
            </w:r>
          </w:p>
          <w:p w14:paraId="4F5A1E3A"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Las particularidades de la gestión administrativa cultural y principales riesgos de fraude y corrupción.</w:t>
            </w:r>
          </w:p>
          <w:p w14:paraId="4F467D32" w14:textId="41FF9251" w:rsidR="00D570C1" w:rsidRPr="00A12857" w:rsidRDefault="00D570C1" w:rsidP="008F610B">
            <w:pPr>
              <w:spacing w:after="0" w:line="276" w:lineRule="auto"/>
              <w:jc w:val="both"/>
              <w:rPr>
                <w:rFonts w:ascii="Arial" w:eastAsia="Times New Roman" w:hAnsi="Arial" w:cs="Arial"/>
                <w:color w:val="666666"/>
                <w:sz w:val="18"/>
                <w:szCs w:val="18"/>
                <w:lang w:eastAsia="es-ES"/>
              </w:rPr>
            </w:pPr>
            <w:r w:rsidRPr="00A12857">
              <w:rPr>
                <w:rFonts w:ascii="Arial" w:eastAsia="Times New Roman" w:hAnsi="Arial" w:cs="Arial"/>
                <w:bCs/>
                <w:sz w:val="18"/>
                <w:szCs w:val="18"/>
                <w:lang w:eastAsia="es-ES"/>
              </w:rPr>
              <w:t>Participación institucional del director presentando la Agencia</w:t>
            </w:r>
            <w:r w:rsidR="00D34F12">
              <w:rPr>
                <w:rFonts w:ascii="Arial" w:eastAsia="Times New Roman" w:hAnsi="Arial" w:cs="Arial"/>
                <w:bCs/>
                <w:sz w:val="18"/>
                <w:szCs w:val="18"/>
                <w:lang w:eastAsia="es-ES"/>
              </w:rPr>
              <w:t>,</w:t>
            </w:r>
            <w:r w:rsidRPr="00A12857">
              <w:rPr>
                <w:rFonts w:ascii="Arial" w:eastAsia="Times New Roman" w:hAnsi="Arial" w:cs="Arial"/>
                <w:bCs/>
                <w:sz w:val="18"/>
                <w:szCs w:val="18"/>
                <w:lang w:eastAsia="es-ES"/>
              </w:rPr>
              <w:t xml:space="preserve"> dentro del módulo formativo impartido dedicado a políticas antifraude en el Máster en Gestión Pública de la Universidad Politécnica de Valencia</w:t>
            </w:r>
            <w:r w:rsidR="00D34F12">
              <w:rPr>
                <w:rFonts w:ascii="Arial" w:eastAsia="Times New Roman" w:hAnsi="Arial" w:cs="Arial"/>
                <w:bCs/>
                <w:sz w:val="18"/>
                <w:szCs w:val="18"/>
                <w:lang w:eastAsia="es-ES"/>
              </w:rPr>
              <w:t>,</w:t>
            </w:r>
            <w:r w:rsidRPr="00A12857">
              <w:rPr>
                <w:rFonts w:ascii="Arial" w:eastAsia="Times New Roman" w:hAnsi="Arial" w:cs="Arial"/>
                <w:bCs/>
                <w:sz w:val="18"/>
                <w:szCs w:val="18"/>
                <w:lang w:eastAsia="es-ES"/>
              </w:rPr>
              <w:t xml:space="preserve"> en la asignatura Sistemas de Evaluación y Calidad y Gestión de los Presupuestos.</w:t>
            </w:r>
          </w:p>
        </w:tc>
      </w:tr>
      <w:tr w:rsidR="00D570C1" w14:paraId="731A1EE8" w14:textId="77777777" w:rsidTr="005D344D">
        <w:trPr>
          <w:trHeight w:val="454"/>
        </w:trPr>
        <w:tc>
          <w:tcPr>
            <w:tcW w:w="1418" w:type="dxa"/>
            <w:tcBorders>
              <w:top w:val="single" w:sz="8" w:space="0" w:color="993333"/>
              <w:bottom w:val="single" w:sz="8" w:space="0" w:color="993333"/>
            </w:tcBorders>
            <w:shd w:val="clear" w:color="auto" w:fill="FFFFFF"/>
            <w:vAlign w:val="center"/>
          </w:tcPr>
          <w:p w14:paraId="05720EE3" w14:textId="483049A4" w:rsidR="00D570C1" w:rsidRPr="00A12857" w:rsidRDefault="00D570C1" w:rsidP="00BD00BC">
            <w:pPr>
              <w:rPr>
                <w:rFonts w:ascii="Arial" w:eastAsia="Times New Roman" w:hAnsi="Arial" w:cs="Arial"/>
                <w:color w:val="000000"/>
                <w:sz w:val="18"/>
                <w:szCs w:val="18"/>
                <w:lang w:eastAsia="es-ES"/>
              </w:rPr>
            </w:pPr>
            <w:r w:rsidRPr="00A12857">
              <w:rPr>
                <w:rFonts w:ascii="Arial" w:eastAsia="Times New Roman" w:hAnsi="Arial" w:cs="Arial"/>
                <w:color w:val="000000"/>
                <w:sz w:val="18"/>
                <w:szCs w:val="18"/>
                <w:lang w:eastAsia="es-ES"/>
              </w:rPr>
              <w:t>16 de</w:t>
            </w:r>
            <w:r w:rsidR="005D344D" w:rsidRPr="00A12857">
              <w:rPr>
                <w:rFonts w:ascii="Arial" w:eastAsia="Times New Roman" w:hAnsi="Arial" w:cs="Arial"/>
                <w:color w:val="000000"/>
                <w:sz w:val="18"/>
                <w:szCs w:val="18"/>
                <w:lang w:eastAsia="es-ES"/>
              </w:rPr>
              <w:t xml:space="preserve"> </w:t>
            </w:r>
            <w:r w:rsidRPr="00A12857">
              <w:rPr>
                <w:rFonts w:ascii="Arial" w:eastAsia="Times New Roman" w:hAnsi="Arial" w:cs="Arial"/>
                <w:color w:val="000000"/>
                <w:sz w:val="18"/>
                <w:szCs w:val="18"/>
                <w:lang w:eastAsia="es-ES"/>
              </w:rPr>
              <w:t>diciembre</w:t>
            </w:r>
          </w:p>
        </w:tc>
        <w:tc>
          <w:tcPr>
            <w:tcW w:w="7086" w:type="dxa"/>
            <w:tcBorders>
              <w:top w:val="single" w:sz="8" w:space="0" w:color="993333"/>
              <w:bottom w:val="single" w:sz="8" w:space="0" w:color="993333"/>
            </w:tcBorders>
            <w:shd w:val="clear" w:color="auto" w:fill="FFFFFF"/>
          </w:tcPr>
          <w:p w14:paraId="03B1D969" w14:textId="77777777" w:rsidR="00D570C1" w:rsidRPr="00A12857" w:rsidRDefault="00D570C1" w:rsidP="008F610B">
            <w:pPr>
              <w:spacing w:after="0" w:line="276" w:lineRule="auto"/>
              <w:ind w:right="140"/>
              <w:jc w:val="both"/>
              <w:rPr>
                <w:rFonts w:ascii="Arial" w:eastAsia="Times New Roman" w:hAnsi="Arial" w:cs="Arial"/>
                <w:sz w:val="18"/>
                <w:szCs w:val="18"/>
                <w:lang w:eastAsia="es-ES"/>
              </w:rPr>
            </w:pPr>
            <w:r w:rsidRPr="00A12857">
              <w:rPr>
                <w:rFonts w:ascii="Arial" w:eastAsia="Times New Roman" w:hAnsi="Arial" w:cs="Arial"/>
                <w:color w:val="666666"/>
                <w:sz w:val="18"/>
                <w:szCs w:val="18"/>
                <w:lang w:eastAsia="es-ES"/>
              </w:rPr>
              <w:t xml:space="preserve">Oficina de Prevención y Lucha contra la Corrupción de las Illes Balears. </w:t>
            </w:r>
            <w:r w:rsidRPr="00A12857">
              <w:rPr>
                <w:rFonts w:ascii="Arial" w:eastAsia="Times New Roman" w:hAnsi="Arial" w:cs="Arial"/>
                <w:i/>
                <w:sz w:val="18"/>
                <w:szCs w:val="18"/>
                <w:lang w:eastAsia="es-ES"/>
              </w:rPr>
              <w:t>Virtual</w:t>
            </w:r>
          </w:p>
          <w:p w14:paraId="58EE346F"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El papel de las Oficinas y Agencias Antifraude en el enfrentamiento de la corrupción</w:t>
            </w:r>
          </w:p>
          <w:p w14:paraId="455E755E" w14:textId="049CF2BD" w:rsidR="00D570C1" w:rsidRPr="00A12857" w:rsidRDefault="00D570C1" w:rsidP="008F610B">
            <w:pPr>
              <w:spacing w:after="0" w:line="276" w:lineRule="auto"/>
              <w:jc w:val="both"/>
              <w:rPr>
                <w:rFonts w:ascii="Arial" w:eastAsia="Times New Roman" w:hAnsi="Arial" w:cs="Arial"/>
                <w:bCs/>
                <w:sz w:val="18"/>
                <w:szCs w:val="18"/>
                <w:lang w:eastAsia="es-ES"/>
              </w:rPr>
            </w:pPr>
            <w:r w:rsidRPr="00A12857">
              <w:rPr>
                <w:rFonts w:ascii="Arial" w:eastAsia="Times New Roman" w:hAnsi="Arial" w:cs="Arial"/>
                <w:bCs/>
                <w:sz w:val="18"/>
                <w:szCs w:val="18"/>
                <w:lang w:eastAsia="es-ES"/>
              </w:rPr>
              <w:t>Mesa redonda dentro de la jornada organizada por la Oficina Anticorrupción de las Illes Balears</w:t>
            </w:r>
            <w:r w:rsidR="00D34F12">
              <w:rPr>
                <w:rFonts w:ascii="Arial" w:eastAsia="Times New Roman" w:hAnsi="Arial" w:cs="Arial"/>
                <w:bCs/>
                <w:sz w:val="18"/>
                <w:szCs w:val="18"/>
                <w:lang w:eastAsia="es-ES"/>
              </w:rPr>
              <w:t>,</w:t>
            </w:r>
            <w:r w:rsidRPr="00A12857">
              <w:rPr>
                <w:rFonts w:ascii="Arial" w:eastAsia="Times New Roman" w:hAnsi="Arial" w:cs="Arial"/>
                <w:bCs/>
                <w:sz w:val="18"/>
                <w:szCs w:val="18"/>
                <w:lang w:eastAsia="es-ES"/>
              </w:rPr>
              <w:t xml:space="preserve"> titulada “El enfrentamiento de la corrupción” y en la cual participó, además del director de la AVAF, los directores de las oficinas de Baleares, Cataluña y Andalucía.</w:t>
            </w:r>
          </w:p>
          <w:p w14:paraId="53C97854" w14:textId="77777777" w:rsidR="00D570C1" w:rsidRPr="00A12857" w:rsidRDefault="00AF48E6" w:rsidP="008F610B">
            <w:pPr>
              <w:spacing w:after="0" w:line="276" w:lineRule="auto"/>
              <w:jc w:val="both"/>
              <w:rPr>
                <w:rFonts w:ascii="Arial" w:eastAsia="Times New Roman" w:hAnsi="Arial" w:cs="Arial"/>
                <w:color w:val="666666"/>
                <w:sz w:val="18"/>
                <w:szCs w:val="18"/>
                <w:lang w:eastAsia="es-ES"/>
              </w:rPr>
            </w:pPr>
            <w:hyperlink r:id="rId112" w:history="1">
              <w:r w:rsidR="00D570C1" w:rsidRPr="00A12857">
                <w:rPr>
                  <w:rStyle w:val="Hipervnculo"/>
                  <w:rFonts w:ascii="Arial" w:eastAsia="Times New Roman" w:hAnsi="Arial" w:cs="Arial"/>
                  <w:sz w:val="18"/>
                  <w:szCs w:val="18"/>
                  <w:lang w:eastAsia="es-ES"/>
                </w:rPr>
                <w:t>https://oaib.es/ca/jornada-lenfrontament-de-la-corrupcio/</w:t>
              </w:r>
            </w:hyperlink>
            <w:r w:rsidR="00D570C1" w:rsidRPr="00A12857">
              <w:rPr>
                <w:rFonts w:ascii="Arial" w:eastAsia="Times New Roman" w:hAnsi="Arial" w:cs="Arial"/>
                <w:color w:val="666666"/>
                <w:sz w:val="18"/>
                <w:szCs w:val="18"/>
                <w:lang w:eastAsia="es-ES"/>
              </w:rPr>
              <w:t xml:space="preserve"> </w:t>
            </w:r>
          </w:p>
        </w:tc>
      </w:tr>
      <w:tr w:rsidR="00D570C1" w14:paraId="29786EDE" w14:textId="77777777" w:rsidTr="005D344D">
        <w:trPr>
          <w:trHeight w:val="454"/>
        </w:trPr>
        <w:tc>
          <w:tcPr>
            <w:tcW w:w="1418" w:type="dxa"/>
            <w:tcBorders>
              <w:top w:val="single" w:sz="8" w:space="0" w:color="993333"/>
              <w:bottom w:val="single" w:sz="4" w:space="0" w:color="8A0000"/>
            </w:tcBorders>
            <w:shd w:val="clear" w:color="auto" w:fill="FFFFFF"/>
            <w:vAlign w:val="center"/>
          </w:tcPr>
          <w:p w14:paraId="4C2095CE" w14:textId="4EBD9B0C" w:rsidR="00D570C1" w:rsidRPr="00A12857" w:rsidRDefault="00D570C1" w:rsidP="00BD00BC">
            <w:pPr>
              <w:rPr>
                <w:rFonts w:ascii="Arial" w:eastAsia="Times New Roman" w:hAnsi="Arial" w:cs="Arial"/>
                <w:color w:val="000000"/>
                <w:sz w:val="18"/>
                <w:szCs w:val="18"/>
                <w:lang w:eastAsia="es-ES"/>
              </w:rPr>
            </w:pPr>
            <w:r w:rsidRPr="00A12857">
              <w:rPr>
                <w:rFonts w:ascii="Arial" w:eastAsia="Times New Roman" w:hAnsi="Arial" w:cs="Arial"/>
                <w:color w:val="000000"/>
                <w:sz w:val="18"/>
                <w:szCs w:val="18"/>
                <w:lang w:eastAsia="es-ES"/>
              </w:rPr>
              <w:t>17 de</w:t>
            </w:r>
            <w:r w:rsidR="005D344D" w:rsidRPr="00A12857">
              <w:rPr>
                <w:rFonts w:ascii="Arial" w:eastAsia="Times New Roman" w:hAnsi="Arial" w:cs="Arial"/>
                <w:color w:val="000000"/>
                <w:sz w:val="18"/>
                <w:szCs w:val="18"/>
                <w:lang w:eastAsia="es-ES"/>
              </w:rPr>
              <w:t xml:space="preserve"> </w:t>
            </w:r>
            <w:r w:rsidRPr="00A12857">
              <w:rPr>
                <w:rFonts w:ascii="Arial" w:eastAsia="Times New Roman" w:hAnsi="Arial" w:cs="Arial"/>
                <w:color w:val="000000"/>
                <w:sz w:val="18"/>
                <w:szCs w:val="18"/>
                <w:lang w:eastAsia="es-ES"/>
              </w:rPr>
              <w:t>diciembre</w:t>
            </w:r>
          </w:p>
        </w:tc>
        <w:tc>
          <w:tcPr>
            <w:tcW w:w="7086" w:type="dxa"/>
            <w:tcBorders>
              <w:top w:val="single" w:sz="8" w:space="0" w:color="993333"/>
              <w:bottom w:val="single" w:sz="4" w:space="0" w:color="8A0000"/>
            </w:tcBorders>
            <w:shd w:val="clear" w:color="auto" w:fill="FFFFFF"/>
          </w:tcPr>
          <w:p w14:paraId="191FCC7E" w14:textId="77777777" w:rsidR="00D570C1" w:rsidRPr="00A12857" w:rsidRDefault="00D570C1" w:rsidP="008F610B">
            <w:pPr>
              <w:spacing w:after="0" w:line="276" w:lineRule="auto"/>
              <w:ind w:right="140"/>
              <w:jc w:val="both"/>
              <w:rPr>
                <w:rFonts w:ascii="Arial" w:eastAsia="Times New Roman" w:hAnsi="Arial" w:cs="Arial"/>
                <w:sz w:val="18"/>
                <w:szCs w:val="18"/>
                <w:lang w:eastAsia="es-ES"/>
              </w:rPr>
            </w:pPr>
            <w:r w:rsidRPr="00A12857">
              <w:rPr>
                <w:rFonts w:ascii="Arial" w:eastAsia="Times New Roman" w:hAnsi="Arial" w:cs="Arial"/>
                <w:color w:val="666666"/>
                <w:sz w:val="18"/>
                <w:szCs w:val="18"/>
                <w:lang w:eastAsia="es-ES"/>
              </w:rPr>
              <w:t xml:space="preserve">Universitat de Barcelona. </w:t>
            </w:r>
            <w:r w:rsidRPr="00A12857">
              <w:rPr>
                <w:rFonts w:ascii="Arial" w:eastAsia="Times New Roman" w:hAnsi="Arial" w:cs="Arial"/>
                <w:i/>
                <w:sz w:val="18"/>
                <w:szCs w:val="18"/>
                <w:lang w:eastAsia="es-ES"/>
              </w:rPr>
              <w:t>Virtual</w:t>
            </w:r>
          </w:p>
          <w:p w14:paraId="73F4AA47" w14:textId="77777777" w:rsidR="00D570C1" w:rsidRPr="00A12857" w:rsidRDefault="00D570C1" w:rsidP="008F610B">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Anuario del Buen Gobierno y de la Calidad de la Regulación 2020</w:t>
            </w:r>
          </w:p>
          <w:p w14:paraId="0C3561F4" w14:textId="64CD161B" w:rsidR="00D570C1" w:rsidRPr="00A12857" w:rsidRDefault="00D570C1" w:rsidP="008F610B">
            <w:pPr>
              <w:spacing w:after="0" w:line="276" w:lineRule="auto"/>
              <w:jc w:val="both"/>
              <w:rPr>
                <w:rFonts w:ascii="Arial" w:eastAsia="Times New Roman" w:hAnsi="Arial" w:cs="Arial"/>
                <w:bCs/>
                <w:sz w:val="18"/>
                <w:szCs w:val="18"/>
                <w:lang w:eastAsia="es-ES"/>
              </w:rPr>
            </w:pPr>
            <w:r w:rsidRPr="00A12857">
              <w:rPr>
                <w:rFonts w:ascii="Arial" w:eastAsia="Times New Roman" w:hAnsi="Arial" w:cs="Arial"/>
                <w:bCs/>
                <w:sz w:val="18"/>
                <w:szCs w:val="18"/>
                <w:lang w:eastAsia="es-ES"/>
              </w:rPr>
              <w:t>Intervención en calidad de coautor en la presentación del Anuario del Buen Gobierno y de la Calidad de la Regulación 2020</w:t>
            </w:r>
            <w:r w:rsidR="00D34F12">
              <w:rPr>
                <w:rFonts w:ascii="Arial" w:eastAsia="Times New Roman" w:hAnsi="Arial" w:cs="Arial"/>
                <w:bCs/>
                <w:sz w:val="18"/>
                <w:szCs w:val="18"/>
                <w:lang w:eastAsia="es-ES"/>
              </w:rPr>
              <w:t>,</w:t>
            </w:r>
            <w:r w:rsidRPr="00A12857">
              <w:rPr>
                <w:rFonts w:ascii="Arial" w:eastAsia="Times New Roman" w:hAnsi="Arial" w:cs="Arial"/>
                <w:bCs/>
                <w:sz w:val="18"/>
                <w:szCs w:val="18"/>
                <w:lang w:eastAsia="es-ES"/>
              </w:rPr>
              <w:t xml:space="preserve"> publicado por la Universitat de Barcelona.</w:t>
            </w:r>
          </w:p>
          <w:p w14:paraId="76FB805D" w14:textId="77777777" w:rsidR="00D570C1" w:rsidRPr="00A12857" w:rsidRDefault="00AF48E6" w:rsidP="008F610B">
            <w:pPr>
              <w:spacing w:after="0" w:line="276" w:lineRule="auto"/>
              <w:jc w:val="both"/>
              <w:rPr>
                <w:rFonts w:ascii="Arial" w:eastAsia="Times New Roman" w:hAnsi="Arial" w:cs="Arial"/>
                <w:color w:val="666666"/>
                <w:sz w:val="18"/>
                <w:szCs w:val="18"/>
                <w:lang w:eastAsia="es-ES"/>
              </w:rPr>
            </w:pPr>
            <w:hyperlink r:id="rId113" w:history="1">
              <w:r w:rsidR="00D570C1" w:rsidRPr="00A12857">
                <w:rPr>
                  <w:rStyle w:val="Hipervnculo"/>
                  <w:rFonts w:ascii="Arial" w:eastAsia="Times New Roman" w:hAnsi="Arial" w:cs="Arial"/>
                  <w:sz w:val="18"/>
                  <w:szCs w:val="18"/>
                  <w:lang w:eastAsia="es-ES"/>
                </w:rPr>
                <w:t>https://www.gobiernolocal.org/anuario-del-buen-gobierno-y-de-la-calidad-de-la-regulacion-2020/</w:t>
              </w:r>
            </w:hyperlink>
            <w:r w:rsidR="00D570C1" w:rsidRPr="00A12857">
              <w:rPr>
                <w:rFonts w:ascii="Arial" w:eastAsia="Times New Roman" w:hAnsi="Arial" w:cs="Arial"/>
                <w:color w:val="666666"/>
                <w:sz w:val="18"/>
                <w:szCs w:val="18"/>
                <w:lang w:eastAsia="es-ES"/>
              </w:rPr>
              <w:t xml:space="preserve"> </w:t>
            </w:r>
          </w:p>
        </w:tc>
      </w:tr>
      <w:tr w:rsidR="00D570C1" w14:paraId="27CD45A3" w14:textId="77777777" w:rsidTr="005D344D">
        <w:trPr>
          <w:trHeight w:val="454"/>
        </w:trPr>
        <w:tc>
          <w:tcPr>
            <w:tcW w:w="1418" w:type="dxa"/>
            <w:tcBorders>
              <w:top w:val="single" w:sz="8" w:space="0" w:color="993333"/>
              <w:bottom w:val="single" w:sz="4" w:space="0" w:color="8A0000"/>
            </w:tcBorders>
            <w:shd w:val="clear" w:color="auto" w:fill="FFFFFF"/>
            <w:vAlign w:val="center"/>
          </w:tcPr>
          <w:p w14:paraId="0C41F086" w14:textId="0D810C69" w:rsidR="00D570C1" w:rsidRPr="00A12857" w:rsidRDefault="00D570C1" w:rsidP="00BD00BC">
            <w:pPr>
              <w:rPr>
                <w:rFonts w:ascii="Arial" w:eastAsia="Times New Roman" w:hAnsi="Arial" w:cs="Arial"/>
                <w:color w:val="000000"/>
                <w:sz w:val="18"/>
                <w:szCs w:val="18"/>
                <w:lang w:eastAsia="es-ES"/>
              </w:rPr>
            </w:pPr>
            <w:r w:rsidRPr="00A12857">
              <w:rPr>
                <w:rFonts w:ascii="Arial" w:eastAsia="Times New Roman" w:hAnsi="Arial" w:cs="Arial"/>
                <w:color w:val="000000"/>
                <w:sz w:val="18"/>
                <w:szCs w:val="18"/>
                <w:lang w:eastAsia="es-ES"/>
              </w:rPr>
              <w:t>21 de</w:t>
            </w:r>
            <w:r w:rsidR="005D344D" w:rsidRPr="00A12857">
              <w:rPr>
                <w:rFonts w:ascii="Arial" w:eastAsia="Times New Roman" w:hAnsi="Arial" w:cs="Arial"/>
                <w:color w:val="000000"/>
                <w:sz w:val="18"/>
                <w:szCs w:val="18"/>
                <w:lang w:eastAsia="es-ES"/>
              </w:rPr>
              <w:t xml:space="preserve"> </w:t>
            </w:r>
            <w:r w:rsidRPr="00A12857">
              <w:rPr>
                <w:rFonts w:ascii="Arial" w:eastAsia="Times New Roman" w:hAnsi="Arial" w:cs="Arial"/>
                <w:color w:val="000000"/>
                <w:sz w:val="18"/>
                <w:szCs w:val="18"/>
                <w:lang w:eastAsia="es-ES"/>
              </w:rPr>
              <w:t>diciembre</w:t>
            </w:r>
          </w:p>
        </w:tc>
        <w:tc>
          <w:tcPr>
            <w:tcW w:w="7086" w:type="dxa"/>
            <w:tcBorders>
              <w:top w:val="single" w:sz="8" w:space="0" w:color="993333"/>
              <w:bottom w:val="single" w:sz="4" w:space="0" w:color="8A0000"/>
            </w:tcBorders>
            <w:shd w:val="clear" w:color="auto" w:fill="FFFFFF"/>
          </w:tcPr>
          <w:p w14:paraId="3B8ABA89" w14:textId="6ABF5A0B" w:rsidR="00C87B3E" w:rsidRPr="00A12857" w:rsidRDefault="00C87B3E" w:rsidP="00C87B3E">
            <w:pPr>
              <w:spacing w:after="0" w:line="276" w:lineRule="auto"/>
              <w:ind w:right="140"/>
              <w:jc w:val="both"/>
              <w:rPr>
                <w:rFonts w:ascii="Arial" w:eastAsia="Times New Roman" w:hAnsi="Arial" w:cs="Arial"/>
                <w:sz w:val="18"/>
                <w:szCs w:val="18"/>
                <w:lang w:eastAsia="es-ES"/>
              </w:rPr>
            </w:pPr>
            <w:r w:rsidRPr="002114A4">
              <w:rPr>
                <w:rFonts w:ascii="Arial" w:eastAsia="Times New Roman" w:hAnsi="Arial" w:cs="Arial"/>
                <w:color w:val="666666"/>
                <w:sz w:val="18"/>
                <w:szCs w:val="18"/>
                <w:lang w:eastAsia="es-ES"/>
              </w:rPr>
              <w:t>Dirección General de Transparencia, Atención ciudadana y Buen Gobierno de la Conseller</w:t>
            </w:r>
            <w:r>
              <w:rPr>
                <w:rFonts w:ascii="Arial" w:eastAsia="Times New Roman" w:hAnsi="Arial" w:cs="Arial"/>
                <w:color w:val="666666"/>
                <w:sz w:val="18"/>
                <w:szCs w:val="18"/>
                <w:lang w:eastAsia="es-ES"/>
              </w:rPr>
              <w:t>ia</w:t>
            </w:r>
            <w:r w:rsidRPr="002114A4">
              <w:rPr>
                <w:rFonts w:ascii="Arial" w:eastAsia="Times New Roman" w:hAnsi="Arial" w:cs="Arial"/>
                <w:color w:val="666666"/>
                <w:sz w:val="18"/>
                <w:szCs w:val="18"/>
                <w:lang w:eastAsia="es-ES"/>
              </w:rPr>
              <w:t xml:space="preserve"> de Participación, Transparencia, Cooperación y Calidad </w:t>
            </w:r>
            <w:r w:rsidR="003D491A" w:rsidRPr="002114A4">
              <w:rPr>
                <w:rFonts w:ascii="Arial" w:eastAsia="Times New Roman" w:hAnsi="Arial" w:cs="Arial"/>
                <w:color w:val="666666"/>
                <w:sz w:val="18"/>
                <w:szCs w:val="18"/>
                <w:lang w:eastAsia="es-ES"/>
              </w:rPr>
              <w:t>democrática.</w:t>
            </w:r>
            <w:r w:rsidR="003D491A" w:rsidRPr="00A12857">
              <w:rPr>
                <w:rFonts w:ascii="Arial" w:eastAsia="Times New Roman" w:hAnsi="Arial" w:cs="Arial"/>
                <w:i/>
                <w:sz w:val="18"/>
                <w:szCs w:val="18"/>
                <w:lang w:eastAsia="es-ES"/>
              </w:rPr>
              <w:t xml:space="preserve"> Virtual</w:t>
            </w:r>
          </w:p>
          <w:p w14:paraId="35136080" w14:textId="5422E42C" w:rsidR="00D570C1" w:rsidRPr="00A12857" w:rsidRDefault="00C87B3E" w:rsidP="00C87B3E">
            <w:pPr>
              <w:spacing w:after="0" w:line="276" w:lineRule="auto"/>
              <w:jc w:val="both"/>
              <w:rPr>
                <w:rFonts w:ascii="Arial" w:eastAsia="Times New Roman" w:hAnsi="Arial" w:cs="Arial"/>
                <w:b/>
                <w:bCs/>
                <w:sz w:val="18"/>
                <w:szCs w:val="18"/>
                <w:lang w:eastAsia="es-ES"/>
              </w:rPr>
            </w:pPr>
            <w:r w:rsidRPr="00A12857">
              <w:rPr>
                <w:rFonts w:ascii="Arial" w:eastAsia="Times New Roman" w:hAnsi="Arial" w:cs="Arial"/>
                <w:b/>
                <w:bCs/>
                <w:sz w:val="18"/>
                <w:szCs w:val="18"/>
                <w:lang w:eastAsia="es-ES"/>
              </w:rPr>
              <w:t>Elaboraci</w:t>
            </w:r>
            <w:r>
              <w:rPr>
                <w:rFonts w:ascii="Arial" w:eastAsia="Times New Roman" w:hAnsi="Arial" w:cs="Arial"/>
                <w:b/>
                <w:bCs/>
                <w:sz w:val="18"/>
                <w:szCs w:val="18"/>
                <w:lang w:eastAsia="es-ES"/>
              </w:rPr>
              <w:t>ón</w:t>
            </w:r>
            <w:r w:rsidRPr="00A12857">
              <w:rPr>
                <w:rFonts w:ascii="Arial" w:eastAsia="Times New Roman" w:hAnsi="Arial" w:cs="Arial"/>
                <w:b/>
                <w:bCs/>
                <w:sz w:val="18"/>
                <w:szCs w:val="18"/>
                <w:lang w:eastAsia="es-ES"/>
              </w:rPr>
              <w:t xml:space="preserve"> d</w:t>
            </w:r>
            <w:r>
              <w:rPr>
                <w:rFonts w:ascii="Arial" w:eastAsia="Times New Roman" w:hAnsi="Arial" w:cs="Arial"/>
                <w:b/>
                <w:bCs/>
                <w:sz w:val="18"/>
                <w:szCs w:val="18"/>
                <w:lang w:eastAsia="es-ES"/>
              </w:rPr>
              <w:t>e un</w:t>
            </w:r>
            <w:r w:rsidRPr="00A12857">
              <w:rPr>
                <w:rFonts w:ascii="Arial" w:eastAsia="Times New Roman" w:hAnsi="Arial" w:cs="Arial"/>
                <w:b/>
                <w:bCs/>
                <w:sz w:val="18"/>
                <w:szCs w:val="18"/>
                <w:lang w:eastAsia="es-ES"/>
              </w:rPr>
              <w:t xml:space="preserve"> pla</w:t>
            </w:r>
            <w:r>
              <w:rPr>
                <w:rFonts w:ascii="Arial" w:eastAsia="Times New Roman" w:hAnsi="Arial" w:cs="Arial"/>
                <w:b/>
                <w:bCs/>
                <w:sz w:val="18"/>
                <w:szCs w:val="18"/>
                <w:lang w:eastAsia="es-ES"/>
              </w:rPr>
              <w:t>n</w:t>
            </w:r>
            <w:r w:rsidRPr="00A12857">
              <w:rPr>
                <w:rFonts w:ascii="Arial" w:eastAsia="Times New Roman" w:hAnsi="Arial" w:cs="Arial"/>
                <w:b/>
                <w:bCs/>
                <w:sz w:val="18"/>
                <w:szCs w:val="18"/>
                <w:lang w:eastAsia="es-ES"/>
              </w:rPr>
              <w:t xml:space="preserve"> antifrau</w:t>
            </w:r>
            <w:r>
              <w:rPr>
                <w:rFonts w:ascii="Arial" w:eastAsia="Times New Roman" w:hAnsi="Arial" w:cs="Arial"/>
                <w:b/>
                <w:bCs/>
                <w:sz w:val="18"/>
                <w:szCs w:val="18"/>
                <w:lang w:eastAsia="es-ES"/>
              </w:rPr>
              <w:t>de en</w:t>
            </w:r>
            <w:r w:rsidRPr="00A12857">
              <w:rPr>
                <w:rFonts w:ascii="Arial" w:eastAsia="Times New Roman" w:hAnsi="Arial" w:cs="Arial"/>
                <w:b/>
                <w:bCs/>
                <w:sz w:val="18"/>
                <w:szCs w:val="18"/>
                <w:lang w:eastAsia="es-ES"/>
              </w:rPr>
              <w:t xml:space="preserve"> e</w:t>
            </w:r>
            <w:r>
              <w:rPr>
                <w:rFonts w:ascii="Arial" w:eastAsia="Times New Roman" w:hAnsi="Arial" w:cs="Arial"/>
                <w:b/>
                <w:bCs/>
                <w:sz w:val="18"/>
                <w:szCs w:val="18"/>
                <w:lang w:eastAsia="es-ES"/>
              </w:rPr>
              <w:t>l</w:t>
            </w:r>
            <w:r w:rsidRPr="00A12857">
              <w:rPr>
                <w:rFonts w:ascii="Arial" w:eastAsia="Times New Roman" w:hAnsi="Arial" w:cs="Arial"/>
                <w:b/>
                <w:bCs/>
                <w:sz w:val="18"/>
                <w:szCs w:val="18"/>
                <w:lang w:eastAsia="es-ES"/>
              </w:rPr>
              <w:t xml:space="preserve"> </w:t>
            </w:r>
            <w:r>
              <w:rPr>
                <w:rFonts w:ascii="Arial" w:eastAsia="Times New Roman" w:hAnsi="Arial" w:cs="Arial"/>
                <w:b/>
                <w:bCs/>
                <w:sz w:val="18"/>
                <w:szCs w:val="18"/>
                <w:lang w:eastAsia="es-ES"/>
              </w:rPr>
              <w:t>á</w:t>
            </w:r>
            <w:r w:rsidRPr="00A12857">
              <w:rPr>
                <w:rFonts w:ascii="Arial" w:eastAsia="Times New Roman" w:hAnsi="Arial" w:cs="Arial"/>
                <w:b/>
                <w:bCs/>
                <w:sz w:val="18"/>
                <w:szCs w:val="18"/>
                <w:lang w:eastAsia="es-ES"/>
              </w:rPr>
              <w:t>mbit</w:t>
            </w:r>
            <w:r>
              <w:rPr>
                <w:rFonts w:ascii="Arial" w:eastAsia="Times New Roman" w:hAnsi="Arial" w:cs="Arial"/>
                <w:b/>
                <w:bCs/>
                <w:sz w:val="18"/>
                <w:szCs w:val="18"/>
                <w:lang w:eastAsia="es-ES"/>
              </w:rPr>
              <w:t>o</w:t>
            </w:r>
            <w:r w:rsidRPr="00A12857">
              <w:rPr>
                <w:rFonts w:ascii="Arial" w:eastAsia="Times New Roman" w:hAnsi="Arial" w:cs="Arial"/>
                <w:b/>
                <w:bCs/>
                <w:sz w:val="18"/>
                <w:szCs w:val="18"/>
                <w:lang w:eastAsia="es-ES"/>
              </w:rPr>
              <w:t xml:space="preserve"> local</w:t>
            </w:r>
            <w:r w:rsidR="00D570C1" w:rsidRPr="00A12857">
              <w:rPr>
                <w:rFonts w:ascii="Arial" w:eastAsia="Times New Roman" w:hAnsi="Arial" w:cs="Arial"/>
                <w:b/>
                <w:bCs/>
                <w:sz w:val="18"/>
                <w:szCs w:val="18"/>
                <w:lang w:eastAsia="es-ES"/>
              </w:rPr>
              <w:t xml:space="preserve"> </w:t>
            </w:r>
          </w:p>
          <w:p w14:paraId="4369E8B7" w14:textId="0223C1BD" w:rsidR="00D570C1" w:rsidRPr="00A12857" w:rsidRDefault="00D570C1" w:rsidP="008F610B">
            <w:pPr>
              <w:spacing w:after="0" w:line="276" w:lineRule="auto"/>
              <w:jc w:val="both"/>
              <w:rPr>
                <w:rFonts w:ascii="Arial" w:eastAsia="Times New Roman" w:hAnsi="Arial" w:cs="Arial"/>
                <w:bCs/>
                <w:sz w:val="18"/>
                <w:szCs w:val="18"/>
                <w:lang w:eastAsia="es-ES"/>
              </w:rPr>
            </w:pPr>
            <w:r w:rsidRPr="00A12857">
              <w:rPr>
                <w:rFonts w:ascii="Arial" w:eastAsia="Times New Roman" w:hAnsi="Arial" w:cs="Arial"/>
                <w:bCs/>
                <w:sz w:val="18"/>
                <w:szCs w:val="18"/>
                <w:lang w:eastAsia="es-ES"/>
              </w:rPr>
              <w:t xml:space="preserve">Representación institucional en la inauguración de la jornada formativa, dirigida a entidades locales de la Comunitat Valenciana, a cargo del director de la AVAF y del </w:t>
            </w:r>
            <w:r w:rsidR="00D34F12">
              <w:rPr>
                <w:rFonts w:ascii="Arial" w:eastAsia="Times New Roman" w:hAnsi="Arial" w:cs="Arial"/>
                <w:bCs/>
                <w:sz w:val="18"/>
                <w:szCs w:val="18"/>
                <w:lang w:eastAsia="es-ES"/>
              </w:rPr>
              <w:t>d</w:t>
            </w:r>
            <w:r w:rsidRPr="00A12857">
              <w:rPr>
                <w:rFonts w:ascii="Arial" w:eastAsia="Times New Roman" w:hAnsi="Arial" w:cs="Arial"/>
                <w:bCs/>
                <w:sz w:val="18"/>
                <w:szCs w:val="18"/>
                <w:lang w:eastAsia="es-ES"/>
              </w:rPr>
              <w:t xml:space="preserve">irector </w:t>
            </w:r>
            <w:r w:rsidR="00D34F12">
              <w:rPr>
                <w:rFonts w:ascii="Arial" w:eastAsia="Times New Roman" w:hAnsi="Arial" w:cs="Arial"/>
                <w:bCs/>
                <w:sz w:val="18"/>
                <w:szCs w:val="18"/>
                <w:lang w:eastAsia="es-ES"/>
              </w:rPr>
              <w:t>g</w:t>
            </w:r>
            <w:r w:rsidRPr="00A12857">
              <w:rPr>
                <w:rFonts w:ascii="Arial" w:eastAsia="Times New Roman" w:hAnsi="Arial" w:cs="Arial"/>
                <w:bCs/>
                <w:sz w:val="18"/>
                <w:szCs w:val="18"/>
                <w:lang w:eastAsia="es-ES"/>
              </w:rPr>
              <w:t>eneral de Transparencia, Atención Ciudadana y Buen Gobierno.</w:t>
            </w:r>
          </w:p>
          <w:p w14:paraId="511182A1" w14:textId="77777777" w:rsidR="00D570C1" w:rsidRPr="00A12857" w:rsidRDefault="00AF48E6" w:rsidP="008F610B">
            <w:pPr>
              <w:spacing w:after="0" w:line="276" w:lineRule="auto"/>
              <w:jc w:val="both"/>
              <w:rPr>
                <w:rFonts w:ascii="Arial" w:eastAsia="Times New Roman" w:hAnsi="Arial" w:cs="Arial"/>
                <w:color w:val="666666"/>
                <w:sz w:val="18"/>
                <w:szCs w:val="18"/>
                <w:lang w:eastAsia="es-ES"/>
              </w:rPr>
            </w:pPr>
            <w:hyperlink r:id="rId114" w:history="1">
              <w:r w:rsidR="00D570C1" w:rsidRPr="00A12857">
                <w:rPr>
                  <w:rStyle w:val="Hipervnculo"/>
                  <w:rFonts w:ascii="Arial" w:eastAsia="Times New Roman" w:hAnsi="Arial" w:cs="Arial"/>
                  <w:sz w:val="18"/>
                  <w:szCs w:val="18"/>
                  <w:lang w:eastAsia="es-ES"/>
                </w:rPr>
                <w:t>https://videos.gva.es/html5/html5lib/v2.79.1/mwEmbedFrame.php/p/149/uiconf_id/23448251/entry_id/0_ys3qsco5?wid=_149&amp;iframeembed=true&amp;entry_id=0_ys3qsco5</w:t>
              </w:r>
            </w:hyperlink>
            <w:r w:rsidR="00D570C1" w:rsidRPr="00A12857">
              <w:rPr>
                <w:rFonts w:ascii="Arial" w:eastAsia="Times New Roman" w:hAnsi="Arial" w:cs="Arial"/>
                <w:color w:val="666666"/>
                <w:sz w:val="18"/>
                <w:szCs w:val="18"/>
                <w:lang w:eastAsia="es-ES"/>
              </w:rPr>
              <w:t xml:space="preserve"> </w:t>
            </w:r>
          </w:p>
        </w:tc>
      </w:tr>
    </w:tbl>
    <w:p w14:paraId="595DE4AA" w14:textId="77777777" w:rsidR="00D570C1" w:rsidRPr="00AE10B3" w:rsidRDefault="00D570C1" w:rsidP="00AE10B3">
      <w:pPr>
        <w:rPr>
          <w:rFonts w:ascii="Arial" w:eastAsia="Times New Roman" w:hAnsi="Arial" w:cs="Arial"/>
          <w:b/>
          <w:sz w:val="21"/>
          <w:szCs w:val="21"/>
        </w:rPr>
      </w:pPr>
    </w:p>
    <w:p w14:paraId="7692A5CE" w14:textId="2C0C46D4" w:rsidR="00BB4994" w:rsidRDefault="006269DA" w:rsidP="0062597C">
      <w:pPr>
        <w:pStyle w:val="Prrafodelista"/>
        <w:keepNext/>
        <w:numPr>
          <w:ilvl w:val="1"/>
          <w:numId w:val="15"/>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31" w:name="_Toc99106972"/>
      <w:r>
        <w:rPr>
          <w:rFonts w:ascii="Arial" w:eastAsia="Times New Roman" w:hAnsi="Arial" w:cs="Arial"/>
          <w:b/>
          <w:color w:val="9D2235"/>
          <w:sz w:val="32"/>
          <w:szCs w:val="32"/>
        </w:rPr>
        <w:t>Entrevistas y reuniones</w:t>
      </w:r>
      <w:bookmarkEnd w:id="31"/>
    </w:p>
    <w:p w14:paraId="20989F55" w14:textId="6EC1D3F8" w:rsidR="004A14D1" w:rsidRPr="004A14D1" w:rsidRDefault="004A14D1" w:rsidP="004A14D1">
      <w:pPr>
        <w:spacing w:after="240" w:line="276" w:lineRule="auto"/>
        <w:jc w:val="both"/>
        <w:rPr>
          <w:rFonts w:ascii="Arial" w:hAnsi="Arial" w:cs="Arial"/>
          <w:sz w:val="21"/>
          <w:szCs w:val="21"/>
        </w:rPr>
      </w:pPr>
      <w:r w:rsidRPr="004A14D1">
        <w:rPr>
          <w:rFonts w:ascii="Arial" w:eastAsia="Times New Roman" w:hAnsi="Arial" w:cs="Arial"/>
          <w:sz w:val="21"/>
          <w:szCs w:val="21"/>
          <w:lang w:eastAsia="es-ES"/>
        </w:rPr>
        <w:t>Durante 2021 se han mantenido los siguientes encuentros</w:t>
      </w:r>
      <w:r w:rsidR="00D34F12">
        <w:rPr>
          <w:rFonts w:ascii="Arial" w:eastAsia="Times New Roman" w:hAnsi="Arial" w:cs="Arial"/>
          <w:sz w:val="21"/>
          <w:szCs w:val="21"/>
          <w:lang w:eastAsia="es-ES"/>
        </w:rPr>
        <w:t>,</w:t>
      </w:r>
      <w:r w:rsidRPr="004A14D1">
        <w:rPr>
          <w:rFonts w:ascii="Arial" w:eastAsia="Times New Roman" w:hAnsi="Arial" w:cs="Arial"/>
          <w:sz w:val="21"/>
          <w:szCs w:val="21"/>
          <w:lang w:eastAsia="es-ES"/>
        </w:rPr>
        <w:t xml:space="preserve"> de carácter oficial o institucional</w:t>
      </w:r>
      <w:r w:rsidR="00D34F12">
        <w:rPr>
          <w:rFonts w:ascii="Arial" w:eastAsia="Times New Roman" w:hAnsi="Arial" w:cs="Arial"/>
          <w:sz w:val="21"/>
          <w:szCs w:val="21"/>
          <w:lang w:eastAsia="es-ES"/>
        </w:rPr>
        <w:t>,</w:t>
      </w:r>
      <w:r w:rsidRPr="004A14D1">
        <w:rPr>
          <w:rFonts w:ascii="Arial" w:eastAsia="Times New Roman" w:hAnsi="Arial" w:cs="Arial"/>
          <w:sz w:val="21"/>
          <w:szCs w:val="21"/>
          <w:lang w:eastAsia="es-ES"/>
        </w:rPr>
        <w:t xml:space="preserve"> para tratar diversos temas relacionados con la actividad de la Agencia y la colaboración con diversas instituciones, corporaciones, administraciones y centros directivos de la Generalitat Valenciana, de otras comunidades autónomas, de la </w:t>
      </w:r>
      <w:r w:rsidR="00D34F12">
        <w:rPr>
          <w:rFonts w:ascii="Arial" w:eastAsia="Times New Roman" w:hAnsi="Arial" w:cs="Arial"/>
          <w:sz w:val="21"/>
          <w:szCs w:val="21"/>
          <w:lang w:eastAsia="es-ES"/>
        </w:rPr>
        <w:t>A</w:t>
      </w:r>
      <w:r w:rsidRPr="004A14D1">
        <w:rPr>
          <w:rFonts w:ascii="Arial" w:eastAsia="Times New Roman" w:hAnsi="Arial" w:cs="Arial"/>
          <w:sz w:val="21"/>
          <w:szCs w:val="21"/>
          <w:lang w:eastAsia="es-ES"/>
        </w:rPr>
        <w:t xml:space="preserve">dministración </w:t>
      </w:r>
      <w:r w:rsidR="00D34F12">
        <w:rPr>
          <w:rFonts w:ascii="Arial" w:eastAsia="Times New Roman" w:hAnsi="Arial" w:cs="Arial"/>
          <w:sz w:val="21"/>
          <w:szCs w:val="21"/>
          <w:lang w:eastAsia="es-ES"/>
        </w:rPr>
        <w:t>G</w:t>
      </w:r>
      <w:r w:rsidRPr="004A14D1">
        <w:rPr>
          <w:rFonts w:ascii="Arial" w:eastAsia="Times New Roman" w:hAnsi="Arial" w:cs="Arial"/>
          <w:sz w:val="21"/>
          <w:szCs w:val="21"/>
          <w:lang w:eastAsia="es-ES"/>
        </w:rPr>
        <w:t xml:space="preserve">eneral del </w:t>
      </w:r>
      <w:r w:rsidR="00D34F12">
        <w:rPr>
          <w:rFonts w:ascii="Arial" w:eastAsia="Times New Roman" w:hAnsi="Arial" w:cs="Arial"/>
          <w:sz w:val="21"/>
          <w:szCs w:val="21"/>
          <w:lang w:eastAsia="es-ES"/>
        </w:rPr>
        <w:t>E</w:t>
      </w:r>
      <w:r w:rsidRPr="004A14D1">
        <w:rPr>
          <w:rFonts w:ascii="Arial" w:eastAsia="Times New Roman" w:hAnsi="Arial" w:cs="Arial"/>
          <w:sz w:val="21"/>
          <w:szCs w:val="21"/>
          <w:lang w:eastAsia="es-ES"/>
        </w:rPr>
        <w:t>stado, así como con organizaciones de lucha contra el fraude de países extranjeros.</w:t>
      </w:r>
    </w:p>
    <w:p w14:paraId="3D9E26E8" w14:textId="36DD37CD" w:rsidR="00E56E07" w:rsidRPr="00E56E07" w:rsidRDefault="00E56E07" w:rsidP="00E56E07">
      <w:pPr>
        <w:pStyle w:val="Descripcin"/>
        <w:keepNext/>
        <w:spacing w:after="120" w:line="276" w:lineRule="auto"/>
        <w:rPr>
          <w:rFonts w:ascii="Arial" w:hAnsi="Arial" w:cs="Arial"/>
          <w:smallCaps w:val="0"/>
          <w:sz w:val="18"/>
          <w:szCs w:val="18"/>
        </w:rPr>
      </w:pPr>
      <w:bookmarkStart w:id="32" w:name="_Toc99107141"/>
      <w:r w:rsidRPr="00E56E07">
        <w:rPr>
          <w:rFonts w:ascii="Arial" w:hAnsi="Arial" w:cs="Arial"/>
          <w:smallCaps w:val="0"/>
          <w:color w:val="9D2235" w:themeColor="accent1"/>
          <w:sz w:val="18"/>
          <w:szCs w:val="18"/>
        </w:rPr>
        <w:t xml:space="preserve">Tabla </w:t>
      </w:r>
      <w:r w:rsidRPr="00E56E07">
        <w:rPr>
          <w:rFonts w:ascii="Arial" w:hAnsi="Arial" w:cs="Arial"/>
          <w:smallCaps w:val="0"/>
          <w:color w:val="9D2235" w:themeColor="accent1"/>
          <w:sz w:val="18"/>
          <w:szCs w:val="18"/>
        </w:rPr>
        <w:fldChar w:fldCharType="begin" w:fldLock="1"/>
      </w:r>
      <w:r w:rsidRPr="00E56E07">
        <w:rPr>
          <w:rFonts w:ascii="Arial" w:hAnsi="Arial" w:cs="Arial"/>
          <w:smallCaps w:val="0"/>
          <w:color w:val="9D2235" w:themeColor="accent1"/>
          <w:sz w:val="18"/>
          <w:szCs w:val="18"/>
        </w:rPr>
        <w:instrText xml:space="preserve"> SEQ Tabla \* ARABIC </w:instrText>
      </w:r>
      <w:r w:rsidRPr="00E56E07">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w:t>
      </w:r>
      <w:r w:rsidRPr="00E56E07">
        <w:rPr>
          <w:rFonts w:ascii="Arial" w:hAnsi="Arial" w:cs="Arial"/>
          <w:smallCaps w:val="0"/>
          <w:color w:val="9D2235" w:themeColor="accent1"/>
          <w:sz w:val="18"/>
          <w:szCs w:val="18"/>
        </w:rPr>
        <w:fldChar w:fldCharType="end"/>
      </w:r>
      <w:r w:rsidRPr="00E56E07">
        <w:rPr>
          <w:rFonts w:ascii="Arial" w:hAnsi="Arial" w:cs="Arial"/>
          <w:smallCaps w:val="0"/>
          <w:color w:val="9D2235" w:themeColor="accent1"/>
          <w:sz w:val="18"/>
          <w:szCs w:val="18"/>
        </w:rPr>
        <w:t xml:space="preserve">. </w:t>
      </w:r>
      <w:r w:rsidRPr="00E56E07">
        <w:rPr>
          <w:rFonts w:ascii="Arial" w:hAnsi="Arial" w:cs="Arial"/>
          <w:smallCaps w:val="0"/>
          <w:color w:val="auto"/>
          <w:sz w:val="18"/>
          <w:szCs w:val="18"/>
        </w:rPr>
        <w:t>Entrevistas y reuniones mantenidas por el director de la Agencia</w:t>
      </w:r>
      <w:bookmarkEnd w:id="32"/>
    </w:p>
    <w:tbl>
      <w:tblPr>
        <w:tblW w:w="8486" w:type="dxa"/>
        <w:jc w:val="right"/>
        <w:tblCellMar>
          <w:left w:w="0" w:type="dxa"/>
          <w:bottom w:w="28" w:type="dxa"/>
          <w:right w:w="0" w:type="dxa"/>
        </w:tblCellMar>
        <w:tblLook w:val="04A0" w:firstRow="1" w:lastRow="0" w:firstColumn="1" w:lastColumn="0" w:noHBand="0" w:noVBand="1"/>
      </w:tblPr>
      <w:tblGrid>
        <w:gridCol w:w="1560"/>
        <w:gridCol w:w="6926"/>
      </w:tblGrid>
      <w:tr w:rsidR="004A14D1" w14:paraId="5C11653A" w14:textId="77777777" w:rsidTr="001239E5">
        <w:trPr>
          <w:trHeight w:val="719"/>
          <w:tblHeader/>
          <w:jc w:val="right"/>
        </w:trPr>
        <w:tc>
          <w:tcPr>
            <w:tcW w:w="1560" w:type="dxa"/>
            <w:tcBorders>
              <w:bottom w:val="single" w:sz="4" w:space="0" w:color="C00000"/>
            </w:tcBorders>
            <w:shd w:val="clear" w:color="auto" w:fill="993333"/>
          </w:tcPr>
          <w:p w14:paraId="762BBA88" w14:textId="77777777" w:rsidR="004A14D1" w:rsidRPr="00A12857" w:rsidRDefault="004A14D1" w:rsidP="004A14D1">
            <w:pPr>
              <w:jc w:val="both"/>
              <w:rPr>
                <w:rFonts w:ascii="Arial" w:eastAsia="Times New Roman" w:hAnsi="Arial" w:cs="Arial"/>
                <w:sz w:val="20"/>
                <w:szCs w:val="20"/>
                <w:lang w:eastAsia="es-ES"/>
              </w:rPr>
            </w:pPr>
            <w:r w:rsidRPr="00A12857">
              <w:rPr>
                <w:rFonts w:ascii="Arial" w:eastAsia="Times New Roman" w:hAnsi="Arial" w:cs="Arial"/>
                <w:b/>
                <w:bCs/>
                <w:color w:val="FFFFFF"/>
                <w:sz w:val="20"/>
                <w:szCs w:val="20"/>
                <w:lang w:eastAsia="es-ES"/>
              </w:rPr>
              <w:t>Fecha</w:t>
            </w:r>
          </w:p>
        </w:tc>
        <w:tc>
          <w:tcPr>
            <w:tcW w:w="6926" w:type="dxa"/>
            <w:tcBorders>
              <w:bottom w:val="single" w:sz="4" w:space="0" w:color="C00000"/>
            </w:tcBorders>
            <w:shd w:val="clear" w:color="auto" w:fill="993333"/>
          </w:tcPr>
          <w:p w14:paraId="069FEED1" w14:textId="77777777" w:rsidR="004A14D1" w:rsidRPr="00A12857" w:rsidRDefault="004A14D1" w:rsidP="004A14D1">
            <w:pPr>
              <w:jc w:val="both"/>
              <w:rPr>
                <w:rFonts w:ascii="Arial" w:eastAsia="Times New Roman" w:hAnsi="Arial" w:cs="Arial"/>
                <w:b/>
                <w:bCs/>
                <w:color w:val="FFFFFF"/>
                <w:sz w:val="20"/>
                <w:szCs w:val="20"/>
                <w:lang w:eastAsia="es-ES"/>
              </w:rPr>
            </w:pPr>
            <w:r w:rsidRPr="00A12857">
              <w:rPr>
                <w:rFonts w:ascii="Arial" w:eastAsia="Times New Roman" w:hAnsi="Arial" w:cs="Arial"/>
                <w:b/>
                <w:bCs/>
                <w:color w:val="FFFFFF"/>
                <w:sz w:val="20"/>
                <w:szCs w:val="20"/>
                <w:lang w:eastAsia="es-ES"/>
              </w:rPr>
              <w:t>ENTIDAD / AUTORIDAD</w:t>
            </w:r>
          </w:p>
          <w:p w14:paraId="409981B2" w14:textId="77777777" w:rsidR="004A14D1" w:rsidRPr="00A12857" w:rsidRDefault="004A14D1" w:rsidP="004A14D1">
            <w:pPr>
              <w:jc w:val="both"/>
              <w:rPr>
                <w:rFonts w:ascii="Arial" w:eastAsia="Times New Roman" w:hAnsi="Arial" w:cs="Arial"/>
                <w:b/>
                <w:i/>
                <w:sz w:val="20"/>
                <w:szCs w:val="20"/>
                <w:lang w:eastAsia="es-ES"/>
              </w:rPr>
            </w:pPr>
            <w:r w:rsidRPr="00A12857">
              <w:rPr>
                <w:rFonts w:ascii="Arial" w:eastAsia="Times New Roman" w:hAnsi="Arial" w:cs="Arial"/>
                <w:b/>
                <w:i/>
                <w:color w:val="FFFFFF" w:themeColor="background1"/>
                <w:sz w:val="20"/>
                <w:szCs w:val="20"/>
                <w:lang w:eastAsia="es-ES"/>
              </w:rPr>
              <w:t>Lugar</w:t>
            </w:r>
          </w:p>
        </w:tc>
      </w:tr>
      <w:tr w:rsidR="004A14D1" w14:paraId="5740D365" w14:textId="77777777" w:rsidTr="00E56E07">
        <w:trPr>
          <w:jc w:val="right"/>
        </w:trPr>
        <w:tc>
          <w:tcPr>
            <w:tcW w:w="1560" w:type="dxa"/>
            <w:tcBorders>
              <w:top w:val="single" w:sz="4" w:space="0" w:color="C00000"/>
              <w:bottom w:val="single" w:sz="4" w:space="0" w:color="C00000"/>
            </w:tcBorders>
            <w:shd w:val="clear" w:color="auto" w:fill="auto"/>
            <w:vAlign w:val="center"/>
          </w:tcPr>
          <w:p w14:paraId="20846DA5" w14:textId="1C41A8A7"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 xml:space="preserve">20 de enero </w:t>
            </w:r>
          </w:p>
        </w:tc>
        <w:tc>
          <w:tcPr>
            <w:tcW w:w="6926" w:type="dxa"/>
            <w:tcBorders>
              <w:top w:val="single" w:sz="4" w:space="0" w:color="C00000"/>
              <w:bottom w:val="single" w:sz="4" w:space="0" w:color="C00000"/>
            </w:tcBorders>
            <w:shd w:val="clear" w:color="auto" w:fill="auto"/>
          </w:tcPr>
          <w:p w14:paraId="136F29C9"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Corts Valencianes, presidente, Sr. Enric Morera i Català.</w:t>
            </w:r>
          </w:p>
          <w:p w14:paraId="2AA2CB81" w14:textId="77777777" w:rsidR="004A14D1" w:rsidRPr="00E56E07" w:rsidRDefault="004A14D1" w:rsidP="00E56E07">
            <w:pPr>
              <w:spacing w:after="0" w:line="276" w:lineRule="auto"/>
              <w:jc w:val="both"/>
              <w:rPr>
                <w:rFonts w:ascii="Arial" w:eastAsia="Times New Roman" w:hAnsi="Arial" w:cs="Arial"/>
                <w:i/>
                <w:sz w:val="18"/>
                <w:szCs w:val="18"/>
                <w:lang w:eastAsia="es-ES"/>
              </w:rPr>
            </w:pPr>
            <w:r w:rsidRPr="00E56E07">
              <w:rPr>
                <w:rFonts w:ascii="Arial" w:eastAsia="Times New Roman" w:hAnsi="Arial" w:cs="Arial"/>
                <w:i/>
                <w:sz w:val="18"/>
                <w:szCs w:val="18"/>
                <w:lang w:eastAsia="es-ES"/>
              </w:rPr>
              <w:t>València</w:t>
            </w:r>
          </w:p>
          <w:p w14:paraId="4265D247" w14:textId="77777777" w:rsidR="004A14D1" w:rsidRPr="00E56E07" w:rsidRDefault="00AF48E6" w:rsidP="00E56E07">
            <w:pPr>
              <w:spacing w:after="0" w:line="276" w:lineRule="auto"/>
              <w:jc w:val="both"/>
              <w:rPr>
                <w:rFonts w:ascii="Arial" w:eastAsia="Times New Roman" w:hAnsi="Arial" w:cs="Arial"/>
                <w:color w:val="000000"/>
                <w:sz w:val="18"/>
                <w:szCs w:val="18"/>
                <w:lang w:eastAsia="es-ES"/>
              </w:rPr>
            </w:pPr>
            <w:hyperlink r:id="rId115" w:history="1">
              <w:r w:rsidR="004A14D1" w:rsidRPr="00E56E07">
                <w:rPr>
                  <w:rStyle w:val="Hipervnculo"/>
                  <w:rFonts w:ascii="Arial" w:eastAsia="Times New Roman" w:hAnsi="Arial" w:cs="Arial"/>
                  <w:sz w:val="18"/>
                  <w:szCs w:val="18"/>
                  <w:lang w:eastAsia="es-ES"/>
                </w:rPr>
                <w:t>https://www.antifraucv.es/el-president-morera-y-el-director-de-la-agencia-antifraude-analizan-los-avances-contra-la-corrupcion-y-la-recuperacion-del-credito-reputacional-de-las-instituciones-valencianas-2/</w:t>
              </w:r>
            </w:hyperlink>
            <w:r w:rsidR="004A14D1" w:rsidRPr="00E56E07">
              <w:rPr>
                <w:rFonts w:ascii="Arial" w:eastAsia="Times New Roman" w:hAnsi="Arial" w:cs="Arial"/>
                <w:color w:val="000000"/>
                <w:sz w:val="18"/>
                <w:szCs w:val="18"/>
                <w:lang w:eastAsia="es-ES"/>
              </w:rPr>
              <w:t xml:space="preserve"> </w:t>
            </w:r>
          </w:p>
        </w:tc>
      </w:tr>
      <w:tr w:rsidR="004A14D1" w14:paraId="4C4F9A13" w14:textId="77777777" w:rsidTr="00E56E07">
        <w:trPr>
          <w:jc w:val="right"/>
        </w:trPr>
        <w:tc>
          <w:tcPr>
            <w:tcW w:w="1560" w:type="dxa"/>
            <w:tcBorders>
              <w:top w:val="single" w:sz="4" w:space="0" w:color="C00000"/>
              <w:bottom w:val="single" w:sz="4" w:space="0" w:color="C00000"/>
            </w:tcBorders>
            <w:shd w:val="clear" w:color="auto" w:fill="auto"/>
            <w:vAlign w:val="center"/>
          </w:tcPr>
          <w:p w14:paraId="6820D5E7" w14:textId="1DEFD0FB" w:rsidR="004A14D1" w:rsidRPr="00E56E07" w:rsidRDefault="004A14D1" w:rsidP="004A14D1">
            <w:pPr>
              <w:ind w:left="708" w:hanging="708"/>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27 de enero</w:t>
            </w:r>
          </w:p>
        </w:tc>
        <w:tc>
          <w:tcPr>
            <w:tcW w:w="6926" w:type="dxa"/>
            <w:tcBorders>
              <w:top w:val="single" w:sz="4" w:space="0" w:color="C00000"/>
              <w:bottom w:val="single" w:sz="4" w:space="0" w:color="C00000"/>
            </w:tcBorders>
            <w:shd w:val="clear" w:color="auto" w:fill="auto"/>
          </w:tcPr>
          <w:p w14:paraId="4EBAE1BF"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Universidad Nacional de Educación a Distancia, profesor, Sr. Orencio Vázquez.</w:t>
            </w:r>
          </w:p>
          <w:p w14:paraId="72734CA0"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sz w:val="18"/>
                <w:szCs w:val="18"/>
                <w:lang w:eastAsia="es-ES"/>
              </w:rPr>
              <w:t>Virtual</w:t>
            </w:r>
          </w:p>
        </w:tc>
      </w:tr>
      <w:tr w:rsidR="004A14D1" w14:paraId="2121B99D" w14:textId="77777777" w:rsidTr="00E56E07">
        <w:trPr>
          <w:jc w:val="right"/>
        </w:trPr>
        <w:tc>
          <w:tcPr>
            <w:tcW w:w="1560" w:type="dxa"/>
            <w:tcBorders>
              <w:top w:val="single" w:sz="4" w:space="0" w:color="C00000"/>
              <w:bottom w:val="single" w:sz="4" w:space="0" w:color="C00000"/>
            </w:tcBorders>
            <w:shd w:val="clear" w:color="auto" w:fill="auto"/>
            <w:vAlign w:val="center"/>
          </w:tcPr>
          <w:p w14:paraId="58BD273B" w14:textId="1430FD82"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8 de febrero</w:t>
            </w:r>
          </w:p>
        </w:tc>
        <w:tc>
          <w:tcPr>
            <w:tcW w:w="6926" w:type="dxa"/>
            <w:tcBorders>
              <w:top w:val="single" w:sz="4" w:space="0" w:color="C00000"/>
              <w:bottom w:val="single" w:sz="4" w:space="0" w:color="C00000"/>
            </w:tcBorders>
            <w:shd w:val="clear" w:color="auto" w:fill="auto"/>
          </w:tcPr>
          <w:p w14:paraId="6B96DF44"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Consellería de Justicia, Interior y Administración Pública, subsecretaria, Sra. Belén Cardona Rubert.</w:t>
            </w:r>
          </w:p>
          <w:p w14:paraId="160035EE"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i/>
                <w:sz w:val="18"/>
                <w:szCs w:val="18"/>
                <w:lang w:eastAsia="es-ES"/>
              </w:rPr>
              <w:t>Virtual</w:t>
            </w:r>
          </w:p>
        </w:tc>
      </w:tr>
      <w:tr w:rsidR="004A14D1" w14:paraId="5F8963E2" w14:textId="77777777" w:rsidTr="00E56E07">
        <w:trPr>
          <w:jc w:val="right"/>
        </w:trPr>
        <w:tc>
          <w:tcPr>
            <w:tcW w:w="1560" w:type="dxa"/>
            <w:tcBorders>
              <w:top w:val="single" w:sz="4" w:space="0" w:color="C00000"/>
              <w:bottom w:val="single" w:sz="4" w:space="0" w:color="C00000"/>
            </w:tcBorders>
            <w:shd w:val="clear" w:color="auto" w:fill="auto"/>
            <w:vAlign w:val="center"/>
          </w:tcPr>
          <w:p w14:paraId="4A8CC863" w14:textId="78C14D3C"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11 de febrero</w:t>
            </w:r>
          </w:p>
        </w:tc>
        <w:tc>
          <w:tcPr>
            <w:tcW w:w="6926" w:type="dxa"/>
            <w:tcBorders>
              <w:top w:val="single" w:sz="4" w:space="0" w:color="C00000"/>
              <w:bottom w:val="single" w:sz="4" w:space="0" w:color="C00000"/>
            </w:tcBorders>
            <w:shd w:val="clear" w:color="auto" w:fill="auto"/>
          </w:tcPr>
          <w:p w14:paraId="15F05E7A"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Reunión de directores de las Oficinas Antifraude de Cataluña, Islas Baleares y Valencia.</w:t>
            </w:r>
          </w:p>
          <w:p w14:paraId="41651FFF"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Virtual</w:t>
            </w:r>
          </w:p>
        </w:tc>
      </w:tr>
      <w:tr w:rsidR="004A14D1" w14:paraId="4F331176" w14:textId="77777777" w:rsidTr="00E56E07">
        <w:trPr>
          <w:jc w:val="right"/>
        </w:trPr>
        <w:tc>
          <w:tcPr>
            <w:tcW w:w="1560" w:type="dxa"/>
            <w:tcBorders>
              <w:top w:val="single" w:sz="4" w:space="0" w:color="C00000"/>
              <w:bottom w:val="single" w:sz="4" w:space="0" w:color="C00000"/>
            </w:tcBorders>
            <w:shd w:val="clear" w:color="auto" w:fill="auto"/>
            <w:vAlign w:val="center"/>
          </w:tcPr>
          <w:p w14:paraId="3B8ABFB8" w14:textId="2ABCDD73"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15 de febrero</w:t>
            </w:r>
          </w:p>
        </w:tc>
        <w:tc>
          <w:tcPr>
            <w:tcW w:w="6926" w:type="dxa"/>
            <w:tcBorders>
              <w:top w:val="single" w:sz="4" w:space="0" w:color="C00000"/>
              <w:bottom w:val="single" w:sz="4" w:space="0" w:color="C00000"/>
            </w:tcBorders>
            <w:shd w:val="clear" w:color="auto" w:fill="auto"/>
          </w:tcPr>
          <w:p w14:paraId="54E9C963"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Oficina de Control de Conflictos de Intereses de la Generalitat Valenciana, director, Sr. Mario Carrión Peinado.</w:t>
            </w:r>
          </w:p>
          <w:p w14:paraId="27DFC91C"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23D6E41D" w14:textId="77777777" w:rsidTr="00E56E07">
        <w:trPr>
          <w:jc w:val="right"/>
        </w:trPr>
        <w:tc>
          <w:tcPr>
            <w:tcW w:w="1560" w:type="dxa"/>
            <w:tcBorders>
              <w:top w:val="single" w:sz="4" w:space="0" w:color="C00000"/>
              <w:bottom w:val="single" w:sz="4" w:space="0" w:color="C00000"/>
            </w:tcBorders>
            <w:shd w:val="clear" w:color="auto" w:fill="auto"/>
            <w:vAlign w:val="center"/>
          </w:tcPr>
          <w:p w14:paraId="0E5F9A94" w14:textId="4BC82EE6"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18 de febrero</w:t>
            </w:r>
          </w:p>
        </w:tc>
        <w:tc>
          <w:tcPr>
            <w:tcW w:w="6926" w:type="dxa"/>
            <w:tcBorders>
              <w:top w:val="single" w:sz="4" w:space="0" w:color="C00000"/>
              <w:bottom w:val="single" w:sz="4" w:space="0" w:color="C00000"/>
            </w:tcBorders>
            <w:shd w:val="clear" w:color="auto" w:fill="auto"/>
          </w:tcPr>
          <w:p w14:paraId="04B9C9F4"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Reunión de directores de las Oficinas Antifraude de Cataluña, Islas Baleares y Comunitat Valenciana.</w:t>
            </w:r>
          </w:p>
          <w:p w14:paraId="6685533B"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Virtual</w:t>
            </w:r>
          </w:p>
        </w:tc>
      </w:tr>
      <w:tr w:rsidR="004A14D1" w14:paraId="46C6E11A" w14:textId="77777777" w:rsidTr="00E56E07">
        <w:trPr>
          <w:jc w:val="right"/>
        </w:trPr>
        <w:tc>
          <w:tcPr>
            <w:tcW w:w="1560" w:type="dxa"/>
            <w:tcBorders>
              <w:top w:val="single" w:sz="4" w:space="0" w:color="C00000"/>
              <w:bottom w:val="single" w:sz="4" w:space="0" w:color="C00000"/>
            </w:tcBorders>
            <w:shd w:val="clear" w:color="auto" w:fill="auto"/>
            <w:vAlign w:val="center"/>
          </w:tcPr>
          <w:p w14:paraId="60DF648F" w14:textId="59BC0D3D"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3 de marzo</w:t>
            </w:r>
          </w:p>
        </w:tc>
        <w:tc>
          <w:tcPr>
            <w:tcW w:w="6926" w:type="dxa"/>
            <w:tcBorders>
              <w:top w:val="single" w:sz="4" w:space="0" w:color="C00000"/>
              <w:bottom w:val="single" w:sz="4" w:space="0" w:color="C00000"/>
            </w:tcBorders>
            <w:shd w:val="clear" w:color="auto" w:fill="auto"/>
          </w:tcPr>
          <w:p w14:paraId="7521A500"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Vicerrectorado de Proyección Territorial y Sociedad de la Universitat de València, delegación.</w:t>
            </w:r>
          </w:p>
          <w:p w14:paraId="26C3F626"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Virtual</w:t>
            </w:r>
          </w:p>
        </w:tc>
      </w:tr>
      <w:tr w:rsidR="004A14D1" w14:paraId="6CB3A37F" w14:textId="77777777" w:rsidTr="00E56E07">
        <w:trPr>
          <w:jc w:val="right"/>
        </w:trPr>
        <w:tc>
          <w:tcPr>
            <w:tcW w:w="1560" w:type="dxa"/>
            <w:tcBorders>
              <w:top w:val="single" w:sz="4" w:space="0" w:color="C00000"/>
              <w:bottom w:val="single" w:sz="4" w:space="0" w:color="C00000"/>
            </w:tcBorders>
            <w:shd w:val="clear" w:color="auto" w:fill="auto"/>
            <w:vAlign w:val="center"/>
          </w:tcPr>
          <w:p w14:paraId="3240A8E4" w14:textId="1E54B547"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4 de marzo</w:t>
            </w:r>
          </w:p>
        </w:tc>
        <w:tc>
          <w:tcPr>
            <w:tcW w:w="6926" w:type="dxa"/>
            <w:tcBorders>
              <w:top w:val="single" w:sz="4" w:space="0" w:color="C00000"/>
              <w:bottom w:val="single" w:sz="4" w:space="0" w:color="C00000"/>
            </w:tcBorders>
            <w:shd w:val="clear" w:color="auto" w:fill="auto"/>
          </w:tcPr>
          <w:p w14:paraId="759BFCB4"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Corts Valencianes, presidente, Sr. Enric Morera i Català.</w:t>
            </w:r>
          </w:p>
          <w:p w14:paraId="7C3A8956" w14:textId="77777777" w:rsidR="004A14D1" w:rsidRPr="00E56E07" w:rsidRDefault="004A14D1" w:rsidP="00E56E07">
            <w:pPr>
              <w:spacing w:after="0" w:line="276" w:lineRule="auto"/>
              <w:jc w:val="both"/>
              <w:rPr>
                <w:rFonts w:ascii="Arial" w:eastAsia="Times New Roman" w:hAnsi="Arial" w:cs="Arial"/>
                <w:i/>
                <w:sz w:val="18"/>
                <w:szCs w:val="18"/>
                <w:lang w:eastAsia="es-ES"/>
              </w:rPr>
            </w:pPr>
            <w:r w:rsidRPr="00E56E07">
              <w:rPr>
                <w:rFonts w:ascii="Arial" w:eastAsia="Times New Roman" w:hAnsi="Arial" w:cs="Arial"/>
                <w:i/>
                <w:sz w:val="18"/>
                <w:szCs w:val="18"/>
                <w:lang w:eastAsia="es-ES"/>
              </w:rPr>
              <w:t>València</w:t>
            </w:r>
          </w:p>
        </w:tc>
      </w:tr>
      <w:tr w:rsidR="004A14D1" w14:paraId="3E6E864A" w14:textId="77777777" w:rsidTr="00E56E07">
        <w:trPr>
          <w:jc w:val="right"/>
        </w:trPr>
        <w:tc>
          <w:tcPr>
            <w:tcW w:w="1560" w:type="dxa"/>
            <w:tcBorders>
              <w:top w:val="single" w:sz="4" w:space="0" w:color="C00000"/>
              <w:bottom w:val="single" w:sz="4" w:space="0" w:color="C00000"/>
            </w:tcBorders>
            <w:shd w:val="clear" w:color="auto" w:fill="auto"/>
            <w:vAlign w:val="center"/>
          </w:tcPr>
          <w:p w14:paraId="4B298B8B" w14:textId="32BB2FA6"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8 de marzo</w:t>
            </w:r>
          </w:p>
        </w:tc>
        <w:tc>
          <w:tcPr>
            <w:tcW w:w="6926" w:type="dxa"/>
            <w:tcBorders>
              <w:top w:val="single" w:sz="4" w:space="0" w:color="C00000"/>
              <w:bottom w:val="single" w:sz="4" w:space="0" w:color="C00000"/>
            </w:tcBorders>
            <w:shd w:val="clear" w:color="auto" w:fill="auto"/>
          </w:tcPr>
          <w:p w14:paraId="13DB3235"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Consellería de Transparencia, Cooperación y Calidad Democrática, consellera, Sra. Rosa Pérez Garijo.</w:t>
            </w:r>
          </w:p>
          <w:p w14:paraId="5B21E582"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Virtual</w:t>
            </w:r>
          </w:p>
        </w:tc>
      </w:tr>
      <w:tr w:rsidR="004A14D1" w14:paraId="1DE35777" w14:textId="77777777" w:rsidTr="00E56E07">
        <w:trPr>
          <w:jc w:val="right"/>
        </w:trPr>
        <w:tc>
          <w:tcPr>
            <w:tcW w:w="1560" w:type="dxa"/>
            <w:tcBorders>
              <w:top w:val="single" w:sz="4" w:space="0" w:color="C00000"/>
              <w:bottom w:val="single" w:sz="4" w:space="0" w:color="C00000"/>
            </w:tcBorders>
            <w:shd w:val="clear" w:color="auto" w:fill="auto"/>
            <w:vAlign w:val="center"/>
          </w:tcPr>
          <w:p w14:paraId="1A189AE5" w14:textId="25F199F0"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12 de marzo</w:t>
            </w:r>
          </w:p>
        </w:tc>
        <w:tc>
          <w:tcPr>
            <w:tcW w:w="6926" w:type="dxa"/>
            <w:tcBorders>
              <w:top w:val="single" w:sz="4" w:space="0" w:color="C00000"/>
              <w:bottom w:val="single" w:sz="4" w:space="0" w:color="C00000"/>
            </w:tcBorders>
            <w:shd w:val="clear" w:color="auto" w:fill="auto"/>
          </w:tcPr>
          <w:p w14:paraId="3CFB128A"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Grupo parlamentario Unides-Podem, portavoz, Sra. María Pilar Lima González</w:t>
            </w:r>
          </w:p>
          <w:p w14:paraId="07031FB0"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17EC75D5" w14:textId="77777777" w:rsidTr="00E56E07">
        <w:trPr>
          <w:jc w:val="right"/>
        </w:trPr>
        <w:tc>
          <w:tcPr>
            <w:tcW w:w="1560" w:type="dxa"/>
            <w:tcBorders>
              <w:top w:val="single" w:sz="4" w:space="0" w:color="C00000"/>
              <w:bottom w:val="single" w:sz="4" w:space="0" w:color="C00000"/>
            </w:tcBorders>
            <w:shd w:val="clear" w:color="auto" w:fill="auto"/>
            <w:vAlign w:val="center"/>
          </w:tcPr>
          <w:p w14:paraId="370F7292" w14:textId="40AB5C36"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16 de marzo</w:t>
            </w:r>
          </w:p>
        </w:tc>
        <w:tc>
          <w:tcPr>
            <w:tcW w:w="6926" w:type="dxa"/>
            <w:tcBorders>
              <w:top w:val="single" w:sz="4" w:space="0" w:color="C00000"/>
              <w:bottom w:val="single" w:sz="4" w:space="0" w:color="C00000"/>
            </w:tcBorders>
            <w:shd w:val="clear" w:color="auto" w:fill="auto"/>
          </w:tcPr>
          <w:p w14:paraId="66AB1E82"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Vicerrectorado de Proyección Territorial y Sociedad de la Universitat de València, delegación.</w:t>
            </w:r>
          </w:p>
          <w:p w14:paraId="4DBE4867"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Virtual</w:t>
            </w:r>
          </w:p>
        </w:tc>
      </w:tr>
      <w:tr w:rsidR="004A14D1" w14:paraId="23A73867" w14:textId="77777777" w:rsidTr="00E56E07">
        <w:trPr>
          <w:jc w:val="right"/>
        </w:trPr>
        <w:tc>
          <w:tcPr>
            <w:tcW w:w="1560" w:type="dxa"/>
            <w:tcBorders>
              <w:top w:val="single" w:sz="4" w:space="0" w:color="C00000"/>
              <w:bottom w:val="single" w:sz="4" w:space="0" w:color="C00000"/>
            </w:tcBorders>
            <w:shd w:val="clear" w:color="auto" w:fill="auto"/>
            <w:vAlign w:val="center"/>
          </w:tcPr>
          <w:p w14:paraId="3F1C6F06" w14:textId="3CF3A72D"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30 de marzo</w:t>
            </w:r>
          </w:p>
        </w:tc>
        <w:tc>
          <w:tcPr>
            <w:tcW w:w="6926" w:type="dxa"/>
            <w:tcBorders>
              <w:top w:val="single" w:sz="4" w:space="0" w:color="C00000"/>
              <w:bottom w:val="single" w:sz="4" w:space="0" w:color="C00000"/>
            </w:tcBorders>
            <w:shd w:val="clear" w:color="auto" w:fill="auto"/>
          </w:tcPr>
          <w:p w14:paraId="40DC1E42"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Corts Valencianes, presidente y síndicos/as de los grupos parlamentarios.</w:t>
            </w:r>
          </w:p>
          <w:p w14:paraId="5781A517"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608B9A48" w14:textId="77777777" w:rsidTr="00E56E07">
        <w:trPr>
          <w:jc w:val="right"/>
        </w:trPr>
        <w:tc>
          <w:tcPr>
            <w:tcW w:w="1560" w:type="dxa"/>
            <w:tcBorders>
              <w:top w:val="single" w:sz="4" w:space="0" w:color="C00000"/>
              <w:bottom w:val="single" w:sz="4" w:space="0" w:color="C00000"/>
            </w:tcBorders>
            <w:shd w:val="clear" w:color="auto" w:fill="auto"/>
            <w:vAlign w:val="center"/>
          </w:tcPr>
          <w:p w14:paraId="5D050A21" w14:textId="2E67309D"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6 de abril</w:t>
            </w:r>
          </w:p>
        </w:tc>
        <w:tc>
          <w:tcPr>
            <w:tcW w:w="6926" w:type="dxa"/>
            <w:tcBorders>
              <w:top w:val="single" w:sz="4" w:space="0" w:color="C00000"/>
              <w:bottom w:val="single" w:sz="4" w:space="0" w:color="C00000"/>
            </w:tcBorders>
            <w:shd w:val="clear" w:color="auto" w:fill="auto"/>
          </w:tcPr>
          <w:p w14:paraId="2562709A"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Ayuntamiento de València, delegación.</w:t>
            </w:r>
          </w:p>
          <w:p w14:paraId="4C868AE7"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Presencial</w:t>
            </w:r>
          </w:p>
        </w:tc>
      </w:tr>
      <w:tr w:rsidR="004A14D1" w14:paraId="022B99F5" w14:textId="77777777" w:rsidTr="00E56E07">
        <w:trPr>
          <w:jc w:val="right"/>
        </w:trPr>
        <w:tc>
          <w:tcPr>
            <w:tcW w:w="1560" w:type="dxa"/>
            <w:tcBorders>
              <w:top w:val="single" w:sz="4" w:space="0" w:color="C00000"/>
              <w:bottom w:val="single" w:sz="4" w:space="0" w:color="C00000"/>
            </w:tcBorders>
            <w:shd w:val="clear" w:color="auto" w:fill="auto"/>
            <w:vAlign w:val="center"/>
          </w:tcPr>
          <w:p w14:paraId="399F656E" w14:textId="49428842"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16 de abril</w:t>
            </w:r>
          </w:p>
        </w:tc>
        <w:tc>
          <w:tcPr>
            <w:tcW w:w="6926" w:type="dxa"/>
            <w:tcBorders>
              <w:top w:val="single" w:sz="4" w:space="0" w:color="C00000"/>
              <w:bottom w:val="single" w:sz="4" w:space="0" w:color="C00000"/>
            </w:tcBorders>
            <w:shd w:val="clear" w:color="auto" w:fill="auto"/>
          </w:tcPr>
          <w:p w14:paraId="3302FDCF"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Tribunal Supremo, fiscal de sala en materia de Medio Ambiente, Sr. Antonio Vercher Noguera.</w:t>
            </w:r>
          </w:p>
          <w:p w14:paraId="14CFC7AB"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42E0ECE2" w14:textId="77777777" w:rsidTr="00E56E07">
        <w:trPr>
          <w:jc w:val="right"/>
        </w:trPr>
        <w:tc>
          <w:tcPr>
            <w:tcW w:w="1560" w:type="dxa"/>
            <w:tcBorders>
              <w:top w:val="single" w:sz="4" w:space="0" w:color="C00000"/>
              <w:bottom w:val="single" w:sz="4" w:space="0" w:color="C00000"/>
            </w:tcBorders>
            <w:shd w:val="clear" w:color="auto" w:fill="auto"/>
            <w:vAlign w:val="center"/>
          </w:tcPr>
          <w:p w14:paraId="5A4462C8" w14:textId="6BDCEEB8"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21 de abril</w:t>
            </w:r>
          </w:p>
        </w:tc>
        <w:tc>
          <w:tcPr>
            <w:tcW w:w="6926" w:type="dxa"/>
            <w:tcBorders>
              <w:top w:val="single" w:sz="4" w:space="0" w:color="C00000"/>
              <w:bottom w:val="single" w:sz="4" w:space="0" w:color="C00000"/>
            </w:tcBorders>
            <w:shd w:val="clear" w:color="auto" w:fill="auto"/>
          </w:tcPr>
          <w:p w14:paraId="0C8E8706" w14:textId="669DAF28"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 xml:space="preserve">Secretaría </w:t>
            </w:r>
            <w:r w:rsidR="00D34F12">
              <w:rPr>
                <w:rFonts w:ascii="Arial" w:eastAsia="Times New Roman" w:hAnsi="Arial" w:cs="Arial"/>
                <w:color w:val="000000"/>
                <w:sz w:val="18"/>
                <w:szCs w:val="18"/>
                <w:lang w:eastAsia="es-ES"/>
              </w:rPr>
              <w:t>A</w:t>
            </w:r>
            <w:r w:rsidRPr="00E56E07">
              <w:rPr>
                <w:rFonts w:ascii="Arial" w:eastAsia="Times New Roman" w:hAnsi="Arial" w:cs="Arial"/>
                <w:color w:val="000000"/>
                <w:sz w:val="18"/>
                <w:szCs w:val="18"/>
                <w:lang w:eastAsia="es-ES"/>
              </w:rPr>
              <w:t>utonómica de Prospectiva y Comunicación de la Generalitat Valenciana, secretaria autonómica, Sra. Beatriz Gallardo Paúls.</w:t>
            </w:r>
          </w:p>
          <w:p w14:paraId="52DEA807"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628F8753" w14:textId="77777777" w:rsidTr="00E56E07">
        <w:trPr>
          <w:jc w:val="right"/>
        </w:trPr>
        <w:tc>
          <w:tcPr>
            <w:tcW w:w="1560" w:type="dxa"/>
            <w:tcBorders>
              <w:top w:val="single" w:sz="4" w:space="0" w:color="C00000"/>
              <w:bottom w:val="single" w:sz="4" w:space="0" w:color="C00000"/>
            </w:tcBorders>
            <w:shd w:val="clear" w:color="auto" w:fill="auto"/>
            <w:vAlign w:val="center"/>
          </w:tcPr>
          <w:p w14:paraId="49EC79DC" w14:textId="5AFEF7CC"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29 de abril</w:t>
            </w:r>
          </w:p>
        </w:tc>
        <w:tc>
          <w:tcPr>
            <w:tcW w:w="6926" w:type="dxa"/>
            <w:tcBorders>
              <w:top w:val="single" w:sz="4" w:space="0" w:color="C00000"/>
              <w:bottom w:val="single" w:sz="4" w:space="0" w:color="C00000"/>
            </w:tcBorders>
            <w:shd w:val="clear" w:color="auto" w:fill="auto"/>
          </w:tcPr>
          <w:p w14:paraId="100BCC02" w14:textId="40DFDD84"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 xml:space="preserve">Secretaría </w:t>
            </w:r>
            <w:r w:rsidR="001239E5">
              <w:rPr>
                <w:rFonts w:ascii="Arial" w:eastAsia="Times New Roman" w:hAnsi="Arial" w:cs="Arial"/>
                <w:color w:val="000000"/>
                <w:sz w:val="18"/>
                <w:szCs w:val="18"/>
                <w:lang w:eastAsia="es-ES"/>
              </w:rPr>
              <w:t>A</w:t>
            </w:r>
            <w:r w:rsidRPr="00E56E07">
              <w:rPr>
                <w:rFonts w:ascii="Arial" w:eastAsia="Times New Roman" w:hAnsi="Arial" w:cs="Arial"/>
                <w:color w:val="000000"/>
                <w:sz w:val="18"/>
                <w:szCs w:val="18"/>
                <w:lang w:eastAsia="es-ES"/>
              </w:rPr>
              <w:t>utonómica de Modelo Económico y Financiación de la Generalitat Valenciana, secretaria autonómica, Sra. María José Mira Veintimilla.</w:t>
            </w:r>
          </w:p>
          <w:p w14:paraId="2F9E2F76"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1D736C1A" w14:textId="77777777" w:rsidTr="00E56E07">
        <w:trPr>
          <w:jc w:val="right"/>
        </w:trPr>
        <w:tc>
          <w:tcPr>
            <w:tcW w:w="1560" w:type="dxa"/>
            <w:tcBorders>
              <w:top w:val="single" w:sz="4" w:space="0" w:color="C00000"/>
              <w:bottom w:val="single" w:sz="4" w:space="0" w:color="C00000"/>
            </w:tcBorders>
            <w:shd w:val="clear" w:color="auto" w:fill="auto"/>
            <w:vAlign w:val="center"/>
          </w:tcPr>
          <w:p w14:paraId="3747639A" w14:textId="65721248"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17 de junio</w:t>
            </w:r>
          </w:p>
        </w:tc>
        <w:tc>
          <w:tcPr>
            <w:tcW w:w="6926" w:type="dxa"/>
            <w:tcBorders>
              <w:top w:val="single" w:sz="4" w:space="0" w:color="C00000"/>
              <w:bottom w:val="single" w:sz="4" w:space="0" w:color="C00000"/>
            </w:tcBorders>
            <w:shd w:val="clear" w:color="auto" w:fill="auto"/>
          </w:tcPr>
          <w:p w14:paraId="48C4ECBA" w14:textId="65C26BF6"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 xml:space="preserve">Secretaría </w:t>
            </w:r>
            <w:r w:rsidR="001239E5">
              <w:rPr>
                <w:rFonts w:ascii="Arial" w:eastAsia="Times New Roman" w:hAnsi="Arial" w:cs="Arial"/>
                <w:color w:val="000000"/>
                <w:sz w:val="18"/>
                <w:szCs w:val="18"/>
                <w:lang w:eastAsia="es-ES"/>
              </w:rPr>
              <w:t>A</w:t>
            </w:r>
            <w:r w:rsidRPr="00E56E07">
              <w:rPr>
                <w:rFonts w:ascii="Arial" w:eastAsia="Times New Roman" w:hAnsi="Arial" w:cs="Arial"/>
                <w:color w:val="000000"/>
                <w:sz w:val="18"/>
                <w:szCs w:val="18"/>
                <w:lang w:eastAsia="es-ES"/>
              </w:rPr>
              <w:t>utonómica de Modelo Económico y Financiación de la Generalitat Valenciana, secretaria autonómica, Sra. María José Mira Veintimilla.</w:t>
            </w:r>
          </w:p>
          <w:p w14:paraId="45BA76FC"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2CF4FCA3" w14:textId="77777777" w:rsidTr="00E56E07">
        <w:trPr>
          <w:jc w:val="right"/>
        </w:trPr>
        <w:tc>
          <w:tcPr>
            <w:tcW w:w="1560" w:type="dxa"/>
            <w:tcBorders>
              <w:top w:val="single" w:sz="4" w:space="0" w:color="C00000"/>
              <w:bottom w:val="single" w:sz="4" w:space="0" w:color="C00000"/>
            </w:tcBorders>
            <w:shd w:val="clear" w:color="auto" w:fill="auto"/>
            <w:vAlign w:val="center"/>
          </w:tcPr>
          <w:p w14:paraId="555922E8" w14:textId="42BB4275"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 xml:space="preserve">29 de junio </w:t>
            </w:r>
          </w:p>
        </w:tc>
        <w:tc>
          <w:tcPr>
            <w:tcW w:w="6926" w:type="dxa"/>
            <w:tcBorders>
              <w:top w:val="single" w:sz="4" w:space="0" w:color="C00000"/>
              <w:bottom w:val="single" w:sz="4" w:space="0" w:color="C00000"/>
            </w:tcBorders>
            <w:shd w:val="clear" w:color="auto" w:fill="auto"/>
          </w:tcPr>
          <w:p w14:paraId="579D133E"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Consellería de Transparencia, Cooperación y Calidad Democrática, consellera, Sra. Rosa Pérez Garijo.</w:t>
            </w:r>
          </w:p>
          <w:p w14:paraId="3FF8201E"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250C9F1D" w14:textId="77777777" w:rsidTr="00E56E07">
        <w:trPr>
          <w:jc w:val="right"/>
        </w:trPr>
        <w:tc>
          <w:tcPr>
            <w:tcW w:w="1560" w:type="dxa"/>
            <w:tcBorders>
              <w:top w:val="single" w:sz="4" w:space="0" w:color="C00000"/>
              <w:bottom w:val="single" w:sz="4" w:space="0" w:color="C00000"/>
            </w:tcBorders>
            <w:shd w:val="clear" w:color="auto" w:fill="auto"/>
            <w:vAlign w:val="center"/>
          </w:tcPr>
          <w:p w14:paraId="2A1FE496" w14:textId="58204848"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 de julio</w:t>
            </w:r>
          </w:p>
        </w:tc>
        <w:tc>
          <w:tcPr>
            <w:tcW w:w="6926" w:type="dxa"/>
            <w:tcBorders>
              <w:top w:val="single" w:sz="4" w:space="0" w:color="C00000"/>
              <w:bottom w:val="single" w:sz="4" w:space="0" w:color="C00000"/>
            </w:tcBorders>
            <w:shd w:val="clear" w:color="auto" w:fill="auto"/>
          </w:tcPr>
          <w:p w14:paraId="249109D6"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Ayuntamiento de València, Delegación de Transparencia y Bueno Gobierno.</w:t>
            </w:r>
          </w:p>
          <w:p w14:paraId="6B332B2F"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00AD4E33" w14:textId="77777777" w:rsidTr="00E56E07">
        <w:trPr>
          <w:jc w:val="right"/>
        </w:trPr>
        <w:tc>
          <w:tcPr>
            <w:tcW w:w="1560" w:type="dxa"/>
            <w:tcBorders>
              <w:top w:val="single" w:sz="4" w:space="0" w:color="C00000"/>
              <w:bottom w:val="single" w:sz="4" w:space="0" w:color="C00000"/>
            </w:tcBorders>
            <w:shd w:val="clear" w:color="auto" w:fill="auto"/>
            <w:vAlign w:val="center"/>
          </w:tcPr>
          <w:p w14:paraId="057FC7A8" w14:textId="34283F8D"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13 de julio</w:t>
            </w:r>
          </w:p>
        </w:tc>
        <w:tc>
          <w:tcPr>
            <w:tcW w:w="6926" w:type="dxa"/>
            <w:tcBorders>
              <w:top w:val="single" w:sz="4" w:space="0" w:color="C00000"/>
              <w:bottom w:val="single" w:sz="4" w:space="0" w:color="C00000"/>
            </w:tcBorders>
            <w:shd w:val="clear" w:color="auto" w:fill="auto"/>
          </w:tcPr>
          <w:p w14:paraId="121B2CB5"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 xml:space="preserve">Consellería de Justicia, Interior y Administración Pública, consellera, </w:t>
            </w:r>
            <w:r w:rsidRPr="00E56E07">
              <w:rPr>
                <w:rFonts w:ascii="Arial" w:eastAsia="Times New Roman" w:hAnsi="Arial" w:cs="Arial"/>
                <w:color w:val="000000"/>
                <w:sz w:val="18"/>
                <w:szCs w:val="18"/>
                <w:lang w:eastAsia="es-ES"/>
              </w:rPr>
              <w:br/>
              <w:t>Sra. Gabriela Bravo Sanestanislao.</w:t>
            </w:r>
          </w:p>
          <w:p w14:paraId="378EE9D4"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2F36EE5D" w14:textId="77777777" w:rsidTr="001239E5">
        <w:trPr>
          <w:trHeight w:val="330"/>
          <w:jc w:val="right"/>
        </w:trPr>
        <w:tc>
          <w:tcPr>
            <w:tcW w:w="1560" w:type="dxa"/>
            <w:tcBorders>
              <w:top w:val="single" w:sz="4" w:space="0" w:color="C00000"/>
              <w:bottom w:val="single" w:sz="4" w:space="0" w:color="C00000"/>
            </w:tcBorders>
            <w:shd w:val="clear" w:color="auto" w:fill="auto"/>
            <w:vAlign w:val="center"/>
          </w:tcPr>
          <w:p w14:paraId="139DA863" w14:textId="7171ED05"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15 de julio</w:t>
            </w:r>
          </w:p>
        </w:tc>
        <w:tc>
          <w:tcPr>
            <w:tcW w:w="6926" w:type="dxa"/>
            <w:tcBorders>
              <w:top w:val="single" w:sz="4" w:space="0" w:color="C00000"/>
              <w:bottom w:val="single" w:sz="4" w:space="0" w:color="C00000"/>
            </w:tcBorders>
            <w:shd w:val="clear" w:color="auto" w:fill="auto"/>
          </w:tcPr>
          <w:p w14:paraId="225197BD"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color w:val="000000"/>
                <w:sz w:val="18"/>
                <w:szCs w:val="18"/>
                <w:lang w:eastAsia="es-ES"/>
              </w:rPr>
              <w:t xml:space="preserve">Diputación de Castellón, Servicio de Administración Pública e Innovación. </w:t>
            </w:r>
            <w:r w:rsidRPr="00E56E07">
              <w:rPr>
                <w:rFonts w:ascii="Arial" w:eastAsia="Times New Roman" w:hAnsi="Arial" w:cs="Arial"/>
                <w:i/>
                <w:color w:val="000000"/>
                <w:sz w:val="18"/>
                <w:szCs w:val="18"/>
                <w:lang w:eastAsia="es-ES"/>
              </w:rPr>
              <w:t>València</w:t>
            </w:r>
          </w:p>
        </w:tc>
      </w:tr>
      <w:tr w:rsidR="004A14D1" w14:paraId="507A3DF7" w14:textId="77777777" w:rsidTr="00E56E07">
        <w:trPr>
          <w:jc w:val="right"/>
        </w:trPr>
        <w:tc>
          <w:tcPr>
            <w:tcW w:w="1560" w:type="dxa"/>
            <w:tcBorders>
              <w:top w:val="single" w:sz="4" w:space="0" w:color="C00000"/>
              <w:bottom w:val="single" w:sz="4" w:space="0" w:color="C00000"/>
            </w:tcBorders>
            <w:shd w:val="clear" w:color="auto" w:fill="auto"/>
            <w:vAlign w:val="center"/>
          </w:tcPr>
          <w:p w14:paraId="6963268F" w14:textId="3A9EC277"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19 de julio</w:t>
            </w:r>
          </w:p>
        </w:tc>
        <w:tc>
          <w:tcPr>
            <w:tcW w:w="6926" w:type="dxa"/>
            <w:tcBorders>
              <w:top w:val="single" w:sz="4" w:space="0" w:color="C00000"/>
              <w:bottom w:val="single" w:sz="4" w:space="0" w:color="C00000"/>
            </w:tcBorders>
            <w:shd w:val="clear" w:color="auto" w:fill="auto"/>
          </w:tcPr>
          <w:p w14:paraId="1BCB2A0F"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Consejo Valenciano de Colegios de Abogados, presidenta, Sra. Ángela Coquillat Vicente.</w:t>
            </w:r>
          </w:p>
          <w:p w14:paraId="5C194508"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178B112C" w14:textId="77777777" w:rsidTr="00E56E07">
        <w:trPr>
          <w:jc w:val="right"/>
        </w:trPr>
        <w:tc>
          <w:tcPr>
            <w:tcW w:w="1560" w:type="dxa"/>
            <w:tcBorders>
              <w:top w:val="single" w:sz="4" w:space="0" w:color="C00000"/>
              <w:bottom w:val="single" w:sz="4" w:space="0" w:color="C00000"/>
            </w:tcBorders>
            <w:shd w:val="clear" w:color="auto" w:fill="auto"/>
            <w:vAlign w:val="center"/>
          </w:tcPr>
          <w:p w14:paraId="7CA80272" w14:textId="7DBBE173"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31 de agosto</w:t>
            </w:r>
          </w:p>
        </w:tc>
        <w:tc>
          <w:tcPr>
            <w:tcW w:w="6926" w:type="dxa"/>
            <w:tcBorders>
              <w:top w:val="single" w:sz="4" w:space="0" w:color="C00000"/>
              <w:bottom w:val="single" w:sz="4" w:space="0" w:color="C00000"/>
            </w:tcBorders>
            <w:shd w:val="clear" w:color="auto" w:fill="auto"/>
          </w:tcPr>
          <w:p w14:paraId="5472C7D3" w14:textId="234C05E6"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 xml:space="preserve">Secretaría </w:t>
            </w:r>
            <w:r w:rsidR="001239E5">
              <w:rPr>
                <w:rFonts w:ascii="Arial" w:eastAsia="Times New Roman" w:hAnsi="Arial" w:cs="Arial"/>
                <w:color w:val="000000"/>
                <w:sz w:val="18"/>
                <w:szCs w:val="18"/>
                <w:lang w:eastAsia="es-ES"/>
              </w:rPr>
              <w:t>A</w:t>
            </w:r>
            <w:r w:rsidRPr="00E56E07">
              <w:rPr>
                <w:rFonts w:ascii="Arial" w:eastAsia="Times New Roman" w:hAnsi="Arial" w:cs="Arial"/>
                <w:color w:val="000000"/>
                <w:sz w:val="18"/>
                <w:szCs w:val="18"/>
                <w:lang w:eastAsia="es-ES"/>
              </w:rPr>
              <w:t>utonómica de Modelo Económico y Financiación de la Generalitat Valenciana, secretaria autonómica, Sra. María José Mira Veintimilla.</w:t>
            </w:r>
          </w:p>
          <w:p w14:paraId="5268BF98"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40C7E185" w14:textId="77777777" w:rsidTr="00E56E07">
        <w:trPr>
          <w:jc w:val="right"/>
        </w:trPr>
        <w:tc>
          <w:tcPr>
            <w:tcW w:w="1560" w:type="dxa"/>
            <w:tcBorders>
              <w:top w:val="single" w:sz="4" w:space="0" w:color="C00000"/>
              <w:bottom w:val="single" w:sz="4" w:space="0" w:color="C00000"/>
            </w:tcBorders>
            <w:shd w:val="clear" w:color="auto" w:fill="auto"/>
            <w:vAlign w:val="center"/>
          </w:tcPr>
          <w:p w14:paraId="4D1E8E7D" w14:textId="3BF5A4EF"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3 de septiembre</w:t>
            </w:r>
          </w:p>
        </w:tc>
        <w:tc>
          <w:tcPr>
            <w:tcW w:w="6926" w:type="dxa"/>
            <w:tcBorders>
              <w:top w:val="single" w:sz="4" w:space="0" w:color="C00000"/>
              <w:bottom w:val="single" w:sz="4" w:space="0" w:color="C00000"/>
            </w:tcBorders>
            <w:shd w:val="clear" w:color="auto" w:fill="auto"/>
          </w:tcPr>
          <w:p w14:paraId="284D3285"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Vicerrectorado de Proyección Territorial y Sociedad de la Universitat de València, delegación.</w:t>
            </w:r>
          </w:p>
          <w:p w14:paraId="3497DB61"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699D107A" w14:textId="77777777" w:rsidTr="00E56E07">
        <w:trPr>
          <w:jc w:val="right"/>
        </w:trPr>
        <w:tc>
          <w:tcPr>
            <w:tcW w:w="1560" w:type="dxa"/>
            <w:tcBorders>
              <w:top w:val="single" w:sz="4" w:space="0" w:color="C00000"/>
              <w:bottom w:val="single" w:sz="4" w:space="0" w:color="C00000"/>
            </w:tcBorders>
            <w:shd w:val="clear" w:color="auto" w:fill="auto"/>
            <w:vAlign w:val="center"/>
          </w:tcPr>
          <w:p w14:paraId="4F237785" w14:textId="7F88EB59"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8 de septiembre</w:t>
            </w:r>
          </w:p>
        </w:tc>
        <w:tc>
          <w:tcPr>
            <w:tcW w:w="6926" w:type="dxa"/>
            <w:tcBorders>
              <w:top w:val="single" w:sz="4" w:space="0" w:color="C00000"/>
              <w:bottom w:val="single" w:sz="4" w:space="0" w:color="C00000"/>
            </w:tcBorders>
            <w:shd w:val="clear" w:color="auto" w:fill="auto"/>
          </w:tcPr>
          <w:p w14:paraId="1EACF8BE"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Consellería de Agricultura, Desarrollo Rural, Emergencia Climática y Transición Ecológica, subsecretario, Sr. Alfonso Puncel Chornet.</w:t>
            </w:r>
          </w:p>
          <w:p w14:paraId="6CCF592D"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73652216" w14:textId="77777777" w:rsidTr="00E56E07">
        <w:trPr>
          <w:jc w:val="right"/>
        </w:trPr>
        <w:tc>
          <w:tcPr>
            <w:tcW w:w="1560" w:type="dxa"/>
            <w:tcBorders>
              <w:top w:val="single" w:sz="4" w:space="0" w:color="C00000"/>
              <w:bottom w:val="single" w:sz="4" w:space="0" w:color="C00000"/>
            </w:tcBorders>
            <w:shd w:val="clear" w:color="auto" w:fill="auto"/>
            <w:vAlign w:val="center"/>
          </w:tcPr>
          <w:p w14:paraId="498DFF59" w14:textId="691CFE73"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8 de septiembre</w:t>
            </w:r>
          </w:p>
        </w:tc>
        <w:tc>
          <w:tcPr>
            <w:tcW w:w="6926" w:type="dxa"/>
            <w:tcBorders>
              <w:top w:val="single" w:sz="4" w:space="0" w:color="C00000"/>
              <w:bottom w:val="single" w:sz="4" w:space="0" w:color="C00000"/>
            </w:tcBorders>
            <w:shd w:val="clear" w:color="auto" w:fill="auto"/>
          </w:tcPr>
          <w:p w14:paraId="6789C9CE" w14:textId="24A8DFB9" w:rsidR="004A14D1" w:rsidRPr="00E56E07" w:rsidRDefault="001239E5" w:rsidP="00E56E07">
            <w:pPr>
              <w:spacing w:after="0" w:line="276" w:lineRule="auto"/>
              <w:jc w:val="both"/>
              <w:rPr>
                <w:rFonts w:ascii="Arial" w:eastAsia="Times New Roman" w:hAnsi="Arial" w:cs="Arial"/>
                <w:color w:val="000000"/>
                <w:sz w:val="18"/>
                <w:szCs w:val="18"/>
                <w:lang w:eastAsia="es-ES"/>
              </w:rPr>
            </w:pPr>
            <w:r>
              <w:rPr>
                <w:rFonts w:ascii="Arial" w:eastAsia="Times New Roman" w:hAnsi="Arial" w:cs="Arial"/>
                <w:color w:val="000000"/>
                <w:sz w:val="18"/>
                <w:szCs w:val="18"/>
                <w:lang w:eastAsia="es-ES"/>
              </w:rPr>
              <w:t>P</w:t>
            </w:r>
            <w:r w:rsidR="004A14D1" w:rsidRPr="00E56E07">
              <w:rPr>
                <w:rFonts w:ascii="Arial" w:eastAsia="Times New Roman" w:hAnsi="Arial" w:cs="Arial"/>
                <w:color w:val="000000"/>
                <w:sz w:val="18"/>
                <w:szCs w:val="18"/>
                <w:lang w:eastAsia="es-ES"/>
              </w:rPr>
              <w:t>residenta de la Comisión de Competencia de la Comunitat Valenciana, Sra. Carmen Rodilla Martí.</w:t>
            </w:r>
          </w:p>
          <w:p w14:paraId="2C0FC0D3"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5F13B492" w14:textId="77777777" w:rsidTr="00E56E07">
        <w:trPr>
          <w:jc w:val="right"/>
        </w:trPr>
        <w:tc>
          <w:tcPr>
            <w:tcW w:w="1560" w:type="dxa"/>
            <w:tcBorders>
              <w:top w:val="single" w:sz="4" w:space="0" w:color="C00000"/>
              <w:bottom w:val="single" w:sz="4" w:space="0" w:color="C00000"/>
            </w:tcBorders>
            <w:shd w:val="clear" w:color="auto" w:fill="auto"/>
            <w:vAlign w:val="center"/>
          </w:tcPr>
          <w:p w14:paraId="09D9921E" w14:textId="5F4E18FD"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9 de septiembre</w:t>
            </w:r>
          </w:p>
        </w:tc>
        <w:tc>
          <w:tcPr>
            <w:tcW w:w="6926" w:type="dxa"/>
            <w:tcBorders>
              <w:top w:val="single" w:sz="4" w:space="0" w:color="C00000"/>
              <w:bottom w:val="single" w:sz="4" w:space="0" w:color="C00000"/>
            </w:tcBorders>
            <w:shd w:val="clear" w:color="auto" w:fill="auto"/>
          </w:tcPr>
          <w:p w14:paraId="7AC74091"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 xml:space="preserve">Sindicatura de Comptes de la Comunitat Valenciana, Síndic Major, Sr. </w:t>
            </w:r>
          </w:p>
          <w:p w14:paraId="4904F94E"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Vicent Cucarella Tormo.</w:t>
            </w:r>
          </w:p>
          <w:p w14:paraId="5EDCFE46"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74241AC9" w14:textId="77777777" w:rsidTr="00E56E07">
        <w:trPr>
          <w:jc w:val="right"/>
        </w:trPr>
        <w:tc>
          <w:tcPr>
            <w:tcW w:w="1560" w:type="dxa"/>
            <w:tcBorders>
              <w:top w:val="single" w:sz="4" w:space="0" w:color="C00000"/>
              <w:bottom w:val="single" w:sz="4" w:space="0" w:color="C00000"/>
            </w:tcBorders>
            <w:shd w:val="clear" w:color="auto" w:fill="auto"/>
            <w:vAlign w:val="center"/>
          </w:tcPr>
          <w:p w14:paraId="12032985" w14:textId="6C5586BC"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14 de septiembre</w:t>
            </w:r>
          </w:p>
        </w:tc>
        <w:tc>
          <w:tcPr>
            <w:tcW w:w="6926" w:type="dxa"/>
            <w:tcBorders>
              <w:top w:val="single" w:sz="4" w:space="0" w:color="C00000"/>
              <w:bottom w:val="single" w:sz="4" w:space="0" w:color="C00000"/>
            </w:tcBorders>
            <w:shd w:val="clear" w:color="auto" w:fill="auto"/>
          </w:tcPr>
          <w:p w14:paraId="1E5C9D0C"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Consellería de Agricultura, Desarrollo Rural, Emergencia Climática y Transición Ecológica, subsecretario, Sr. Alfonso Puncel Chornet.</w:t>
            </w:r>
          </w:p>
          <w:p w14:paraId="6201A502"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553179D5" w14:textId="77777777" w:rsidTr="00E56E07">
        <w:trPr>
          <w:jc w:val="right"/>
        </w:trPr>
        <w:tc>
          <w:tcPr>
            <w:tcW w:w="1560" w:type="dxa"/>
            <w:tcBorders>
              <w:top w:val="single" w:sz="4" w:space="0" w:color="C00000"/>
              <w:bottom w:val="single" w:sz="4" w:space="0" w:color="C00000"/>
            </w:tcBorders>
            <w:shd w:val="clear" w:color="auto" w:fill="auto"/>
            <w:vAlign w:val="center"/>
          </w:tcPr>
          <w:p w14:paraId="282481CA" w14:textId="40CB682E"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14 de septiembre</w:t>
            </w:r>
          </w:p>
        </w:tc>
        <w:tc>
          <w:tcPr>
            <w:tcW w:w="6926" w:type="dxa"/>
            <w:tcBorders>
              <w:top w:val="single" w:sz="4" w:space="0" w:color="C00000"/>
              <w:bottom w:val="single" w:sz="4" w:space="0" w:color="C00000"/>
            </w:tcBorders>
            <w:shd w:val="clear" w:color="auto" w:fill="auto"/>
          </w:tcPr>
          <w:p w14:paraId="1B93E419"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Corts Valencianes, presidente, Sr. Enric Morera i Català.</w:t>
            </w:r>
          </w:p>
          <w:p w14:paraId="13A25206"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sz w:val="18"/>
                <w:szCs w:val="18"/>
                <w:lang w:eastAsia="es-ES"/>
              </w:rPr>
              <w:t>València</w:t>
            </w:r>
          </w:p>
        </w:tc>
      </w:tr>
      <w:tr w:rsidR="004A14D1" w14:paraId="3FB84814" w14:textId="77777777" w:rsidTr="00E56E07">
        <w:trPr>
          <w:jc w:val="right"/>
        </w:trPr>
        <w:tc>
          <w:tcPr>
            <w:tcW w:w="1560" w:type="dxa"/>
            <w:tcBorders>
              <w:top w:val="single" w:sz="4" w:space="0" w:color="C00000"/>
              <w:bottom w:val="single" w:sz="4" w:space="0" w:color="C00000"/>
            </w:tcBorders>
            <w:shd w:val="clear" w:color="auto" w:fill="auto"/>
            <w:vAlign w:val="center"/>
          </w:tcPr>
          <w:p w14:paraId="661BCF6C" w14:textId="0027619E"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21 de septiembre</w:t>
            </w:r>
          </w:p>
        </w:tc>
        <w:tc>
          <w:tcPr>
            <w:tcW w:w="6926" w:type="dxa"/>
            <w:tcBorders>
              <w:top w:val="single" w:sz="4" w:space="0" w:color="C00000"/>
              <w:bottom w:val="single" w:sz="4" w:space="0" w:color="C00000"/>
            </w:tcBorders>
            <w:shd w:val="clear" w:color="auto" w:fill="auto"/>
          </w:tcPr>
          <w:p w14:paraId="53F1436A"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Vicepresidencia segunda y Consellería de Vivienda y Arquitectura Bioclimática, conseller, Sr. Héctor Illueca Ballester.</w:t>
            </w:r>
          </w:p>
          <w:p w14:paraId="69B429E6"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5701E53D" w14:textId="77777777" w:rsidTr="00E56E07">
        <w:trPr>
          <w:jc w:val="right"/>
        </w:trPr>
        <w:tc>
          <w:tcPr>
            <w:tcW w:w="1560" w:type="dxa"/>
            <w:tcBorders>
              <w:top w:val="single" w:sz="4" w:space="0" w:color="C00000"/>
              <w:bottom w:val="single" w:sz="4" w:space="0" w:color="C00000"/>
            </w:tcBorders>
            <w:shd w:val="clear" w:color="auto" w:fill="auto"/>
            <w:vAlign w:val="center"/>
          </w:tcPr>
          <w:p w14:paraId="1BB1F3D8" w14:textId="6F21C10E"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23 de septiembre</w:t>
            </w:r>
          </w:p>
        </w:tc>
        <w:tc>
          <w:tcPr>
            <w:tcW w:w="6926" w:type="dxa"/>
            <w:tcBorders>
              <w:top w:val="single" w:sz="4" w:space="0" w:color="C00000"/>
              <w:bottom w:val="single" w:sz="4" w:space="0" w:color="C00000"/>
            </w:tcBorders>
            <w:shd w:val="clear" w:color="auto" w:fill="auto"/>
          </w:tcPr>
          <w:p w14:paraId="14E47160"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Corts Valencianes, síndicas y síndicos de los grupos parlamentarios PSOE, Compromís y Unides-Podem.</w:t>
            </w:r>
          </w:p>
          <w:p w14:paraId="1ADE236E"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088DEA1B" w14:textId="77777777" w:rsidTr="00E56E07">
        <w:trPr>
          <w:jc w:val="right"/>
        </w:trPr>
        <w:tc>
          <w:tcPr>
            <w:tcW w:w="1560" w:type="dxa"/>
            <w:tcBorders>
              <w:top w:val="single" w:sz="4" w:space="0" w:color="C00000"/>
              <w:bottom w:val="single" w:sz="4" w:space="0" w:color="C00000"/>
            </w:tcBorders>
            <w:shd w:val="clear" w:color="auto" w:fill="auto"/>
            <w:vAlign w:val="center"/>
          </w:tcPr>
          <w:p w14:paraId="7EC42A6D" w14:textId="54DD6670"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28 de septiembre</w:t>
            </w:r>
          </w:p>
        </w:tc>
        <w:tc>
          <w:tcPr>
            <w:tcW w:w="6926" w:type="dxa"/>
            <w:tcBorders>
              <w:top w:val="single" w:sz="4" w:space="0" w:color="C00000"/>
              <w:bottom w:val="single" w:sz="4" w:space="0" w:color="C00000"/>
            </w:tcBorders>
            <w:shd w:val="clear" w:color="auto" w:fill="auto"/>
          </w:tcPr>
          <w:p w14:paraId="469C8C90"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Síndic de Greuges de la Comunitat Valenciana, Sr. Ángel Luna González.</w:t>
            </w:r>
          </w:p>
          <w:p w14:paraId="7EC9389D"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Alicante</w:t>
            </w:r>
          </w:p>
        </w:tc>
      </w:tr>
      <w:tr w:rsidR="004A14D1" w14:paraId="33065D6A" w14:textId="77777777" w:rsidTr="00E56E07">
        <w:trPr>
          <w:jc w:val="right"/>
        </w:trPr>
        <w:tc>
          <w:tcPr>
            <w:tcW w:w="1560" w:type="dxa"/>
            <w:tcBorders>
              <w:top w:val="single" w:sz="4" w:space="0" w:color="C00000"/>
              <w:bottom w:val="single" w:sz="4" w:space="0" w:color="C00000"/>
            </w:tcBorders>
            <w:shd w:val="clear" w:color="auto" w:fill="auto"/>
            <w:vAlign w:val="center"/>
          </w:tcPr>
          <w:p w14:paraId="006DD6EB" w14:textId="4CAFC668"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5 de octubre</w:t>
            </w:r>
          </w:p>
        </w:tc>
        <w:tc>
          <w:tcPr>
            <w:tcW w:w="6926" w:type="dxa"/>
            <w:tcBorders>
              <w:top w:val="single" w:sz="4" w:space="0" w:color="C00000"/>
              <w:bottom w:val="single" w:sz="4" w:space="0" w:color="C00000"/>
            </w:tcBorders>
            <w:shd w:val="clear" w:color="auto" w:fill="auto"/>
          </w:tcPr>
          <w:p w14:paraId="10DAAD32"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Ayuntamiento de València, regidora del Ciclo Integral del agua, Participación Ciudadana y Acción Vecinal y Transparencia y Gobierno Abierto, Sra. Elisa Valía Cotanda.</w:t>
            </w:r>
          </w:p>
          <w:p w14:paraId="30331701"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4E57D9F3" w14:textId="77777777" w:rsidTr="00E56E07">
        <w:trPr>
          <w:jc w:val="right"/>
        </w:trPr>
        <w:tc>
          <w:tcPr>
            <w:tcW w:w="1560" w:type="dxa"/>
            <w:tcBorders>
              <w:top w:val="single" w:sz="4" w:space="0" w:color="C00000"/>
              <w:bottom w:val="single" w:sz="4" w:space="0" w:color="C00000"/>
            </w:tcBorders>
            <w:shd w:val="clear" w:color="auto" w:fill="auto"/>
            <w:vAlign w:val="center"/>
          </w:tcPr>
          <w:p w14:paraId="5C10C07A" w14:textId="0E5B56F4"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7 de octubre</w:t>
            </w:r>
          </w:p>
        </w:tc>
        <w:tc>
          <w:tcPr>
            <w:tcW w:w="6926" w:type="dxa"/>
            <w:tcBorders>
              <w:top w:val="single" w:sz="4" w:space="0" w:color="C00000"/>
              <w:bottom w:val="single" w:sz="4" w:space="0" w:color="C00000"/>
            </w:tcBorders>
            <w:shd w:val="clear" w:color="auto" w:fill="auto"/>
          </w:tcPr>
          <w:p w14:paraId="09B4E19A"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Viceconsejería de Transparencia y Calidad de los Servicios de la Junta de Castilla y León, delegación.</w:t>
            </w:r>
          </w:p>
          <w:p w14:paraId="7B3F817F"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Virtual</w:t>
            </w:r>
          </w:p>
        </w:tc>
      </w:tr>
      <w:tr w:rsidR="004A14D1" w14:paraId="73324823" w14:textId="77777777" w:rsidTr="00E56E07">
        <w:trPr>
          <w:jc w:val="right"/>
        </w:trPr>
        <w:tc>
          <w:tcPr>
            <w:tcW w:w="1560" w:type="dxa"/>
            <w:tcBorders>
              <w:top w:val="single" w:sz="4" w:space="0" w:color="C00000"/>
              <w:bottom w:val="single" w:sz="4" w:space="0" w:color="C00000"/>
            </w:tcBorders>
            <w:shd w:val="clear" w:color="auto" w:fill="auto"/>
            <w:vAlign w:val="center"/>
          </w:tcPr>
          <w:p w14:paraId="1245D9AD" w14:textId="612399F1"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13 de octubre</w:t>
            </w:r>
          </w:p>
        </w:tc>
        <w:tc>
          <w:tcPr>
            <w:tcW w:w="6926" w:type="dxa"/>
            <w:tcBorders>
              <w:top w:val="single" w:sz="4" w:space="0" w:color="C00000"/>
              <w:bottom w:val="single" w:sz="4" w:space="0" w:color="C00000"/>
            </w:tcBorders>
            <w:shd w:val="clear" w:color="auto" w:fill="auto"/>
          </w:tcPr>
          <w:p w14:paraId="1CBC795F"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Asociación Atelier ONGD, Sra. Consuelo Vidal Hernandis.</w:t>
            </w:r>
          </w:p>
          <w:p w14:paraId="0588FBD8"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049D296C" w14:textId="77777777" w:rsidTr="00E56E07">
        <w:trPr>
          <w:jc w:val="right"/>
        </w:trPr>
        <w:tc>
          <w:tcPr>
            <w:tcW w:w="1560" w:type="dxa"/>
            <w:tcBorders>
              <w:top w:val="single" w:sz="4" w:space="0" w:color="C00000"/>
              <w:bottom w:val="single" w:sz="4" w:space="0" w:color="C00000"/>
            </w:tcBorders>
            <w:shd w:val="clear" w:color="auto" w:fill="auto"/>
            <w:vAlign w:val="center"/>
          </w:tcPr>
          <w:p w14:paraId="6B06492B" w14:textId="779F65A8"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13 de octubre</w:t>
            </w:r>
          </w:p>
        </w:tc>
        <w:tc>
          <w:tcPr>
            <w:tcW w:w="6926" w:type="dxa"/>
            <w:tcBorders>
              <w:top w:val="single" w:sz="4" w:space="0" w:color="C00000"/>
              <w:bottom w:val="single" w:sz="4" w:space="0" w:color="C00000"/>
            </w:tcBorders>
            <w:shd w:val="clear" w:color="auto" w:fill="auto"/>
          </w:tcPr>
          <w:p w14:paraId="6B31EA88"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Partido Lo Nostre Comunitat Valenciana, delegación.</w:t>
            </w:r>
          </w:p>
          <w:p w14:paraId="74FF639B"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14E6E413" w14:textId="77777777" w:rsidTr="00E56E07">
        <w:trPr>
          <w:jc w:val="right"/>
        </w:trPr>
        <w:tc>
          <w:tcPr>
            <w:tcW w:w="1560" w:type="dxa"/>
            <w:tcBorders>
              <w:top w:val="single" w:sz="4" w:space="0" w:color="C00000"/>
              <w:bottom w:val="single" w:sz="4" w:space="0" w:color="C00000"/>
            </w:tcBorders>
            <w:shd w:val="clear" w:color="auto" w:fill="auto"/>
            <w:vAlign w:val="center"/>
          </w:tcPr>
          <w:p w14:paraId="1C4ACE4E" w14:textId="43ECA213"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13 de octubre</w:t>
            </w:r>
          </w:p>
        </w:tc>
        <w:tc>
          <w:tcPr>
            <w:tcW w:w="6926" w:type="dxa"/>
            <w:tcBorders>
              <w:top w:val="single" w:sz="4" w:space="0" w:color="C00000"/>
              <w:bottom w:val="single" w:sz="4" w:space="0" w:color="C00000"/>
            </w:tcBorders>
            <w:shd w:val="clear" w:color="auto" w:fill="auto"/>
          </w:tcPr>
          <w:p w14:paraId="7CD95768"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 xml:space="preserve">Diputación de Castellón, Servicio de Administración Pública e Innovación. </w:t>
            </w:r>
          </w:p>
          <w:p w14:paraId="38FB1F27"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Virtual</w:t>
            </w:r>
          </w:p>
        </w:tc>
      </w:tr>
      <w:tr w:rsidR="004A14D1" w14:paraId="607598E4" w14:textId="77777777" w:rsidTr="00E56E07">
        <w:trPr>
          <w:jc w:val="right"/>
        </w:trPr>
        <w:tc>
          <w:tcPr>
            <w:tcW w:w="1560" w:type="dxa"/>
            <w:tcBorders>
              <w:top w:val="single" w:sz="4" w:space="0" w:color="C00000"/>
              <w:bottom w:val="single" w:sz="4" w:space="0" w:color="C00000"/>
            </w:tcBorders>
            <w:shd w:val="clear" w:color="auto" w:fill="auto"/>
            <w:vAlign w:val="center"/>
          </w:tcPr>
          <w:p w14:paraId="3E61EA28" w14:textId="681289D1"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15 de octubre</w:t>
            </w:r>
          </w:p>
        </w:tc>
        <w:tc>
          <w:tcPr>
            <w:tcW w:w="6926" w:type="dxa"/>
            <w:tcBorders>
              <w:top w:val="single" w:sz="4" w:space="0" w:color="C00000"/>
              <w:bottom w:val="single" w:sz="4" w:space="0" w:color="C00000"/>
            </w:tcBorders>
            <w:shd w:val="clear" w:color="auto" w:fill="auto"/>
          </w:tcPr>
          <w:p w14:paraId="4D60C6E3"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Servicio Nacional de Coordinación Antifraude y directores de las oficinas Antifraude de Cataluña e Islas Baleares.</w:t>
            </w:r>
          </w:p>
          <w:p w14:paraId="14BAE1D0"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Virtual</w:t>
            </w:r>
          </w:p>
        </w:tc>
      </w:tr>
      <w:tr w:rsidR="004A14D1" w14:paraId="40DF87EF" w14:textId="77777777" w:rsidTr="00E56E07">
        <w:trPr>
          <w:jc w:val="right"/>
        </w:trPr>
        <w:tc>
          <w:tcPr>
            <w:tcW w:w="1560" w:type="dxa"/>
            <w:tcBorders>
              <w:top w:val="single" w:sz="4" w:space="0" w:color="C00000"/>
              <w:bottom w:val="single" w:sz="4" w:space="0" w:color="C00000"/>
            </w:tcBorders>
            <w:shd w:val="clear" w:color="auto" w:fill="auto"/>
            <w:vAlign w:val="center"/>
          </w:tcPr>
          <w:p w14:paraId="6C481351" w14:textId="29553252"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20 de octubre</w:t>
            </w:r>
          </w:p>
        </w:tc>
        <w:tc>
          <w:tcPr>
            <w:tcW w:w="6926" w:type="dxa"/>
            <w:tcBorders>
              <w:top w:val="single" w:sz="4" w:space="0" w:color="C00000"/>
              <w:bottom w:val="single" w:sz="4" w:space="0" w:color="C00000"/>
            </w:tcBorders>
            <w:shd w:val="clear" w:color="auto" w:fill="auto"/>
          </w:tcPr>
          <w:p w14:paraId="2419EF48"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Oficina Andaluza contra el Fraude y la Corrupción, director, Sr. Ricardo Puyol Sánchez.</w:t>
            </w:r>
          </w:p>
          <w:p w14:paraId="11FD6384"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Telefónica</w:t>
            </w:r>
          </w:p>
        </w:tc>
      </w:tr>
      <w:tr w:rsidR="004A14D1" w14:paraId="40DC6F68" w14:textId="77777777" w:rsidTr="00E56E07">
        <w:trPr>
          <w:jc w:val="right"/>
        </w:trPr>
        <w:tc>
          <w:tcPr>
            <w:tcW w:w="1560" w:type="dxa"/>
            <w:tcBorders>
              <w:top w:val="single" w:sz="4" w:space="0" w:color="C00000"/>
              <w:bottom w:val="single" w:sz="4" w:space="0" w:color="C00000"/>
            </w:tcBorders>
            <w:shd w:val="clear" w:color="auto" w:fill="auto"/>
            <w:vAlign w:val="center"/>
          </w:tcPr>
          <w:p w14:paraId="5A6EB284" w14:textId="5258D86C"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21 de octubre</w:t>
            </w:r>
          </w:p>
        </w:tc>
        <w:tc>
          <w:tcPr>
            <w:tcW w:w="6926" w:type="dxa"/>
            <w:tcBorders>
              <w:top w:val="single" w:sz="4" w:space="0" w:color="C00000"/>
              <w:bottom w:val="single" w:sz="4" w:space="0" w:color="C00000"/>
            </w:tcBorders>
            <w:shd w:val="clear" w:color="auto" w:fill="auto"/>
          </w:tcPr>
          <w:p w14:paraId="63C351DC"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Sindicato CSIF (Central Sindical Independiente y de Funcionarios), presidenta, Sra. Alicia Torres Palanca.</w:t>
            </w:r>
          </w:p>
          <w:p w14:paraId="572851F1"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2D822B95" w14:textId="77777777" w:rsidTr="00E56E07">
        <w:trPr>
          <w:jc w:val="right"/>
        </w:trPr>
        <w:tc>
          <w:tcPr>
            <w:tcW w:w="1560" w:type="dxa"/>
            <w:tcBorders>
              <w:top w:val="single" w:sz="4" w:space="0" w:color="C00000"/>
              <w:bottom w:val="single" w:sz="4" w:space="0" w:color="C00000"/>
            </w:tcBorders>
            <w:shd w:val="clear" w:color="auto" w:fill="auto"/>
            <w:vAlign w:val="center"/>
          </w:tcPr>
          <w:p w14:paraId="63AAAEFD" w14:textId="2E89E0C7"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22 de octubre</w:t>
            </w:r>
          </w:p>
        </w:tc>
        <w:tc>
          <w:tcPr>
            <w:tcW w:w="6926" w:type="dxa"/>
            <w:tcBorders>
              <w:top w:val="single" w:sz="4" w:space="0" w:color="C00000"/>
              <w:bottom w:val="single" w:sz="4" w:space="0" w:color="C00000"/>
            </w:tcBorders>
            <w:shd w:val="clear" w:color="auto" w:fill="auto"/>
          </w:tcPr>
          <w:p w14:paraId="26080152"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Consellería de Hacienda y Modelo Económico, Dirección General de Fondos Europeos, director general, Sr Andreu Iranzo Navarro.</w:t>
            </w:r>
          </w:p>
          <w:p w14:paraId="1C275F5D"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2D763B99" w14:textId="77777777" w:rsidTr="00E56E07">
        <w:trPr>
          <w:jc w:val="right"/>
        </w:trPr>
        <w:tc>
          <w:tcPr>
            <w:tcW w:w="1560" w:type="dxa"/>
            <w:tcBorders>
              <w:top w:val="single" w:sz="4" w:space="0" w:color="C00000"/>
              <w:bottom w:val="single" w:sz="4" w:space="0" w:color="C00000"/>
            </w:tcBorders>
            <w:shd w:val="clear" w:color="auto" w:fill="auto"/>
            <w:vAlign w:val="center"/>
          </w:tcPr>
          <w:p w14:paraId="75CEC0D4" w14:textId="425C95CD"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25 de octubre</w:t>
            </w:r>
          </w:p>
        </w:tc>
        <w:tc>
          <w:tcPr>
            <w:tcW w:w="6926" w:type="dxa"/>
            <w:tcBorders>
              <w:top w:val="single" w:sz="4" w:space="0" w:color="C00000"/>
              <w:bottom w:val="single" w:sz="4" w:space="0" w:color="C00000"/>
            </w:tcBorders>
            <w:shd w:val="clear" w:color="auto" w:fill="auto"/>
          </w:tcPr>
          <w:p w14:paraId="17C86CB8"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Sindicato CCOO (Comisiones Obreras), secretaria general, Sra. Ana María García Alcolea.</w:t>
            </w:r>
          </w:p>
          <w:p w14:paraId="7EFF914D"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0FD4B89E" w14:textId="77777777" w:rsidTr="00E56E07">
        <w:trPr>
          <w:jc w:val="right"/>
        </w:trPr>
        <w:tc>
          <w:tcPr>
            <w:tcW w:w="1560" w:type="dxa"/>
            <w:tcBorders>
              <w:top w:val="single" w:sz="4" w:space="0" w:color="C00000"/>
              <w:bottom w:val="single" w:sz="4" w:space="0" w:color="C00000"/>
            </w:tcBorders>
            <w:shd w:val="clear" w:color="auto" w:fill="auto"/>
            <w:vAlign w:val="center"/>
          </w:tcPr>
          <w:p w14:paraId="2BD9238A" w14:textId="11D4CF88"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27 de octubre</w:t>
            </w:r>
          </w:p>
        </w:tc>
        <w:tc>
          <w:tcPr>
            <w:tcW w:w="6926" w:type="dxa"/>
            <w:tcBorders>
              <w:top w:val="single" w:sz="4" w:space="0" w:color="C00000"/>
              <w:bottom w:val="single" w:sz="4" w:space="0" w:color="C00000"/>
            </w:tcBorders>
            <w:shd w:val="clear" w:color="auto" w:fill="auto"/>
          </w:tcPr>
          <w:p w14:paraId="44353F7F"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Universidad Carlos III, profesor, Sr. Pablo Fernández-Vázquez.</w:t>
            </w:r>
          </w:p>
          <w:p w14:paraId="49D1C739"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Virtual</w:t>
            </w:r>
          </w:p>
        </w:tc>
      </w:tr>
      <w:tr w:rsidR="004A14D1" w14:paraId="19247F63" w14:textId="77777777" w:rsidTr="00E56E07">
        <w:trPr>
          <w:jc w:val="right"/>
        </w:trPr>
        <w:tc>
          <w:tcPr>
            <w:tcW w:w="1560" w:type="dxa"/>
            <w:tcBorders>
              <w:top w:val="single" w:sz="4" w:space="0" w:color="C00000"/>
              <w:bottom w:val="single" w:sz="4" w:space="0" w:color="C00000"/>
            </w:tcBorders>
            <w:shd w:val="clear" w:color="auto" w:fill="auto"/>
            <w:vAlign w:val="center"/>
          </w:tcPr>
          <w:p w14:paraId="6EBB2FE1" w14:textId="6C2305A2"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28 de octubre</w:t>
            </w:r>
          </w:p>
        </w:tc>
        <w:tc>
          <w:tcPr>
            <w:tcW w:w="6926" w:type="dxa"/>
            <w:tcBorders>
              <w:top w:val="single" w:sz="4" w:space="0" w:color="C00000"/>
              <w:bottom w:val="single" w:sz="4" w:space="0" w:color="C00000"/>
            </w:tcBorders>
            <w:shd w:val="clear" w:color="auto" w:fill="auto"/>
          </w:tcPr>
          <w:p w14:paraId="1E28CA91"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Diputación de València, presidente, Sr. Antoni Francesc Gaspar Ramos.</w:t>
            </w:r>
          </w:p>
          <w:p w14:paraId="1DEFF206"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674C6EE5" w14:textId="77777777" w:rsidTr="00E56E07">
        <w:trPr>
          <w:jc w:val="right"/>
        </w:trPr>
        <w:tc>
          <w:tcPr>
            <w:tcW w:w="1560" w:type="dxa"/>
            <w:tcBorders>
              <w:top w:val="single" w:sz="4" w:space="0" w:color="C00000"/>
              <w:bottom w:val="single" w:sz="4" w:space="0" w:color="C00000"/>
            </w:tcBorders>
            <w:shd w:val="clear" w:color="auto" w:fill="auto"/>
            <w:vAlign w:val="center"/>
          </w:tcPr>
          <w:p w14:paraId="2837BD14" w14:textId="43D554BD"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3 de noviembre</w:t>
            </w:r>
          </w:p>
        </w:tc>
        <w:tc>
          <w:tcPr>
            <w:tcW w:w="6926" w:type="dxa"/>
            <w:tcBorders>
              <w:top w:val="single" w:sz="4" w:space="0" w:color="C00000"/>
              <w:bottom w:val="single" w:sz="4" w:space="0" w:color="C00000"/>
            </w:tcBorders>
            <w:shd w:val="clear" w:color="auto" w:fill="auto"/>
          </w:tcPr>
          <w:p w14:paraId="7D5D6002"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Consejo de Transparencia, presidente, Sr. Ricardo García Macho.</w:t>
            </w:r>
          </w:p>
          <w:p w14:paraId="02393254"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Castelló de la Plana</w:t>
            </w:r>
          </w:p>
        </w:tc>
      </w:tr>
      <w:tr w:rsidR="004A14D1" w14:paraId="02E1FA69" w14:textId="77777777" w:rsidTr="00E56E07">
        <w:trPr>
          <w:jc w:val="right"/>
        </w:trPr>
        <w:tc>
          <w:tcPr>
            <w:tcW w:w="1560" w:type="dxa"/>
            <w:tcBorders>
              <w:top w:val="single" w:sz="4" w:space="0" w:color="C00000"/>
              <w:bottom w:val="single" w:sz="4" w:space="0" w:color="C00000"/>
            </w:tcBorders>
            <w:shd w:val="clear" w:color="auto" w:fill="auto"/>
            <w:vAlign w:val="center"/>
          </w:tcPr>
          <w:p w14:paraId="7A4731BD" w14:textId="6A20A602"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4 de noviembre</w:t>
            </w:r>
          </w:p>
        </w:tc>
        <w:tc>
          <w:tcPr>
            <w:tcW w:w="6926" w:type="dxa"/>
            <w:tcBorders>
              <w:top w:val="single" w:sz="4" w:space="0" w:color="C00000"/>
              <w:bottom w:val="single" w:sz="4" w:space="0" w:color="C00000"/>
            </w:tcBorders>
            <w:shd w:val="clear" w:color="auto" w:fill="auto"/>
          </w:tcPr>
          <w:p w14:paraId="184C1BBF"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Fiscalía General del Estado, delegación.</w:t>
            </w:r>
          </w:p>
          <w:p w14:paraId="3AD11A12"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Madrid</w:t>
            </w:r>
          </w:p>
        </w:tc>
      </w:tr>
      <w:tr w:rsidR="004A14D1" w14:paraId="20F3E4A2" w14:textId="77777777" w:rsidTr="00E56E07">
        <w:trPr>
          <w:jc w:val="right"/>
        </w:trPr>
        <w:tc>
          <w:tcPr>
            <w:tcW w:w="1560" w:type="dxa"/>
            <w:tcBorders>
              <w:top w:val="single" w:sz="4" w:space="0" w:color="C00000"/>
              <w:bottom w:val="single" w:sz="4" w:space="0" w:color="C00000"/>
            </w:tcBorders>
            <w:shd w:val="clear" w:color="auto" w:fill="auto"/>
            <w:vAlign w:val="center"/>
          </w:tcPr>
          <w:p w14:paraId="325047C4" w14:textId="0E12EAC7"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9 de noviembre</w:t>
            </w:r>
          </w:p>
        </w:tc>
        <w:tc>
          <w:tcPr>
            <w:tcW w:w="6926" w:type="dxa"/>
            <w:tcBorders>
              <w:top w:val="single" w:sz="4" w:space="0" w:color="C00000"/>
              <w:bottom w:val="single" w:sz="4" w:space="0" w:color="C00000"/>
            </w:tcBorders>
            <w:shd w:val="clear" w:color="auto" w:fill="auto"/>
          </w:tcPr>
          <w:p w14:paraId="4CDDF7D5"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Presidencia de la Generalitat, Dirección General de Acción del Gobierno, director general, Sr. Juan Ángel Poyatos León.</w:t>
            </w:r>
          </w:p>
          <w:p w14:paraId="7A7977BF"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6639909F" w14:textId="77777777" w:rsidTr="00E56E07">
        <w:trPr>
          <w:jc w:val="right"/>
        </w:trPr>
        <w:tc>
          <w:tcPr>
            <w:tcW w:w="1560" w:type="dxa"/>
            <w:tcBorders>
              <w:top w:val="single" w:sz="4" w:space="0" w:color="C00000"/>
              <w:bottom w:val="single" w:sz="4" w:space="0" w:color="C00000"/>
            </w:tcBorders>
            <w:shd w:val="clear" w:color="auto" w:fill="auto"/>
            <w:vAlign w:val="center"/>
          </w:tcPr>
          <w:p w14:paraId="4796D346" w14:textId="2CCBB8AF"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9 de</w:t>
            </w:r>
            <w:r w:rsidR="00E56E07" w:rsidRPr="00E56E07">
              <w:rPr>
                <w:rFonts w:ascii="Arial" w:eastAsia="Times New Roman" w:hAnsi="Arial" w:cs="Arial"/>
                <w:color w:val="000000"/>
                <w:sz w:val="18"/>
                <w:szCs w:val="18"/>
                <w:lang w:eastAsia="es-ES"/>
              </w:rPr>
              <w:t xml:space="preserve"> </w:t>
            </w:r>
            <w:r w:rsidRPr="00E56E07">
              <w:rPr>
                <w:rFonts w:ascii="Arial" w:eastAsia="Times New Roman" w:hAnsi="Arial" w:cs="Arial"/>
                <w:color w:val="000000"/>
                <w:sz w:val="18"/>
                <w:szCs w:val="18"/>
                <w:lang w:eastAsia="es-ES"/>
              </w:rPr>
              <w:t>noviembre</w:t>
            </w:r>
          </w:p>
        </w:tc>
        <w:tc>
          <w:tcPr>
            <w:tcW w:w="6926" w:type="dxa"/>
            <w:tcBorders>
              <w:top w:val="single" w:sz="4" w:space="0" w:color="C00000"/>
              <w:bottom w:val="single" w:sz="4" w:space="0" w:color="C00000"/>
            </w:tcBorders>
            <w:shd w:val="clear" w:color="auto" w:fill="auto"/>
          </w:tcPr>
          <w:p w14:paraId="0033F5A8"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Profesora Fabiola Meco Tébar.</w:t>
            </w:r>
          </w:p>
          <w:p w14:paraId="6463DD9C"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3441C227" w14:textId="77777777" w:rsidTr="00E56E07">
        <w:trPr>
          <w:jc w:val="right"/>
        </w:trPr>
        <w:tc>
          <w:tcPr>
            <w:tcW w:w="1560" w:type="dxa"/>
            <w:tcBorders>
              <w:top w:val="single" w:sz="4" w:space="0" w:color="C00000"/>
              <w:bottom w:val="single" w:sz="4" w:space="0" w:color="C00000"/>
            </w:tcBorders>
            <w:shd w:val="clear" w:color="auto" w:fill="auto"/>
            <w:vAlign w:val="center"/>
          </w:tcPr>
          <w:p w14:paraId="496E2204" w14:textId="1C122B0B"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10 de</w:t>
            </w:r>
            <w:r w:rsidR="00E56E07" w:rsidRPr="00E56E07">
              <w:rPr>
                <w:rFonts w:ascii="Arial" w:eastAsia="Times New Roman" w:hAnsi="Arial" w:cs="Arial"/>
                <w:color w:val="000000"/>
                <w:sz w:val="18"/>
                <w:szCs w:val="18"/>
                <w:lang w:eastAsia="es-ES"/>
              </w:rPr>
              <w:t xml:space="preserve"> </w:t>
            </w:r>
            <w:r w:rsidRPr="00E56E07">
              <w:rPr>
                <w:rFonts w:ascii="Arial" w:eastAsia="Times New Roman" w:hAnsi="Arial" w:cs="Arial"/>
                <w:color w:val="000000"/>
                <w:sz w:val="18"/>
                <w:szCs w:val="18"/>
                <w:lang w:eastAsia="es-ES"/>
              </w:rPr>
              <w:t>noviembre</w:t>
            </w:r>
          </w:p>
        </w:tc>
        <w:tc>
          <w:tcPr>
            <w:tcW w:w="6926" w:type="dxa"/>
            <w:tcBorders>
              <w:top w:val="single" w:sz="4" w:space="0" w:color="C00000"/>
              <w:bottom w:val="single" w:sz="4" w:space="0" w:color="C00000"/>
            </w:tcBorders>
            <w:shd w:val="clear" w:color="auto" w:fill="auto"/>
          </w:tcPr>
          <w:p w14:paraId="211BCFC4"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Universidad de Alicante, rectora, Sra. Amparo Navarro Faure.</w:t>
            </w:r>
          </w:p>
          <w:p w14:paraId="42FE63A6"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Alicante</w:t>
            </w:r>
          </w:p>
        </w:tc>
      </w:tr>
      <w:tr w:rsidR="004A14D1" w14:paraId="47FAC9AB" w14:textId="77777777" w:rsidTr="00E56E07">
        <w:trPr>
          <w:jc w:val="right"/>
        </w:trPr>
        <w:tc>
          <w:tcPr>
            <w:tcW w:w="1560" w:type="dxa"/>
            <w:tcBorders>
              <w:top w:val="single" w:sz="4" w:space="0" w:color="C00000"/>
              <w:bottom w:val="single" w:sz="4" w:space="0" w:color="C00000"/>
            </w:tcBorders>
            <w:shd w:val="clear" w:color="auto" w:fill="auto"/>
            <w:vAlign w:val="center"/>
          </w:tcPr>
          <w:p w14:paraId="59C22CC1" w14:textId="1ACBAD57"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10 de</w:t>
            </w:r>
            <w:r w:rsidR="00E56E07" w:rsidRPr="00E56E07">
              <w:rPr>
                <w:rFonts w:ascii="Arial" w:eastAsia="Times New Roman" w:hAnsi="Arial" w:cs="Arial"/>
                <w:color w:val="000000"/>
                <w:sz w:val="18"/>
                <w:szCs w:val="18"/>
                <w:lang w:eastAsia="es-ES"/>
              </w:rPr>
              <w:t xml:space="preserve"> </w:t>
            </w:r>
            <w:r w:rsidRPr="00E56E07">
              <w:rPr>
                <w:rFonts w:ascii="Arial" w:eastAsia="Times New Roman" w:hAnsi="Arial" w:cs="Arial"/>
                <w:color w:val="000000"/>
                <w:sz w:val="18"/>
                <w:szCs w:val="18"/>
                <w:lang w:eastAsia="es-ES"/>
              </w:rPr>
              <w:t>noviembre</w:t>
            </w:r>
          </w:p>
        </w:tc>
        <w:tc>
          <w:tcPr>
            <w:tcW w:w="6926" w:type="dxa"/>
            <w:tcBorders>
              <w:top w:val="single" w:sz="4" w:space="0" w:color="C00000"/>
              <w:bottom w:val="single" w:sz="4" w:space="0" w:color="C00000"/>
            </w:tcBorders>
            <w:shd w:val="clear" w:color="auto" w:fill="auto"/>
          </w:tcPr>
          <w:p w14:paraId="093BD91C"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Universidad de Alicante, catedrático, Sr. Isidoro Calderón Blanco.</w:t>
            </w:r>
          </w:p>
          <w:p w14:paraId="5804B75A"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Alicante</w:t>
            </w:r>
          </w:p>
        </w:tc>
      </w:tr>
      <w:tr w:rsidR="004A14D1" w14:paraId="349D1BD0" w14:textId="77777777" w:rsidTr="00E56E07">
        <w:trPr>
          <w:jc w:val="right"/>
        </w:trPr>
        <w:tc>
          <w:tcPr>
            <w:tcW w:w="1560" w:type="dxa"/>
            <w:tcBorders>
              <w:top w:val="single" w:sz="4" w:space="0" w:color="C00000"/>
              <w:bottom w:val="single" w:sz="4" w:space="0" w:color="C00000"/>
            </w:tcBorders>
            <w:shd w:val="clear" w:color="auto" w:fill="auto"/>
            <w:vAlign w:val="center"/>
          </w:tcPr>
          <w:p w14:paraId="4DCAC7EC" w14:textId="12C5ADCD" w:rsidR="004A14D1" w:rsidRPr="00E56E07" w:rsidRDefault="004A14D1" w:rsidP="00E56E07">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19 de noviembre</w:t>
            </w:r>
          </w:p>
        </w:tc>
        <w:tc>
          <w:tcPr>
            <w:tcW w:w="6926" w:type="dxa"/>
            <w:tcBorders>
              <w:top w:val="single" w:sz="4" w:space="0" w:color="C00000"/>
              <w:bottom w:val="single" w:sz="4" w:space="0" w:color="C00000"/>
            </w:tcBorders>
            <w:shd w:val="clear" w:color="auto" w:fill="auto"/>
          </w:tcPr>
          <w:p w14:paraId="776475FB"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Ayuntamiento de València, delegación.</w:t>
            </w:r>
          </w:p>
          <w:p w14:paraId="640F28CD"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4C7D4B32" w14:textId="77777777" w:rsidTr="00E56E07">
        <w:trPr>
          <w:jc w:val="right"/>
        </w:trPr>
        <w:tc>
          <w:tcPr>
            <w:tcW w:w="1560" w:type="dxa"/>
            <w:tcBorders>
              <w:top w:val="single" w:sz="4" w:space="0" w:color="C00000"/>
              <w:bottom w:val="single" w:sz="4" w:space="0" w:color="C00000"/>
            </w:tcBorders>
            <w:shd w:val="clear" w:color="auto" w:fill="auto"/>
            <w:vAlign w:val="center"/>
          </w:tcPr>
          <w:p w14:paraId="70CB8B7F" w14:textId="44A94A02" w:rsidR="004A14D1" w:rsidRPr="00E56E07" w:rsidRDefault="004A14D1" w:rsidP="00E56E07">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23 de noviembre</w:t>
            </w:r>
          </w:p>
        </w:tc>
        <w:tc>
          <w:tcPr>
            <w:tcW w:w="6926" w:type="dxa"/>
            <w:tcBorders>
              <w:top w:val="single" w:sz="4" w:space="0" w:color="C00000"/>
              <w:bottom w:val="single" w:sz="4" w:space="0" w:color="C00000"/>
            </w:tcBorders>
            <w:shd w:val="clear" w:color="auto" w:fill="auto"/>
          </w:tcPr>
          <w:p w14:paraId="4BB38338"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Federación Valenciana de Municipios y Provincias, presidente, Sr. Rubén Alfaro Bernabé.</w:t>
            </w:r>
          </w:p>
          <w:p w14:paraId="40BDCD64"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7092D9A4" w14:textId="77777777" w:rsidTr="00E56E07">
        <w:trPr>
          <w:jc w:val="right"/>
        </w:trPr>
        <w:tc>
          <w:tcPr>
            <w:tcW w:w="1560" w:type="dxa"/>
            <w:tcBorders>
              <w:top w:val="single" w:sz="4" w:space="0" w:color="C00000"/>
              <w:bottom w:val="single" w:sz="4" w:space="0" w:color="C00000"/>
            </w:tcBorders>
            <w:shd w:val="clear" w:color="auto" w:fill="auto"/>
            <w:vAlign w:val="center"/>
          </w:tcPr>
          <w:p w14:paraId="7B2B886D" w14:textId="7A81023F" w:rsidR="004A14D1" w:rsidRPr="00E56E07" w:rsidRDefault="004A14D1" w:rsidP="00E56E07">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30 de</w:t>
            </w:r>
            <w:r w:rsidR="00E56E07" w:rsidRPr="00E56E07">
              <w:rPr>
                <w:rFonts w:ascii="Arial" w:eastAsia="Times New Roman" w:hAnsi="Arial" w:cs="Arial"/>
                <w:color w:val="000000"/>
                <w:sz w:val="18"/>
                <w:szCs w:val="18"/>
                <w:lang w:eastAsia="es-ES"/>
              </w:rPr>
              <w:t xml:space="preserve"> </w:t>
            </w:r>
            <w:r w:rsidRPr="00E56E07">
              <w:rPr>
                <w:rFonts w:ascii="Arial" w:eastAsia="Times New Roman" w:hAnsi="Arial" w:cs="Arial"/>
                <w:color w:val="000000"/>
                <w:sz w:val="18"/>
                <w:szCs w:val="18"/>
                <w:lang w:eastAsia="es-ES"/>
              </w:rPr>
              <w:t>noviembre</w:t>
            </w:r>
          </w:p>
        </w:tc>
        <w:tc>
          <w:tcPr>
            <w:tcW w:w="6926" w:type="dxa"/>
            <w:tcBorders>
              <w:top w:val="single" w:sz="4" w:space="0" w:color="C00000"/>
              <w:bottom w:val="single" w:sz="4" w:space="0" w:color="C00000"/>
            </w:tcBorders>
            <w:shd w:val="clear" w:color="auto" w:fill="auto"/>
          </w:tcPr>
          <w:p w14:paraId="501DC4B1"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Fiscalía General del Estado, delegación.</w:t>
            </w:r>
          </w:p>
          <w:p w14:paraId="210FA753"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Virtual</w:t>
            </w:r>
          </w:p>
        </w:tc>
      </w:tr>
      <w:tr w:rsidR="004A14D1" w14:paraId="4D763794" w14:textId="77777777" w:rsidTr="00E56E07">
        <w:trPr>
          <w:jc w:val="right"/>
        </w:trPr>
        <w:tc>
          <w:tcPr>
            <w:tcW w:w="1560" w:type="dxa"/>
            <w:tcBorders>
              <w:top w:val="single" w:sz="4" w:space="0" w:color="C00000"/>
              <w:bottom w:val="single" w:sz="4" w:space="0" w:color="C00000"/>
            </w:tcBorders>
            <w:shd w:val="clear" w:color="auto" w:fill="auto"/>
            <w:vAlign w:val="center"/>
          </w:tcPr>
          <w:p w14:paraId="3D337449" w14:textId="42402219" w:rsidR="004A14D1" w:rsidRPr="00E56E07" w:rsidRDefault="004A14D1" w:rsidP="00E56E07">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3 de diciembre</w:t>
            </w:r>
          </w:p>
        </w:tc>
        <w:tc>
          <w:tcPr>
            <w:tcW w:w="6926" w:type="dxa"/>
            <w:tcBorders>
              <w:top w:val="single" w:sz="4" w:space="0" w:color="C00000"/>
              <w:bottom w:val="single" w:sz="4" w:space="0" w:color="C00000"/>
            </w:tcBorders>
            <w:shd w:val="clear" w:color="auto" w:fill="auto"/>
          </w:tcPr>
          <w:p w14:paraId="7A00FA6B"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Consellería de Hacienda y Modelo Económico, Dirección General del Sector Público y Patrimonio, directora general, Sra. Isabel Castelló García.</w:t>
            </w:r>
          </w:p>
          <w:p w14:paraId="1293DC46"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6C0EBF77" w14:textId="77777777" w:rsidTr="00E56E07">
        <w:trPr>
          <w:jc w:val="right"/>
        </w:trPr>
        <w:tc>
          <w:tcPr>
            <w:tcW w:w="1560" w:type="dxa"/>
            <w:tcBorders>
              <w:top w:val="single" w:sz="4" w:space="0" w:color="C00000"/>
              <w:bottom w:val="single" w:sz="4" w:space="0" w:color="C00000"/>
            </w:tcBorders>
            <w:shd w:val="clear" w:color="auto" w:fill="auto"/>
            <w:vAlign w:val="center"/>
          </w:tcPr>
          <w:p w14:paraId="4B3F13EA" w14:textId="223099ED"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14 de</w:t>
            </w:r>
            <w:r w:rsidR="00E56E07" w:rsidRPr="00E56E07">
              <w:rPr>
                <w:rFonts w:ascii="Arial" w:eastAsia="Times New Roman" w:hAnsi="Arial" w:cs="Arial"/>
                <w:color w:val="000000"/>
                <w:sz w:val="18"/>
                <w:szCs w:val="18"/>
                <w:lang w:eastAsia="es-ES"/>
              </w:rPr>
              <w:t xml:space="preserve"> </w:t>
            </w:r>
            <w:r w:rsidRPr="00E56E07">
              <w:rPr>
                <w:rFonts w:ascii="Arial" w:eastAsia="Times New Roman" w:hAnsi="Arial" w:cs="Arial"/>
                <w:color w:val="000000"/>
                <w:sz w:val="18"/>
                <w:szCs w:val="18"/>
                <w:lang w:eastAsia="es-ES"/>
              </w:rPr>
              <w:t>diciembre</w:t>
            </w:r>
          </w:p>
        </w:tc>
        <w:tc>
          <w:tcPr>
            <w:tcW w:w="6926" w:type="dxa"/>
            <w:tcBorders>
              <w:top w:val="single" w:sz="4" w:space="0" w:color="C00000"/>
              <w:bottom w:val="single" w:sz="4" w:space="0" w:color="C00000"/>
            </w:tcBorders>
            <w:shd w:val="clear" w:color="auto" w:fill="auto"/>
          </w:tcPr>
          <w:p w14:paraId="4DEBC81B"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Diputación de Castellón, delegación.</w:t>
            </w:r>
          </w:p>
          <w:p w14:paraId="69689450"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Castellón de la Plana</w:t>
            </w:r>
          </w:p>
        </w:tc>
      </w:tr>
      <w:tr w:rsidR="004A14D1" w14:paraId="301B1624" w14:textId="77777777" w:rsidTr="00E56E07">
        <w:trPr>
          <w:jc w:val="right"/>
        </w:trPr>
        <w:tc>
          <w:tcPr>
            <w:tcW w:w="1560" w:type="dxa"/>
            <w:tcBorders>
              <w:top w:val="single" w:sz="4" w:space="0" w:color="C00000"/>
              <w:bottom w:val="single" w:sz="4" w:space="0" w:color="C00000"/>
            </w:tcBorders>
            <w:shd w:val="clear" w:color="auto" w:fill="auto"/>
            <w:vAlign w:val="center"/>
          </w:tcPr>
          <w:p w14:paraId="0CD4227B" w14:textId="06551967" w:rsidR="004A14D1" w:rsidRPr="00E56E07" w:rsidRDefault="004A14D1" w:rsidP="004A14D1">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20 de</w:t>
            </w:r>
            <w:r w:rsidR="00E56E07" w:rsidRPr="00E56E07">
              <w:rPr>
                <w:rFonts w:ascii="Arial" w:eastAsia="Times New Roman" w:hAnsi="Arial" w:cs="Arial"/>
                <w:color w:val="000000"/>
                <w:sz w:val="18"/>
                <w:szCs w:val="18"/>
                <w:lang w:eastAsia="es-ES"/>
              </w:rPr>
              <w:t xml:space="preserve"> </w:t>
            </w:r>
            <w:r w:rsidRPr="00E56E07">
              <w:rPr>
                <w:rFonts w:ascii="Arial" w:eastAsia="Times New Roman" w:hAnsi="Arial" w:cs="Arial"/>
                <w:color w:val="000000"/>
                <w:sz w:val="18"/>
                <w:szCs w:val="18"/>
                <w:lang w:eastAsia="es-ES"/>
              </w:rPr>
              <w:t>diciembre</w:t>
            </w:r>
          </w:p>
        </w:tc>
        <w:tc>
          <w:tcPr>
            <w:tcW w:w="6926" w:type="dxa"/>
            <w:tcBorders>
              <w:top w:val="single" w:sz="4" w:space="0" w:color="C00000"/>
              <w:bottom w:val="single" w:sz="4" w:space="0" w:color="C00000"/>
            </w:tcBorders>
            <w:shd w:val="clear" w:color="auto" w:fill="auto"/>
          </w:tcPr>
          <w:p w14:paraId="413B920A"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Consellería de Transparencia, Cooperación y Calidad Democrática, secretario autonómico de Transparencia, Sr. Antoni Llorente Ferreres.</w:t>
            </w:r>
          </w:p>
          <w:p w14:paraId="255E5CCE"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i/>
                <w:color w:val="000000"/>
                <w:sz w:val="18"/>
                <w:szCs w:val="18"/>
                <w:lang w:eastAsia="es-ES"/>
              </w:rPr>
              <w:t>València</w:t>
            </w:r>
          </w:p>
        </w:tc>
      </w:tr>
      <w:tr w:rsidR="004A14D1" w14:paraId="52834151" w14:textId="77777777" w:rsidTr="00E56E07">
        <w:trPr>
          <w:jc w:val="right"/>
        </w:trPr>
        <w:tc>
          <w:tcPr>
            <w:tcW w:w="1560" w:type="dxa"/>
            <w:tcBorders>
              <w:top w:val="single" w:sz="4" w:space="0" w:color="C00000"/>
              <w:bottom w:val="single" w:sz="4" w:space="0" w:color="C00000"/>
            </w:tcBorders>
            <w:shd w:val="clear" w:color="auto" w:fill="auto"/>
            <w:vAlign w:val="center"/>
          </w:tcPr>
          <w:p w14:paraId="51EED2EB" w14:textId="1CBB80AD" w:rsidR="004A14D1" w:rsidRPr="00E56E07" w:rsidRDefault="004A14D1" w:rsidP="00E56E07">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27 de diciembre</w:t>
            </w:r>
          </w:p>
        </w:tc>
        <w:tc>
          <w:tcPr>
            <w:tcW w:w="6926" w:type="dxa"/>
            <w:tcBorders>
              <w:top w:val="single" w:sz="4" w:space="0" w:color="C00000"/>
              <w:bottom w:val="single" w:sz="4" w:space="0" w:color="C00000"/>
            </w:tcBorders>
            <w:shd w:val="clear" w:color="auto" w:fill="auto"/>
          </w:tcPr>
          <w:p w14:paraId="521E53A4"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Despacho de abogados Legal Notes, delegación.</w:t>
            </w:r>
          </w:p>
          <w:p w14:paraId="707BA559"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Virtual</w:t>
            </w:r>
          </w:p>
        </w:tc>
      </w:tr>
      <w:tr w:rsidR="004A14D1" w14:paraId="1864199B" w14:textId="77777777" w:rsidTr="00E56E07">
        <w:trPr>
          <w:jc w:val="right"/>
        </w:trPr>
        <w:tc>
          <w:tcPr>
            <w:tcW w:w="1560" w:type="dxa"/>
            <w:tcBorders>
              <w:top w:val="single" w:sz="4" w:space="0" w:color="C00000"/>
              <w:bottom w:val="single" w:sz="4" w:space="0" w:color="C00000"/>
            </w:tcBorders>
            <w:shd w:val="clear" w:color="auto" w:fill="auto"/>
            <w:vAlign w:val="center"/>
          </w:tcPr>
          <w:p w14:paraId="561A8784" w14:textId="60443B12" w:rsidR="004A14D1" w:rsidRPr="00E56E07" w:rsidRDefault="004A14D1" w:rsidP="00E56E07">
            <w:pPr>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28 de diciembre</w:t>
            </w:r>
          </w:p>
        </w:tc>
        <w:tc>
          <w:tcPr>
            <w:tcW w:w="6926" w:type="dxa"/>
            <w:tcBorders>
              <w:top w:val="single" w:sz="4" w:space="0" w:color="C00000"/>
              <w:bottom w:val="single" w:sz="4" w:space="0" w:color="C00000"/>
            </w:tcBorders>
            <w:shd w:val="clear" w:color="auto" w:fill="auto"/>
          </w:tcPr>
          <w:p w14:paraId="52CDA872" w14:textId="77777777" w:rsidR="004A14D1" w:rsidRPr="00E56E07" w:rsidRDefault="004A14D1" w:rsidP="00E56E07">
            <w:pPr>
              <w:spacing w:after="0" w:line="276" w:lineRule="auto"/>
              <w:jc w:val="both"/>
              <w:rPr>
                <w:rFonts w:ascii="Arial" w:eastAsia="Times New Roman" w:hAnsi="Arial" w:cs="Arial"/>
                <w:color w:val="000000"/>
                <w:sz w:val="18"/>
                <w:szCs w:val="18"/>
                <w:lang w:eastAsia="es-ES"/>
              </w:rPr>
            </w:pPr>
            <w:r w:rsidRPr="00E56E07">
              <w:rPr>
                <w:rFonts w:ascii="Arial" w:eastAsia="Times New Roman" w:hAnsi="Arial" w:cs="Arial"/>
                <w:color w:val="000000"/>
                <w:sz w:val="18"/>
                <w:szCs w:val="18"/>
                <w:lang w:eastAsia="es-ES"/>
              </w:rPr>
              <w:t>Generalitat Valenciana, delegación.</w:t>
            </w:r>
          </w:p>
          <w:p w14:paraId="36C400EB" w14:textId="77777777" w:rsidR="004A14D1" w:rsidRPr="00E56E07" w:rsidRDefault="004A14D1" w:rsidP="00E56E07">
            <w:pPr>
              <w:spacing w:after="0" w:line="276" w:lineRule="auto"/>
              <w:jc w:val="both"/>
              <w:rPr>
                <w:rFonts w:ascii="Arial" w:eastAsia="Times New Roman" w:hAnsi="Arial" w:cs="Arial"/>
                <w:i/>
                <w:color w:val="000000"/>
                <w:sz w:val="18"/>
                <w:szCs w:val="18"/>
                <w:lang w:eastAsia="es-ES"/>
              </w:rPr>
            </w:pPr>
            <w:r w:rsidRPr="00E56E07">
              <w:rPr>
                <w:rFonts w:ascii="Arial" w:eastAsia="Times New Roman" w:hAnsi="Arial" w:cs="Arial"/>
                <w:i/>
                <w:color w:val="000000"/>
                <w:sz w:val="18"/>
                <w:szCs w:val="18"/>
                <w:lang w:eastAsia="es-ES"/>
              </w:rPr>
              <w:t>València</w:t>
            </w:r>
          </w:p>
        </w:tc>
      </w:tr>
    </w:tbl>
    <w:p w14:paraId="6EE7C254" w14:textId="4121B664" w:rsidR="00A12857" w:rsidRDefault="00A12857" w:rsidP="00A12857">
      <w:pPr>
        <w:rPr>
          <w:rFonts w:ascii="Arial" w:eastAsia="Times New Roman" w:hAnsi="Arial" w:cs="Arial"/>
          <w:bCs/>
          <w:sz w:val="21"/>
          <w:szCs w:val="21"/>
        </w:rPr>
      </w:pPr>
    </w:p>
    <w:p w14:paraId="023703BC" w14:textId="0F1D3786" w:rsidR="006269DA" w:rsidRPr="005A06D1" w:rsidRDefault="005A06D1" w:rsidP="00AC1A12">
      <w:pPr>
        <w:pStyle w:val="Prrafodelista"/>
        <w:keepNext/>
        <w:numPr>
          <w:ilvl w:val="1"/>
          <w:numId w:val="15"/>
        </w:numPr>
        <w:spacing w:before="360" w:after="240" w:line="276" w:lineRule="auto"/>
        <w:ind w:left="851" w:hanging="851"/>
        <w:contextualSpacing w:val="0"/>
        <w:jc w:val="both"/>
        <w:outlineLvl w:val="1"/>
        <w:rPr>
          <w:rFonts w:ascii="Arial" w:eastAsia="Times New Roman" w:hAnsi="Arial" w:cs="Arial"/>
          <w:b/>
          <w:color w:val="9D2235"/>
          <w:sz w:val="24"/>
          <w:szCs w:val="24"/>
        </w:rPr>
      </w:pPr>
      <w:bookmarkStart w:id="33" w:name="_Toc99106973"/>
      <w:r>
        <w:rPr>
          <w:rFonts w:ascii="Arial" w:eastAsia="Times New Roman" w:hAnsi="Arial" w:cs="Arial"/>
          <w:b/>
          <w:color w:val="9D2235" w:themeColor="accent1"/>
          <w:sz w:val="32"/>
          <w:szCs w:val="32"/>
        </w:rPr>
        <w:t>Página web y redes sociales</w:t>
      </w:r>
      <w:bookmarkEnd w:id="33"/>
    </w:p>
    <w:p w14:paraId="4FCECD13" w14:textId="1270E6C1" w:rsidR="005A06D1" w:rsidRPr="005A06D1" w:rsidRDefault="005A06D1" w:rsidP="00A12857">
      <w:pPr>
        <w:spacing w:after="240" w:line="276" w:lineRule="auto"/>
        <w:jc w:val="both"/>
        <w:rPr>
          <w:rFonts w:ascii="Arial" w:hAnsi="Arial" w:cs="Arial"/>
          <w:sz w:val="21"/>
          <w:szCs w:val="21"/>
        </w:rPr>
      </w:pPr>
      <w:r w:rsidRPr="005A06D1">
        <w:rPr>
          <w:rFonts w:ascii="Arial" w:eastAsia="Times New Roman" w:hAnsi="Arial" w:cs="Arial"/>
          <w:sz w:val="21"/>
          <w:szCs w:val="21"/>
          <w:lang w:eastAsia="es-ES"/>
        </w:rPr>
        <w:t>La página web es uno de los principales canales de difusión</w:t>
      </w:r>
      <w:r w:rsidR="00E302B2">
        <w:rPr>
          <w:rFonts w:ascii="Arial" w:eastAsia="Times New Roman" w:hAnsi="Arial" w:cs="Arial"/>
          <w:sz w:val="21"/>
          <w:szCs w:val="21"/>
          <w:lang w:eastAsia="es-ES"/>
        </w:rPr>
        <w:t>,</w:t>
      </w:r>
      <w:r w:rsidRPr="005A06D1">
        <w:rPr>
          <w:rFonts w:ascii="Arial" w:eastAsia="Times New Roman" w:hAnsi="Arial" w:cs="Arial"/>
          <w:sz w:val="21"/>
          <w:szCs w:val="21"/>
          <w:lang w:eastAsia="es-ES"/>
        </w:rPr>
        <w:t xml:space="preserve"> de la actividad que desarrolla la Agencia, así como el espacio en el que se recoge toda la información que está a disposición de la ciudadanía. </w:t>
      </w:r>
    </w:p>
    <w:p w14:paraId="4B9E2B24" w14:textId="4362F0F3" w:rsidR="005A06D1" w:rsidRDefault="005A06D1" w:rsidP="001949E4">
      <w:pPr>
        <w:spacing w:after="120" w:line="276" w:lineRule="auto"/>
        <w:jc w:val="both"/>
        <w:rPr>
          <w:rFonts w:ascii="Arial" w:eastAsia="Times New Roman" w:hAnsi="Arial" w:cs="Arial"/>
          <w:sz w:val="21"/>
          <w:szCs w:val="21"/>
          <w:lang w:eastAsia="es-ES"/>
        </w:rPr>
      </w:pPr>
      <w:r w:rsidRPr="005A06D1">
        <w:rPr>
          <w:rFonts w:ascii="Arial" w:eastAsia="Times New Roman" w:hAnsi="Arial" w:cs="Arial"/>
          <w:sz w:val="21"/>
          <w:szCs w:val="21"/>
          <w:lang w:eastAsia="es-ES"/>
        </w:rPr>
        <w:t>Este año</w:t>
      </w:r>
      <w:r w:rsidR="00E302B2">
        <w:rPr>
          <w:rFonts w:ascii="Arial" w:eastAsia="Times New Roman" w:hAnsi="Arial" w:cs="Arial"/>
          <w:sz w:val="21"/>
          <w:szCs w:val="21"/>
          <w:lang w:eastAsia="es-ES"/>
        </w:rPr>
        <w:t>,</w:t>
      </w:r>
      <w:r w:rsidRPr="005A06D1">
        <w:rPr>
          <w:rFonts w:ascii="Arial" w:eastAsia="Times New Roman" w:hAnsi="Arial" w:cs="Arial"/>
          <w:sz w:val="21"/>
          <w:szCs w:val="21"/>
          <w:lang w:eastAsia="es-ES"/>
        </w:rPr>
        <w:t xml:space="preserve"> como novedad</w:t>
      </w:r>
      <w:r w:rsidR="00E302B2">
        <w:rPr>
          <w:rFonts w:ascii="Arial" w:eastAsia="Times New Roman" w:hAnsi="Arial" w:cs="Arial"/>
          <w:sz w:val="21"/>
          <w:szCs w:val="21"/>
          <w:lang w:eastAsia="es-ES"/>
        </w:rPr>
        <w:t>,</w:t>
      </w:r>
      <w:r w:rsidRPr="005A06D1">
        <w:rPr>
          <w:rFonts w:ascii="Arial" w:eastAsia="Times New Roman" w:hAnsi="Arial" w:cs="Arial"/>
          <w:sz w:val="21"/>
          <w:szCs w:val="21"/>
          <w:lang w:eastAsia="es-ES"/>
        </w:rPr>
        <w:t xml:space="preserve"> se ha</w:t>
      </w:r>
      <w:r w:rsidR="00E302B2">
        <w:rPr>
          <w:rFonts w:ascii="Arial" w:eastAsia="Times New Roman" w:hAnsi="Arial" w:cs="Arial"/>
          <w:sz w:val="21"/>
          <w:szCs w:val="21"/>
          <w:lang w:eastAsia="es-ES"/>
        </w:rPr>
        <w:t>n</w:t>
      </w:r>
      <w:r w:rsidRPr="005A06D1">
        <w:rPr>
          <w:rFonts w:ascii="Arial" w:eastAsia="Times New Roman" w:hAnsi="Arial" w:cs="Arial"/>
          <w:sz w:val="21"/>
          <w:szCs w:val="21"/>
          <w:lang w:eastAsia="es-ES"/>
        </w:rPr>
        <w:t xml:space="preserve"> incluido dos nuevas secciones en la web: Diálogos en la AVAF y el Blog de la AVAF. </w:t>
      </w:r>
    </w:p>
    <w:bookmarkStart w:id="34" w:name="_Toc99106974"/>
    <w:p w14:paraId="214451D2" w14:textId="4B27837B" w:rsidR="00886810" w:rsidRPr="00886810" w:rsidRDefault="00D1615E" w:rsidP="001949E4">
      <w:pPr>
        <w:pStyle w:val="Prrafodelista"/>
        <w:keepNext/>
        <w:numPr>
          <w:ilvl w:val="2"/>
          <w:numId w:val="15"/>
        </w:numPr>
        <w:spacing w:before="360" w:after="240" w:line="276" w:lineRule="auto"/>
        <w:ind w:left="1134" w:hanging="1134"/>
        <w:contextualSpacing w:val="0"/>
        <w:jc w:val="both"/>
        <w:outlineLvl w:val="2"/>
        <w:rPr>
          <w:rFonts w:ascii="Arial" w:eastAsia="Times New Roman" w:hAnsi="Arial" w:cs="Arial"/>
          <w:b/>
          <w:color w:val="9D2235"/>
          <w:sz w:val="28"/>
          <w:szCs w:val="28"/>
        </w:rPr>
      </w:pPr>
      <w:r>
        <w:rPr>
          <w:noProof/>
        </w:rPr>
        <mc:AlternateContent>
          <mc:Choice Requires="wps">
            <w:drawing>
              <wp:anchor distT="0" distB="0" distL="114300" distR="114300" simplePos="0" relativeHeight="252045312" behindDoc="0" locked="0" layoutInCell="1" allowOverlap="1" wp14:anchorId="00D6758E" wp14:editId="52B21DF5">
                <wp:simplePos x="0" y="0"/>
                <wp:positionH relativeFrom="column">
                  <wp:posOffset>1002665</wp:posOffset>
                </wp:positionH>
                <wp:positionV relativeFrom="paragraph">
                  <wp:posOffset>3903980</wp:posOffset>
                </wp:positionV>
                <wp:extent cx="3397885" cy="301625"/>
                <wp:effectExtent l="0" t="0" r="0" b="3175"/>
                <wp:wrapTopAndBottom/>
                <wp:docPr id="49" name="Cuadro de texto 49"/>
                <wp:cNvGraphicFramePr/>
                <a:graphic xmlns:a="http://schemas.openxmlformats.org/drawingml/2006/main">
                  <a:graphicData uri="http://schemas.microsoft.com/office/word/2010/wordprocessingShape">
                    <wps:wsp>
                      <wps:cNvSpPr txBox="1"/>
                      <wps:spPr>
                        <a:xfrm>
                          <a:off x="0" y="0"/>
                          <a:ext cx="3397885" cy="301625"/>
                        </a:xfrm>
                        <a:prstGeom prst="rect">
                          <a:avLst/>
                        </a:prstGeom>
                        <a:solidFill>
                          <a:prstClr val="white"/>
                        </a:solidFill>
                        <a:ln>
                          <a:noFill/>
                        </a:ln>
                      </wps:spPr>
                      <wps:txbx>
                        <w:txbxContent>
                          <w:p w14:paraId="48D1D9EC" w14:textId="099D4949" w:rsidR="00886810" w:rsidRPr="00886810" w:rsidRDefault="00886810" w:rsidP="00886810">
                            <w:pPr>
                              <w:pStyle w:val="Descripcin"/>
                              <w:spacing w:after="240" w:line="276" w:lineRule="auto"/>
                              <w:jc w:val="center"/>
                              <w:rPr>
                                <w:rFonts w:ascii="Arial" w:eastAsia="Times New Roman" w:hAnsi="Arial" w:cs="Arial"/>
                                <w:smallCaps w:val="0"/>
                                <w:noProof/>
                                <w:sz w:val="18"/>
                                <w:szCs w:val="18"/>
                              </w:rPr>
                            </w:pPr>
                            <w:bookmarkStart w:id="35" w:name="_Toc99099795"/>
                            <w:r w:rsidRPr="00886810">
                              <w:rPr>
                                <w:rFonts w:ascii="Arial" w:hAnsi="Arial" w:cs="Arial"/>
                                <w:smallCaps w:val="0"/>
                                <w:color w:val="9D2235" w:themeColor="accent1"/>
                                <w:sz w:val="18"/>
                                <w:szCs w:val="18"/>
                              </w:rPr>
                              <w:t xml:space="preserve">Ilustración </w:t>
                            </w:r>
                            <w:r w:rsidRPr="00886810">
                              <w:rPr>
                                <w:rFonts w:ascii="Arial" w:hAnsi="Arial" w:cs="Arial"/>
                                <w:smallCaps w:val="0"/>
                                <w:color w:val="9D2235" w:themeColor="accent1"/>
                                <w:sz w:val="18"/>
                                <w:szCs w:val="18"/>
                              </w:rPr>
                              <w:fldChar w:fldCharType="begin"/>
                            </w:r>
                            <w:r w:rsidRPr="00886810">
                              <w:rPr>
                                <w:rFonts w:ascii="Arial" w:hAnsi="Arial" w:cs="Arial"/>
                                <w:smallCaps w:val="0"/>
                                <w:color w:val="9D2235" w:themeColor="accent1"/>
                                <w:sz w:val="18"/>
                                <w:szCs w:val="18"/>
                              </w:rPr>
                              <w:instrText xml:space="preserve"> SEQ Ilustración \* ARABIC </w:instrText>
                            </w:r>
                            <w:r w:rsidRPr="00886810">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7</w:t>
                            </w:r>
                            <w:r w:rsidRPr="00886810">
                              <w:rPr>
                                <w:rFonts w:ascii="Arial" w:hAnsi="Arial" w:cs="Arial"/>
                                <w:smallCaps w:val="0"/>
                                <w:color w:val="9D2235" w:themeColor="accent1"/>
                                <w:sz w:val="18"/>
                                <w:szCs w:val="18"/>
                              </w:rPr>
                              <w:fldChar w:fldCharType="end"/>
                            </w:r>
                            <w:r w:rsidRPr="00886810">
                              <w:rPr>
                                <w:rFonts w:ascii="Arial" w:hAnsi="Arial" w:cs="Arial"/>
                                <w:smallCaps w:val="0"/>
                                <w:color w:val="9D2235" w:themeColor="accent1"/>
                                <w:sz w:val="18"/>
                                <w:szCs w:val="18"/>
                              </w:rPr>
                              <w:t xml:space="preserve">. </w:t>
                            </w:r>
                            <w:r w:rsidR="005202FE">
                              <w:rPr>
                                <w:rFonts w:ascii="Arial" w:hAnsi="Arial" w:cs="Arial"/>
                                <w:smallCaps w:val="0"/>
                                <w:sz w:val="18"/>
                                <w:szCs w:val="18"/>
                              </w:rPr>
                              <w:t>D</w:t>
                            </w:r>
                            <w:r w:rsidRPr="00886810">
                              <w:rPr>
                                <w:rFonts w:ascii="Arial" w:hAnsi="Arial" w:cs="Arial"/>
                                <w:smallCaps w:val="0"/>
                                <w:sz w:val="18"/>
                                <w:szCs w:val="18"/>
                              </w:rPr>
                              <w:t xml:space="preserve">iálogos en la </w:t>
                            </w:r>
                            <w:r w:rsidR="00CA3DCA">
                              <w:rPr>
                                <w:rFonts w:ascii="Arial" w:hAnsi="Arial" w:cs="Arial"/>
                                <w:smallCaps w:val="0"/>
                                <w:sz w:val="18"/>
                                <w:szCs w:val="18"/>
                              </w:rPr>
                              <w:t>AVAF</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D6758E" id="Cuadro de texto 49" o:spid="_x0000_s1033" type="#_x0000_t202" style="position:absolute;left:0;text-align:left;margin-left:78.95pt;margin-top:307.4pt;width:267.55pt;height:23.75pt;z-index:25204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" stroked="f">
                <v:textbox inset="0,0,0,0">
                  <w:txbxContent>
                    <w:p w14:paraId="48D1D9EC" w14:textId="099D4949" w:rsidR="00886810" w:rsidRPr="00886810" w:rsidRDefault="00886810" w:rsidP="00886810">
                      <w:pPr>
                        <w:pStyle w:val="Descripcin"/>
                        <w:spacing w:after="240" w:line="276" w:lineRule="auto"/>
                        <w:jc w:val="center"/>
                        <w:rPr>
                          <w:rFonts w:ascii="Arial" w:eastAsia="Times New Roman" w:hAnsi="Arial" w:cs="Arial"/>
                          <w:smallCaps w:val="0"/>
                          <w:noProof/>
                          <w:sz w:val="18"/>
                          <w:szCs w:val="18"/>
                        </w:rPr>
                      </w:pPr>
                      <w:bookmarkStart w:id="40" w:name="_Toc99099795"/>
                      <w:r w:rsidRPr="00886810">
                        <w:rPr>
                          <w:rFonts w:ascii="Arial" w:hAnsi="Arial" w:cs="Arial"/>
                          <w:smallCaps w:val="0"/>
                          <w:color w:val="9D2235" w:themeColor="accent1"/>
                          <w:sz w:val="18"/>
                          <w:szCs w:val="18"/>
                        </w:rPr>
                        <w:t xml:space="preserve">Ilustración </w:t>
                      </w:r>
                      <w:r w:rsidRPr="00886810">
                        <w:rPr>
                          <w:rFonts w:ascii="Arial" w:hAnsi="Arial" w:cs="Arial"/>
                          <w:smallCaps w:val="0"/>
                          <w:color w:val="9D2235" w:themeColor="accent1"/>
                          <w:sz w:val="18"/>
                          <w:szCs w:val="18"/>
                        </w:rPr>
                        <w:fldChar w:fldCharType="begin"/>
                      </w:r>
                      <w:r w:rsidRPr="00886810">
                        <w:rPr>
                          <w:rFonts w:ascii="Arial" w:hAnsi="Arial" w:cs="Arial"/>
                          <w:smallCaps w:val="0"/>
                          <w:color w:val="9D2235" w:themeColor="accent1"/>
                          <w:sz w:val="18"/>
                          <w:szCs w:val="18"/>
                        </w:rPr>
                        <w:instrText xml:space="preserve"> SEQ Ilustración \* ARABIC </w:instrText>
                      </w:r>
                      <w:r w:rsidRPr="00886810">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7</w:t>
                      </w:r>
                      <w:r w:rsidRPr="00886810">
                        <w:rPr>
                          <w:rFonts w:ascii="Arial" w:hAnsi="Arial" w:cs="Arial"/>
                          <w:smallCaps w:val="0"/>
                          <w:color w:val="9D2235" w:themeColor="accent1"/>
                          <w:sz w:val="18"/>
                          <w:szCs w:val="18"/>
                        </w:rPr>
                        <w:fldChar w:fldCharType="end"/>
                      </w:r>
                      <w:r w:rsidRPr="00886810">
                        <w:rPr>
                          <w:rFonts w:ascii="Arial" w:hAnsi="Arial" w:cs="Arial"/>
                          <w:smallCaps w:val="0"/>
                          <w:color w:val="9D2235" w:themeColor="accent1"/>
                          <w:sz w:val="18"/>
                          <w:szCs w:val="18"/>
                        </w:rPr>
                        <w:t xml:space="preserve">. </w:t>
                      </w:r>
                      <w:r w:rsidR="005202FE">
                        <w:rPr>
                          <w:rFonts w:ascii="Arial" w:hAnsi="Arial" w:cs="Arial"/>
                          <w:smallCaps w:val="0"/>
                          <w:sz w:val="18"/>
                          <w:szCs w:val="18"/>
                        </w:rPr>
                        <w:t>D</w:t>
                      </w:r>
                      <w:r w:rsidRPr="00886810">
                        <w:rPr>
                          <w:rFonts w:ascii="Arial" w:hAnsi="Arial" w:cs="Arial"/>
                          <w:smallCaps w:val="0"/>
                          <w:sz w:val="18"/>
                          <w:szCs w:val="18"/>
                        </w:rPr>
                        <w:t xml:space="preserve">iálogos en la </w:t>
                      </w:r>
                      <w:r w:rsidR="00CA3DCA">
                        <w:rPr>
                          <w:rFonts w:ascii="Arial" w:hAnsi="Arial" w:cs="Arial"/>
                          <w:smallCaps w:val="0"/>
                          <w:sz w:val="18"/>
                          <w:szCs w:val="18"/>
                        </w:rPr>
                        <w:t>AVAF</w:t>
                      </w:r>
                      <w:bookmarkEnd w:id="40"/>
                    </w:p>
                  </w:txbxContent>
                </v:textbox>
                <w10:wrap type="topAndBottom"/>
              </v:shape>
            </w:pict>
          </mc:Fallback>
        </mc:AlternateContent>
      </w:r>
      <w:r w:rsidR="00886810" w:rsidRPr="00886810">
        <w:rPr>
          <w:rFonts w:eastAsia="Times New Roman"/>
          <w:noProof/>
          <w:lang w:eastAsia="es-ES"/>
        </w:rPr>
        <w:drawing>
          <wp:anchor distT="0" distB="0" distL="114300" distR="114300" simplePos="0" relativeHeight="252043264" behindDoc="0" locked="0" layoutInCell="1" allowOverlap="1" wp14:anchorId="4CFAD2C2" wp14:editId="42FCAB9B">
            <wp:simplePos x="0" y="0"/>
            <wp:positionH relativeFrom="margin">
              <wp:align>center</wp:align>
            </wp:positionH>
            <wp:positionV relativeFrom="paragraph">
              <wp:posOffset>363220</wp:posOffset>
            </wp:positionV>
            <wp:extent cx="3397885" cy="3397885"/>
            <wp:effectExtent l="0" t="0" r="0" b="0"/>
            <wp:wrapTopAndBottom/>
            <wp:docPr id="5" name="Imagen 5" descr="Texto, 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exto, Logotipo, nombre de la empresa&#10;&#10;Descripción generada automáticament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397885" cy="3397885"/>
                    </a:xfrm>
                    <a:prstGeom prst="rect">
                      <a:avLst/>
                    </a:prstGeom>
                  </pic:spPr>
                </pic:pic>
              </a:graphicData>
            </a:graphic>
            <wp14:sizeRelH relativeFrom="margin">
              <wp14:pctWidth>0</wp14:pctWidth>
            </wp14:sizeRelH>
            <wp14:sizeRelV relativeFrom="margin">
              <wp14:pctHeight>0</wp14:pctHeight>
            </wp14:sizeRelV>
          </wp:anchor>
        </w:drawing>
      </w:r>
      <w:r w:rsidR="006578F0" w:rsidRPr="00470B50">
        <w:rPr>
          <w:rFonts w:ascii="Arial" w:eastAsia="Times New Roman" w:hAnsi="Arial" w:cs="Arial"/>
          <w:b/>
          <w:color w:val="9D2235"/>
          <w:sz w:val="28"/>
          <w:szCs w:val="28"/>
        </w:rPr>
        <w:t xml:space="preserve">Diálogos </w:t>
      </w:r>
      <w:r w:rsidR="00CB1EC3">
        <w:rPr>
          <w:rFonts w:ascii="Arial" w:eastAsia="Times New Roman" w:hAnsi="Arial" w:cs="Arial"/>
          <w:b/>
          <w:color w:val="9D2235"/>
          <w:sz w:val="28"/>
          <w:szCs w:val="28"/>
        </w:rPr>
        <w:t>en</w:t>
      </w:r>
      <w:r w:rsidR="006578F0" w:rsidRPr="00470B50">
        <w:rPr>
          <w:rFonts w:ascii="Arial" w:eastAsia="Times New Roman" w:hAnsi="Arial" w:cs="Arial"/>
          <w:b/>
          <w:color w:val="9D2235"/>
          <w:sz w:val="28"/>
          <w:szCs w:val="28"/>
        </w:rPr>
        <w:t xml:space="preserve"> la AVAF</w:t>
      </w:r>
      <w:bookmarkEnd w:id="34"/>
    </w:p>
    <w:p w14:paraId="79021D38" w14:textId="6DA07AAD" w:rsidR="000A0A9B" w:rsidRPr="000A0A9B" w:rsidRDefault="000A0A9B" w:rsidP="001949E4">
      <w:pPr>
        <w:spacing w:after="240" w:line="276" w:lineRule="auto"/>
        <w:jc w:val="both"/>
        <w:rPr>
          <w:rFonts w:ascii="Arial" w:eastAsia="Times New Roman" w:hAnsi="Arial" w:cs="Arial"/>
          <w:sz w:val="21"/>
          <w:szCs w:val="21"/>
          <w:lang w:eastAsia="es-ES"/>
        </w:rPr>
      </w:pPr>
      <w:r w:rsidRPr="000A0A9B">
        <w:rPr>
          <w:rFonts w:ascii="Arial" w:eastAsia="Times New Roman" w:hAnsi="Arial" w:cs="Arial"/>
          <w:sz w:val="21"/>
          <w:szCs w:val="21"/>
          <w:lang w:eastAsia="es-ES"/>
        </w:rPr>
        <w:t>Durante el año 2021</w:t>
      </w:r>
      <w:r w:rsidR="00732283">
        <w:rPr>
          <w:rFonts w:ascii="Arial" w:eastAsia="Times New Roman" w:hAnsi="Arial" w:cs="Arial"/>
          <w:sz w:val="21"/>
          <w:szCs w:val="21"/>
          <w:lang w:eastAsia="es-ES"/>
        </w:rPr>
        <w:t>,</w:t>
      </w:r>
      <w:r w:rsidRPr="000A0A9B">
        <w:rPr>
          <w:rFonts w:ascii="Arial" w:eastAsia="Times New Roman" w:hAnsi="Arial" w:cs="Arial"/>
          <w:sz w:val="21"/>
          <w:szCs w:val="21"/>
          <w:lang w:eastAsia="es-ES"/>
        </w:rPr>
        <w:t xml:space="preserve"> la Agencia Valenciana Antifraude ha puesto en marcha un nuevo espacio de difusión con el nombre de “Diálogos de la AVAF/ Diàlegs de l’AVAF”.</w:t>
      </w:r>
    </w:p>
    <w:p w14:paraId="6127E920" w14:textId="7C474EA2" w:rsidR="000A0A9B" w:rsidRPr="000A0A9B" w:rsidRDefault="000A0A9B" w:rsidP="001949E4">
      <w:pPr>
        <w:spacing w:after="240" w:line="276" w:lineRule="auto"/>
        <w:jc w:val="both"/>
        <w:rPr>
          <w:rFonts w:ascii="Arial" w:eastAsia="Times New Roman" w:hAnsi="Arial" w:cs="Arial"/>
          <w:sz w:val="21"/>
          <w:szCs w:val="21"/>
          <w:lang w:eastAsia="es-ES"/>
        </w:rPr>
      </w:pPr>
      <w:r w:rsidRPr="000A0A9B">
        <w:rPr>
          <w:rFonts w:ascii="Arial" w:eastAsia="Times New Roman" w:hAnsi="Arial" w:cs="Arial"/>
          <w:sz w:val="21"/>
          <w:szCs w:val="21"/>
          <w:lang w:eastAsia="es-ES"/>
        </w:rPr>
        <w:t xml:space="preserve">El objetivo de este nuevo </w:t>
      </w:r>
      <w:r w:rsidR="00B904A7" w:rsidRPr="000A0A9B">
        <w:rPr>
          <w:rFonts w:ascii="Arial" w:eastAsia="Times New Roman" w:hAnsi="Arial" w:cs="Arial"/>
          <w:sz w:val="21"/>
          <w:szCs w:val="21"/>
          <w:lang w:eastAsia="es-ES"/>
        </w:rPr>
        <w:t>formato</w:t>
      </w:r>
      <w:r w:rsidRPr="000A0A9B">
        <w:rPr>
          <w:rFonts w:ascii="Arial" w:eastAsia="Times New Roman" w:hAnsi="Arial" w:cs="Arial"/>
          <w:sz w:val="21"/>
          <w:szCs w:val="21"/>
          <w:lang w:eastAsia="es-ES"/>
        </w:rPr>
        <w:t xml:space="preserve"> es ofrecer a través de entrevistas</w:t>
      </w:r>
      <w:r w:rsidR="00732283">
        <w:rPr>
          <w:rFonts w:ascii="Arial" w:eastAsia="Times New Roman" w:hAnsi="Arial" w:cs="Arial"/>
          <w:sz w:val="21"/>
          <w:szCs w:val="21"/>
          <w:lang w:eastAsia="es-ES"/>
        </w:rPr>
        <w:t>,</w:t>
      </w:r>
      <w:r w:rsidRPr="000A0A9B">
        <w:rPr>
          <w:rFonts w:ascii="Arial" w:eastAsia="Times New Roman" w:hAnsi="Arial" w:cs="Arial"/>
          <w:sz w:val="21"/>
          <w:szCs w:val="21"/>
          <w:lang w:eastAsia="es-ES"/>
        </w:rPr>
        <w:t xml:space="preserve"> diferentes puntos de vista y opiniones de personas expertas y vinculadas con las diferentes temáticas de la Agencia</w:t>
      </w:r>
      <w:r w:rsidR="00732283">
        <w:rPr>
          <w:rFonts w:ascii="Arial" w:eastAsia="Times New Roman" w:hAnsi="Arial" w:cs="Arial"/>
          <w:sz w:val="21"/>
          <w:szCs w:val="21"/>
          <w:lang w:eastAsia="es-ES"/>
        </w:rPr>
        <w:t>,</w:t>
      </w:r>
      <w:r w:rsidRPr="000A0A9B">
        <w:rPr>
          <w:rFonts w:ascii="Arial" w:eastAsia="Times New Roman" w:hAnsi="Arial" w:cs="Arial"/>
          <w:sz w:val="21"/>
          <w:szCs w:val="21"/>
          <w:lang w:eastAsia="es-ES"/>
        </w:rPr>
        <w:t xml:space="preserve"> para contribuir al debate y a la reflexión.</w:t>
      </w:r>
    </w:p>
    <w:p w14:paraId="53274D29" w14:textId="6778A5F9" w:rsidR="000A0A9B" w:rsidRPr="000A0A9B" w:rsidRDefault="000A0A9B" w:rsidP="001949E4">
      <w:pPr>
        <w:spacing w:after="240" w:line="276" w:lineRule="auto"/>
        <w:jc w:val="both"/>
        <w:rPr>
          <w:rFonts w:ascii="Arial" w:eastAsia="Times New Roman" w:hAnsi="Arial" w:cs="Arial"/>
          <w:sz w:val="21"/>
          <w:szCs w:val="21"/>
          <w:lang w:eastAsia="es-ES"/>
        </w:rPr>
      </w:pPr>
      <w:r w:rsidRPr="000A0A9B">
        <w:rPr>
          <w:rFonts w:ascii="Arial" w:eastAsia="Times New Roman" w:hAnsi="Arial" w:cs="Arial"/>
          <w:sz w:val="21"/>
          <w:szCs w:val="21"/>
          <w:lang w:eastAsia="es-ES"/>
        </w:rPr>
        <w:t>En el año 2021</w:t>
      </w:r>
      <w:r w:rsidR="00732283">
        <w:rPr>
          <w:rFonts w:ascii="Arial" w:eastAsia="Times New Roman" w:hAnsi="Arial" w:cs="Arial"/>
          <w:sz w:val="21"/>
          <w:szCs w:val="21"/>
          <w:lang w:eastAsia="es-ES"/>
        </w:rPr>
        <w:t>,</w:t>
      </w:r>
      <w:r w:rsidRPr="000A0A9B">
        <w:rPr>
          <w:rFonts w:ascii="Arial" w:eastAsia="Times New Roman" w:hAnsi="Arial" w:cs="Arial"/>
          <w:sz w:val="21"/>
          <w:szCs w:val="21"/>
          <w:lang w:eastAsia="es-ES"/>
        </w:rPr>
        <w:t xml:space="preserve"> hemos entrevistado en este espacio</w:t>
      </w:r>
      <w:r w:rsidR="00732283">
        <w:rPr>
          <w:rFonts w:ascii="Arial" w:eastAsia="Times New Roman" w:hAnsi="Arial" w:cs="Arial"/>
          <w:sz w:val="21"/>
          <w:szCs w:val="21"/>
          <w:lang w:eastAsia="es-ES"/>
        </w:rPr>
        <w:t>,</w:t>
      </w:r>
      <w:r w:rsidRPr="000A0A9B">
        <w:rPr>
          <w:rFonts w:ascii="Arial" w:eastAsia="Times New Roman" w:hAnsi="Arial" w:cs="Arial"/>
          <w:sz w:val="21"/>
          <w:szCs w:val="21"/>
          <w:lang w:eastAsia="es-ES"/>
        </w:rPr>
        <w:t xml:space="preserve"> a Irma Ferrer, abogada de Transparencia Urbanística y de Acción Cívica contra la corrupción</w:t>
      </w:r>
      <w:r w:rsidR="00732283">
        <w:rPr>
          <w:rFonts w:ascii="Arial" w:eastAsia="Times New Roman" w:hAnsi="Arial" w:cs="Arial"/>
          <w:sz w:val="21"/>
          <w:szCs w:val="21"/>
          <w:lang w:eastAsia="es-ES"/>
        </w:rPr>
        <w:t>,</w:t>
      </w:r>
      <w:r w:rsidRPr="000A0A9B">
        <w:rPr>
          <w:rFonts w:ascii="Arial" w:eastAsia="Times New Roman" w:hAnsi="Arial" w:cs="Arial"/>
          <w:sz w:val="21"/>
          <w:szCs w:val="21"/>
          <w:lang w:eastAsia="es-ES"/>
        </w:rPr>
        <w:t xml:space="preserve"> que fue entrevistada por la directora de Asuntos Jurídicos de la Agencia, Teresa Clemente.</w:t>
      </w:r>
    </w:p>
    <w:p w14:paraId="25C80440" w14:textId="1A84256A" w:rsidR="000A0A9B" w:rsidRPr="000A0A9B" w:rsidRDefault="000A0A9B" w:rsidP="00CE05ED">
      <w:pPr>
        <w:spacing w:after="240" w:line="276" w:lineRule="auto"/>
        <w:jc w:val="both"/>
        <w:rPr>
          <w:rFonts w:ascii="Arial" w:eastAsia="Times New Roman" w:hAnsi="Arial" w:cs="Arial"/>
          <w:sz w:val="21"/>
          <w:szCs w:val="21"/>
          <w:lang w:eastAsia="es-ES"/>
        </w:rPr>
      </w:pPr>
      <w:r w:rsidRPr="000A0A9B">
        <w:rPr>
          <w:rFonts w:ascii="Arial" w:eastAsia="Times New Roman" w:hAnsi="Arial" w:cs="Arial"/>
          <w:sz w:val="21"/>
          <w:szCs w:val="21"/>
          <w:lang w:eastAsia="es-ES"/>
        </w:rPr>
        <w:t>El segundo de los Diálogos estuvo protagonizado por Concha Campos Acuña, Doctora en Derecho y codirectora de la Red Localis</w:t>
      </w:r>
      <w:r w:rsidR="00732283">
        <w:rPr>
          <w:rFonts w:ascii="Arial" w:eastAsia="Times New Roman" w:hAnsi="Arial" w:cs="Arial"/>
          <w:sz w:val="21"/>
          <w:szCs w:val="21"/>
          <w:lang w:eastAsia="es-ES"/>
        </w:rPr>
        <w:t>,</w:t>
      </w:r>
      <w:r w:rsidRPr="000A0A9B">
        <w:rPr>
          <w:rFonts w:ascii="Arial" w:eastAsia="Times New Roman" w:hAnsi="Arial" w:cs="Arial"/>
          <w:sz w:val="21"/>
          <w:szCs w:val="21"/>
          <w:lang w:eastAsia="es-ES"/>
        </w:rPr>
        <w:t xml:space="preserve"> que fue entrevistada por Pilar Moreno, técnica de formación.</w:t>
      </w:r>
    </w:p>
    <w:p w14:paraId="0557C360" w14:textId="5A9C12D2" w:rsidR="000A0A9B" w:rsidRPr="000A0A9B" w:rsidRDefault="000A0A9B" w:rsidP="001949E4">
      <w:pPr>
        <w:spacing w:after="240" w:line="276" w:lineRule="auto"/>
        <w:jc w:val="both"/>
        <w:rPr>
          <w:rFonts w:ascii="Arial" w:eastAsia="Times New Roman" w:hAnsi="Arial" w:cs="Arial"/>
          <w:sz w:val="21"/>
          <w:szCs w:val="21"/>
          <w:lang w:eastAsia="es-ES"/>
        </w:rPr>
      </w:pPr>
      <w:r w:rsidRPr="000A0A9B">
        <w:rPr>
          <w:rFonts w:ascii="Arial" w:eastAsia="Times New Roman" w:hAnsi="Arial" w:cs="Arial"/>
          <w:sz w:val="21"/>
          <w:szCs w:val="21"/>
          <w:lang w:eastAsia="es-ES"/>
        </w:rPr>
        <w:t>Los Diálogos de la AVAF</w:t>
      </w:r>
      <w:r w:rsidR="00732283">
        <w:rPr>
          <w:rFonts w:ascii="Arial" w:eastAsia="Times New Roman" w:hAnsi="Arial" w:cs="Arial"/>
          <w:sz w:val="21"/>
          <w:szCs w:val="21"/>
          <w:lang w:eastAsia="es-ES"/>
        </w:rPr>
        <w:t>,</w:t>
      </w:r>
      <w:r w:rsidRPr="000A0A9B">
        <w:rPr>
          <w:rFonts w:ascii="Arial" w:eastAsia="Times New Roman" w:hAnsi="Arial" w:cs="Arial"/>
          <w:sz w:val="21"/>
          <w:szCs w:val="21"/>
          <w:lang w:eastAsia="es-ES"/>
        </w:rPr>
        <w:t xml:space="preserve"> son difundidos a través de formato vídeo a través del canal de YouTube de la Agencia, así como en formato pódcast en los canales de la Agencia en las plataformas de ivoox y de Spotify.</w:t>
      </w:r>
    </w:p>
    <w:p w14:paraId="12EEEF3A" w14:textId="3061DFE0" w:rsidR="000A0A9B" w:rsidRDefault="000A0A9B" w:rsidP="001949E4">
      <w:pPr>
        <w:spacing w:after="120" w:line="276" w:lineRule="auto"/>
        <w:jc w:val="both"/>
        <w:rPr>
          <w:rFonts w:ascii="Arial" w:eastAsia="Times New Roman" w:hAnsi="Arial" w:cs="Arial"/>
          <w:sz w:val="21"/>
          <w:szCs w:val="21"/>
          <w:lang w:eastAsia="es-ES"/>
        </w:rPr>
      </w:pPr>
      <w:r w:rsidRPr="000A0A9B">
        <w:rPr>
          <w:rFonts w:ascii="Arial" w:eastAsia="Times New Roman" w:hAnsi="Arial" w:cs="Arial"/>
          <w:sz w:val="21"/>
          <w:szCs w:val="21"/>
          <w:lang w:eastAsia="es-ES"/>
        </w:rPr>
        <w:t xml:space="preserve">Enlace al canal de la Agencia en ivoox: </w:t>
      </w:r>
      <w:hyperlink r:id="rId117" w:history="1">
        <w:r w:rsidR="002A4D52" w:rsidRPr="002A4D52">
          <w:rPr>
            <w:rStyle w:val="Hipervnculo"/>
            <w:rFonts w:ascii="Arial" w:eastAsia="Times New Roman" w:hAnsi="Arial" w:cs="Arial"/>
            <w:sz w:val="21"/>
            <w:szCs w:val="21"/>
            <w:lang w:eastAsia="es-ES"/>
          </w:rPr>
          <w:t>https://www.ivoox.com/podcast-podcast-agencia-valenciana-antifraude_sq_f11289334_1.html</w:t>
        </w:r>
      </w:hyperlink>
    </w:p>
    <w:p w14:paraId="35AEB1CE" w14:textId="321A2807" w:rsidR="000A0A9B" w:rsidRPr="000A0A9B" w:rsidRDefault="000A0A9B" w:rsidP="002A4D52">
      <w:pPr>
        <w:spacing w:after="0" w:line="276" w:lineRule="auto"/>
        <w:jc w:val="both"/>
        <w:rPr>
          <w:rFonts w:ascii="Arial" w:hAnsi="Arial" w:cs="Arial"/>
          <w:sz w:val="21"/>
          <w:szCs w:val="21"/>
        </w:rPr>
      </w:pPr>
      <w:r w:rsidRPr="000A0A9B">
        <w:rPr>
          <w:rFonts w:ascii="Arial" w:eastAsia="Times New Roman" w:hAnsi="Arial" w:cs="Arial"/>
          <w:sz w:val="21"/>
          <w:szCs w:val="21"/>
          <w:lang w:eastAsia="es-ES"/>
        </w:rPr>
        <w:t>Enlace al canal de la Agencia en Spotify:</w:t>
      </w:r>
      <w:r w:rsidRPr="000A0A9B">
        <w:rPr>
          <w:rFonts w:ascii="Arial" w:hAnsi="Arial" w:cs="Arial"/>
          <w:sz w:val="21"/>
          <w:szCs w:val="21"/>
        </w:rPr>
        <w:t xml:space="preserve"> </w:t>
      </w:r>
    </w:p>
    <w:p w14:paraId="2B306CF3" w14:textId="55681109" w:rsidR="000A0A9B" w:rsidRPr="000A0A9B" w:rsidRDefault="00AF48E6" w:rsidP="001949E4">
      <w:pPr>
        <w:spacing w:after="240" w:line="276" w:lineRule="auto"/>
        <w:jc w:val="both"/>
        <w:rPr>
          <w:rFonts w:ascii="Arial" w:eastAsia="Times New Roman" w:hAnsi="Arial" w:cs="Arial"/>
          <w:bCs/>
          <w:sz w:val="21"/>
          <w:szCs w:val="21"/>
        </w:rPr>
      </w:pPr>
      <w:hyperlink r:id="rId118" w:history="1">
        <w:r w:rsidR="000A0A9B" w:rsidRPr="000A0A9B">
          <w:rPr>
            <w:rStyle w:val="Hipervnculo"/>
            <w:rFonts w:ascii="Arial" w:eastAsia="Times New Roman" w:hAnsi="Arial" w:cs="Arial"/>
            <w:sz w:val="21"/>
            <w:szCs w:val="21"/>
            <w:lang w:eastAsia="es-ES"/>
          </w:rPr>
          <w:t>https://open.spotify.com/show/0vqDIp0isZNy8xComIIBjC</w:t>
        </w:r>
      </w:hyperlink>
    </w:p>
    <w:p w14:paraId="19DF8DCF" w14:textId="0D2E40A8" w:rsidR="00F86BCD" w:rsidRPr="00886810" w:rsidRDefault="00C62647" w:rsidP="00F86BCD">
      <w:pPr>
        <w:pStyle w:val="Prrafodelista"/>
        <w:keepNext/>
        <w:numPr>
          <w:ilvl w:val="2"/>
          <w:numId w:val="15"/>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6" w:name="_Toc99106975"/>
      <w:r>
        <w:rPr>
          <w:rFonts w:ascii="Arial" w:eastAsia="Times New Roman" w:hAnsi="Arial" w:cs="Arial"/>
          <w:b/>
          <w:color w:val="9D2235"/>
          <w:sz w:val="28"/>
          <w:szCs w:val="28"/>
        </w:rPr>
        <w:t>Blog de la AVAF</w:t>
      </w:r>
      <w:bookmarkEnd w:id="36"/>
    </w:p>
    <w:p w14:paraId="4B653336" w14:textId="77777777" w:rsidR="00886810" w:rsidRDefault="00886810" w:rsidP="00886810">
      <w:pPr>
        <w:keepNext/>
        <w:spacing w:after="240" w:line="276" w:lineRule="auto"/>
        <w:jc w:val="both"/>
      </w:pPr>
      <w:r w:rsidRPr="00886810">
        <w:rPr>
          <w:rFonts w:ascii="Arial" w:eastAsia="Times New Roman" w:hAnsi="Arial" w:cs="Open Sans"/>
          <w:noProof/>
          <w:sz w:val="21"/>
          <w:szCs w:val="21"/>
          <w:lang w:eastAsia="es-ES"/>
        </w:rPr>
        <w:drawing>
          <wp:inline distT="0" distB="0" distL="0" distR="0" wp14:anchorId="68DCAFBA" wp14:editId="5D666704">
            <wp:extent cx="5400040" cy="1581785"/>
            <wp:effectExtent l="0" t="0" r="0" b="0"/>
            <wp:docPr id="61" name="Imagen 6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Texto&#10;&#10;Descripción generada automáticamente"/>
                    <pic:cNvPicPr/>
                  </pic:nvPicPr>
                  <pic:blipFill>
                    <a:blip r:embed="rId119">
                      <a:extLst>
                        <a:ext uri="{28A0092B-C50C-407E-A947-70E740481C1C}">
                          <a14:useLocalDpi xmlns:a14="http://schemas.microsoft.com/office/drawing/2010/main" val="0"/>
                        </a:ext>
                      </a:extLst>
                    </a:blip>
                    <a:stretch>
                      <a:fillRect/>
                    </a:stretch>
                  </pic:blipFill>
                  <pic:spPr>
                    <a:xfrm>
                      <a:off x="0" y="0"/>
                      <a:ext cx="5400040" cy="1581785"/>
                    </a:xfrm>
                    <a:prstGeom prst="rect">
                      <a:avLst/>
                    </a:prstGeom>
                  </pic:spPr>
                </pic:pic>
              </a:graphicData>
            </a:graphic>
          </wp:inline>
        </w:drawing>
      </w:r>
    </w:p>
    <w:p w14:paraId="54E9B5F3" w14:textId="0B1AF878" w:rsidR="00886810" w:rsidRPr="00886810" w:rsidRDefault="00886810" w:rsidP="00886810">
      <w:pPr>
        <w:pStyle w:val="Descripcin"/>
        <w:spacing w:after="240" w:line="276" w:lineRule="auto"/>
        <w:jc w:val="center"/>
        <w:rPr>
          <w:rFonts w:ascii="Arial" w:eastAsia="Times New Roman" w:hAnsi="Arial" w:cs="Arial"/>
          <w:bCs w:val="0"/>
          <w:smallCaps w:val="0"/>
          <w:sz w:val="18"/>
          <w:szCs w:val="18"/>
        </w:rPr>
      </w:pPr>
      <w:bookmarkStart w:id="37" w:name="_Toc99099796"/>
      <w:r w:rsidRPr="00886810">
        <w:rPr>
          <w:rFonts w:ascii="Arial" w:hAnsi="Arial" w:cs="Arial"/>
          <w:smallCaps w:val="0"/>
          <w:color w:val="9D2235" w:themeColor="accent1"/>
          <w:sz w:val="18"/>
          <w:szCs w:val="18"/>
        </w:rPr>
        <w:t xml:space="preserve">Ilustración </w:t>
      </w:r>
      <w:r w:rsidRPr="00886810">
        <w:rPr>
          <w:rFonts w:ascii="Arial" w:hAnsi="Arial" w:cs="Arial"/>
          <w:smallCaps w:val="0"/>
          <w:color w:val="9D2235" w:themeColor="accent1"/>
          <w:sz w:val="18"/>
          <w:szCs w:val="18"/>
        </w:rPr>
        <w:fldChar w:fldCharType="begin" w:fldLock="1"/>
      </w:r>
      <w:r w:rsidRPr="00886810">
        <w:rPr>
          <w:rFonts w:ascii="Arial" w:hAnsi="Arial" w:cs="Arial"/>
          <w:smallCaps w:val="0"/>
          <w:color w:val="9D2235" w:themeColor="accent1"/>
          <w:sz w:val="18"/>
          <w:szCs w:val="18"/>
        </w:rPr>
        <w:instrText xml:space="preserve"> SEQ Ilustración \* ARABIC </w:instrText>
      </w:r>
      <w:r w:rsidRPr="00886810">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8</w:t>
      </w:r>
      <w:r w:rsidRPr="00886810">
        <w:rPr>
          <w:rFonts w:ascii="Arial" w:hAnsi="Arial" w:cs="Arial"/>
          <w:smallCaps w:val="0"/>
          <w:color w:val="9D2235" w:themeColor="accent1"/>
          <w:sz w:val="18"/>
          <w:szCs w:val="18"/>
        </w:rPr>
        <w:fldChar w:fldCharType="end"/>
      </w:r>
      <w:r w:rsidRPr="00886810">
        <w:rPr>
          <w:rFonts w:ascii="Arial" w:hAnsi="Arial" w:cs="Arial"/>
          <w:smallCaps w:val="0"/>
          <w:color w:val="9D2235" w:themeColor="accent1"/>
          <w:sz w:val="18"/>
          <w:szCs w:val="18"/>
        </w:rPr>
        <w:t xml:space="preserve">. </w:t>
      </w:r>
      <w:r w:rsidRPr="00886810">
        <w:rPr>
          <w:rFonts w:ascii="Arial" w:hAnsi="Arial" w:cs="Arial"/>
          <w:smallCaps w:val="0"/>
          <w:sz w:val="18"/>
          <w:szCs w:val="18"/>
        </w:rPr>
        <w:t xml:space="preserve">El Blog de la </w:t>
      </w:r>
      <w:r w:rsidR="003D491A">
        <w:rPr>
          <w:rFonts w:ascii="Arial" w:hAnsi="Arial" w:cs="Arial"/>
          <w:smallCaps w:val="0"/>
          <w:sz w:val="18"/>
          <w:szCs w:val="18"/>
        </w:rPr>
        <w:t>A</w:t>
      </w:r>
      <w:r w:rsidR="005202FE">
        <w:rPr>
          <w:rFonts w:ascii="Arial" w:hAnsi="Arial" w:cs="Arial"/>
          <w:smallCaps w:val="0"/>
          <w:sz w:val="18"/>
          <w:szCs w:val="18"/>
        </w:rPr>
        <w:t>VAF</w:t>
      </w:r>
      <w:bookmarkEnd w:id="37"/>
    </w:p>
    <w:p w14:paraId="547C86C8" w14:textId="408F2619" w:rsidR="00211B02" w:rsidRPr="00211B02" w:rsidRDefault="00211B02" w:rsidP="00081B6A">
      <w:pPr>
        <w:spacing w:after="240" w:line="276" w:lineRule="auto"/>
        <w:jc w:val="both"/>
        <w:rPr>
          <w:rFonts w:ascii="Arial" w:eastAsia="Times New Roman" w:hAnsi="Arial" w:cs="Arial"/>
          <w:bCs/>
          <w:sz w:val="21"/>
          <w:szCs w:val="21"/>
        </w:rPr>
      </w:pPr>
      <w:r w:rsidRPr="00211B02">
        <w:rPr>
          <w:rFonts w:ascii="Arial" w:eastAsia="Times New Roman" w:hAnsi="Arial" w:cs="Arial"/>
          <w:bCs/>
          <w:sz w:val="21"/>
          <w:szCs w:val="21"/>
        </w:rPr>
        <w:t>El segundo de los formatos puestos en marcha por la Agencia Valenciana Antifraude durante al año 2021 es el “Blog de la AVAF”.</w:t>
      </w:r>
    </w:p>
    <w:p w14:paraId="484B7927" w14:textId="37683CD0" w:rsidR="00211B02" w:rsidRPr="00211B02" w:rsidRDefault="00211B02" w:rsidP="00081B6A">
      <w:pPr>
        <w:spacing w:after="240" w:line="276" w:lineRule="auto"/>
        <w:jc w:val="both"/>
        <w:rPr>
          <w:rFonts w:ascii="Arial" w:eastAsia="Times New Roman" w:hAnsi="Arial" w:cs="Arial"/>
          <w:bCs/>
          <w:sz w:val="21"/>
          <w:szCs w:val="21"/>
        </w:rPr>
      </w:pPr>
      <w:r w:rsidRPr="00211B02">
        <w:rPr>
          <w:rFonts w:ascii="Arial" w:eastAsia="Times New Roman" w:hAnsi="Arial" w:cs="Arial"/>
          <w:bCs/>
          <w:sz w:val="21"/>
          <w:szCs w:val="21"/>
        </w:rPr>
        <w:t xml:space="preserve">Este espacio tiene </w:t>
      </w:r>
      <w:r w:rsidR="00081B6A">
        <w:rPr>
          <w:rFonts w:ascii="Arial" w:eastAsia="Times New Roman" w:hAnsi="Arial" w:cs="Arial"/>
          <w:bCs/>
          <w:sz w:val="21"/>
          <w:szCs w:val="21"/>
        </w:rPr>
        <w:t xml:space="preserve">como </w:t>
      </w:r>
      <w:r w:rsidRPr="00211B02">
        <w:rPr>
          <w:rFonts w:ascii="Arial" w:eastAsia="Times New Roman" w:hAnsi="Arial" w:cs="Arial"/>
          <w:bCs/>
          <w:sz w:val="21"/>
          <w:szCs w:val="21"/>
        </w:rPr>
        <w:t>objetivo recoger</w:t>
      </w:r>
      <w:r w:rsidR="00504666">
        <w:rPr>
          <w:rFonts w:ascii="Arial" w:eastAsia="Times New Roman" w:hAnsi="Arial" w:cs="Arial"/>
          <w:bCs/>
          <w:sz w:val="21"/>
          <w:szCs w:val="21"/>
        </w:rPr>
        <w:t>,</w:t>
      </w:r>
      <w:r w:rsidRPr="00211B02">
        <w:rPr>
          <w:rFonts w:ascii="Arial" w:eastAsia="Times New Roman" w:hAnsi="Arial" w:cs="Arial"/>
          <w:bCs/>
          <w:sz w:val="21"/>
          <w:szCs w:val="21"/>
        </w:rPr>
        <w:t xml:space="preserve"> en formato escrito</w:t>
      </w:r>
      <w:r w:rsidR="00081B6A">
        <w:rPr>
          <w:rFonts w:ascii="Arial" w:eastAsia="Times New Roman" w:hAnsi="Arial" w:cs="Arial"/>
          <w:bCs/>
          <w:sz w:val="21"/>
          <w:szCs w:val="21"/>
        </w:rPr>
        <w:t>,</w:t>
      </w:r>
      <w:r w:rsidRPr="00211B02">
        <w:rPr>
          <w:rFonts w:ascii="Arial" w:eastAsia="Times New Roman" w:hAnsi="Arial" w:cs="Arial"/>
          <w:bCs/>
          <w:sz w:val="21"/>
          <w:szCs w:val="21"/>
        </w:rPr>
        <w:t xml:space="preserve"> artículos del personal de la propia Agencia que pueden ofrecer información</w:t>
      </w:r>
      <w:r w:rsidR="00081B6A">
        <w:rPr>
          <w:rFonts w:ascii="Arial" w:eastAsia="Times New Roman" w:hAnsi="Arial" w:cs="Arial"/>
          <w:bCs/>
          <w:sz w:val="21"/>
          <w:szCs w:val="21"/>
        </w:rPr>
        <w:t>,</w:t>
      </w:r>
      <w:r w:rsidRPr="00211B02">
        <w:rPr>
          <w:rFonts w:ascii="Arial" w:eastAsia="Times New Roman" w:hAnsi="Arial" w:cs="Arial"/>
          <w:bCs/>
          <w:sz w:val="21"/>
          <w:szCs w:val="21"/>
        </w:rPr>
        <w:t xml:space="preserve"> y contenido de interés que por sus propias características no tiene cabida en otros espacios de la web.</w:t>
      </w:r>
    </w:p>
    <w:p w14:paraId="1273A67C" w14:textId="77777777" w:rsidR="00211B02" w:rsidRPr="00211B02" w:rsidRDefault="00211B02" w:rsidP="00081B6A">
      <w:pPr>
        <w:spacing w:after="240" w:line="276" w:lineRule="auto"/>
        <w:jc w:val="both"/>
        <w:rPr>
          <w:rFonts w:ascii="Arial" w:eastAsia="Times New Roman" w:hAnsi="Arial" w:cs="Arial"/>
          <w:bCs/>
          <w:sz w:val="21"/>
          <w:szCs w:val="21"/>
        </w:rPr>
      </w:pPr>
      <w:r w:rsidRPr="00211B02">
        <w:rPr>
          <w:rFonts w:ascii="Arial" w:eastAsia="Times New Roman" w:hAnsi="Arial" w:cs="Arial"/>
          <w:bCs/>
          <w:sz w:val="21"/>
          <w:szCs w:val="21"/>
        </w:rPr>
        <w:t>El trabajo diario nos permite adquirir conocimientos y experiencias que creemos pueden ser interesantes para el conjunto de la ciudadanía.</w:t>
      </w:r>
    </w:p>
    <w:p w14:paraId="79C6AA4D" w14:textId="445C54BC" w:rsidR="00211B02" w:rsidRPr="00211B02" w:rsidRDefault="00211B02" w:rsidP="00211B02">
      <w:pPr>
        <w:spacing w:after="240" w:line="276" w:lineRule="auto"/>
        <w:jc w:val="both"/>
        <w:rPr>
          <w:rFonts w:ascii="Arial" w:eastAsia="Times New Roman" w:hAnsi="Arial" w:cs="Arial"/>
          <w:bCs/>
          <w:sz w:val="21"/>
          <w:szCs w:val="21"/>
        </w:rPr>
      </w:pPr>
      <w:r w:rsidRPr="00211B02">
        <w:rPr>
          <w:rFonts w:ascii="Arial" w:eastAsia="Times New Roman" w:hAnsi="Arial" w:cs="Arial"/>
          <w:bCs/>
          <w:sz w:val="21"/>
          <w:szCs w:val="21"/>
        </w:rPr>
        <w:t>También queremos que el Blog sea un espacio abierto a otras colaboraciones</w:t>
      </w:r>
      <w:r w:rsidR="002923DF">
        <w:rPr>
          <w:rFonts w:ascii="Arial" w:eastAsia="Times New Roman" w:hAnsi="Arial" w:cs="Arial"/>
          <w:bCs/>
          <w:sz w:val="21"/>
          <w:szCs w:val="21"/>
        </w:rPr>
        <w:t>,</w:t>
      </w:r>
      <w:r w:rsidRPr="00211B02">
        <w:rPr>
          <w:rFonts w:ascii="Arial" w:eastAsia="Times New Roman" w:hAnsi="Arial" w:cs="Arial"/>
          <w:bCs/>
          <w:sz w:val="21"/>
          <w:szCs w:val="21"/>
        </w:rPr>
        <w:t xml:space="preserve"> para lo que se ha invitado a diferentes personas a que colaboren escribiendo artículos para el “Blog de la AVAF”</w:t>
      </w:r>
      <w:r w:rsidR="002923DF">
        <w:rPr>
          <w:rFonts w:ascii="Arial" w:eastAsia="Times New Roman" w:hAnsi="Arial" w:cs="Arial"/>
          <w:bCs/>
          <w:sz w:val="21"/>
          <w:szCs w:val="21"/>
        </w:rPr>
        <w:t>,</w:t>
      </w:r>
      <w:r w:rsidRPr="00211B02">
        <w:rPr>
          <w:rFonts w:ascii="Arial" w:eastAsia="Times New Roman" w:hAnsi="Arial" w:cs="Arial"/>
          <w:bCs/>
          <w:sz w:val="21"/>
          <w:szCs w:val="21"/>
        </w:rPr>
        <w:t xml:space="preserve"> que creemos son de enorme valor e interés.</w:t>
      </w:r>
    </w:p>
    <w:p w14:paraId="55804235" w14:textId="623AE98F" w:rsidR="00211B02" w:rsidRPr="00211B02" w:rsidRDefault="00211B02" w:rsidP="00461E42">
      <w:pPr>
        <w:spacing w:after="240" w:line="276" w:lineRule="auto"/>
        <w:jc w:val="both"/>
        <w:rPr>
          <w:rFonts w:ascii="Arial" w:eastAsia="Times New Roman" w:hAnsi="Arial" w:cs="Arial"/>
          <w:bCs/>
          <w:sz w:val="21"/>
          <w:szCs w:val="21"/>
        </w:rPr>
      </w:pPr>
      <w:r w:rsidRPr="00211B02">
        <w:rPr>
          <w:rFonts w:ascii="Arial" w:eastAsia="Times New Roman" w:hAnsi="Arial" w:cs="Arial"/>
          <w:bCs/>
          <w:sz w:val="21"/>
          <w:szCs w:val="21"/>
        </w:rPr>
        <w:t>A lo largo de 2021 se han publicado los siguientes artículos:</w:t>
      </w:r>
    </w:p>
    <w:p w14:paraId="3478DD5F" w14:textId="252B8C9C" w:rsidR="00211B02" w:rsidRPr="00211B02" w:rsidRDefault="00211B02" w:rsidP="00461E42">
      <w:pPr>
        <w:numPr>
          <w:ilvl w:val="0"/>
          <w:numId w:val="30"/>
        </w:numPr>
        <w:spacing w:after="120" w:line="276" w:lineRule="auto"/>
        <w:ind w:left="714" w:hanging="357"/>
        <w:jc w:val="both"/>
        <w:rPr>
          <w:rFonts w:ascii="Arial" w:eastAsia="Times New Roman" w:hAnsi="Arial" w:cs="Arial"/>
          <w:bCs/>
          <w:sz w:val="21"/>
          <w:szCs w:val="21"/>
        </w:rPr>
      </w:pPr>
      <w:r w:rsidRPr="00211B02">
        <w:rPr>
          <w:rFonts w:ascii="Arial" w:eastAsia="Times New Roman" w:hAnsi="Arial" w:cs="Arial"/>
          <w:b/>
          <w:bCs/>
          <w:sz w:val="21"/>
          <w:szCs w:val="21"/>
        </w:rPr>
        <w:t>El nuevo blog de la Agencia Valenciana Antifraude</w:t>
      </w:r>
      <w:r w:rsidR="002923DF">
        <w:rPr>
          <w:rFonts w:ascii="Arial" w:eastAsia="Times New Roman" w:hAnsi="Arial" w:cs="Arial"/>
          <w:b/>
          <w:bCs/>
          <w:sz w:val="21"/>
          <w:szCs w:val="21"/>
        </w:rPr>
        <w:t>,</w:t>
      </w:r>
      <w:r w:rsidRPr="00211B02">
        <w:rPr>
          <w:rFonts w:ascii="Arial" w:eastAsia="Times New Roman" w:hAnsi="Arial" w:cs="Arial"/>
          <w:bCs/>
          <w:sz w:val="21"/>
          <w:szCs w:val="21"/>
        </w:rPr>
        <w:t xml:space="preserve"> escrito por Amalia López Acera, jefa de comunicación de la Agencia Valenciana Antifraude</w:t>
      </w:r>
      <w:r>
        <w:rPr>
          <w:rFonts w:ascii="Arial" w:eastAsia="Times New Roman" w:hAnsi="Arial" w:cs="Arial"/>
          <w:bCs/>
          <w:sz w:val="21"/>
          <w:szCs w:val="21"/>
        </w:rPr>
        <w:t>.</w:t>
      </w:r>
    </w:p>
    <w:p w14:paraId="1BD1517E" w14:textId="77777777" w:rsidR="00211B02" w:rsidRPr="00211B02" w:rsidRDefault="00AF48E6" w:rsidP="00461E42">
      <w:pPr>
        <w:spacing w:after="120" w:line="276" w:lineRule="auto"/>
        <w:ind w:left="709"/>
        <w:jc w:val="both"/>
        <w:rPr>
          <w:rFonts w:ascii="Arial" w:eastAsia="Times New Roman" w:hAnsi="Arial" w:cs="Arial"/>
          <w:bCs/>
          <w:sz w:val="21"/>
          <w:szCs w:val="21"/>
        </w:rPr>
      </w:pPr>
      <w:hyperlink r:id="rId120" w:history="1">
        <w:r w:rsidR="00211B02" w:rsidRPr="00211B02">
          <w:rPr>
            <w:rStyle w:val="Hipervnculo"/>
            <w:rFonts w:ascii="Arial" w:eastAsia="Times New Roman" w:hAnsi="Arial" w:cs="Arial"/>
            <w:bCs/>
            <w:sz w:val="21"/>
            <w:szCs w:val="21"/>
          </w:rPr>
          <w:t>https://www.antifraucv.es/el-nuevo-blog-de-la-agencia-valenciana-antifraude/</w:t>
        </w:r>
      </w:hyperlink>
    </w:p>
    <w:p w14:paraId="75E156C3" w14:textId="12BE0E1F" w:rsidR="00211B02" w:rsidRPr="00211B02" w:rsidRDefault="00211B02" w:rsidP="00461E42">
      <w:pPr>
        <w:numPr>
          <w:ilvl w:val="0"/>
          <w:numId w:val="30"/>
        </w:numPr>
        <w:spacing w:after="120" w:line="276" w:lineRule="auto"/>
        <w:ind w:left="714" w:hanging="357"/>
        <w:jc w:val="both"/>
        <w:rPr>
          <w:rFonts w:ascii="Arial" w:eastAsia="Times New Roman" w:hAnsi="Arial" w:cs="Arial"/>
          <w:bCs/>
          <w:sz w:val="21"/>
          <w:szCs w:val="21"/>
        </w:rPr>
      </w:pPr>
      <w:r w:rsidRPr="00211B02">
        <w:rPr>
          <w:rFonts w:ascii="Arial" w:eastAsia="Times New Roman" w:hAnsi="Arial" w:cs="Arial"/>
          <w:b/>
          <w:bCs/>
          <w:sz w:val="21"/>
          <w:szCs w:val="21"/>
        </w:rPr>
        <w:t>5 razones para debatir sobre la prevención de la corrupción en las aulas</w:t>
      </w:r>
      <w:r w:rsidR="002923DF">
        <w:rPr>
          <w:rFonts w:ascii="Arial" w:eastAsia="Times New Roman" w:hAnsi="Arial" w:cs="Arial"/>
          <w:b/>
          <w:bCs/>
          <w:sz w:val="21"/>
          <w:szCs w:val="21"/>
        </w:rPr>
        <w:t>,</w:t>
      </w:r>
      <w:r w:rsidRPr="00211B02">
        <w:rPr>
          <w:rFonts w:ascii="Arial" w:eastAsia="Times New Roman" w:hAnsi="Arial" w:cs="Arial"/>
          <w:bCs/>
          <w:sz w:val="21"/>
          <w:szCs w:val="21"/>
        </w:rPr>
        <w:t xml:space="preserve"> escrito por Pilar Moreno, técnica de formación de la Agencia Valenciana Antifraude</w:t>
      </w:r>
      <w:r>
        <w:rPr>
          <w:rFonts w:ascii="Arial" w:eastAsia="Times New Roman" w:hAnsi="Arial" w:cs="Arial"/>
          <w:bCs/>
          <w:sz w:val="21"/>
          <w:szCs w:val="21"/>
        </w:rPr>
        <w:t>.</w:t>
      </w:r>
    </w:p>
    <w:p w14:paraId="60CA72D8" w14:textId="77777777" w:rsidR="00211B02" w:rsidRPr="00211B02" w:rsidRDefault="00AF48E6" w:rsidP="00461E42">
      <w:pPr>
        <w:spacing w:after="120" w:line="276" w:lineRule="auto"/>
        <w:ind w:left="709"/>
        <w:jc w:val="both"/>
        <w:rPr>
          <w:rFonts w:ascii="Arial" w:eastAsia="Times New Roman" w:hAnsi="Arial" w:cs="Arial"/>
          <w:bCs/>
          <w:sz w:val="21"/>
          <w:szCs w:val="21"/>
        </w:rPr>
      </w:pPr>
      <w:hyperlink r:id="rId121" w:history="1">
        <w:r w:rsidR="00211B02" w:rsidRPr="00211B02">
          <w:rPr>
            <w:rStyle w:val="Hipervnculo"/>
            <w:rFonts w:ascii="Arial" w:eastAsia="Times New Roman" w:hAnsi="Arial" w:cs="Arial"/>
            <w:bCs/>
            <w:sz w:val="21"/>
            <w:szCs w:val="21"/>
          </w:rPr>
          <w:t>https://www.antifraucv.es/5-razones-para-debatir-sobre-la-prevencion-de-la-corrupcion-en-las-aulas/</w:t>
        </w:r>
      </w:hyperlink>
    </w:p>
    <w:p w14:paraId="51A4B9FC" w14:textId="20307FC0" w:rsidR="00211B02" w:rsidRPr="00211B02" w:rsidRDefault="00211B02" w:rsidP="00461E42">
      <w:pPr>
        <w:numPr>
          <w:ilvl w:val="0"/>
          <w:numId w:val="30"/>
        </w:numPr>
        <w:spacing w:after="120" w:line="276" w:lineRule="auto"/>
        <w:ind w:left="714" w:hanging="357"/>
        <w:jc w:val="both"/>
        <w:rPr>
          <w:rFonts w:ascii="Arial" w:eastAsia="Times New Roman" w:hAnsi="Arial" w:cs="Arial"/>
          <w:bCs/>
          <w:sz w:val="21"/>
          <w:szCs w:val="21"/>
        </w:rPr>
      </w:pPr>
      <w:r w:rsidRPr="00211B02">
        <w:rPr>
          <w:rFonts w:ascii="Arial" w:eastAsia="Times New Roman" w:hAnsi="Arial" w:cs="Arial"/>
          <w:b/>
          <w:bCs/>
          <w:sz w:val="21"/>
          <w:szCs w:val="21"/>
        </w:rPr>
        <w:t>La delgada línea entre la irregularidad administrativa y el delito en contratación pública</w:t>
      </w:r>
      <w:r w:rsidR="002923DF">
        <w:rPr>
          <w:rFonts w:ascii="Arial" w:eastAsia="Times New Roman" w:hAnsi="Arial" w:cs="Arial"/>
          <w:b/>
          <w:bCs/>
          <w:sz w:val="21"/>
          <w:szCs w:val="21"/>
        </w:rPr>
        <w:t>,</w:t>
      </w:r>
      <w:r w:rsidRPr="00211B02">
        <w:rPr>
          <w:rFonts w:ascii="Arial" w:eastAsia="Times New Roman" w:hAnsi="Arial" w:cs="Arial"/>
          <w:bCs/>
          <w:sz w:val="21"/>
          <w:szCs w:val="21"/>
        </w:rPr>
        <w:t xml:space="preserve"> escrito por Pilar Batet, experta en contratación pública</w:t>
      </w:r>
      <w:r>
        <w:rPr>
          <w:rFonts w:ascii="Arial" w:eastAsia="Times New Roman" w:hAnsi="Arial" w:cs="Arial"/>
          <w:bCs/>
          <w:sz w:val="21"/>
          <w:szCs w:val="21"/>
        </w:rPr>
        <w:t>.</w:t>
      </w:r>
    </w:p>
    <w:p w14:paraId="377FD981" w14:textId="77777777" w:rsidR="00211B02" w:rsidRPr="00211B02" w:rsidRDefault="00AF48E6" w:rsidP="00461E42">
      <w:pPr>
        <w:spacing w:after="120" w:line="276" w:lineRule="auto"/>
        <w:ind w:left="709"/>
        <w:jc w:val="both"/>
        <w:rPr>
          <w:rFonts w:ascii="Arial" w:eastAsia="Times New Roman" w:hAnsi="Arial" w:cs="Arial"/>
          <w:bCs/>
          <w:sz w:val="21"/>
          <w:szCs w:val="21"/>
        </w:rPr>
      </w:pPr>
      <w:hyperlink r:id="rId122" w:history="1">
        <w:r w:rsidR="00211B02" w:rsidRPr="00211B02">
          <w:rPr>
            <w:rStyle w:val="Hipervnculo"/>
            <w:rFonts w:ascii="Arial" w:eastAsia="Times New Roman" w:hAnsi="Arial" w:cs="Arial"/>
            <w:bCs/>
            <w:sz w:val="21"/>
            <w:szCs w:val="21"/>
          </w:rPr>
          <w:t>https://www.antifraucv.es/la-delgada-linea-entre-la-irregularidad-administrativa-y-el-delito-en-contratacion-publica/</w:t>
        </w:r>
      </w:hyperlink>
    </w:p>
    <w:p w14:paraId="1A821F38" w14:textId="760FED72" w:rsidR="00211B02" w:rsidRPr="00211B02" w:rsidRDefault="00211B02" w:rsidP="00E501D4">
      <w:pPr>
        <w:numPr>
          <w:ilvl w:val="0"/>
          <w:numId w:val="30"/>
        </w:numPr>
        <w:spacing w:after="0" w:line="276" w:lineRule="auto"/>
        <w:ind w:left="714" w:hanging="357"/>
        <w:rPr>
          <w:rFonts w:ascii="Arial" w:eastAsia="Times New Roman" w:hAnsi="Arial" w:cs="Arial"/>
          <w:bCs/>
          <w:sz w:val="21"/>
          <w:szCs w:val="21"/>
        </w:rPr>
      </w:pPr>
      <w:r w:rsidRPr="00211B02">
        <w:rPr>
          <w:rFonts w:ascii="Arial" w:eastAsia="Times New Roman" w:hAnsi="Arial" w:cs="Arial"/>
          <w:b/>
          <w:bCs/>
          <w:sz w:val="21"/>
          <w:szCs w:val="21"/>
        </w:rPr>
        <w:t>Planes Antifraude, ¿Bla, bla, bla? AVAF</w:t>
      </w:r>
      <w:r w:rsidR="002923DF">
        <w:rPr>
          <w:rFonts w:ascii="Arial" w:eastAsia="Times New Roman" w:hAnsi="Arial" w:cs="Arial"/>
          <w:b/>
          <w:bCs/>
          <w:sz w:val="21"/>
          <w:szCs w:val="21"/>
        </w:rPr>
        <w:t>,</w:t>
      </w:r>
      <w:r w:rsidRPr="00211B02">
        <w:rPr>
          <w:rFonts w:ascii="Arial" w:eastAsia="Times New Roman" w:hAnsi="Arial" w:cs="Arial"/>
          <w:bCs/>
          <w:sz w:val="21"/>
          <w:szCs w:val="21"/>
        </w:rPr>
        <w:t xml:space="preserve"> escrito por Concepción Campos Acuña</w:t>
      </w:r>
      <w:r w:rsidR="002923DF">
        <w:rPr>
          <w:rFonts w:ascii="Arial" w:eastAsia="Times New Roman" w:hAnsi="Arial" w:cs="Arial"/>
          <w:bCs/>
          <w:sz w:val="21"/>
          <w:szCs w:val="21"/>
        </w:rPr>
        <w:t>,</w:t>
      </w:r>
      <w:r w:rsidRPr="00211B02">
        <w:rPr>
          <w:rFonts w:ascii="Arial" w:eastAsia="Times New Roman" w:hAnsi="Arial" w:cs="Arial"/>
          <w:bCs/>
          <w:sz w:val="21"/>
          <w:szCs w:val="21"/>
        </w:rPr>
        <w:t xml:space="preserve"> Doctora en Derecho Administrativo y codirectora de la Red Localis</w:t>
      </w:r>
    </w:p>
    <w:p w14:paraId="0CF472CD" w14:textId="6D9233F8" w:rsidR="00211B02" w:rsidRPr="00211B02" w:rsidRDefault="00AF48E6" w:rsidP="007E53EF">
      <w:pPr>
        <w:spacing w:after="240" w:line="276" w:lineRule="auto"/>
        <w:ind w:left="709"/>
        <w:rPr>
          <w:rFonts w:ascii="Arial" w:eastAsia="Times New Roman" w:hAnsi="Arial" w:cs="Arial"/>
          <w:bCs/>
          <w:sz w:val="21"/>
          <w:szCs w:val="21"/>
        </w:rPr>
      </w:pPr>
      <w:hyperlink r:id="rId123" w:history="1">
        <w:r w:rsidR="00211B02" w:rsidRPr="00211B02">
          <w:rPr>
            <w:rStyle w:val="Hipervnculo"/>
            <w:rFonts w:ascii="Arial" w:eastAsia="Times New Roman" w:hAnsi="Arial" w:cs="Arial"/>
            <w:bCs/>
            <w:sz w:val="21"/>
            <w:szCs w:val="21"/>
          </w:rPr>
          <w:t>https://www.antifraucv.es/planes-antifraude-bla-bla-bla-avaf/</w:t>
        </w:r>
      </w:hyperlink>
    </w:p>
    <w:p w14:paraId="1D6F42C5" w14:textId="77777777" w:rsidR="00211B02" w:rsidRPr="00211B02" w:rsidRDefault="00211B02" w:rsidP="00A12857">
      <w:pPr>
        <w:spacing w:after="0" w:line="276" w:lineRule="auto"/>
        <w:rPr>
          <w:rFonts w:ascii="Arial" w:eastAsia="Times New Roman" w:hAnsi="Arial" w:cs="Arial"/>
          <w:bCs/>
          <w:sz w:val="21"/>
          <w:szCs w:val="21"/>
        </w:rPr>
      </w:pPr>
      <w:r w:rsidRPr="00211B02">
        <w:rPr>
          <w:rFonts w:ascii="Arial" w:eastAsia="Times New Roman" w:hAnsi="Arial" w:cs="Arial"/>
          <w:bCs/>
          <w:sz w:val="21"/>
          <w:szCs w:val="21"/>
        </w:rPr>
        <w:t>El Blog de la Agencia se puso en marcha el 26 de octubre de 2021 y en ese tiempo se han suscrito 56 personas para recibir cada nuevo artículo publicado.</w:t>
      </w:r>
    </w:p>
    <w:p w14:paraId="50615296" w14:textId="77777777" w:rsidR="00211B02" w:rsidRPr="00211B02" w:rsidRDefault="00211B02" w:rsidP="007E53EF">
      <w:pPr>
        <w:spacing w:after="360" w:line="276" w:lineRule="auto"/>
        <w:rPr>
          <w:rFonts w:ascii="Arial" w:eastAsia="Times New Roman" w:hAnsi="Arial" w:cs="Arial"/>
          <w:bCs/>
          <w:sz w:val="21"/>
          <w:szCs w:val="21"/>
        </w:rPr>
      </w:pPr>
      <w:r w:rsidRPr="00211B02">
        <w:rPr>
          <w:rFonts w:ascii="Arial" w:eastAsia="Times New Roman" w:hAnsi="Arial" w:cs="Arial"/>
          <w:bCs/>
          <w:sz w:val="21"/>
          <w:szCs w:val="21"/>
        </w:rPr>
        <w:t xml:space="preserve">Enlace al blog de la Agencia: </w:t>
      </w:r>
      <w:hyperlink r:id="rId124" w:history="1">
        <w:r w:rsidRPr="00211B02">
          <w:rPr>
            <w:rStyle w:val="Hipervnculo"/>
            <w:rFonts w:ascii="Arial" w:eastAsia="Times New Roman" w:hAnsi="Arial" w:cs="Arial"/>
            <w:bCs/>
            <w:sz w:val="21"/>
            <w:szCs w:val="21"/>
          </w:rPr>
          <w:t>https://www.antifraucv.es/blog-de-la-avaf/</w:t>
        </w:r>
      </w:hyperlink>
    </w:p>
    <w:p w14:paraId="2B999123" w14:textId="77777777" w:rsidR="00C62647" w:rsidRDefault="007E53EF" w:rsidP="00AC1A12">
      <w:pPr>
        <w:pStyle w:val="Prrafodelista"/>
        <w:keepNext/>
        <w:numPr>
          <w:ilvl w:val="2"/>
          <w:numId w:val="15"/>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38" w:name="_Toc99106976"/>
      <w:bookmarkStart w:id="39" w:name="_Hlk95288953"/>
      <w:r>
        <w:rPr>
          <w:rFonts w:ascii="Arial" w:eastAsia="Times New Roman" w:hAnsi="Arial" w:cs="Arial"/>
          <w:b/>
          <w:color w:val="9D2235"/>
          <w:sz w:val="28"/>
          <w:szCs w:val="28"/>
        </w:rPr>
        <w:t>Web institucional</w:t>
      </w:r>
      <w:bookmarkEnd w:id="38"/>
    </w:p>
    <w:bookmarkEnd w:id="39"/>
    <w:p w14:paraId="009D8D3A" w14:textId="3EF31AD0" w:rsidR="007E53EF" w:rsidRPr="007E53EF" w:rsidRDefault="007E53EF" w:rsidP="007E53EF">
      <w:pPr>
        <w:spacing w:after="240" w:line="276" w:lineRule="auto"/>
        <w:jc w:val="both"/>
        <w:rPr>
          <w:rFonts w:ascii="Arial" w:eastAsia="Times New Roman" w:hAnsi="Arial" w:cs="Arial"/>
          <w:bCs/>
          <w:sz w:val="21"/>
          <w:szCs w:val="21"/>
        </w:rPr>
      </w:pPr>
      <w:r w:rsidRPr="007E53EF">
        <w:rPr>
          <w:rFonts w:ascii="Arial" w:eastAsia="Times New Roman" w:hAnsi="Arial" w:cs="Arial"/>
          <w:bCs/>
          <w:sz w:val="21"/>
          <w:szCs w:val="21"/>
        </w:rPr>
        <w:t>Si analizamos las visitas a la página web</w:t>
      </w:r>
      <w:r w:rsidR="0052432F">
        <w:rPr>
          <w:rFonts w:ascii="Arial" w:eastAsia="Times New Roman" w:hAnsi="Arial" w:cs="Arial"/>
          <w:bCs/>
          <w:sz w:val="21"/>
          <w:szCs w:val="21"/>
        </w:rPr>
        <w:t>,</w:t>
      </w:r>
      <w:r w:rsidRPr="007E53EF">
        <w:rPr>
          <w:rFonts w:ascii="Arial" w:eastAsia="Times New Roman" w:hAnsi="Arial" w:cs="Arial"/>
          <w:bCs/>
          <w:sz w:val="21"/>
          <w:szCs w:val="21"/>
        </w:rPr>
        <w:t xml:space="preserve"> observamos cómo se ha pasado de las 42.491 visitas registradas durante el año 2019</w:t>
      </w:r>
      <w:r w:rsidR="0052432F">
        <w:rPr>
          <w:rFonts w:ascii="Arial" w:eastAsia="Times New Roman" w:hAnsi="Arial" w:cs="Arial"/>
          <w:bCs/>
          <w:sz w:val="21"/>
          <w:szCs w:val="21"/>
        </w:rPr>
        <w:t>,</w:t>
      </w:r>
      <w:r w:rsidRPr="007E53EF">
        <w:rPr>
          <w:rFonts w:ascii="Arial" w:eastAsia="Times New Roman" w:hAnsi="Arial" w:cs="Arial"/>
          <w:bCs/>
          <w:sz w:val="21"/>
          <w:szCs w:val="21"/>
        </w:rPr>
        <w:t xml:space="preserve"> a las 96.024 visitas del año 2021</w:t>
      </w:r>
      <w:r w:rsidR="0052432F">
        <w:rPr>
          <w:rFonts w:ascii="Arial" w:eastAsia="Times New Roman" w:hAnsi="Arial" w:cs="Arial"/>
          <w:bCs/>
          <w:sz w:val="21"/>
          <w:szCs w:val="21"/>
        </w:rPr>
        <w:t>,</w:t>
      </w:r>
      <w:r w:rsidRPr="007E53EF">
        <w:rPr>
          <w:rFonts w:ascii="Arial" w:eastAsia="Times New Roman" w:hAnsi="Arial" w:cs="Arial"/>
          <w:bCs/>
          <w:sz w:val="21"/>
          <w:szCs w:val="21"/>
        </w:rPr>
        <w:t xml:space="preserve"> lo que supone un incremento del 123,62%. Las páginas más visitadas han sido</w:t>
      </w:r>
      <w:r w:rsidR="0052432F">
        <w:rPr>
          <w:rFonts w:ascii="Arial" w:eastAsia="Times New Roman" w:hAnsi="Arial" w:cs="Arial"/>
          <w:bCs/>
          <w:sz w:val="21"/>
          <w:szCs w:val="21"/>
        </w:rPr>
        <w:t>,</w:t>
      </w:r>
      <w:r w:rsidRPr="007E53EF">
        <w:rPr>
          <w:rFonts w:ascii="Arial" w:eastAsia="Times New Roman" w:hAnsi="Arial" w:cs="Arial"/>
          <w:bCs/>
          <w:sz w:val="21"/>
          <w:szCs w:val="21"/>
        </w:rPr>
        <w:t xml:space="preserve"> por un lado</w:t>
      </w:r>
      <w:r w:rsidR="0052432F">
        <w:rPr>
          <w:rFonts w:ascii="Arial" w:eastAsia="Times New Roman" w:hAnsi="Arial" w:cs="Arial"/>
          <w:bCs/>
          <w:sz w:val="21"/>
          <w:szCs w:val="21"/>
        </w:rPr>
        <w:t>,</w:t>
      </w:r>
      <w:r w:rsidRPr="007E53EF">
        <w:rPr>
          <w:rFonts w:ascii="Arial" w:eastAsia="Times New Roman" w:hAnsi="Arial" w:cs="Arial"/>
          <w:bCs/>
          <w:sz w:val="21"/>
          <w:szCs w:val="21"/>
        </w:rPr>
        <w:t xml:space="preserve"> la página de inicio o </w:t>
      </w:r>
      <w:r w:rsidRPr="007E53EF">
        <w:rPr>
          <w:rFonts w:ascii="Arial" w:eastAsia="Times New Roman" w:hAnsi="Arial" w:cs="Arial"/>
          <w:bCs/>
          <w:i/>
          <w:iCs/>
          <w:sz w:val="21"/>
          <w:szCs w:val="21"/>
        </w:rPr>
        <w:t>home</w:t>
      </w:r>
      <w:r w:rsidRPr="007E53EF">
        <w:rPr>
          <w:rFonts w:ascii="Arial" w:eastAsia="Times New Roman" w:hAnsi="Arial" w:cs="Arial"/>
          <w:bCs/>
          <w:sz w:val="21"/>
          <w:szCs w:val="21"/>
        </w:rPr>
        <w:t xml:space="preserve"> de la Agencia, seguida por las páginas correspondientes al Buzón de Denuncias y del Portal de Transparencia.</w:t>
      </w:r>
    </w:p>
    <w:p w14:paraId="373FA809" w14:textId="32A75B99" w:rsidR="007E53EF" w:rsidRPr="007E53EF" w:rsidRDefault="00FF2067" w:rsidP="007E53EF">
      <w:pPr>
        <w:jc w:val="both"/>
        <w:rPr>
          <w:rFonts w:ascii="Arial" w:eastAsia="Times New Roman" w:hAnsi="Arial" w:cs="Arial"/>
          <w:bCs/>
          <w:sz w:val="21"/>
          <w:szCs w:val="21"/>
        </w:rPr>
      </w:pPr>
      <w:r w:rsidRPr="00D625CE">
        <w:rPr>
          <w:rFonts w:ascii="Arial" w:eastAsia="Times New Roman" w:hAnsi="Arial" w:cs="Arial"/>
          <w:b/>
          <w:noProof/>
          <w:color w:val="9D2235"/>
          <w:sz w:val="28"/>
          <w:szCs w:val="28"/>
        </w:rPr>
        <mc:AlternateContent>
          <mc:Choice Requires="wps">
            <w:drawing>
              <wp:anchor distT="0" distB="0" distL="114300" distR="114300" simplePos="0" relativeHeight="251972608" behindDoc="0" locked="0" layoutInCell="1" allowOverlap="1" wp14:anchorId="3B600ACE" wp14:editId="2E5A86A3">
                <wp:simplePos x="0" y="0"/>
                <wp:positionH relativeFrom="column">
                  <wp:posOffset>-4445</wp:posOffset>
                </wp:positionH>
                <wp:positionV relativeFrom="paragraph">
                  <wp:posOffset>3637280</wp:posOffset>
                </wp:positionV>
                <wp:extent cx="5366385" cy="635"/>
                <wp:effectExtent l="0" t="0" r="5715" b="1270"/>
                <wp:wrapTopAndBottom/>
                <wp:docPr id="56" name="Cuadro de texto 56"/>
                <wp:cNvGraphicFramePr/>
                <a:graphic xmlns:a="http://schemas.openxmlformats.org/drawingml/2006/main">
                  <a:graphicData uri="http://schemas.microsoft.com/office/word/2010/wordprocessingShape">
                    <wps:wsp>
                      <wps:cNvSpPr txBox="1"/>
                      <wps:spPr>
                        <a:xfrm>
                          <a:off x="0" y="0"/>
                          <a:ext cx="5366385" cy="635"/>
                        </a:xfrm>
                        <a:prstGeom prst="rect">
                          <a:avLst/>
                        </a:prstGeom>
                        <a:solidFill>
                          <a:prstClr val="white"/>
                        </a:solidFill>
                        <a:ln>
                          <a:noFill/>
                        </a:ln>
                      </wps:spPr>
                      <wps:txbx>
                        <w:txbxContent>
                          <w:p w14:paraId="1FE19231" w14:textId="6C973AB7" w:rsidR="00D625CE" w:rsidRPr="00D625CE" w:rsidRDefault="00D625CE" w:rsidP="00FF2067">
                            <w:pPr>
                              <w:pStyle w:val="Descripcin"/>
                              <w:spacing w:after="240" w:line="276" w:lineRule="auto"/>
                              <w:jc w:val="center"/>
                              <w:rPr>
                                <w:rFonts w:ascii="Arial" w:eastAsia="Times New Roman" w:hAnsi="Arial" w:cs="Arial"/>
                                <w:smallCaps w:val="0"/>
                                <w:sz w:val="18"/>
                                <w:szCs w:val="21"/>
                              </w:rPr>
                            </w:pPr>
                            <w:bookmarkStart w:id="40" w:name="_Toc99099800"/>
                            <w:r w:rsidRPr="00D625CE">
                              <w:rPr>
                                <w:rFonts w:ascii="Arial" w:hAnsi="Arial"/>
                                <w:smallCaps w:val="0"/>
                                <w:color w:val="9D2235" w:themeColor="accent1"/>
                                <w:sz w:val="18"/>
                              </w:rPr>
                              <w:t xml:space="preserve">Gráfico </w:t>
                            </w:r>
                            <w:r w:rsidRPr="00D625CE">
                              <w:rPr>
                                <w:rFonts w:ascii="Arial" w:hAnsi="Arial"/>
                                <w:smallCaps w:val="0"/>
                                <w:color w:val="9D2235" w:themeColor="accent1"/>
                                <w:sz w:val="18"/>
                              </w:rPr>
                              <w:fldChar w:fldCharType="begin"/>
                            </w:r>
                            <w:r w:rsidRPr="00D625CE">
                              <w:rPr>
                                <w:rFonts w:ascii="Arial" w:hAnsi="Arial"/>
                                <w:smallCaps w:val="0"/>
                                <w:color w:val="9D2235" w:themeColor="accent1"/>
                                <w:sz w:val="18"/>
                              </w:rPr>
                              <w:instrText xml:space="preserve"> SEQ Gráfico \* ARABIC </w:instrText>
                            </w:r>
                            <w:r w:rsidRPr="00D625CE">
                              <w:rPr>
                                <w:rFonts w:ascii="Arial" w:hAnsi="Arial"/>
                                <w:smallCaps w:val="0"/>
                                <w:color w:val="9D2235" w:themeColor="accent1"/>
                                <w:sz w:val="18"/>
                              </w:rPr>
                              <w:fldChar w:fldCharType="separate"/>
                            </w:r>
                            <w:r w:rsidR="00D35A13">
                              <w:rPr>
                                <w:rFonts w:ascii="Arial" w:hAnsi="Arial"/>
                                <w:smallCaps w:val="0"/>
                                <w:noProof/>
                                <w:color w:val="9D2235" w:themeColor="accent1"/>
                                <w:sz w:val="18"/>
                              </w:rPr>
                              <w:t>1</w:t>
                            </w:r>
                            <w:r w:rsidRPr="00D625CE">
                              <w:rPr>
                                <w:rFonts w:ascii="Arial" w:hAnsi="Arial"/>
                                <w:smallCaps w:val="0"/>
                                <w:color w:val="9D2235" w:themeColor="accent1"/>
                                <w:sz w:val="18"/>
                              </w:rPr>
                              <w:fldChar w:fldCharType="end"/>
                            </w:r>
                            <w:r w:rsidRPr="00D625CE">
                              <w:rPr>
                                <w:rFonts w:ascii="Arial" w:hAnsi="Arial"/>
                                <w:smallCaps w:val="0"/>
                                <w:color w:val="9D2235" w:themeColor="accent1"/>
                                <w:sz w:val="18"/>
                              </w:rPr>
                              <w:t xml:space="preserve">. </w:t>
                            </w:r>
                            <w:r w:rsidRPr="00D625CE">
                              <w:rPr>
                                <w:rFonts w:ascii="Arial" w:hAnsi="Arial"/>
                                <w:smallCaps w:val="0"/>
                                <w:sz w:val="18"/>
                              </w:rPr>
                              <w:t>Evolución de usuario/as de la web 2019 a 2021</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600ACE" id="Cuadro de texto 56" o:spid="_x0000_s1034" type="#_x0000_t202" style="position:absolute;left:0;text-align:left;margin-left:-.35pt;margin-top:286.4pt;width:422.55pt;height:.05pt;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" stroked="f">
                <v:textbox style="mso-fit-shape-to-text:t" inset="0,0,0,0">
                  <w:txbxContent>
                    <w:p w14:paraId="1FE19231" w14:textId="6C973AB7" w:rsidR="00D625CE" w:rsidRPr="00D625CE" w:rsidRDefault="00D625CE" w:rsidP="00FF2067">
                      <w:pPr>
                        <w:pStyle w:val="Descripcin"/>
                        <w:spacing w:after="240" w:line="276" w:lineRule="auto"/>
                        <w:jc w:val="center"/>
                        <w:rPr>
                          <w:rFonts w:ascii="Arial" w:eastAsia="Times New Roman" w:hAnsi="Arial" w:cs="Arial"/>
                          <w:smallCaps w:val="0"/>
                          <w:sz w:val="18"/>
                          <w:szCs w:val="21"/>
                        </w:rPr>
                      </w:pPr>
                      <w:bookmarkStart w:id="46" w:name="_Toc99099800"/>
                      <w:r w:rsidRPr="00D625CE">
                        <w:rPr>
                          <w:rFonts w:ascii="Arial" w:hAnsi="Arial"/>
                          <w:smallCaps w:val="0"/>
                          <w:color w:val="9D2235" w:themeColor="accent1"/>
                          <w:sz w:val="18"/>
                        </w:rPr>
                        <w:t xml:space="preserve">Gráfico </w:t>
                      </w:r>
                      <w:r w:rsidRPr="00D625CE">
                        <w:rPr>
                          <w:rFonts w:ascii="Arial" w:hAnsi="Arial"/>
                          <w:smallCaps w:val="0"/>
                          <w:color w:val="9D2235" w:themeColor="accent1"/>
                          <w:sz w:val="18"/>
                        </w:rPr>
                        <w:fldChar w:fldCharType="begin"/>
                      </w:r>
                      <w:r w:rsidRPr="00D625CE">
                        <w:rPr>
                          <w:rFonts w:ascii="Arial" w:hAnsi="Arial"/>
                          <w:smallCaps w:val="0"/>
                          <w:color w:val="9D2235" w:themeColor="accent1"/>
                          <w:sz w:val="18"/>
                        </w:rPr>
                        <w:instrText xml:space="preserve"> SEQ Gráfico \* ARABIC </w:instrText>
                      </w:r>
                      <w:r w:rsidRPr="00D625CE">
                        <w:rPr>
                          <w:rFonts w:ascii="Arial" w:hAnsi="Arial"/>
                          <w:smallCaps w:val="0"/>
                          <w:color w:val="9D2235" w:themeColor="accent1"/>
                          <w:sz w:val="18"/>
                        </w:rPr>
                        <w:fldChar w:fldCharType="separate"/>
                      </w:r>
                      <w:r w:rsidR="00D35A13">
                        <w:rPr>
                          <w:rFonts w:ascii="Arial" w:hAnsi="Arial"/>
                          <w:smallCaps w:val="0"/>
                          <w:noProof/>
                          <w:color w:val="9D2235" w:themeColor="accent1"/>
                          <w:sz w:val="18"/>
                        </w:rPr>
                        <w:t>1</w:t>
                      </w:r>
                      <w:r w:rsidRPr="00D625CE">
                        <w:rPr>
                          <w:rFonts w:ascii="Arial" w:hAnsi="Arial"/>
                          <w:smallCaps w:val="0"/>
                          <w:color w:val="9D2235" w:themeColor="accent1"/>
                          <w:sz w:val="18"/>
                        </w:rPr>
                        <w:fldChar w:fldCharType="end"/>
                      </w:r>
                      <w:r w:rsidRPr="00D625CE">
                        <w:rPr>
                          <w:rFonts w:ascii="Arial" w:hAnsi="Arial"/>
                          <w:smallCaps w:val="0"/>
                          <w:color w:val="9D2235" w:themeColor="accent1"/>
                          <w:sz w:val="18"/>
                        </w:rPr>
                        <w:t xml:space="preserve">. </w:t>
                      </w:r>
                      <w:r w:rsidRPr="00D625CE">
                        <w:rPr>
                          <w:rFonts w:ascii="Arial" w:hAnsi="Arial"/>
                          <w:smallCaps w:val="0"/>
                          <w:sz w:val="18"/>
                        </w:rPr>
                        <w:t>Evolución de usuario/as de la web 2019 a 2021</w:t>
                      </w:r>
                      <w:bookmarkEnd w:id="46"/>
                    </w:p>
                  </w:txbxContent>
                </v:textbox>
                <w10:wrap type="topAndBottom"/>
              </v:shape>
            </w:pict>
          </mc:Fallback>
        </mc:AlternateContent>
      </w:r>
      <w:r w:rsidR="00135383" w:rsidRPr="007E53EF">
        <w:rPr>
          <w:rFonts w:ascii="Arial" w:eastAsia="Times New Roman" w:hAnsi="Arial" w:cs="Arial"/>
          <w:b/>
          <w:noProof/>
          <w:color w:val="9D2235"/>
          <w:sz w:val="28"/>
          <w:szCs w:val="28"/>
        </w:rPr>
        <w:drawing>
          <wp:anchor distT="0" distB="0" distL="114300" distR="114300" simplePos="0" relativeHeight="251970560" behindDoc="0" locked="0" layoutInCell="1" allowOverlap="1" wp14:anchorId="7040F812" wp14:editId="309B2279">
            <wp:simplePos x="0" y="0"/>
            <wp:positionH relativeFrom="margin">
              <wp:align>center</wp:align>
            </wp:positionH>
            <wp:positionV relativeFrom="paragraph">
              <wp:posOffset>805180</wp:posOffset>
            </wp:positionV>
            <wp:extent cx="4572000" cy="2743200"/>
            <wp:effectExtent l="0" t="0" r="0" b="0"/>
            <wp:wrapTopAndBottom/>
            <wp:docPr id="55" name="Gráfico 55" descr="Tipo de gráfico: Columnas agrupadas. &quot;Usuarios de la web&quot; por &quot;Año&quot;&#10;&#10;Descripción generada automáticamente">
              <a:extLst xmlns:a="http://schemas.openxmlformats.org/drawingml/2006/main">
                <a:ext uri="{FF2B5EF4-FFF2-40B4-BE49-F238E27FC236}">
                  <a16:creationId xmlns:a16="http://schemas.microsoft.com/office/drawing/2014/main" id="{9EBFFBFF-5A4C-443C-9B2D-86C23EE614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anchor>
        </w:drawing>
      </w:r>
      <w:r w:rsidR="007E53EF" w:rsidRPr="007E53EF">
        <w:rPr>
          <w:rFonts w:ascii="Arial" w:eastAsia="Times New Roman" w:hAnsi="Arial" w:cs="Arial"/>
          <w:bCs/>
          <w:sz w:val="21"/>
          <w:szCs w:val="21"/>
        </w:rPr>
        <w:t>Con respecto al número de usuarios</w:t>
      </w:r>
      <w:r w:rsidR="0052432F">
        <w:rPr>
          <w:rFonts w:ascii="Arial" w:eastAsia="Times New Roman" w:hAnsi="Arial" w:cs="Arial"/>
          <w:bCs/>
          <w:sz w:val="21"/>
          <w:szCs w:val="21"/>
        </w:rPr>
        <w:t>,</w:t>
      </w:r>
      <w:r w:rsidR="007E53EF" w:rsidRPr="007E53EF">
        <w:rPr>
          <w:rFonts w:ascii="Arial" w:eastAsia="Times New Roman" w:hAnsi="Arial" w:cs="Arial"/>
          <w:bCs/>
          <w:sz w:val="21"/>
          <w:szCs w:val="21"/>
        </w:rPr>
        <w:t xml:space="preserve"> en el año 2021 se ha alcanzado la cifra de 16.772</w:t>
      </w:r>
      <w:r w:rsidR="0052432F">
        <w:rPr>
          <w:rFonts w:ascii="Arial" w:eastAsia="Times New Roman" w:hAnsi="Arial" w:cs="Arial"/>
          <w:bCs/>
          <w:sz w:val="21"/>
          <w:szCs w:val="21"/>
        </w:rPr>
        <w:t>,</w:t>
      </w:r>
      <w:r w:rsidR="007E53EF" w:rsidRPr="007E53EF">
        <w:rPr>
          <w:rFonts w:ascii="Arial" w:eastAsia="Times New Roman" w:hAnsi="Arial" w:cs="Arial"/>
          <w:bCs/>
          <w:sz w:val="21"/>
          <w:szCs w:val="21"/>
        </w:rPr>
        <w:t xml:space="preserve"> frente a los 7.323 del año 2019</w:t>
      </w:r>
      <w:r w:rsidR="0052432F">
        <w:rPr>
          <w:rFonts w:ascii="Arial" w:eastAsia="Times New Roman" w:hAnsi="Arial" w:cs="Arial"/>
          <w:bCs/>
          <w:sz w:val="21"/>
          <w:szCs w:val="21"/>
        </w:rPr>
        <w:t>,</w:t>
      </w:r>
      <w:r w:rsidR="007E53EF" w:rsidRPr="007E53EF">
        <w:rPr>
          <w:rFonts w:ascii="Arial" w:eastAsia="Times New Roman" w:hAnsi="Arial" w:cs="Arial"/>
          <w:bCs/>
          <w:sz w:val="21"/>
          <w:szCs w:val="21"/>
        </w:rPr>
        <w:t xml:space="preserve"> lo que representa un aumento en dos años del 129,03%. De esos 16.772 usuarios registrados</w:t>
      </w:r>
      <w:r w:rsidR="0052432F">
        <w:rPr>
          <w:rFonts w:ascii="Arial" w:eastAsia="Times New Roman" w:hAnsi="Arial" w:cs="Arial"/>
          <w:bCs/>
          <w:sz w:val="21"/>
          <w:szCs w:val="21"/>
        </w:rPr>
        <w:t>,</w:t>
      </w:r>
      <w:r w:rsidR="007E53EF" w:rsidRPr="007E53EF">
        <w:rPr>
          <w:rFonts w:ascii="Arial" w:eastAsia="Times New Roman" w:hAnsi="Arial" w:cs="Arial"/>
          <w:bCs/>
          <w:sz w:val="21"/>
          <w:szCs w:val="21"/>
        </w:rPr>
        <w:t xml:space="preserve"> el 78,21% corresponden a nuevos usuarios</w:t>
      </w:r>
      <w:r w:rsidR="0052432F">
        <w:rPr>
          <w:rFonts w:ascii="Arial" w:eastAsia="Times New Roman" w:hAnsi="Arial" w:cs="Arial"/>
          <w:bCs/>
          <w:sz w:val="21"/>
          <w:szCs w:val="21"/>
        </w:rPr>
        <w:t>,</w:t>
      </w:r>
      <w:r w:rsidR="007E53EF" w:rsidRPr="007E53EF">
        <w:rPr>
          <w:rFonts w:ascii="Arial" w:eastAsia="Times New Roman" w:hAnsi="Arial" w:cs="Arial"/>
          <w:bCs/>
          <w:sz w:val="21"/>
          <w:szCs w:val="21"/>
        </w:rPr>
        <w:t xml:space="preserve"> que nunca antes habían visitado la página web de la Agencia.</w:t>
      </w:r>
    </w:p>
    <w:p w14:paraId="3B7F5435" w14:textId="53E27B77" w:rsidR="007E53EF" w:rsidRDefault="00D625CE" w:rsidP="00AC1A12">
      <w:pPr>
        <w:pStyle w:val="Prrafodelista"/>
        <w:keepNext/>
        <w:numPr>
          <w:ilvl w:val="2"/>
          <w:numId w:val="15"/>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41" w:name="_Toc99106977"/>
      <w:r>
        <w:rPr>
          <w:rFonts w:ascii="Arial" w:eastAsia="Times New Roman" w:hAnsi="Arial" w:cs="Arial"/>
          <w:b/>
          <w:color w:val="9D2235"/>
          <w:sz w:val="28"/>
          <w:szCs w:val="28"/>
        </w:rPr>
        <w:t>Presencia en las redes sociales</w:t>
      </w:r>
      <w:bookmarkEnd w:id="41"/>
    </w:p>
    <w:p w14:paraId="4EB91B47" w14:textId="27F629C9" w:rsidR="009A2FFA" w:rsidRPr="009A2FFA" w:rsidRDefault="009A2FFA" w:rsidP="009A2FFA">
      <w:pPr>
        <w:spacing w:after="240" w:line="276" w:lineRule="auto"/>
        <w:jc w:val="both"/>
        <w:rPr>
          <w:rFonts w:ascii="Arial" w:eastAsia="Times New Roman" w:hAnsi="Arial" w:cs="Open Sans"/>
          <w:sz w:val="21"/>
          <w:szCs w:val="21"/>
          <w:lang w:eastAsia="es-ES"/>
        </w:rPr>
      </w:pPr>
      <w:r w:rsidRPr="009A2FFA">
        <w:rPr>
          <w:rFonts w:ascii="Arial" w:eastAsia="Times New Roman" w:hAnsi="Arial" w:cs="Open Sans"/>
          <w:sz w:val="21"/>
          <w:szCs w:val="21"/>
          <w:lang w:eastAsia="es-ES"/>
        </w:rPr>
        <w:t>Además de la página web</w:t>
      </w:r>
      <w:r w:rsidR="0052432F">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la Agencia Valenciana Antifraude dispone de diferentes perfiles en redes sociales</w:t>
      </w:r>
      <w:r w:rsidR="0052432F">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con el objetivo de informar y comunicar de una forma cercana y directa con la ciudadanía. </w:t>
      </w:r>
    </w:p>
    <w:p w14:paraId="2E58625D" w14:textId="58DA8B30" w:rsidR="009A2FFA" w:rsidRPr="009A2FFA" w:rsidRDefault="009A2FFA" w:rsidP="009A2FFA">
      <w:pPr>
        <w:spacing w:after="240" w:line="276" w:lineRule="auto"/>
        <w:jc w:val="both"/>
        <w:rPr>
          <w:rFonts w:ascii="Arial" w:eastAsia="Times New Roman" w:hAnsi="Arial" w:cs="Open Sans"/>
          <w:sz w:val="21"/>
          <w:szCs w:val="21"/>
          <w:lang w:eastAsia="es-ES"/>
        </w:rPr>
      </w:pPr>
      <w:r w:rsidRPr="009A2FFA">
        <w:rPr>
          <w:rFonts w:ascii="Arial" w:eastAsia="Times New Roman" w:hAnsi="Arial" w:cs="Open Sans"/>
          <w:sz w:val="21"/>
          <w:szCs w:val="21"/>
          <w:lang w:eastAsia="es-ES"/>
        </w:rPr>
        <w:t>Durante el año 2021 ha aumentado la presencia de la AVAF en redes sociales</w:t>
      </w:r>
      <w:r w:rsidR="0052432F">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ya que se han abierto canales en Twitch</w:t>
      </w:r>
      <w:r w:rsidR="0052432F">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además de en ivoox y Spotify</w:t>
      </w:r>
      <w:r w:rsidR="0052432F">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que se han sumado a los canales de Twitter, LinkedIn, Facebook, Instagram, YouTube y Telegram.</w:t>
      </w:r>
    </w:p>
    <w:p w14:paraId="0FC24F06" w14:textId="531A8388" w:rsidR="009A2FFA" w:rsidRPr="009A2FFA" w:rsidRDefault="009A2FFA" w:rsidP="009A2FFA">
      <w:pPr>
        <w:spacing w:after="240" w:line="276" w:lineRule="auto"/>
        <w:jc w:val="both"/>
        <w:rPr>
          <w:rFonts w:ascii="Arial" w:eastAsia="Times New Roman" w:hAnsi="Arial" w:cs="Open Sans"/>
          <w:sz w:val="21"/>
          <w:szCs w:val="21"/>
          <w:lang w:eastAsia="es-ES"/>
        </w:rPr>
      </w:pPr>
      <w:r w:rsidRPr="009A2FFA">
        <w:rPr>
          <w:rFonts w:ascii="Arial" w:eastAsia="Times New Roman" w:hAnsi="Arial" w:cs="Open Sans"/>
          <w:sz w:val="21"/>
          <w:szCs w:val="21"/>
          <w:lang w:eastAsia="es-ES"/>
        </w:rPr>
        <w:t>El perfil en Twitter de la Agencia sigue siento uno de los más activos y con el que se obtiene un mayor alcance. Durante el año 2021 hemos pasado de los 1.133 seguidores a los 1.412</w:t>
      </w:r>
      <w:r w:rsidR="0052432F">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con un aumento de casi 290 seguidores en un año.</w:t>
      </w:r>
    </w:p>
    <w:p w14:paraId="2C5E465D" w14:textId="77777777" w:rsidR="009A2FFA" w:rsidRPr="009A2FFA" w:rsidRDefault="009A2FFA" w:rsidP="009A2FFA">
      <w:pPr>
        <w:spacing w:after="240" w:line="276" w:lineRule="auto"/>
        <w:jc w:val="both"/>
        <w:rPr>
          <w:rFonts w:ascii="Arial" w:eastAsia="Times New Roman" w:hAnsi="Arial" w:cs="Open Sans"/>
          <w:sz w:val="21"/>
          <w:szCs w:val="21"/>
          <w:lang w:eastAsia="es-ES"/>
        </w:rPr>
      </w:pPr>
      <w:r w:rsidRPr="009A2FFA">
        <w:rPr>
          <w:rFonts w:ascii="Arial" w:eastAsia="Times New Roman" w:hAnsi="Arial" w:cs="Open Sans"/>
          <w:sz w:val="21"/>
          <w:szCs w:val="21"/>
          <w:lang w:eastAsia="es-ES"/>
        </w:rPr>
        <w:t>Se han publicado casi 700 tuits que han conseguido más de 600.000 impresiones.</w:t>
      </w:r>
    </w:p>
    <w:p w14:paraId="37BE2591" w14:textId="40ED2E74" w:rsidR="009A2FFA" w:rsidRPr="009A2FFA" w:rsidRDefault="009A2FFA" w:rsidP="009A2FFA">
      <w:pPr>
        <w:spacing w:after="240" w:line="276" w:lineRule="auto"/>
        <w:jc w:val="both"/>
        <w:rPr>
          <w:rFonts w:ascii="Arial" w:eastAsia="Times New Roman" w:hAnsi="Arial" w:cs="Open Sans"/>
          <w:sz w:val="21"/>
          <w:szCs w:val="21"/>
          <w:lang w:eastAsia="es-ES"/>
        </w:rPr>
      </w:pPr>
      <w:r w:rsidRPr="009A2FFA">
        <w:rPr>
          <w:rFonts w:ascii="Arial" w:eastAsia="Times New Roman" w:hAnsi="Arial" w:cs="Open Sans"/>
          <w:sz w:val="21"/>
          <w:szCs w:val="21"/>
          <w:lang w:eastAsia="es-ES"/>
        </w:rPr>
        <w:t>En el caso de LinkedIn</w:t>
      </w:r>
      <w:r w:rsidR="00525CFA">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el aumento registrado ha sido de 168 seguidores</w:t>
      </w:r>
      <w:r w:rsidR="00525CFA">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y se ha pasado de 324 seguidores a 492</w:t>
      </w:r>
      <w:r w:rsidR="00525CFA">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que han propiciado que las 182 publicaciones realizadas hayan registrado más de 32.892 impresiones.</w:t>
      </w:r>
    </w:p>
    <w:p w14:paraId="5955A9D9" w14:textId="3BF1CE4C" w:rsidR="009A2FFA" w:rsidRPr="009A2FFA" w:rsidRDefault="009A2FFA" w:rsidP="009A2FFA">
      <w:pPr>
        <w:spacing w:after="240" w:line="276" w:lineRule="auto"/>
        <w:jc w:val="both"/>
        <w:rPr>
          <w:rFonts w:ascii="Arial" w:eastAsia="Times New Roman" w:hAnsi="Arial" w:cs="Open Sans"/>
          <w:sz w:val="21"/>
          <w:szCs w:val="21"/>
          <w:lang w:eastAsia="es-ES"/>
        </w:rPr>
      </w:pPr>
      <w:r w:rsidRPr="009A2FFA">
        <w:rPr>
          <w:rFonts w:ascii="Arial" w:eastAsia="Times New Roman" w:hAnsi="Arial" w:cs="Open Sans"/>
          <w:sz w:val="21"/>
          <w:szCs w:val="21"/>
          <w:lang w:eastAsia="es-ES"/>
        </w:rPr>
        <w:t>Por su parte</w:t>
      </w:r>
      <w:r w:rsidR="00525CFA">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el perfil de Facebook es el que menos movimiento registra</w:t>
      </w:r>
      <w:r w:rsidR="00525CFA">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y en estos momentos tiene 176 seguidores</w:t>
      </w:r>
      <w:r w:rsidR="00525CFA">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que han conseguido que las más de 180 publicaciones realizadas en esta red hayan alcanzado 3.500 impresiones.</w:t>
      </w:r>
    </w:p>
    <w:p w14:paraId="31965865" w14:textId="10B0C49E" w:rsidR="009A2FFA" w:rsidRPr="009A2FFA" w:rsidRDefault="009A2FFA" w:rsidP="009A2FFA">
      <w:pPr>
        <w:spacing w:after="240" w:line="276" w:lineRule="auto"/>
        <w:jc w:val="both"/>
        <w:rPr>
          <w:rFonts w:ascii="Arial" w:eastAsia="Times New Roman" w:hAnsi="Arial" w:cs="Open Sans"/>
          <w:sz w:val="21"/>
          <w:szCs w:val="21"/>
          <w:lang w:eastAsia="es-ES"/>
        </w:rPr>
      </w:pPr>
      <w:r w:rsidRPr="009A2FFA">
        <w:rPr>
          <w:rFonts w:ascii="Arial" w:eastAsia="Times New Roman" w:hAnsi="Arial" w:cs="Open Sans"/>
          <w:sz w:val="21"/>
          <w:szCs w:val="21"/>
          <w:lang w:eastAsia="es-ES"/>
        </w:rPr>
        <w:t>El caso de Instagram es muy interesante</w:t>
      </w:r>
      <w:r w:rsidR="00525CFA">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sobre todo si lo comparamos con Facebook</w:t>
      </w:r>
      <w:r w:rsidR="00525CFA">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ya que ambos perfiles se crearon simultáneamente</w:t>
      </w:r>
      <w:r w:rsidR="00525CFA">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y mientras en Facebook el número de seguidores es de 176</w:t>
      </w:r>
      <w:r w:rsidR="00525CFA">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en Instagram es de 323. El número de publicaciones realizadas es de 131</w:t>
      </w:r>
      <w:r w:rsidR="00525CFA">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consiguiendo un alcance de 5.200 impresiones. </w:t>
      </w:r>
    </w:p>
    <w:p w14:paraId="322F91A6" w14:textId="00E13998" w:rsidR="009A2FFA" w:rsidRPr="009A2FFA" w:rsidRDefault="009A2FFA" w:rsidP="009A2FFA">
      <w:pPr>
        <w:spacing w:after="240" w:line="276" w:lineRule="auto"/>
        <w:jc w:val="both"/>
        <w:rPr>
          <w:rFonts w:ascii="Arial" w:eastAsia="Times New Roman" w:hAnsi="Arial" w:cs="Open Sans"/>
          <w:sz w:val="21"/>
          <w:szCs w:val="21"/>
          <w:lang w:eastAsia="es-ES"/>
        </w:rPr>
      </w:pPr>
      <w:r w:rsidRPr="009A2FFA">
        <w:rPr>
          <w:rFonts w:ascii="Arial" w:eastAsia="Times New Roman" w:hAnsi="Arial" w:cs="Open Sans"/>
          <w:sz w:val="21"/>
          <w:szCs w:val="21"/>
          <w:lang w:eastAsia="es-ES"/>
        </w:rPr>
        <w:t>El número de publicaciones en Instagram es sensiblemente inferior</w:t>
      </w:r>
      <w:r w:rsidR="00525CFA">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w:t>
      </w:r>
      <w:r w:rsidR="00B904A7" w:rsidRPr="009A2FFA">
        <w:rPr>
          <w:rFonts w:ascii="Arial" w:eastAsia="Times New Roman" w:hAnsi="Arial" w:cs="Open Sans"/>
          <w:sz w:val="21"/>
          <w:szCs w:val="21"/>
          <w:lang w:eastAsia="es-ES"/>
        </w:rPr>
        <w:t>ya que,</w:t>
      </w:r>
      <w:r w:rsidRPr="009A2FFA">
        <w:rPr>
          <w:rFonts w:ascii="Arial" w:eastAsia="Times New Roman" w:hAnsi="Arial" w:cs="Open Sans"/>
          <w:sz w:val="21"/>
          <w:szCs w:val="21"/>
          <w:lang w:eastAsia="es-ES"/>
        </w:rPr>
        <w:t xml:space="preserve"> al ser una red eminentemente visual</w:t>
      </w:r>
      <w:r w:rsidR="00525CFA">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condiciona el tipo de información y contenido que se comparte. A esas 131 publicaciones</w:t>
      </w:r>
      <w:r w:rsidR="00525CFA">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hay que sumar las más de 200 que se han realizado en formato Stories, un formato que desaparece a las 24 horas.</w:t>
      </w:r>
    </w:p>
    <w:p w14:paraId="42C66AC6" w14:textId="3C563737" w:rsidR="009A2FFA" w:rsidRPr="009A2FFA" w:rsidRDefault="009A2FFA" w:rsidP="009A2FFA">
      <w:pPr>
        <w:spacing w:after="240" w:line="276" w:lineRule="auto"/>
        <w:jc w:val="both"/>
        <w:rPr>
          <w:rFonts w:ascii="Arial" w:eastAsia="Times New Roman" w:hAnsi="Arial" w:cs="Open Sans"/>
          <w:sz w:val="21"/>
          <w:szCs w:val="21"/>
          <w:lang w:eastAsia="es-ES"/>
        </w:rPr>
      </w:pPr>
      <w:r w:rsidRPr="009A2FFA">
        <w:rPr>
          <w:rFonts w:ascii="Arial" w:eastAsia="Times New Roman" w:hAnsi="Arial" w:cs="Open Sans"/>
          <w:sz w:val="21"/>
          <w:szCs w:val="21"/>
          <w:lang w:eastAsia="es-ES"/>
        </w:rPr>
        <w:t xml:space="preserve">El canal de </w:t>
      </w:r>
      <w:r w:rsidR="00B904A7" w:rsidRPr="009A2FFA">
        <w:rPr>
          <w:rFonts w:ascii="Arial" w:eastAsia="Times New Roman" w:hAnsi="Arial" w:cs="Open Sans"/>
          <w:sz w:val="21"/>
          <w:szCs w:val="21"/>
          <w:lang w:eastAsia="es-ES"/>
        </w:rPr>
        <w:t>YouTube</w:t>
      </w:r>
      <w:r w:rsidRPr="009A2FFA">
        <w:rPr>
          <w:rFonts w:ascii="Arial" w:eastAsia="Times New Roman" w:hAnsi="Arial" w:cs="Open Sans"/>
          <w:sz w:val="21"/>
          <w:szCs w:val="21"/>
          <w:lang w:eastAsia="es-ES"/>
        </w:rPr>
        <w:t xml:space="preserve"> se ha convertido en el principal repositorio audiovisual de la Agencia y se utiliza principalmente de dos formas: por un lado, para hacer las emisiones en directo de los webinar, jornadas y actos organizados por la Agencia; y por otro</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para la difusión de contenido audiovisual generado</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ya sea a través del formato de “Diálogos de la AVAF” o documentales.</w:t>
      </w:r>
    </w:p>
    <w:p w14:paraId="481E30FB" w14:textId="7E74A172" w:rsidR="009A2FFA" w:rsidRPr="009A2FFA" w:rsidRDefault="009A2FFA" w:rsidP="009A2FFA">
      <w:pPr>
        <w:spacing w:after="240" w:line="276" w:lineRule="auto"/>
        <w:jc w:val="both"/>
        <w:rPr>
          <w:rFonts w:ascii="Arial" w:eastAsia="Times New Roman" w:hAnsi="Arial" w:cs="Open Sans"/>
          <w:sz w:val="21"/>
          <w:szCs w:val="21"/>
          <w:lang w:eastAsia="es-ES"/>
        </w:rPr>
      </w:pPr>
      <w:r w:rsidRPr="009A2FFA">
        <w:rPr>
          <w:rFonts w:ascii="Arial" w:eastAsia="Times New Roman" w:hAnsi="Arial" w:cs="Open Sans"/>
          <w:sz w:val="21"/>
          <w:szCs w:val="21"/>
          <w:lang w:eastAsia="es-ES"/>
        </w:rPr>
        <w:t>Durante el año 2021</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se han publicado un total de 25 vídeos</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que han conseguido más de 4.800 visualizaciones</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y se ha duplicado el número de personas suscritas al canal y alcanzando la cifra de 228.</w:t>
      </w:r>
    </w:p>
    <w:p w14:paraId="34899355" w14:textId="342A2761" w:rsidR="009A2FFA" w:rsidRPr="009A2FFA" w:rsidRDefault="009A2FFA" w:rsidP="009A2FFA">
      <w:pPr>
        <w:spacing w:after="240" w:line="276" w:lineRule="auto"/>
        <w:jc w:val="both"/>
        <w:rPr>
          <w:rFonts w:ascii="Arial" w:eastAsia="Times New Roman" w:hAnsi="Arial" w:cs="Open Sans"/>
          <w:sz w:val="21"/>
          <w:szCs w:val="21"/>
          <w:lang w:eastAsia="es-ES"/>
        </w:rPr>
      </w:pPr>
      <w:r w:rsidRPr="009A2FFA">
        <w:rPr>
          <w:rFonts w:ascii="Arial" w:eastAsia="Times New Roman" w:hAnsi="Arial" w:cs="Open Sans"/>
          <w:sz w:val="21"/>
          <w:szCs w:val="21"/>
          <w:lang w:eastAsia="es-ES"/>
        </w:rPr>
        <w:t xml:space="preserve">Uno de los nuevos perfiles abiertos por la Agencia Valenciana Antifraude es el canal de Twitch, una de las principales plataformas de emisión en directo o </w:t>
      </w:r>
      <w:r w:rsidRPr="009A2FFA">
        <w:rPr>
          <w:rFonts w:ascii="Arial" w:eastAsia="Times New Roman" w:hAnsi="Arial" w:cs="Open Sans"/>
          <w:i/>
          <w:iCs/>
          <w:sz w:val="21"/>
          <w:szCs w:val="21"/>
          <w:lang w:eastAsia="es-ES"/>
        </w:rPr>
        <w:t>streaming</w:t>
      </w:r>
      <w:r w:rsidR="00501D8D">
        <w:rPr>
          <w:rFonts w:ascii="Arial" w:eastAsia="Times New Roman" w:hAnsi="Arial" w:cs="Open Sans"/>
          <w:i/>
          <w:iCs/>
          <w:sz w:val="21"/>
          <w:szCs w:val="21"/>
          <w:lang w:eastAsia="es-ES"/>
        </w:rPr>
        <w:t>,</w:t>
      </w:r>
      <w:r w:rsidRPr="009A2FFA">
        <w:rPr>
          <w:rFonts w:ascii="Arial" w:eastAsia="Times New Roman" w:hAnsi="Arial" w:cs="Open Sans"/>
          <w:sz w:val="21"/>
          <w:szCs w:val="21"/>
          <w:lang w:eastAsia="es-ES"/>
        </w:rPr>
        <w:t xml:space="preserve"> y que en estos momentos tiene 13 suscriptores. Las emisiones en directo de alguno de los webinars de la </w:t>
      </w:r>
      <w:r w:rsidR="00136D0D" w:rsidRPr="009A2FFA">
        <w:rPr>
          <w:rFonts w:ascii="Arial" w:eastAsia="Times New Roman" w:hAnsi="Arial" w:cs="Open Sans"/>
          <w:sz w:val="21"/>
          <w:szCs w:val="21"/>
          <w:lang w:eastAsia="es-ES"/>
        </w:rPr>
        <w:t>Agencia</w:t>
      </w:r>
      <w:r w:rsidRPr="009A2FFA">
        <w:rPr>
          <w:rFonts w:ascii="Arial" w:eastAsia="Times New Roman" w:hAnsi="Arial" w:cs="Open Sans"/>
          <w:sz w:val="21"/>
          <w:szCs w:val="21"/>
          <w:lang w:eastAsia="es-ES"/>
        </w:rPr>
        <w:t xml:space="preserve"> han tenido más alcance en directo a través de Twitch que de YouTube</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lo que es un indicador del potencial que esta plataforma va a tener en los próximos años.</w:t>
      </w:r>
    </w:p>
    <w:p w14:paraId="3ED3070D" w14:textId="34F1B741" w:rsidR="009A2FFA" w:rsidRPr="009A2FFA" w:rsidRDefault="009A2FFA" w:rsidP="009A2FFA">
      <w:pPr>
        <w:spacing w:after="240" w:line="276" w:lineRule="auto"/>
        <w:jc w:val="both"/>
        <w:rPr>
          <w:rFonts w:ascii="Arial" w:eastAsia="Times New Roman" w:hAnsi="Arial" w:cs="Open Sans"/>
          <w:sz w:val="21"/>
          <w:szCs w:val="21"/>
          <w:lang w:eastAsia="es-ES"/>
        </w:rPr>
      </w:pPr>
      <w:r w:rsidRPr="009A2FFA">
        <w:rPr>
          <w:rFonts w:ascii="Arial" w:eastAsia="Times New Roman" w:hAnsi="Arial" w:cs="Open Sans"/>
          <w:sz w:val="21"/>
          <w:szCs w:val="21"/>
          <w:lang w:eastAsia="es-ES"/>
        </w:rPr>
        <w:t>El canal de Telegram registra unos datos más discretos en cuanto a su aumento del número de seguidores</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ya que ha pasado de 79 a 89</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pero es sin embargo importante destacar que las 125 publicaciones realizadas han conseguido una difusión de 15.700 visualizaciones. El motivo de porqué la difusión es tan elevada</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a pesar de contar con un número de seguidores tan reducido</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es porque al enviarse las publicaciones al teléfono móvil facilita que el contenido sea compartido con otros usuarios que no son seguidores del canal.</w:t>
      </w:r>
    </w:p>
    <w:p w14:paraId="78729A54" w14:textId="0302A5B9" w:rsidR="009A2FFA" w:rsidRPr="009A2FFA" w:rsidRDefault="009A2FFA" w:rsidP="00EE6E8C">
      <w:pPr>
        <w:spacing w:after="240" w:line="276" w:lineRule="auto"/>
        <w:jc w:val="both"/>
        <w:rPr>
          <w:rFonts w:ascii="Arial" w:eastAsia="Times New Roman" w:hAnsi="Arial" w:cs="Open Sans"/>
          <w:sz w:val="21"/>
          <w:szCs w:val="21"/>
          <w:lang w:eastAsia="es-ES"/>
        </w:rPr>
      </w:pPr>
      <w:r w:rsidRPr="009A2FFA">
        <w:rPr>
          <w:rFonts w:ascii="Arial" w:eastAsia="Times New Roman" w:hAnsi="Arial" w:cs="Open Sans"/>
          <w:sz w:val="21"/>
          <w:szCs w:val="21"/>
          <w:lang w:eastAsia="es-ES"/>
        </w:rPr>
        <w:t>Si hacemos un recuento de todos los seguidores que tiene la Agencia Valenciana Antifraude</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en todas las redes sociales que tiene presencia</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suman un total de 2.721</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lo que representa un aumento del 68% con respecto a los 1.868 seguidores que tenía en 2020.</w:t>
      </w:r>
    </w:p>
    <w:p w14:paraId="53A409BF" w14:textId="583C4D1D" w:rsidR="009A2FFA" w:rsidRPr="009A2FFA" w:rsidRDefault="009A2FFA" w:rsidP="00EE6E8C">
      <w:pPr>
        <w:spacing w:after="240" w:line="276" w:lineRule="auto"/>
        <w:jc w:val="both"/>
        <w:rPr>
          <w:rFonts w:ascii="Arial" w:eastAsia="Times New Roman" w:hAnsi="Arial" w:cs="Open Sans"/>
          <w:sz w:val="21"/>
          <w:szCs w:val="21"/>
          <w:lang w:eastAsia="es-ES"/>
        </w:rPr>
      </w:pPr>
      <w:r w:rsidRPr="009A2FFA">
        <w:rPr>
          <w:rFonts w:ascii="Arial" w:eastAsia="Times New Roman" w:hAnsi="Arial" w:cs="Open Sans"/>
          <w:sz w:val="21"/>
          <w:szCs w:val="21"/>
          <w:lang w:eastAsia="es-ES"/>
        </w:rPr>
        <w:t>Respecto al alcance de las publicaciones realizadas en redes sociales</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y aún conscientes de dejar fuera de este recuento</w:t>
      </w:r>
      <w:r w:rsidR="00501D8D">
        <w:rPr>
          <w:rFonts w:ascii="Arial" w:eastAsia="Times New Roman" w:hAnsi="Arial" w:cs="Open Sans"/>
          <w:sz w:val="21"/>
          <w:szCs w:val="21"/>
          <w:lang w:eastAsia="es-ES"/>
        </w:rPr>
        <w:t>,</w:t>
      </w:r>
      <w:r w:rsidRPr="009A2FFA">
        <w:rPr>
          <w:rFonts w:ascii="Arial" w:eastAsia="Times New Roman" w:hAnsi="Arial" w:cs="Open Sans"/>
          <w:sz w:val="21"/>
          <w:szCs w:val="21"/>
          <w:lang w:eastAsia="es-ES"/>
        </w:rPr>
        <w:t xml:space="preserve"> por </w:t>
      </w:r>
      <w:r w:rsidR="006F19F5" w:rsidRPr="009A2FFA">
        <w:rPr>
          <w:rFonts w:ascii="Arial" w:eastAsia="Times New Roman" w:hAnsi="Arial" w:cs="Open Sans"/>
          <w:sz w:val="21"/>
          <w:szCs w:val="21"/>
          <w:lang w:eastAsia="es-ES"/>
        </w:rPr>
        <w:t>ejemplo,</w:t>
      </w:r>
      <w:r w:rsidRPr="009A2FFA">
        <w:rPr>
          <w:rFonts w:ascii="Arial" w:eastAsia="Times New Roman" w:hAnsi="Arial" w:cs="Open Sans"/>
          <w:sz w:val="21"/>
          <w:szCs w:val="21"/>
          <w:lang w:eastAsia="es-ES"/>
        </w:rPr>
        <w:t xml:space="preserve"> los alcances de Stories o emisiones en directo, estarían en las 687.000 impresiones.</w:t>
      </w:r>
    </w:p>
    <w:p w14:paraId="1464666A" w14:textId="5725A22F" w:rsidR="009A2FFA" w:rsidRDefault="00F549D1" w:rsidP="00EE6E8C">
      <w:pPr>
        <w:spacing w:after="240" w:line="276" w:lineRule="auto"/>
        <w:jc w:val="both"/>
        <w:rPr>
          <w:rFonts w:ascii="Arial" w:eastAsia="Times New Roman" w:hAnsi="Arial" w:cs="Open Sans"/>
          <w:sz w:val="21"/>
          <w:szCs w:val="21"/>
          <w:lang w:eastAsia="es-ES"/>
        </w:rPr>
      </w:pPr>
      <w:r>
        <w:rPr>
          <w:noProof/>
        </w:rPr>
        <mc:AlternateContent>
          <mc:Choice Requires="wps">
            <w:drawing>
              <wp:anchor distT="0" distB="0" distL="114300" distR="114300" simplePos="0" relativeHeight="252059648" behindDoc="0" locked="0" layoutInCell="1" allowOverlap="1" wp14:anchorId="59CBDAEF" wp14:editId="5AB8D59C">
                <wp:simplePos x="0" y="0"/>
                <wp:positionH relativeFrom="column">
                  <wp:posOffset>707390</wp:posOffset>
                </wp:positionH>
                <wp:positionV relativeFrom="paragraph">
                  <wp:posOffset>3747135</wp:posOffset>
                </wp:positionV>
                <wp:extent cx="3984625" cy="635"/>
                <wp:effectExtent l="0" t="0" r="0" b="0"/>
                <wp:wrapTopAndBottom/>
                <wp:docPr id="13" name="Cuadro de texto 13"/>
                <wp:cNvGraphicFramePr/>
                <a:graphic xmlns:a="http://schemas.openxmlformats.org/drawingml/2006/main">
                  <a:graphicData uri="http://schemas.microsoft.com/office/word/2010/wordprocessingShape">
                    <wps:wsp>
                      <wps:cNvSpPr txBox="1"/>
                      <wps:spPr>
                        <a:xfrm>
                          <a:off x="0" y="0"/>
                          <a:ext cx="3984625" cy="635"/>
                        </a:xfrm>
                        <a:prstGeom prst="rect">
                          <a:avLst/>
                        </a:prstGeom>
                        <a:solidFill>
                          <a:prstClr val="white"/>
                        </a:solidFill>
                        <a:ln>
                          <a:noFill/>
                        </a:ln>
                      </wps:spPr>
                      <wps:txbx>
                        <w:txbxContent>
                          <w:p w14:paraId="694A3021" w14:textId="4834C062" w:rsidR="00F549D1" w:rsidRPr="00F549D1" w:rsidRDefault="00F549D1" w:rsidP="00F549D1">
                            <w:pPr>
                              <w:pStyle w:val="Descripcin"/>
                              <w:jc w:val="center"/>
                              <w:rPr>
                                <w:rFonts w:ascii="Arial" w:eastAsia="Times New Roman" w:hAnsi="Arial" w:cs="Arial"/>
                                <w:smallCaps w:val="0"/>
                                <w:noProof/>
                                <w:sz w:val="18"/>
                                <w:szCs w:val="18"/>
                              </w:rPr>
                            </w:pPr>
                            <w:bookmarkStart w:id="42" w:name="_Toc99099797"/>
                            <w:r w:rsidRPr="00F549D1">
                              <w:rPr>
                                <w:rFonts w:ascii="Arial" w:hAnsi="Arial" w:cs="Arial"/>
                                <w:smallCaps w:val="0"/>
                                <w:color w:val="9D2235" w:themeColor="accent1"/>
                                <w:sz w:val="18"/>
                                <w:szCs w:val="18"/>
                              </w:rPr>
                              <w:t xml:space="preserve">Ilustración </w:t>
                            </w:r>
                            <w:r w:rsidRPr="00F549D1">
                              <w:rPr>
                                <w:rFonts w:ascii="Arial" w:hAnsi="Arial" w:cs="Arial"/>
                                <w:smallCaps w:val="0"/>
                                <w:color w:val="9D2235" w:themeColor="accent1"/>
                                <w:sz w:val="18"/>
                                <w:szCs w:val="18"/>
                              </w:rPr>
                              <w:fldChar w:fldCharType="begin"/>
                            </w:r>
                            <w:r w:rsidRPr="00F549D1">
                              <w:rPr>
                                <w:rFonts w:ascii="Arial" w:hAnsi="Arial" w:cs="Arial"/>
                                <w:smallCaps w:val="0"/>
                                <w:color w:val="9D2235" w:themeColor="accent1"/>
                                <w:sz w:val="18"/>
                                <w:szCs w:val="18"/>
                              </w:rPr>
                              <w:instrText xml:space="preserve"> SEQ Ilustración \* ARABIC </w:instrText>
                            </w:r>
                            <w:r w:rsidRPr="00F549D1">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9</w:t>
                            </w:r>
                            <w:r w:rsidRPr="00F549D1">
                              <w:rPr>
                                <w:rFonts w:ascii="Arial" w:hAnsi="Arial" w:cs="Arial"/>
                                <w:smallCaps w:val="0"/>
                                <w:color w:val="9D2235" w:themeColor="accent1"/>
                                <w:sz w:val="18"/>
                                <w:szCs w:val="18"/>
                              </w:rPr>
                              <w:fldChar w:fldCharType="end"/>
                            </w:r>
                            <w:r w:rsidRPr="00F549D1">
                              <w:rPr>
                                <w:rFonts w:ascii="Arial" w:hAnsi="Arial" w:cs="Arial"/>
                                <w:smallCaps w:val="0"/>
                                <w:sz w:val="18"/>
                                <w:szCs w:val="18"/>
                              </w:rPr>
                              <w:t xml:space="preserve">. Las redes sociales de la </w:t>
                            </w:r>
                            <w:r w:rsidR="005202FE">
                              <w:rPr>
                                <w:rFonts w:ascii="Arial" w:hAnsi="Arial" w:cs="Arial"/>
                                <w:smallCaps w:val="0"/>
                                <w:sz w:val="18"/>
                                <w:szCs w:val="18"/>
                              </w:rPr>
                              <w:t>AVAF</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CBDAEF" id="Cuadro de texto 13" o:spid="_x0000_s1035" type="#_x0000_t202" style="position:absolute;left:0;text-align:left;margin-left:55.7pt;margin-top:295.05pt;width:313.75pt;height:.05pt;z-index:25205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" stroked="f">
                <v:textbox style="mso-fit-shape-to-text:t" inset="0,0,0,0">
                  <w:txbxContent>
                    <w:p w14:paraId="694A3021" w14:textId="4834C062" w:rsidR="00F549D1" w:rsidRPr="00F549D1" w:rsidRDefault="00F549D1" w:rsidP="00F549D1">
                      <w:pPr>
                        <w:pStyle w:val="Descripcin"/>
                        <w:jc w:val="center"/>
                        <w:rPr>
                          <w:rFonts w:ascii="Arial" w:eastAsia="Times New Roman" w:hAnsi="Arial" w:cs="Arial"/>
                          <w:smallCaps w:val="0"/>
                          <w:noProof/>
                          <w:sz w:val="18"/>
                          <w:szCs w:val="18"/>
                        </w:rPr>
                      </w:pPr>
                      <w:bookmarkStart w:id="49" w:name="_Toc99099797"/>
                      <w:r w:rsidRPr="00F549D1">
                        <w:rPr>
                          <w:rFonts w:ascii="Arial" w:hAnsi="Arial" w:cs="Arial"/>
                          <w:smallCaps w:val="0"/>
                          <w:color w:val="9D2235" w:themeColor="accent1"/>
                          <w:sz w:val="18"/>
                          <w:szCs w:val="18"/>
                        </w:rPr>
                        <w:t xml:space="preserve">Ilustración </w:t>
                      </w:r>
                      <w:r w:rsidRPr="00F549D1">
                        <w:rPr>
                          <w:rFonts w:ascii="Arial" w:hAnsi="Arial" w:cs="Arial"/>
                          <w:smallCaps w:val="0"/>
                          <w:color w:val="9D2235" w:themeColor="accent1"/>
                          <w:sz w:val="18"/>
                          <w:szCs w:val="18"/>
                        </w:rPr>
                        <w:fldChar w:fldCharType="begin"/>
                      </w:r>
                      <w:r w:rsidRPr="00F549D1">
                        <w:rPr>
                          <w:rFonts w:ascii="Arial" w:hAnsi="Arial" w:cs="Arial"/>
                          <w:smallCaps w:val="0"/>
                          <w:color w:val="9D2235" w:themeColor="accent1"/>
                          <w:sz w:val="18"/>
                          <w:szCs w:val="18"/>
                        </w:rPr>
                        <w:instrText xml:space="preserve"> SEQ Ilustración \* ARABIC </w:instrText>
                      </w:r>
                      <w:r w:rsidRPr="00F549D1">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9</w:t>
                      </w:r>
                      <w:r w:rsidRPr="00F549D1">
                        <w:rPr>
                          <w:rFonts w:ascii="Arial" w:hAnsi="Arial" w:cs="Arial"/>
                          <w:smallCaps w:val="0"/>
                          <w:color w:val="9D2235" w:themeColor="accent1"/>
                          <w:sz w:val="18"/>
                          <w:szCs w:val="18"/>
                        </w:rPr>
                        <w:fldChar w:fldCharType="end"/>
                      </w:r>
                      <w:r w:rsidRPr="00F549D1">
                        <w:rPr>
                          <w:rFonts w:ascii="Arial" w:hAnsi="Arial" w:cs="Arial"/>
                          <w:smallCaps w:val="0"/>
                          <w:sz w:val="18"/>
                          <w:szCs w:val="18"/>
                        </w:rPr>
                        <w:t xml:space="preserve">. Las redes sociales de la </w:t>
                      </w:r>
                      <w:r w:rsidR="005202FE">
                        <w:rPr>
                          <w:rFonts w:ascii="Arial" w:hAnsi="Arial" w:cs="Arial"/>
                          <w:smallCaps w:val="0"/>
                          <w:sz w:val="18"/>
                          <w:szCs w:val="18"/>
                        </w:rPr>
                        <w:t>AVAF</w:t>
                      </w:r>
                      <w:bookmarkEnd w:id="49"/>
                    </w:p>
                  </w:txbxContent>
                </v:textbox>
                <w10:wrap type="topAndBottom"/>
              </v:shape>
            </w:pict>
          </mc:Fallback>
        </mc:AlternateContent>
      </w:r>
      <w:r w:rsidRPr="006F19F5">
        <w:rPr>
          <w:rFonts w:ascii="Arial" w:eastAsia="Times New Roman" w:hAnsi="Arial" w:cs="Open Sans"/>
          <w:noProof/>
          <w:sz w:val="21"/>
          <w:szCs w:val="21"/>
          <w:lang w:eastAsia="es-ES"/>
        </w:rPr>
        <w:drawing>
          <wp:anchor distT="0" distB="0" distL="114300" distR="114300" simplePos="0" relativeHeight="252057600" behindDoc="0" locked="0" layoutInCell="1" allowOverlap="1" wp14:anchorId="33C8D0D2" wp14:editId="2C7E27A5">
            <wp:simplePos x="0" y="0"/>
            <wp:positionH relativeFrom="margin">
              <wp:align>center</wp:align>
            </wp:positionH>
            <wp:positionV relativeFrom="page">
              <wp:posOffset>2893060</wp:posOffset>
            </wp:positionV>
            <wp:extent cx="3985200" cy="3153600"/>
            <wp:effectExtent l="0" t="0" r="0" b="8890"/>
            <wp:wrapTopAndBottom/>
            <wp:docPr id="62" name="Imagen 15"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5" descr="Texto, Pizarra&#10;&#10;Descripción generada automáticamente"/>
                    <pic:cNvPicPr>
                      <a:picLocks noChangeAspect="1" noChangeArrowheads="1"/>
                    </pic:cNvPicPr>
                  </pic:nvPicPr>
                  <pic:blipFill rotWithShape="1">
                    <a:blip r:embed="rId126"/>
                    <a:srcRect r="-6236"/>
                    <a:stretch/>
                  </pic:blipFill>
                  <pic:spPr bwMode="auto">
                    <a:xfrm>
                      <a:off x="0" y="0"/>
                      <a:ext cx="3985200" cy="3153600"/>
                    </a:xfrm>
                    <a:prstGeom prst="rect">
                      <a:avLst/>
                    </a:prstGeom>
                  </pic:spPr>
                </pic:pic>
              </a:graphicData>
            </a:graphic>
            <wp14:sizeRelH relativeFrom="margin">
              <wp14:pctWidth>0</wp14:pctWidth>
            </wp14:sizeRelH>
            <wp14:sizeRelV relativeFrom="margin">
              <wp14:pctHeight>0</wp14:pctHeight>
            </wp14:sizeRelV>
          </wp:anchor>
        </w:drawing>
      </w:r>
      <w:r w:rsidR="009A2FFA" w:rsidRPr="009A2FFA">
        <w:rPr>
          <w:rFonts w:ascii="Arial" w:eastAsia="Times New Roman" w:hAnsi="Arial" w:cs="Open Sans"/>
          <w:sz w:val="21"/>
          <w:szCs w:val="21"/>
          <w:lang w:eastAsia="es-ES"/>
        </w:rPr>
        <w:t>Si lo comparamos con el año 2020</w:t>
      </w:r>
      <w:r w:rsidR="0093524E">
        <w:rPr>
          <w:rFonts w:ascii="Arial" w:eastAsia="Times New Roman" w:hAnsi="Arial" w:cs="Open Sans"/>
          <w:sz w:val="21"/>
          <w:szCs w:val="21"/>
          <w:lang w:eastAsia="es-ES"/>
        </w:rPr>
        <w:t>,</w:t>
      </w:r>
      <w:r w:rsidR="009A2FFA" w:rsidRPr="009A2FFA">
        <w:rPr>
          <w:rFonts w:ascii="Arial" w:eastAsia="Times New Roman" w:hAnsi="Arial" w:cs="Open Sans"/>
          <w:sz w:val="21"/>
          <w:szCs w:val="21"/>
          <w:lang w:eastAsia="es-ES"/>
        </w:rPr>
        <w:t xml:space="preserve"> que las impresiones fueron de 203.000</w:t>
      </w:r>
      <w:r w:rsidR="0093524E">
        <w:rPr>
          <w:rFonts w:ascii="Arial" w:eastAsia="Times New Roman" w:hAnsi="Arial" w:cs="Open Sans"/>
          <w:sz w:val="21"/>
          <w:szCs w:val="21"/>
          <w:lang w:eastAsia="es-ES"/>
        </w:rPr>
        <w:t>,</w:t>
      </w:r>
      <w:r w:rsidR="009A2FFA" w:rsidRPr="009A2FFA">
        <w:rPr>
          <w:rFonts w:ascii="Arial" w:eastAsia="Times New Roman" w:hAnsi="Arial" w:cs="Open Sans"/>
          <w:sz w:val="21"/>
          <w:szCs w:val="21"/>
          <w:lang w:eastAsia="es-ES"/>
        </w:rPr>
        <w:t xml:space="preserve"> se ha registrado un aumento del 41% en el año 2021</w:t>
      </w:r>
      <w:r w:rsidR="0093524E">
        <w:rPr>
          <w:rFonts w:ascii="Arial" w:eastAsia="Times New Roman" w:hAnsi="Arial" w:cs="Open Sans"/>
          <w:sz w:val="21"/>
          <w:szCs w:val="21"/>
          <w:lang w:eastAsia="es-ES"/>
        </w:rPr>
        <w:t>,</w:t>
      </w:r>
      <w:r w:rsidR="009A2FFA" w:rsidRPr="009A2FFA">
        <w:rPr>
          <w:rFonts w:ascii="Arial" w:eastAsia="Times New Roman" w:hAnsi="Arial" w:cs="Open Sans"/>
          <w:sz w:val="21"/>
          <w:szCs w:val="21"/>
          <w:lang w:eastAsia="es-ES"/>
        </w:rPr>
        <w:t xml:space="preserve"> hasta las 687.000 impresiones</w:t>
      </w:r>
    </w:p>
    <w:p w14:paraId="3CE7CECC" w14:textId="64F50407" w:rsidR="00D625CE" w:rsidRDefault="00752FAC" w:rsidP="00EE6E8C">
      <w:pPr>
        <w:pStyle w:val="Prrafodelista"/>
        <w:keepNext/>
        <w:numPr>
          <w:ilvl w:val="1"/>
          <w:numId w:val="15"/>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43" w:name="_Toc99106978"/>
      <w:r>
        <w:rPr>
          <w:rFonts w:ascii="Arial" w:eastAsia="Times New Roman" w:hAnsi="Arial" w:cs="Arial"/>
          <w:b/>
          <w:color w:val="9D2235"/>
          <w:sz w:val="32"/>
          <w:szCs w:val="32"/>
        </w:rPr>
        <w:t>Medios de comunicación</w:t>
      </w:r>
      <w:bookmarkEnd w:id="43"/>
    </w:p>
    <w:p w14:paraId="6D2EC092" w14:textId="380FFB3A" w:rsidR="005423C8" w:rsidRPr="005423C8" w:rsidRDefault="005423C8" w:rsidP="00EE6E8C">
      <w:pPr>
        <w:spacing w:after="240" w:line="276" w:lineRule="auto"/>
        <w:jc w:val="both"/>
        <w:rPr>
          <w:rFonts w:ascii="Arial" w:eastAsia="Times New Roman" w:hAnsi="Arial" w:cs="Arial"/>
          <w:bCs/>
          <w:sz w:val="21"/>
          <w:szCs w:val="21"/>
        </w:rPr>
      </w:pPr>
      <w:r w:rsidRPr="005423C8">
        <w:rPr>
          <w:rFonts w:ascii="Arial" w:eastAsia="Times New Roman" w:hAnsi="Arial" w:cs="Arial"/>
          <w:bCs/>
          <w:sz w:val="21"/>
          <w:szCs w:val="21"/>
        </w:rPr>
        <w:t>La Agencia y los medios de comunicación han mantenido durante el año 202</w:t>
      </w:r>
      <w:r w:rsidR="0093524E">
        <w:rPr>
          <w:rFonts w:ascii="Arial" w:eastAsia="Times New Roman" w:hAnsi="Arial" w:cs="Arial"/>
          <w:bCs/>
          <w:sz w:val="21"/>
          <w:szCs w:val="21"/>
        </w:rPr>
        <w:t>1</w:t>
      </w:r>
      <w:r w:rsidRPr="005423C8">
        <w:rPr>
          <w:rFonts w:ascii="Arial" w:eastAsia="Times New Roman" w:hAnsi="Arial" w:cs="Arial"/>
          <w:bCs/>
          <w:sz w:val="21"/>
          <w:szCs w:val="21"/>
        </w:rPr>
        <w:t xml:space="preserve"> una relación fluida</w:t>
      </w:r>
      <w:r w:rsidR="0093524E">
        <w:rPr>
          <w:rFonts w:ascii="Arial" w:eastAsia="Times New Roman" w:hAnsi="Arial" w:cs="Arial"/>
          <w:bCs/>
          <w:sz w:val="21"/>
          <w:szCs w:val="21"/>
        </w:rPr>
        <w:t>,</w:t>
      </w:r>
      <w:r w:rsidRPr="005423C8">
        <w:rPr>
          <w:rFonts w:ascii="Arial" w:eastAsia="Times New Roman" w:hAnsi="Arial" w:cs="Arial"/>
          <w:bCs/>
          <w:sz w:val="21"/>
          <w:szCs w:val="21"/>
        </w:rPr>
        <w:t xml:space="preserve"> tanto en el ámbito de la Comunitat Valenciana como en el resto de España.</w:t>
      </w:r>
    </w:p>
    <w:p w14:paraId="359E9315" w14:textId="0F389BEE" w:rsidR="005423C8" w:rsidRPr="005423C8" w:rsidRDefault="005423C8" w:rsidP="00EE6E8C">
      <w:pPr>
        <w:spacing w:after="240" w:line="276" w:lineRule="auto"/>
        <w:jc w:val="both"/>
        <w:rPr>
          <w:rFonts w:ascii="Arial" w:eastAsia="Times New Roman" w:hAnsi="Arial" w:cs="Arial"/>
          <w:bCs/>
          <w:sz w:val="21"/>
          <w:szCs w:val="21"/>
        </w:rPr>
      </w:pPr>
      <w:r w:rsidRPr="005423C8">
        <w:rPr>
          <w:rFonts w:ascii="Arial" w:eastAsia="Times New Roman" w:hAnsi="Arial" w:cs="Arial"/>
          <w:bCs/>
          <w:sz w:val="21"/>
          <w:szCs w:val="21"/>
        </w:rPr>
        <w:t xml:space="preserve">Se ha de tomar en consideración, no obstante, que la Agencia, por su propia naturaleza y como así establece su Ley de creación en el artículo 8: </w:t>
      </w:r>
      <w:r w:rsidRPr="00CF04AA">
        <w:rPr>
          <w:rFonts w:ascii="Arial" w:eastAsia="Times New Roman" w:hAnsi="Arial" w:cs="Arial"/>
          <w:bCs/>
          <w:iCs/>
          <w:sz w:val="21"/>
          <w:szCs w:val="21"/>
        </w:rPr>
        <w:t>“Las actuaciones de la Agencia han de asegurar, en todo caso, la reserva máxima para evitar perjuicios a la persona o a la entidad investigada y como salvaguarda de la eficacia del procedimiento jurisdiccional o administrativo que se pueda iniciar como consecuencia de estas actuaciones”</w:t>
      </w:r>
      <w:r w:rsidRPr="005423C8">
        <w:rPr>
          <w:rFonts w:ascii="Arial" w:eastAsia="Times New Roman" w:hAnsi="Arial" w:cs="Arial"/>
          <w:bCs/>
          <w:sz w:val="21"/>
          <w:szCs w:val="21"/>
        </w:rPr>
        <w:t>, no puede en modo alguno facilitar a los medios de comunicación</w:t>
      </w:r>
      <w:r w:rsidR="00BE511F">
        <w:rPr>
          <w:rFonts w:ascii="Arial" w:eastAsia="Times New Roman" w:hAnsi="Arial" w:cs="Arial"/>
          <w:bCs/>
          <w:sz w:val="21"/>
          <w:szCs w:val="21"/>
        </w:rPr>
        <w:t>,</w:t>
      </w:r>
      <w:r w:rsidRPr="005423C8">
        <w:rPr>
          <w:rFonts w:ascii="Arial" w:eastAsia="Times New Roman" w:hAnsi="Arial" w:cs="Arial"/>
          <w:bCs/>
          <w:sz w:val="21"/>
          <w:szCs w:val="21"/>
        </w:rPr>
        <w:t xml:space="preserve"> información ni opiniones sobre las actuaciones concretas de investigación de los expedientes que se encuentran en fase de análisis o estudio.</w:t>
      </w:r>
    </w:p>
    <w:p w14:paraId="207730C5" w14:textId="3F64D7CC" w:rsidR="006F19F5" w:rsidRDefault="005423C8" w:rsidP="00EE6E8C">
      <w:pPr>
        <w:spacing w:after="240" w:line="276" w:lineRule="auto"/>
        <w:jc w:val="both"/>
        <w:rPr>
          <w:rFonts w:ascii="Arial" w:eastAsia="Times New Roman" w:hAnsi="Arial" w:cs="Arial"/>
          <w:bCs/>
          <w:sz w:val="21"/>
          <w:szCs w:val="21"/>
        </w:rPr>
      </w:pPr>
      <w:r w:rsidRPr="005423C8">
        <w:rPr>
          <w:rFonts w:ascii="Arial" w:eastAsia="Times New Roman" w:hAnsi="Arial" w:cs="Arial"/>
          <w:bCs/>
          <w:sz w:val="21"/>
          <w:szCs w:val="21"/>
        </w:rPr>
        <w:t>A pesar de esta limitación</w:t>
      </w:r>
      <w:r w:rsidR="00BE511F">
        <w:rPr>
          <w:rFonts w:ascii="Arial" w:eastAsia="Times New Roman" w:hAnsi="Arial" w:cs="Arial"/>
          <w:bCs/>
          <w:sz w:val="21"/>
          <w:szCs w:val="21"/>
        </w:rPr>
        <w:t>,</w:t>
      </w:r>
      <w:r w:rsidRPr="005423C8">
        <w:rPr>
          <w:rFonts w:ascii="Arial" w:eastAsia="Times New Roman" w:hAnsi="Arial" w:cs="Arial"/>
          <w:bCs/>
          <w:sz w:val="21"/>
          <w:szCs w:val="21"/>
        </w:rPr>
        <w:t xml:space="preserve"> la totalidad de los medios: radio, prensa y televisión, siempre han encontrado la total y abierta disposición de la Agencia para informar de la actividad que lleva a cabo, así como de los diversos aspectos relacionados con su funcionamiento y con las relaciones exteriores que ha mantenido, tanto en el ámbito de la Comunitat Valenciana como en el nacional e internacional. </w:t>
      </w:r>
    </w:p>
    <w:p w14:paraId="25B77EF6" w14:textId="3E9B3F03" w:rsidR="005423C8" w:rsidRPr="005423C8" w:rsidRDefault="005423C8" w:rsidP="00EE6E8C">
      <w:pPr>
        <w:spacing w:line="276" w:lineRule="auto"/>
        <w:jc w:val="both"/>
        <w:rPr>
          <w:rFonts w:ascii="Arial" w:eastAsia="Times New Roman" w:hAnsi="Arial" w:cs="Arial"/>
          <w:bCs/>
          <w:sz w:val="21"/>
          <w:szCs w:val="21"/>
        </w:rPr>
      </w:pPr>
      <w:r w:rsidRPr="005423C8">
        <w:rPr>
          <w:rFonts w:ascii="Arial" w:eastAsia="Times New Roman" w:hAnsi="Arial" w:cs="Arial"/>
          <w:bCs/>
          <w:sz w:val="21"/>
          <w:szCs w:val="21"/>
        </w:rPr>
        <w:t>Así mismo, se ha dado traslado a los medios de comunicación</w:t>
      </w:r>
      <w:r w:rsidR="00504666">
        <w:rPr>
          <w:rFonts w:ascii="Arial" w:eastAsia="Times New Roman" w:hAnsi="Arial" w:cs="Arial"/>
          <w:bCs/>
          <w:sz w:val="21"/>
          <w:szCs w:val="21"/>
        </w:rPr>
        <w:t xml:space="preserve"> de</w:t>
      </w:r>
      <w:r w:rsidRPr="005423C8">
        <w:rPr>
          <w:rFonts w:ascii="Arial" w:eastAsia="Times New Roman" w:hAnsi="Arial" w:cs="Arial"/>
          <w:bCs/>
          <w:sz w:val="21"/>
          <w:szCs w:val="21"/>
        </w:rPr>
        <w:t xml:space="preserve"> las actividades llevadas a cabo que han sido dirigidas al público en general</w:t>
      </w:r>
      <w:r w:rsidR="00BE511F">
        <w:rPr>
          <w:rFonts w:ascii="Arial" w:eastAsia="Times New Roman" w:hAnsi="Arial" w:cs="Arial"/>
          <w:bCs/>
          <w:sz w:val="21"/>
          <w:szCs w:val="21"/>
        </w:rPr>
        <w:t>,</w:t>
      </w:r>
      <w:r w:rsidRPr="005423C8">
        <w:rPr>
          <w:rFonts w:ascii="Arial" w:eastAsia="Times New Roman" w:hAnsi="Arial" w:cs="Arial"/>
          <w:bCs/>
          <w:sz w:val="21"/>
          <w:szCs w:val="21"/>
        </w:rPr>
        <w:t xml:space="preserve"> para que tengan la difusión adecuada. Diariamente se hace una recopilación de todas las menciones que aparecen en medios de comunicación y hacen referencia a la Agencia.</w:t>
      </w:r>
    </w:p>
    <w:p w14:paraId="061BC370" w14:textId="5B359263" w:rsidR="00886810" w:rsidRPr="005423C8" w:rsidRDefault="005423C8" w:rsidP="00A12857">
      <w:pPr>
        <w:spacing w:after="240" w:line="276" w:lineRule="auto"/>
        <w:jc w:val="both"/>
        <w:rPr>
          <w:rFonts w:ascii="Arial" w:eastAsia="Times New Roman" w:hAnsi="Arial" w:cs="Arial"/>
          <w:bCs/>
          <w:sz w:val="21"/>
          <w:szCs w:val="21"/>
        </w:rPr>
      </w:pPr>
      <w:r w:rsidRPr="005423C8">
        <w:rPr>
          <w:rFonts w:ascii="Arial" w:eastAsia="Times New Roman" w:hAnsi="Arial" w:cs="Arial"/>
          <w:bCs/>
          <w:sz w:val="21"/>
          <w:szCs w:val="21"/>
        </w:rPr>
        <w:t>Cabe destacar</w:t>
      </w:r>
      <w:r w:rsidR="00BE511F">
        <w:rPr>
          <w:rFonts w:ascii="Arial" w:eastAsia="Times New Roman" w:hAnsi="Arial" w:cs="Arial"/>
          <w:bCs/>
          <w:sz w:val="21"/>
          <w:szCs w:val="21"/>
        </w:rPr>
        <w:t>,</w:t>
      </w:r>
      <w:r w:rsidRPr="005423C8">
        <w:rPr>
          <w:rFonts w:ascii="Arial" w:eastAsia="Times New Roman" w:hAnsi="Arial" w:cs="Arial"/>
          <w:bCs/>
          <w:sz w:val="21"/>
          <w:szCs w:val="21"/>
        </w:rPr>
        <w:t xml:space="preserve"> el elevado aumento de las menciones </w:t>
      </w:r>
      <w:r w:rsidR="00BE511F">
        <w:rPr>
          <w:rFonts w:ascii="Arial" w:eastAsia="Times New Roman" w:hAnsi="Arial" w:cs="Arial"/>
          <w:bCs/>
          <w:sz w:val="21"/>
          <w:szCs w:val="21"/>
        </w:rPr>
        <w:t xml:space="preserve">en </w:t>
      </w:r>
      <w:r w:rsidRPr="005423C8">
        <w:rPr>
          <w:rFonts w:ascii="Arial" w:eastAsia="Times New Roman" w:hAnsi="Arial" w:cs="Arial"/>
          <w:bCs/>
          <w:sz w:val="21"/>
          <w:szCs w:val="21"/>
        </w:rPr>
        <w:t>medios de la Agencia Valenciana Antifraude, pasando de las 560 menciones en 2020</w:t>
      </w:r>
      <w:r w:rsidR="00BE511F">
        <w:rPr>
          <w:rFonts w:ascii="Arial" w:eastAsia="Times New Roman" w:hAnsi="Arial" w:cs="Arial"/>
          <w:bCs/>
          <w:sz w:val="21"/>
          <w:szCs w:val="21"/>
        </w:rPr>
        <w:t>,</w:t>
      </w:r>
      <w:r w:rsidRPr="005423C8">
        <w:rPr>
          <w:rFonts w:ascii="Arial" w:eastAsia="Times New Roman" w:hAnsi="Arial" w:cs="Arial"/>
          <w:bCs/>
          <w:sz w:val="21"/>
          <w:szCs w:val="21"/>
        </w:rPr>
        <w:t xml:space="preserve"> a las 1.002 menciones registradas en 2021. Un incremento que supone un 78.93 % de menciones más en un año.</w:t>
      </w:r>
    </w:p>
    <w:p w14:paraId="724F83FA" w14:textId="09F36B16" w:rsidR="005423C8" w:rsidRDefault="005423C8" w:rsidP="00770B30">
      <w:pPr>
        <w:spacing w:after="240" w:line="276" w:lineRule="auto"/>
        <w:jc w:val="both"/>
        <w:rPr>
          <w:rFonts w:ascii="Arial" w:eastAsia="Times New Roman" w:hAnsi="Arial" w:cs="Arial"/>
          <w:bCs/>
          <w:sz w:val="21"/>
          <w:szCs w:val="21"/>
        </w:rPr>
      </w:pPr>
      <w:r w:rsidRPr="005423C8">
        <w:rPr>
          <w:rFonts w:ascii="Arial" w:eastAsia="Times New Roman" w:hAnsi="Arial" w:cs="Arial"/>
          <w:bCs/>
          <w:sz w:val="21"/>
          <w:szCs w:val="21"/>
        </w:rPr>
        <w:t>En el siguiente gráfico</w:t>
      </w:r>
      <w:r w:rsidR="00BE511F">
        <w:rPr>
          <w:rFonts w:ascii="Arial" w:eastAsia="Times New Roman" w:hAnsi="Arial" w:cs="Arial"/>
          <w:bCs/>
          <w:sz w:val="21"/>
          <w:szCs w:val="21"/>
        </w:rPr>
        <w:t>,</w:t>
      </w:r>
      <w:r w:rsidRPr="005423C8">
        <w:rPr>
          <w:rFonts w:ascii="Arial" w:eastAsia="Times New Roman" w:hAnsi="Arial" w:cs="Arial"/>
          <w:bCs/>
          <w:sz w:val="21"/>
          <w:szCs w:val="21"/>
        </w:rPr>
        <w:t xml:space="preserve"> se recogen las menciones según el medio de comunicación y en donde</w:t>
      </w:r>
      <w:r w:rsidR="00BE511F">
        <w:rPr>
          <w:rFonts w:ascii="Arial" w:eastAsia="Times New Roman" w:hAnsi="Arial" w:cs="Arial"/>
          <w:bCs/>
          <w:sz w:val="21"/>
          <w:szCs w:val="21"/>
        </w:rPr>
        <w:t>,</w:t>
      </w:r>
      <w:r w:rsidRPr="005423C8">
        <w:rPr>
          <w:rFonts w:ascii="Arial" w:eastAsia="Times New Roman" w:hAnsi="Arial" w:cs="Arial"/>
          <w:bCs/>
          <w:sz w:val="21"/>
          <w:szCs w:val="21"/>
        </w:rPr>
        <w:t xml:space="preserve"> tanto los medios digitales con un 46%</w:t>
      </w:r>
      <w:r w:rsidR="00BE511F">
        <w:rPr>
          <w:rFonts w:ascii="Arial" w:eastAsia="Times New Roman" w:hAnsi="Arial" w:cs="Arial"/>
          <w:bCs/>
          <w:sz w:val="21"/>
          <w:szCs w:val="21"/>
        </w:rPr>
        <w:t>,</w:t>
      </w:r>
      <w:r w:rsidRPr="005423C8">
        <w:rPr>
          <w:rFonts w:ascii="Arial" w:eastAsia="Times New Roman" w:hAnsi="Arial" w:cs="Arial"/>
          <w:bCs/>
          <w:sz w:val="21"/>
          <w:szCs w:val="21"/>
        </w:rPr>
        <w:t xml:space="preserve"> como la prensa escrita con un 44%</w:t>
      </w:r>
      <w:r w:rsidR="00BE511F">
        <w:rPr>
          <w:rFonts w:ascii="Arial" w:eastAsia="Times New Roman" w:hAnsi="Arial" w:cs="Arial"/>
          <w:bCs/>
          <w:sz w:val="21"/>
          <w:szCs w:val="21"/>
        </w:rPr>
        <w:t>,</w:t>
      </w:r>
      <w:r w:rsidRPr="005423C8">
        <w:rPr>
          <w:rFonts w:ascii="Arial" w:eastAsia="Times New Roman" w:hAnsi="Arial" w:cs="Arial"/>
          <w:bCs/>
          <w:sz w:val="21"/>
          <w:szCs w:val="21"/>
        </w:rPr>
        <w:t xml:space="preserve"> acaparan la mayoría de ellas. También en este año se ha producido un cambio de tendencia en cuanto a las menciones, por primera vez, las menciones de los medios digitales superan a las menciones en prensa escrita.</w:t>
      </w:r>
    </w:p>
    <w:p w14:paraId="2B03CFFF" w14:textId="468EBAA3" w:rsidR="005423C8" w:rsidRPr="005423C8" w:rsidRDefault="00277437" w:rsidP="00770B30">
      <w:pPr>
        <w:spacing w:after="240" w:line="276" w:lineRule="auto"/>
        <w:jc w:val="both"/>
        <w:rPr>
          <w:rFonts w:ascii="Arial" w:eastAsia="Times New Roman" w:hAnsi="Arial" w:cs="Arial"/>
          <w:bCs/>
          <w:sz w:val="21"/>
          <w:szCs w:val="21"/>
        </w:rPr>
      </w:pPr>
      <w:r>
        <w:rPr>
          <w:noProof/>
        </w:rPr>
        <mc:AlternateContent>
          <mc:Choice Requires="wps">
            <w:drawing>
              <wp:anchor distT="0" distB="0" distL="114300" distR="114300" simplePos="0" relativeHeight="252053504" behindDoc="0" locked="0" layoutInCell="1" allowOverlap="1" wp14:anchorId="73B34856" wp14:editId="10A8241F">
                <wp:simplePos x="0" y="0"/>
                <wp:positionH relativeFrom="margin">
                  <wp:align>left</wp:align>
                </wp:positionH>
                <wp:positionV relativeFrom="paragraph">
                  <wp:posOffset>3204210</wp:posOffset>
                </wp:positionV>
                <wp:extent cx="5400675" cy="222250"/>
                <wp:effectExtent l="0" t="0" r="9525" b="6350"/>
                <wp:wrapTopAndBottom/>
                <wp:docPr id="100" name="Cuadro de texto 100"/>
                <wp:cNvGraphicFramePr/>
                <a:graphic xmlns:a="http://schemas.openxmlformats.org/drawingml/2006/main">
                  <a:graphicData uri="http://schemas.microsoft.com/office/word/2010/wordprocessingShape">
                    <wps:wsp>
                      <wps:cNvSpPr txBox="1"/>
                      <wps:spPr>
                        <a:xfrm>
                          <a:off x="0" y="0"/>
                          <a:ext cx="5400675" cy="222250"/>
                        </a:xfrm>
                        <a:prstGeom prst="rect">
                          <a:avLst/>
                        </a:prstGeom>
                        <a:solidFill>
                          <a:prstClr val="white"/>
                        </a:solidFill>
                        <a:ln>
                          <a:noFill/>
                        </a:ln>
                      </wps:spPr>
                      <wps:txbx>
                        <w:txbxContent>
                          <w:p w14:paraId="0ACA98BA" w14:textId="41E5DCED" w:rsidR="00277437" w:rsidRPr="00277437" w:rsidRDefault="00277437" w:rsidP="00277437">
                            <w:pPr>
                              <w:pStyle w:val="Descripcin"/>
                              <w:spacing w:after="240" w:line="276" w:lineRule="auto"/>
                              <w:jc w:val="center"/>
                              <w:rPr>
                                <w:rFonts w:ascii="Arial" w:hAnsi="Arial" w:cs="Arial"/>
                                <w:smallCaps w:val="0"/>
                                <w:noProof/>
                                <w:sz w:val="18"/>
                                <w:szCs w:val="18"/>
                              </w:rPr>
                            </w:pPr>
                            <w:bookmarkStart w:id="44" w:name="_Toc99099801"/>
                            <w:r w:rsidRPr="00277437">
                              <w:rPr>
                                <w:rFonts w:ascii="Arial" w:hAnsi="Arial" w:cs="Arial"/>
                                <w:smallCaps w:val="0"/>
                                <w:color w:val="9D2235" w:themeColor="accent1"/>
                                <w:sz w:val="18"/>
                                <w:szCs w:val="18"/>
                              </w:rPr>
                              <w:t xml:space="preserve">Gráfico </w:t>
                            </w:r>
                            <w:r w:rsidRPr="00277437">
                              <w:rPr>
                                <w:rFonts w:ascii="Arial" w:hAnsi="Arial" w:cs="Arial"/>
                                <w:smallCaps w:val="0"/>
                                <w:color w:val="9D2235" w:themeColor="accent1"/>
                                <w:sz w:val="18"/>
                                <w:szCs w:val="18"/>
                              </w:rPr>
                              <w:fldChar w:fldCharType="begin"/>
                            </w:r>
                            <w:r w:rsidRPr="00277437">
                              <w:rPr>
                                <w:rFonts w:ascii="Arial" w:hAnsi="Arial" w:cs="Arial"/>
                                <w:smallCaps w:val="0"/>
                                <w:color w:val="9D2235" w:themeColor="accent1"/>
                                <w:sz w:val="18"/>
                                <w:szCs w:val="18"/>
                              </w:rPr>
                              <w:instrText xml:space="preserve"> SEQ Gráfico \* ARABIC </w:instrText>
                            </w:r>
                            <w:r w:rsidRPr="00277437">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2</w:t>
                            </w:r>
                            <w:r w:rsidRPr="00277437">
                              <w:rPr>
                                <w:rFonts w:ascii="Arial" w:hAnsi="Arial" w:cs="Arial"/>
                                <w:smallCaps w:val="0"/>
                                <w:color w:val="9D2235" w:themeColor="accent1"/>
                                <w:sz w:val="18"/>
                                <w:szCs w:val="18"/>
                              </w:rPr>
                              <w:fldChar w:fldCharType="end"/>
                            </w:r>
                            <w:r w:rsidRPr="00277437">
                              <w:rPr>
                                <w:rFonts w:ascii="Arial" w:hAnsi="Arial" w:cs="Arial"/>
                                <w:smallCaps w:val="0"/>
                                <w:color w:val="9D2235" w:themeColor="accent1"/>
                                <w:sz w:val="18"/>
                                <w:szCs w:val="18"/>
                              </w:rPr>
                              <w:t xml:space="preserve">. </w:t>
                            </w:r>
                            <w:r w:rsidRPr="00277437">
                              <w:rPr>
                                <w:rFonts w:ascii="Arial" w:hAnsi="Arial" w:cs="Arial"/>
                                <w:smallCaps w:val="0"/>
                                <w:sz w:val="18"/>
                                <w:szCs w:val="18"/>
                              </w:rPr>
                              <w:t>Menciones de la A</w:t>
                            </w:r>
                            <w:r w:rsidR="007370A7">
                              <w:rPr>
                                <w:rFonts w:ascii="Arial" w:hAnsi="Arial" w:cs="Arial"/>
                                <w:smallCaps w:val="0"/>
                                <w:sz w:val="18"/>
                                <w:szCs w:val="18"/>
                              </w:rPr>
                              <w:t>VAF</w:t>
                            </w:r>
                            <w:r w:rsidRPr="00277437">
                              <w:rPr>
                                <w:rFonts w:ascii="Arial" w:hAnsi="Arial" w:cs="Arial"/>
                                <w:smallCaps w:val="0"/>
                                <w:sz w:val="18"/>
                                <w:szCs w:val="18"/>
                              </w:rPr>
                              <w:t xml:space="preserve"> según el medio de comunicación</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B34856" id="Cuadro de texto 100" o:spid="_x0000_s1036" type="#_x0000_t202" style="position:absolute;left:0;text-align:left;margin-left:0;margin-top:252.3pt;width:425.25pt;height:17.5pt;z-index:2520535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" stroked="f">
                <v:textbox inset="0,0,0,0">
                  <w:txbxContent>
                    <w:p w14:paraId="0ACA98BA" w14:textId="41E5DCED" w:rsidR="00277437" w:rsidRPr="00277437" w:rsidRDefault="00277437" w:rsidP="00277437">
                      <w:pPr>
                        <w:pStyle w:val="Descripcin"/>
                        <w:spacing w:after="240" w:line="276" w:lineRule="auto"/>
                        <w:jc w:val="center"/>
                        <w:rPr>
                          <w:rFonts w:ascii="Arial" w:hAnsi="Arial" w:cs="Arial"/>
                          <w:smallCaps w:val="0"/>
                          <w:noProof/>
                          <w:sz w:val="18"/>
                          <w:szCs w:val="18"/>
                        </w:rPr>
                      </w:pPr>
                      <w:bookmarkStart w:id="52" w:name="_Toc99099801"/>
                      <w:r w:rsidRPr="00277437">
                        <w:rPr>
                          <w:rFonts w:ascii="Arial" w:hAnsi="Arial" w:cs="Arial"/>
                          <w:smallCaps w:val="0"/>
                          <w:color w:val="9D2235" w:themeColor="accent1"/>
                          <w:sz w:val="18"/>
                          <w:szCs w:val="18"/>
                        </w:rPr>
                        <w:t xml:space="preserve">Gráfico </w:t>
                      </w:r>
                      <w:r w:rsidRPr="00277437">
                        <w:rPr>
                          <w:rFonts w:ascii="Arial" w:hAnsi="Arial" w:cs="Arial"/>
                          <w:smallCaps w:val="0"/>
                          <w:color w:val="9D2235" w:themeColor="accent1"/>
                          <w:sz w:val="18"/>
                          <w:szCs w:val="18"/>
                        </w:rPr>
                        <w:fldChar w:fldCharType="begin"/>
                      </w:r>
                      <w:r w:rsidRPr="00277437">
                        <w:rPr>
                          <w:rFonts w:ascii="Arial" w:hAnsi="Arial" w:cs="Arial"/>
                          <w:smallCaps w:val="0"/>
                          <w:color w:val="9D2235" w:themeColor="accent1"/>
                          <w:sz w:val="18"/>
                          <w:szCs w:val="18"/>
                        </w:rPr>
                        <w:instrText xml:space="preserve"> SEQ Gráfico \* ARABIC </w:instrText>
                      </w:r>
                      <w:r w:rsidRPr="00277437">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2</w:t>
                      </w:r>
                      <w:r w:rsidRPr="00277437">
                        <w:rPr>
                          <w:rFonts w:ascii="Arial" w:hAnsi="Arial" w:cs="Arial"/>
                          <w:smallCaps w:val="0"/>
                          <w:color w:val="9D2235" w:themeColor="accent1"/>
                          <w:sz w:val="18"/>
                          <w:szCs w:val="18"/>
                        </w:rPr>
                        <w:fldChar w:fldCharType="end"/>
                      </w:r>
                      <w:r w:rsidRPr="00277437">
                        <w:rPr>
                          <w:rFonts w:ascii="Arial" w:hAnsi="Arial" w:cs="Arial"/>
                          <w:smallCaps w:val="0"/>
                          <w:color w:val="9D2235" w:themeColor="accent1"/>
                          <w:sz w:val="18"/>
                          <w:szCs w:val="18"/>
                        </w:rPr>
                        <w:t xml:space="preserve">. </w:t>
                      </w:r>
                      <w:r w:rsidRPr="00277437">
                        <w:rPr>
                          <w:rFonts w:ascii="Arial" w:hAnsi="Arial" w:cs="Arial"/>
                          <w:smallCaps w:val="0"/>
                          <w:sz w:val="18"/>
                          <w:szCs w:val="18"/>
                        </w:rPr>
                        <w:t>Menciones de la A</w:t>
                      </w:r>
                      <w:r w:rsidR="007370A7">
                        <w:rPr>
                          <w:rFonts w:ascii="Arial" w:hAnsi="Arial" w:cs="Arial"/>
                          <w:smallCaps w:val="0"/>
                          <w:sz w:val="18"/>
                          <w:szCs w:val="18"/>
                        </w:rPr>
                        <w:t>VAF</w:t>
                      </w:r>
                      <w:r w:rsidRPr="00277437">
                        <w:rPr>
                          <w:rFonts w:ascii="Arial" w:hAnsi="Arial" w:cs="Arial"/>
                          <w:smallCaps w:val="0"/>
                          <w:sz w:val="18"/>
                          <w:szCs w:val="18"/>
                        </w:rPr>
                        <w:t xml:space="preserve"> según el medio de comunicación</w:t>
                      </w:r>
                      <w:bookmarkEnd w:id="52"/>
                    </w:p>
                  </w:txbxContent>
                </v:textbox>
                <w10:wrap type="topAndBottom" anchorx="margin"/>
              </v:shape>
            </w:pict>
          </mc:Fallback>
        </mc:AlternateContent>
      </w:r>
      <w:r>
        <w:rPr>
          <w:noProof/>
        </w:rPr>
        <w:drawing>
          <wp:anchor distT="0" distB="0" distL="114300" distR="114300" simplePos="0" relativeHeight="252051456" behindDoc="0" locked="0" layoutInCell="1" allowOverlap="1" wp14:anchorId="37D64C29" wp14:editId="7D064870">
            <wp:simplePos x="0" y="0"/>
            <wp:positionH relativeFrom="margin">
              <wp:align>left</wp:align>
            </wp:positionH>
            <wp:positionV relativeFrom="paragraph">
              <wp:posOffset>0</wp:posOffset>
            </wp:positionV>
            <wp:extent cx="5400675" cy="3133725"/>
            <wp:effectExtent l="0" t="0" r="9525" b="9525"/>
            <wp:wrapTopAndBottom/>
            <wp:docPr id="99" name="Gráfico 99">
              <a:extLst xmlns:a="http://schemas.openxmlformats.org/drawingml/2006/main">
                <a:ext uri="{FF2B5EF4-FFF2-40B4-BE49-F238E27FC236}">
                  <a16:creationId xmlns:a16="http://schemas.microsoft.com/office/drawing/2014/main" id="{C57321F3-4711-43D1-ACE1-C00CE9CB96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margin">
              <wp14:pctWidth>0</wp14:pctWidth>
            </wp14:sizeRelH>
            <wp14:sizeRelV relativeFrom="margin">
              <wp14:pctHeight>0</wp14:pctHeight>
            </wp14:sizeRelV>
          </wp:anchor>
        </w:drawing>
      </w:r>
      <w:r w:rsidR="005423C8" w:rsidRPr="005423C8">
        <w:rPr>
          <w:rFonts w:ascii="Arial" w:eastAsia="Times New Roman" w:hAnsi="Arial" w:cs="Arial"/>
          <w:bCs/>
          <w:sz w:val="21"/>
          <w:szCs w:val="21"/>
        </w:rPr>
        <w:t>En ese trabajo de recogida de datos</w:t>
      </w:r>
      <w:r w:rsidR="003A6060">
        <w:rPr>
          <w:rFonts w:ascii="Arial" w:eastAsia="Times New Roman" w:hAnsi="Arial" w:cs="Arial"/>
          <w:bCs/>
          <w:sz w:val="21"/>
          <w:szCs w:val="21"/>
        </w:rPr>
        <w:t>,</w:t>
      </w:r>
      <w:r w:rsidR="005423C8" w:rsidRPr="005423C8">
        <w:rPr>
          <w:rFonts w:ascii="Arial" w:eastAsia="Times New Roman" w:hAnsi="Arial" w:cs="Arial"/>
          <w:bCs/>
          <w:sz w:val="21"/>
          <w:szCs w:val="21"/>
        </w:rPr>
        <w:t xml:space="preserve"> en lo que respecta a las menciones en medios de comunicación de la Agencia Valenciana Antifraude</w:t>
      </w:r>
      <w:r w:rsidR="003A6060">
        <w:rPr>
          <w:rFonts w:ascii="Arial" w:eastAsia="Times New Roman" w:hAnsi="Arial" w:cs="Arial"/>
          <w:bCs/>
          <w:sz w:val="21"/>
          <w:szCs w:val="21"/>
        </w:rPr>
        <w:t>,</w:t>
      </w:r>
      <w:r w:rsidR="005423C8" w:rsidRPr="005423C8">
        <w:rPr>
          <w:rFonts w:ascii="Arial" w:eastAsia="Times New Roman" w:hAnsi="Arial" w:cs="Arial"/>
          <w:bCs/>
          <w:sz w:val="21"/>
          <w:szCs w:val="21"/>
        </w:rPr>
        <w:t xml:space="preserve"> creemos que es interesante la información que se recoge en el siguiente gráfico y que hace mención al número de referencia por meses. </w:t>
      </w:r>
    </w:p>
    <w:p w14:paraId="4C4F3F48" w14:textId="5C0B9477" w:rsidR="005423C8" w:rsidRDefault="005423C8" w:rsidP="00645E88">
      <w:pPr>
        <w:spacing w:after="0" w:line="276" w:lineRule="auto"/>
        <w:jc w:val="both"/>
        <w:rPr>
          <w:rFonts w:ascii="Arial" w:eastAsia="Times New Roman" w:hAnsi="Arial" w:cs="Arial"/>
          <w:bCs/>
          <w:sz w:val="21"/>
          <w:szCs w:val="21"/>
        </w:rPr>
      </w:pPr>
      <w:r w:rsidRPr="005423C8">
        <w:rPr>
          <w:rFonts w:ascii="Arial" w:eastAsia="Times New Roman" w:hAnsi="Arial" w:cs="Arial"/>
          <w:bCs/>
          <w:sz w:val="21"/>
          <w:szCs w:val="21"/>
        </w:rPr>
        <w:t>Las menciones no siguen un patrón y vienen determinadas por la actualidad informativa, en 2021, año donde la pandemia del Covid-19 sigue vigente y marca el ritmo de la información publicada en los medios.</w:t>
      </w:r>
    </w:p>
    <w:p w14:paraId="434B7E75" w14:textId="77777777" w:rsidR="00277437" w:rsidRPr="005423C8" w:rsidRDefault="00277437" w:rsidP="00645E88">
      <w:pPr>
        <w:spacing w:after="0" w:line="276" w:lineRule="auto"/>
        <w:jc w:val="both"/>
        <w:rPr>
          <w:rFonts w:ascii="Arial" w:eastAsia="Times New Roman" w:hAnsi="Arial" w:cs="Arial"/>
          <w:bCs/>
          <w:sz w:val="21"/>
          <w:szCs w:val="21"/>
        </w:rPr>
      </w:pPr>
    </w:p>
    <w:p w14:paraId="09E775DB" w14:textId="2797E540" w:rsidR="006D0B66" w:rsidRDefault="005423C8" w:rsidP="006D0B66">
      <w:pPr>
        <w:keepNext/>
      </w:pPr>
      <w:r w:rsidRPr="005423C8">
        <w:rPr>
          <w:rFonts w:ascii="Arial" w:eastAsia="Times New Roman" w:hAnsi="Arial" w:cs="Arial"/>
          <w:bCs/>
          <w:noProof/>
          <w:sz w:val="21"/>
          <w:szCs w:val="21"/>
        </w:rPr>
        <w:drawing>
          <wp:inline distT="0" distB="0" distL="0" distR="0" wp14:anchorId="4093BC6F" wp14:editId="1CFC7C69">
            <wp:extent cx="5257800" cy="3146425"/>
            <wp:effectExtent l="0" t="0" r="0" b="15875"/>
            <wp:docPr id="76" name="Gráfico 76">
              <a:extLst xmlns:a="http://schemas.openxmlformats.org/drawingml/2006/main">
                <a:ext uri="{FF2B5EF4-FFF2-40B4-BE49-F238E27FC236}">
                  <a16:creationId xmlns:a16="http://schemas.microsoft.com/office/drawing/2014/main" id="{56CE8CF4-6C5B-4DE7-A5E2-C4F2DF9F73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38D86231" w14:textId="65A42E32" w:rsidR="005423C8" w:rsidRPr="005423C8" w:rsidRDefault="006D0B66" w:rsidP="00FF2067">
      <w:pPr>
        <w:pStyle w:val="Descripcin"/>
        <w:spacing w:after="240"/>
        <w:jc w:val="center"/>
        <w:rPr>
          <w:rFonts w:ascii="Arial" w:eastAsia="Times New Roman" w:hAnsi="Arial" w:cs="Arial"/>
          <w:smallCaps w:val="0"/>
          <w:sz w:val="18"/>
          <w:szCs w:val="18"/>
        </w:rPr>
      </w:pPr>
      <w:bookmarkStart w:id="45" w:name="_Toc99099802"/>
      <w:r w:rsidRPr="006D0B66">
        <w:rPr>
          <w:rFonts w:ascii="Arial" w:hAnsi="Arial" w:cs="Arial"/>
          <w:smallCaps w:val="0"/>
          <w:color w:val="9D2235" w:themeColor="accent1"/>
          <w:sz w:val="18"/>
          <w:szCs w:val="18"/>
        </w:rPr>
        <w:t xml:space="preserve">Gráfico </w:t>
      </w:r>
      <w:r w:rsidRPr="006D0B66">
        <w:rPr>
          <w:rFonts w:ascii="Arial" w:hAnsi="Arial" w:cs="Arial"/>
          <w:smallCaps w:val="0"/>
          <w:color w:val="9D2235" w:themeColor="accent1"/>
          <w:sz w:val="18"/>
          <w:szCs w:val="18"/>
        </w:rPr>
        <w:fldChar w:fldCharType="begin" w:fldLock="1"/>
      </w:r>
      <w:r w:rsidRPr="006D0B66">
        <w:rPr>
          <w:rFonts w:ascii="Arial" w:hAnsi="Arial" w:cs="Arial"/>
          <w:smallCaps w:val="0"/>
          <w:color w:val="9D2235" w:themeColor="accent1"/>
          <w:sz w:val="18"/>
          <w:szCs w:val="18"/>
        </w:rPr>
        <w:instrText xml:space="preserve"> SEQ Gráfico \* ARABIC </w:instrText>
      </w:r>
      <w:r w:rsidRPr="006D0B66">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w:t>
      </w:r>
      <w:r w:rsidRPr="006D0B66">
        <w:rPr>
          <w:rFonts w:ascii="Arial" w:hAnsi="Arial" w:cs="Arial"/>
          <w:smallCaps w:val="0"/>
          <w:color w:val="9D2235" w:themeColor="accent1"/>
          <w:sz w:val="18"/>
          <w:szCs w:val="18"/>
        </w:rPr>
        <w:fldChar w:fldCharType="end"/>
      </w:r>
      <w:r w:rsidRPr="006D0B66">
        <w:rPr>
          <w:rFonts w:ascii="Arial" w:hAnsi="Arial" w:cs="Arial"/>
          <w:smallCaps w:val="0"/>
          <w:color w:val="9D2235" w:themeColor="accent1"/>
          <w:sz w:val="18"/>
          <w:szCs w:val="18"/>
        </w:rPr>
        <w:t xml:space="preserve">. </w:t>
      </w:r>
      <w:r w:rsidRPr="006D0B66">
        <w:rPr>
          <w:rFonts w:ascii="Arial" w:hAnsi="Arial" w:cs="Arial"/>
          <w:smallCaps w:val="0"/>
          <w:sz w:val="18"/>
          <w:szCs w:val="18"/>
        </w:rPr>
        <w:t>Número de menciones en medios de la A</w:t>
      </w:r>
      <w:r w:rsidR="007370A7">
        <w:rPr>
          <w:rFonts w:ascii="Arial" w:hAnsi="Arial" w:cs="Arial"/>
          <w:smallCaps w:val="0"/>
          <w:sz w:val="18"/>
          <w:szCs w:val="18"/>
        </w:rPr>
        <w:t>VAF</w:t>
      </w:r>
      <w:bookmarkEnd w:id="45"/>
    </w:p>
    <w:p w14:paraId="603BB6A9" w14:textId="1D3D8284" w:rsidR="005423C8" w:rsidRPr="005423C8" w:rsidRDefault="005423C8" w:rsidP="005423C8">
      <w:pPr>
        <w:rPr>
          <w:rFonts w:ascii="Arial" w:eastAsia="Times New Roman" w:hAnsi="Arial" w:cs="Arial"/>
          <w:bCs/>
          <w:sz w:val="21"/>
          <w:szCs w:val="21"/>
        </w:rPr>
      </w:pPr>
      <w:r w:rsidRPr="005423C8">
        <w:rPr>
          <w:rFonts w:ascii="Arial" w:eastAsia="Times New Roman" w:hAnsi="Arial" w:cs="Arial"/>
          <w:bCs/>
          <w:sz w:val="21"/>
          <w:szCs w:val="21"/>
        </w:rPr>
        <w:t>Así mismo, se ha ido informando puntualmente a los medios y la ciudadanía mediante la elaboración de notas de prensa, las cuales relacionamos a continuación. En total</w:t>
      </w:r>
      <w:r w:rsidR="003A6060">
        <w:rPr>
          <w:rFonts w:ascii="Arial" w:eastAsia="Times New Roman" w:hAnsi="Arial" w:cs="Arial"/>
          <w:bCs/>
          <w:sz w:val="21"/>
          <w:szCs w:val="21"/>
        </w:rPr>
        <w:t>,</w:t>
      </w:r>
      <w:r w:rsidRPr="005423C8">
        <w:rPr>
          <w:rFonts w:ascii="Arial" w:eastAsia="Times New Roman" w:hAnsi="Arial" w:cs="Arial"/>
          <w:bCs/>
          <w:sz w:val="21"/>
          <w:szCs w:val="21"/>
        </w:rPr>
        <w:t xml:space="preserve"> se han publicado en nuestra web 42 notas de prensa. </w:t>
      </w:r>
    </w:p>
    <w:p w14:paraId="4FDC1801" w14:textId="3CF572F7" w:rsidR="006D0B66" w:rsidRPr="006D0B66" w:rsidRDefault="006D0B66" w:rsidP="006D0B66">
      <w:pPr>
        <w:pStyle w:val="Descripcin"/>
        <w:keepNext/>
        <w:rPr>
          <w:rFonts w:ascii="Arial" w:hAnsi="Arial" w:cs="Arial"/>
          <w:smallCaps w:val="0"/>
          <w:sz w:val="18"/>
          <w:szCs w:val="18"/>
        </w:rPr>
      </w:pPr>
      <w:bookmarkStart w:id="46" w:name="_Toc99107142"/>
      <w:bookmarkStart w:id="47" w:name="_Hlk94868279"/>
      <w:r w:rsidRPr="006D0B66">
        <w:rPr>
          <w:rFonts w:ascii="Arial" w:hAnsi="Arial" w:cs="Arial"/>
          <w:smallCaps w:val="0"/>
          <w:color w:val="9D2235" w:themeColor="accent1"/>
          <w:sz w:val="18"/>
          <w:szCs w:val="18"/>
        </w:rPr>
        <w:t xml:space="preserve">Tabla </w:t>
      </w:r>
      <w:r w:rsidRPr="006D0B66">
        <w:rPr>
          <w:rFonts w:ascii="Arial" w:hAnsi="Arial" w:cs="Arial"/>
          <w:smallCaps w:val="0"/>
          <w:color w:val="9D2235" w:themeColor="accent1"/>
          <w:sz w:val="18"/>
          <w:szCs w:val="18"/>
        </w:rPr>
        <w:fldChar w:fldCharType="begin" w:fldLock="1"/>
      </w:r>
      <w:r w:rsidRPr="006D0B66">
        <w:rPr>
          <w:rFonts w:ascii="Arial" w:hAnsi="Arial" w:cs="Arial"/>
          <w:smallCaps w:val="0"/>
          <w:color w:val="9D2235" w:themeColor="accent1"/>
          <w:sz w:val="18"/>
          <w:szCs w:val="18"/>
        </w:rPr>
        <w:instrText xml:space="preserve"> SEQ Tabla \* ARABIC </w:instrText>
      </w:r>
      <w:r w:rsidRPr="006D0B66">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4</w:t>
      </w:r>
      <w:r w:rsidRPr="006D0B66">
        <w:rPr>
          <w:rFonts w:ascii="Arial" w:hAnsi="Arial" w:cs="Arial"/>
          <w:smallCaps w:val="0"/>
          <w:color w:val="9D2235" w:themeColor="accent1"/>
          <w:sz w:val="18"/>
          <w:szCs w:val="18"/>
        </w:rPr>
        <w:fldChar w:fldCharType="end"/>
      </w:r>
      <w:r w:rsidRPr="006D0B66">
        <w:rPr>
          <w:rFonts w:ascii="Arial" w:hAnsi="Arial" w:cs="Arial"/>
          <w:smallCaps w:val="0"/>
          <w:noProof/>
          <w:color w:val="9D2235" w:themeColor="accent1"/>
          <w:sz w:val="18"/>
          <w:szCs w:val="18"/>
        </w:rPr>
        <w:t xml:space="preserve">. </w:t>
      </w:r>
      <w:r w:rsidRPr="006D0B66">
        <w:rPr>
          <w:rFonts w:ascii="Arial" w:hAnsi="Arial" w:cs="Arial"/>
          <w:smallCaps w:val="0"/>
          <w:noProof/>
          <w:sz w:val="18"/>
          <w:szCs w:val="18"/>
        </w:rPr>
        <w:t>Notas de prensa enviadas</w:t>
      </w:r>
      <w:bookmarkEnd w:id="46"/>
    </w:p>
    <w:tbl>
      <w:tblPr>
        <w:tblW w:w="8505" w:type="dxa"/>
        <w:jc w:val="right"/>
        <w:tblCellMar>
          <w:left w:w="0" w:type="dxa"/>
          <w:bottom w:w="28" w:type="dxa"/>
          <w:right w:w="0" w:type="dxa"/>
        </w:tblCellMar>
        <w:tblLook w:val="04A0" w:firstRow="1" w:lastRow="0" w:firstColumn="1" w:lastColumn="0" w:noHBand="0" w:noVBand="1"/>
      </w:tblPr>
      <w:tblGrid>
        <w:gridCol w:w="1266"/>
        <w:gridCol w:w="5255"/>
        <w:gridCol w:w="1984"/>
      </w:tblGrid>
      <w:tr w:rsidR="005423C8" w:rsidRPr="005423C8" w14:paraId="2A2927EC" w14:textId="77777777" w:rsidTr="006D0B66">
        <w:trPr>
          <w:tblHeader/>
          <w:jc w:val="right"/>
        </w:trPr>
        <w:tc>
          <w:tcPr>
            <w:tcW w:w="1266" w:type="dxa"/>
            <w:tcBorders>
              <w:bottom w:val="single" w:sz="4" w:space="0" w:color="000000"/>
            </w:tcBorders>
            <w:shd w:val="clear" w:color="auto" w:fill="993333"/>
          </w:tcPr>
          <w:bookmarkEnd w:id="47"/>
          <w:p w14:paraId="1077B342" w14:textId="77777777" w:rsidR="005423C8" w:rsidRPr="00645E88" w:rsidRDefault="005423C8" w:rsidP="005423C8">
            <w:pPr>
              <w:rPr>
                <w:rFonts w:ascii="Arial" w:eastAsia="Times New Roman" w:hAnsi="Arial" w:cs="Arial"/>
                <w:bCs/>
                <w:color w:val="FFFFFF" w:themeColor="background1"/>
                <w:sz w:val="20"/>
                <w:szCs w:val="20"/>
              </w:rPr>
            </w:pPr>
            <w:r w:rsidRPr="00645E88">
              <w:rPr>
                <w:rFonts w:ascii="Arial" w:eastAsia="Times New Roman" w:hAnsi="Arial" w:cs="Arial"/>
                <w:b/>
                <w:bCs/>
                <w:color w:val="FFFFFF" w:themeColor="background1"/>
                <w:sz w:val="20"/>
                <w:szCs w:val="20"/>
              </w:rPr>
              <w:t>Fecha</w:t>
            </w:r>
          </w:p>
        </w:tc>
        <w:tc>
          <w:tcPr>
            <w:tcW w:w="5255" w:type="dxa"/>
            <w:tcBorders>
              <w:bottom w:val="single" w:sz="4" w:space="0" w:color="000000"/>
            </w:tcBorders>
            <w:shd w:val="clear" w:color="auto" w:fill="993333"/>
          </w:tcPr>
          <w:p w14:paraId="5B249D1A" w14:textId="56E90F39" w:rsidR="005423C8" w:rsidRPr="00645E88" w:rsidRDefault="005423C8" w:rsidP="006D0B66">
            <w:pPr>
              <w:jc w:val="both"/>
              <w:rPr>
                <w:rFonts w:ascii="Arial" w:eastAsia="Times New Roman" w:hAnsi="Arial" w:cs="Arial"/>
                <w:bCs/>
                <w:color w:val="FFFFFF" w:themeColor="background1"/>
                <w:sz w:val="20"/>
                <w:szCs w:val="20"/>
              </w:rPr>
            </w:pPr>
            <w:r w:rsidRPr="00645E88">
              <w:rPr>
                <w:rFonts w:ascii="Arial" w:eastAsia="Times New Roman" w:hAnsi="Arial" w:cs="Arial"/>
                <w:b/>
                <w:bCs/>
                <w:color w:val="FFFFFF" w:themeColor="background1"/>
                <w:sz w:val="20"/>
                <w:szCs w:val="20"/>
              </w:rPr>
              <w:t>NOTA DE PRENSA</w:t>
            </w:r>
          </w:p>
        </w:tc>
        <w:tc>
          <w:tcPr>
            <w:tcW w:w="1984" w:type="dxa"/>
            <w:tcBorders>
              <w:bottom w:val="single" w:sz="4" w:space="0" w:color="000000"/>
            </w:tcBorders>
            <w:shd w:val="clear" w:color="auto" w:fill="993333"/>
          </w:tcPr>
          <w:p w14:paraId="26ABDC24" w14:textId="77777777" w:rsidR="005423C8" w:rsidRPr="00645E88" w:rsidRDefault="005423C8" w:rsidP="006D0B66">
            <w:pPr>
              <w:jc w:val="center"/>
              <w:rPr>
                <w:rFonts w:ascii="Arial" w:eastAsia="Times New Roman" w:hAnsi="Arial" w:cs="Arial"/>
                <w:bCs/>
                <w:color w:val="FFFFFF" w:themeColor="background1"/>
                <w:sz w:val="20"/>
                <w:szCs w:val="20"/>
              </w:rPr>
            </w:pPr>
            <w:r w:rsidRPr="00645E88">
              <w:rPr>
                <w:rFonts w:ascii="Arial" w:eastAsia="Times New Roman" w:hAnsi="Arial" w:cs="Arial"/>
                <w:b/>
                <w:bCs/>
                <w:color w:val="FFFFFF" w:themeColor="background1"/>
                <w:sz w:val="20"/>
                <w:szCs w:val="20"/>
              </w:rPr>
              <w:t>Enlace</w:t>
            </w:r>
          </w:p>
        </w:tc>
      </w:tr>
      <w:tr w:rsidR="005423C8" w:rsidRPr="005423C8" w14:paraId="6DF33ECA" w14:textId="77777777" w:rsidTr="006D0B66">
        <w:trPr>
          <w:jc w:val="right"/>
        </w:trPr>
        <w:tc>
          <w:tcPr>
            <w:tcW w:w="1266" w:type="dxa"/>
            <w:tcBorders>
              <w:top w:val="single" w:sz="4" w:space="0" w:color="000000"/>
              <w:bottom w:val="single" w:sz="4" w:space="0" w:color="000000"/>
            </w:tcBorders>
            <w:shd w:val="clear" w:color="auto" w:fill="FFFFFF"/>
          </w:tcPr>
          <w:p w14:paraId="07ED5038"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11 de enero</w:t>
            </w:r>
          </w:p>
        </w:tc>
        <w:tc>
          <w:tcPr>
            <w:tcW w:w="5255" w:type="dxa"/>
            <w:tcBorders>
              <w:top w:val="single" w:sz="4" w:space="0" w:color="000000"/>
              <w:bottom w:val="single" w:sz="4" w:space="0" w:color="000000"/>
            </w:tcBorders>
            <w:shd w:val="clear" w:color="auto" w:fill="FFFFFF"/>
          </w:tcPr>
          <w:p w14:paraId="362B32C3"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Nueva edición de Docufòrum organizada por la Universidad Miguel Hernández de Elche y la Agencia Valenciana Antifraude</w:t>
            </w:r>
          </w:p>
        </w:tc>
        <w:tc>
          <w:tcPr>
            <w:tcW w:w="1984" w:type="dxa"/>
            <w:tcBorders>
              <w:top w:val="single" w:sz="4" w:space="0" w:color="000000"/>
              <w:bottom w:val="single" w:sz="4" w:space="0" w:color="000000"/>
            </w:tcBorders>
            <w:shd w:val="clear" w:color="auto" w:fill="FFFFFF"/>
          </w:tcPr>
          <w:p w14:paraId="32472215" w14:textId="77777777" w:rsidR="005423C8" w:rsidRPr="005423C8" w:rsidRDefault="00AF48E6" w:rsidP="006D0B66">
            <w:pPr>
              <w:jc w:val="center"/>
              <w:rPr>
                <w:rFonts w:ascii="Arial" w:eastAsia="Times New Roman" w:hAnsi="Arial" w:cs="Arial"/>
                <w:bCs/>
                <w:sz w:val="18"/>
                <w:szCs w:val="18"/>
              </w:rPr>
            </w:pPr>
            <w:hyperlink r:id="rId129" w:history="1">
              <w:r w:rsidR="005423C8" w:rsidRPr="005423C8">
                <w:rPr>
                  <w:rStyle w:val="Hipervnculo"/>
                  <w:rFonts w:ascii="Arial" w:eastAsia="Times New Roman" w:hAnsi="Arial" w:cs="Arial"/>
                  <w:bCs/>
                  <w:sz w:val="18"/>
                  <w:szCs w:val="18"/>
                </w:rPr>
                <w:t>https://bit.ly/3IR6Cuv</w:t>
              </w:r>
            </w:hyperlink>
          </w:p>
        </w:tc>
      </w:tr>
      <w:tr w:rsidR="005423C8" w:rsidRPr="005423C8" w14:paraId="1CE0F617" w14:textId="77777777" w:rsidTr="006D0B66">
        <w:trPr>
          <w:jc w:val="right"/>
        </w:trPr>
        <w:tc>
          <w:tcPr>
            <w:tcW w:w="1266" w:type="dxa"/>
            <w:tcBorders>
              <w:top w:val="single" w:sz="4" w:space="0" w:color="000000"/>
              <w:bottom w:val="single" w:sz="4" w:space="0" w:color="000000"/>
            </w:tcBorders>
            <w:shd w:val="clear" w:color="auto" w:fill="FFFFFF"/>
          </w:tcPr>
          <w:p w14:paraId="27BCD04F"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12 de enero</w:t>
            </w:r>
          </w:p>
        </w:tc>
        <w:tc>
          <w:tcPr>
            <w:tcW w:w="5255" w:type="dxa"/>
            <w:tcBorders>
              <w:top w:val="single" w:sz="4" w:space="0" w:color="000000"/>
              <w:bottom w:val="single" w:sz="4" w:space="0" w:color="000000"/>
            </w:tcBorders>
            <w:shd w:val="clear" w:color="auto" w:fill="FFFFFF"/>
          </w:tcPr>
          <w:p w14:paraId="1190232B"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World Compliance Association y la Agencia Valenciana Antifraude firman un convenio para colaborar en la lucha contra el fraude y la corrupción</w:t>
            </w:r>
          </w:p>
        </w:tc>
        <w:tc>
          <w:tcPr>
            <w:tcW w:w="1984" w:type="dxa"/>
            <w:tcBorders>
              <w:top w:val="single" w:sz="4" w:space="0" w:color="000000"/>
              <w:bottom w:val="single" w:sz="4" w:space="0" w:color="000000"/>
            </w:tcBorders>
            <w:shd w:val="clear" w:color="auto" w:fill="FFFFFF"/>
          </w:tcPr>
          <w:p w14:paraId="61A1F280" w14:textId="77777777" w:rsidR="005423C8" w:rsidRPr="005423C8" w:rsidRDefault="00AF48E6" w:rsidP="006D0B66">
            <w:pPr>
              <w:jc w:val="center"/>
              <w:rPr>
                <w:rFonts w:ascii="Arial" w:eastAsia="Times New Roman" w:hAnsi="Arial" w:cs="Arial"/>
                <w:bCs/>
                <w:sz w:val="18"/>
                <w:szCs w:val="18"/>
              </w:rPr>
            </w:pPr>
            <w:hyperlink r:id="rId130" w:history="1">
              <w:r w:rsidR="005423C8" w:rsidRPr="005423C8">
                <w:rPr>
                  <w:rStyle w:val="Hipervnculo"/>
                  <w:rFonts w:ascii="Arial" w:eastAsia="Times New Roman" w:hAnsi="Arial" w:cs="Arial"/>
                  <w:bCs/>
                  <w:sz w:val="18"/>
                  <w:szCs w:val="18"/>
                </w:rPr>
                <w:t>https://bit.ly/3ofKXnR</w:t>
              </w:r>
            </w:hyperlink>
          </w:p>
        </w:tc>
      </w:tr>
      <w:tr w:rsidR="005423C8" w:rsidRPr="005423C8" w14:paraId="1F48190C" w14:textId="77777777" w:rsidTr="006D0B66">
        <w:trPr>
          <w:jc w:val="right"/>
        </w:trPr>
        <w:tc>
          <w:tcPr>
            <w:tcW w:w="1266" w:type="dxa"/>
            <w:tcBorders>
              <w:top w:val="single" w:sz="4" w:space="0" w:color="000000"/>
              <w:bottom w:val="single" w:sz="4" w:space="0" w:color="000000"/>
            </w:tcBorders>
            <w:shd w:val="clear" w:color="auto" w:fill="FFFFFF"/>
          </w:tcPr>
          <w:p w14:paraId="7D4D7ECF"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20 de enero</w:t>
            </w:r>
          </w:p>
        </w:tc>
        <w:tc>
          <w:tcPr>
            <w:tcW w:w="5255" w:type="dxa"/>
            <w:tcBorders>
              <w:top w:val="single" w:sz="4" w:space="0" w:color="000000"/>
              <w:bottom w:val="single" w:sz="4" w:space="0" w:color="000000"/>
            </w:tcBorders>
            <w:shd w:val="clear" w:color="auto" w:fill="FFFFFF"/>
          </w:tcPr>
          <w:p w14:paraId="2106BCB8" w14:textId="3F35E63F"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 xml:space="preserve">El President Morera y el </w:t>
            </w:r>
            <w:r w:rsidR="00CB3DFD">
              <w:rPr>
                <w:rFonts w:ascii="Arial" w:eastAsia="Times New Roman" w:hAnsi="Arial" w:cs="Arial"/>
                <w:bCs/>
                <w:sz w:val="18"/>
                <w:szCs w:val="18"/>
              </w:rPr>
              <w:t>d</w:t>
            </w:r>
            <w:r w:rsidRPr="005423C8">
              <w:rPr>
                <w:rFonts w:ascii="Arial" w:eastAsia="Times New Roman" w:hAnsi="Arial" w:cs="Arial"/>
                <w:bCs/>
                <w:sz w:val="18"/>
                <w:szCs w:val="18"/>
              </w:rPr>
              <w:t>irector de la Agencia Antifraude analizan los avances contra la corrupción y la recuperación del crédito reputacional de las instituciones valencianas</w:t>
            </w:r>
          </w:p>
        </w:tc>
        <w:tc>
          <w:tcPr>
            <w:tcW w:w="1984" w:type="dxa"/>
            <w:tcBorders>
              <w:top w:val="single" w:sz="4" w:space="0" w:color="000000"/>
              <w:bottom w:val="single" w:sz="4" w:space="0" w:color="000000"/>
            </w:tcBorders>
            <w:shd w:val="clear" w:color="auto" w:fill="FFFFFF"/>
          </w:tcPr>
          <w:p w14:paraId="1A829984" w14:textId="77777777" w:rsidR="005423C8" w:rsidRPr="005423C8" w:rsidRDefault="00AF48E6" w:rsidP="006D0B66">
            <w:pPr>
              <w:jc w:val="center"/>
              <w:rPr>
                <w:rFonts w:ascii="Arial" w:eastAsia="Times New Roman" w:hAnsi="Arial" w:cs="Arial"/>
                <w:bCs/>
                <w:sz w:val="18"/>
                <w:szCs w:val="18"/>
              </w:rPr>
            </w:pPr>
            <w:hyperlink r:id="rId131" w:history="1">
              <w:r w:rsidR="005423C8" w:rsidRPr="005423C8">
                <w:rPr>
                  <w:rStyle w:val="Hipervnculo"/>
                  <w:rFonts w:ascii="Arial" w:eastAsia="Times New Roman" w:hAnsi="Arial" w:cs="Arial"/>
                  <w:bCs/>
                  <w:sz w:val="18"/>
                  <w:szCs w:val="18"/>
                </w:rPr>
                <w:t>https://bit.ly/348ohiy</w:t>
              </w:r>
            </w:hyperlink>
          </w:p>
        </w:tc>
      </w:tr>
      <w:tr w:rsidR="005423C8" w:rsidRPr="005423C8" w14:paraId="37C6B9F0" w14:textId="77777777" w:rsidTr="006D0B66">
        <w:trPr>
          <w:jc w:val="right"/>
        </w:trPr>
        <w:tc>
          <w:tcPr>
            <w:tcW w:w="1266" w:type="dxa"/>
            <w:tcBorders>
              <w:top w:val="single" w:sz="4" w:space="0" w:color="000000"/>
              <w:bottom w:val="single" w:sz="4" w:space="0" w:color="000000"/>
            </w:tcBorders>
            <w:shd w:val="clear" w:color="auto" w:fill="FFFFFF"/>
          </w:tcPr>
          <w:p w14:paraId="2BF5AEC3"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29 de enero</w:t>
            </w:r>
          </w:p>
        </w:tc>
        <w:tc>
          <w:tcPr>
            <w:tcW w:w="5255" w:type="dxa"/>
            <w:tcBorders>
              <w:top w:val="single" w:sz="4" w:space="0" w:color="000000"/>
              <w:bottom w:val="single" w:sz="4" w:space="0" w:color="000000"/>
            </w:tcBorders>
            <w:shd w:val="clear" w:color="auto" w:fill="FFFFFF"/>
          </w:tcPr>
          <w:p w14:paraId="0B3E3AAC"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Agencia Valenciana Antifraude propone una futura Agencia Nacional Anticorrupción en el proceso de consulta pública de la Directiva Europea Whistleblowers</w:t>
            </w:r>
          </w:p>
        </w:tc>
        <w:tc>
          <w:tcPr>
            <w:tcW w:w="1984" w:type="dxa"/>
            <w:tcBorders>
              <w:top w:val="single" w:sz="4" w:space="0" w:color="000000"/>
              <w:bottom w:val="single" w:sz="4" w:space="0" w:color="000000"/>
            </w:tcBorders>
            <w:shd w:val="clear" w:color="auto" w:fill="FFFFFF"/>
          </w:tcPr>
          <w:p w14:paraId="6D5D8510" w14:textId="77777777" w:rsidR="005423C8" w:rsidRPr="005423C8" w:rsidRDefault="00AF48E6" w:rsidP="006D0B66">
            <w:pPr>
              <w:jc w:val="center"/>
              <w:rPr>
                <w:rFonts w:ascii="Arial" w:eastAsia="Times New Roman" w:hAnsi="Arial" w:cs="Arial"/>
                <w:bCs/>
                <w:sz w:val="18"/>
                <w:szCs w:val="18"/>
              </w:rPr>
            </w:pPr>
            <w:hyperlink r:id="rId132" w:history="1">
              <w:r w:rsidR="005423C8" w:rsidRPr="005423C8">
                <w:rPr>
                  <w:rStyle w:val="Hipervnculo"/>
                  <w:rFonts w:ascii="Arial" w:eastAsia="Times New Roman" w:hAnsi="Arial" w:cs="Arial"/>
                  <w:bCs/>
                  <w:sz w:val="18"/>
                  <w:szCs w:val="18"/>
                </w:rPr>
                <w:t>https://bit.ly/3Hib7xN</w:t>
              </w:r>
            </w:hyperlink>
          </w:p>
        </w:tc>
      </w:tr>
      <w:tr w:rsidR="005423C8" w:rsidRPr="005423C8" w14:paraId="68CBC4C2" w14:textId="77777777" w:rsidTr="006D0B66">
        <w:trPr>
          <w:jc w:val="right"/>
        </w:trPr>
        <w:tc>
          <w:tcPr>
            <w:tcW w:w="1266" w:type="dxa"/>
            <w:tcBorders>
              <w:top w:val="single" w:sz="4" w:space="0" w:color="000000"/>
              <w:bottom w:val="single" w:sz="4" w:space="0" w:color="000000"/>
            </w:tcBorders>
            <w:shd w:val="clear" w:color="auto" w:fill="FFFFFF"/>
          </w:tcPr>
          <w:p w14:paraId="5DD8013B"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9 de febrero</w:t>
            </w:r>
          </w:p>
        </w:tc>
        <w:tc>
          <w:tcPr>
            <w:tcW w:w="5255" w:type="dxa"/>
            <w:tcBorders>
              <w:top w:val="single" w:sz="4" w:space="0" w:color="000000"/>
              <w:bottom w:val="single" w:sz="4" w:space="0" w:color="000000"/>
            </w:tcBorders>
            <w:shd w:val="clear" w:color="auto" w:fill="FFFFFF"/>
          </w:tcPr>
          <w:p w14:paraId="42B4147E"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Agencia Valenciana Antifraude publica todas sus resoluciones finales de investigación en su página web</w:t>
            </w:r>
          </w:p>
        </w:tc>
        <w:tc>
          <w:tcPr>
            <w:tcW w:w="1984" w:type="dxa"/>
            <w:tcBorders>
              <w:top w:val="single" w:sz="4" w:space="0" w:color="000000"/>
              <w:bottom w:val="single" w:sz="4" w:space="0" w:color="000000"/>
            </w:tcBorders>
            <w:shd w:val="clear" w:color="auto" w:fill="FFFFFF"/>
          </w:tcPr>
          <w:p w14:paraId="1182FA5F" w14:textId="77777777" w:rsidR="005423C8" w:rsidRPr="005423C8" w:rsidRDefault="00AF48E6" w:rsidP="006D0B66">
            <w:pPr>
              <w:jc w:val="center"/>
              <w:rPr>
                <w:rFonts w:ascii="Arial" w:eastAsia="Times New Roman" w:hAnsi="Arial" w:cs="Arial"/>
                <w:bCs/>
                <w:sz w:val="18"/>
                <w:szCs w:val="18"/>
              </w:rPr>
            </w:pPr>
            <w:hyperlink r:id="rId133" w:history="1">
              <w:r w:rsidR="005423C8" w:rsidRPr="005423C8">
                <w:rPr>
                  <w:rStyle w:val="Hipervnculo"/>
                  <w:rFonts w:ascii="Arial" w:eastAsia="Times New Roman" w:hAnsi="Arial" w:cs="Arial"/>
                  <w:bCs/>
                  <w:sz w:val="18"/>
                  <w:szCs w:val="18"/>
                </w:rPr>
                <w:t>https://bit.ly/3ggpUgp</w:t>
              </w:r>
            </w:hyperlink>
          </w:p>
        </w:tc>
      </w:tr>
      <w:tr w:rsidR="005423C8" w:rsidRPr="005423C8" w14:paraId="151F59A5" w14:textId="77777777" w:rsidTr="006D0B66">
        <w:trPr>
          <w:jc w:val="right"/>
        </w:trPr>
        <w:tc>
          <w:tcPr>
            <w:tcW w:w="1266" w:type="dxa"/>
            <w:tcBorders>
              <w:top w:val="single" w:sz="4" w:space="0" w:color="000000"/>
              <w:bottom w:val="single" w:sz="4" w:space="0" w:color="000000"/>
            </w:tcBorders>
            <w:shd w:val="clear" w:color="auto" w:fill="FFFFFF"/>
          </w:tcPr>
          <w:p w14:paraId="6C4833CB"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23 de febrero</w:t>
            </w:r>
          </w:p>
        </w:tc>
        <w:tc>
          <w:tcPr>
            <w:tcW w:w="5255" w:type="dxa"/>
            <w:tcBorders>
              <w:top w:val="single" w:sz="4" w:space="0" w:color="000000"/>
              <w:bottom w:val="single" w:sz="4" w:space="0" w:color="000000"/>
            </w:tcBorders>
            <w:shd w:val="clear" w:color="auto" w:fill="FFFFFF"/>
          </w:tcPr>
          <w:p w14:paraId="28F7F37A"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En 2020 se presentaron 226 denuncias ante la Agencia Valenciana Antifraude, un 34% más que en el 2019</w:t>
            </w:r>
          </w:p>
        </w:tc>
        <w:tc>
          <w:tcPr>
            <w:tcW w:w="1984" w:type="dxa"/>
            <w:tcBorders>
              <w:top w:val="single" w:sz="4" w:space="0" w:color="000000"/>
              <w:bottom w:val="single" w:sz="4" w:space="0" w:color="000000"/>
            </w:tcBorders>
            <w:shd w:val="clear" w:color="auto" w:fill="FFFFFF"/>
          </w:tcPr>
          <w:p w14:paraId="4B444532" w14:textId="77777777" w:rsidR="005423C8" w:rsidRPr="005423C8" w:rsidRDefault="00AF48E6" w:rsidP="006D0B66">
            <w:pPr>
              <w:jc w:val="center"/>
              <w:rPr>
                <w:rFonts w:ascii="Arial" w:eastAsia="Times New Roman" w:hAnsi="Arial" w:cs="Arial"/>
                <w:bCs/>
                <w:sz w:val="18"/>
                <w:szCs w:val="18"/>
              </w:rPr>
            </w:pPr>
            <w:hyperlink r:id="rId134" w:history="1">
              <w:r w:rsidR="005423C8" w:rsidRPr="005423C8">
                <w:rPr>
                  <w:rStyle w:val="Hipervnculo"/>
                  <w:rFonts w:ascii="Arial" w:eastAsia="Times New Roman" w:hAnsi="Arial" w:cs="Arial"/>
                  <w:bCs/>
                  <w:sz w:val="18"/>
                  <w:szCs w:val="18"/>
                </w:rPr>
                <w:t>https://bit.ly/3GiBUIT</w:t>
              </w:r>
            </w:hyperlink>
          </w:p>
        </w:tc>
      </w:tr>
      <w:tr w:rsidR="005423C8" w:rsidRPr="005423C8" w14:paraId="6C0BF8DE" w14:textId="77777777" w:rsidTr="006D0B66">
        <w:trPr>
          <w:jc w:val="right"/>
        </w:trPr>
        <w:tc>
          <w:tcPr>
            <w:tcW w:w="1266" w:type="dxa"/>
            <w:tcBorders>
              <w:top w:val="single" w:sz="4" w:space="0" w:color="000000"/>
              <w:bottom w:val="single" w:sz="4" w:space="0" w:color="000000"/>
            </w:tcBorders>
            <w:shd w:val="clear" w:color="auto" w:fill="FFFFFF"/>
          </w:tcPr>
          <w:p w14:paraId="6EBED78B"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4 de marzo</w:t>
            </w:r>
          </w:p>
        </w:tc>
        <w:tc>
          <w:tcPr>
            <w:tcW w:w="5255" w:type="dxa"/>
            <w:tcBorders>
              <w:top w:val="single" w:sz="4" w:space="0" w:color="000000"/>
              <w:bottom w:val="single" w:sz="4" w:space="0" w:color="000000"/>
            </w:tcBorders>
            <w:shd w:val="clear" w:color="auto" w:fill="FFFFFF"/>
          </w:tcPr>
          <w:p w14:paraId="2A5FF013"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Agencia Valenciana Antifraude presenta 11 enmiendas a la nueva Ley de Transparencia y Buen Gobierno de la Comunitat Valenciana</w:t>
            </w:r>
          </w:p>
        </w:tc>
        <w:tc>
          <w:tcPr>
            <w:tcW w:w="1984" w:type="dxa"/>
            <w:tcBorders>
              <w:top w:val="single" w:sz="4" w:space="0" w:color="000000"/>
              <w:bottom w:val="single" w:sz="4" w:space="0" w:color="000000"/>
            </w:tcBorders>
            <w:shd w:val="clear" w:color="auto" w:fill="FFFFFF"/>
          </w:tcPr>
          <w:p w14:paraId="3D89D70E" w14:textId="77777777" w:rsidR="005423C8" w:rsidRPr="005423C8" w:rsidRDefault="00AF48E6" w:rsidP="006D0B66">
            <w:pPr>
              <w:jc w:val="center"/>
              <w:rPr>
                <w:rFonts w:ascii="Arial" w:eastAsia="Times New Roman" w:hAnsi="Arial" w:cs="Arial"/>
                <w:bCs/>
                <w:sz w:val="18"/>
                <w:szCs w:val="18"/>
              </w:rPr>
            </w:pPr>
            <w:hyperlink r:id="rId135" w:history="1">
              <w:r w:rsidR="005423C8" w:rsidRPr="005423C8">
                <w:rPr>
                  <w:rStyle w:val="Hipervnculo"/>
                  <w:rFonts w:ascii="Arial" w:eastAsia="Times New Roman" w:hAnsi="Arial" w:cs="Arial"/>
                  <w:bCs/>
                  <w:sz w:val="18"/>
                  <w:szCs w:val="18"/>
                </w:rPr>
                <w:t>https://bit.ly/3IUKTBI</w:t>
              </w:r>
            </w:hyperlink>
          </w:p>
        </w:tc>
      </w:tr>
      <w:tr w:rsidR="005423C8" w:rsidRPr="005423C8" w14:paraId="43A00B64"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2257531D"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11 de marzo</w:t>
            </w:r>
          </w:p>
        </w:tc>
        <w:tc>
          <w:tcPr>
            <w:tcW w:w="5255" w:type="dxa"/>
            <w:tcBorders>
              <w:top w:val="single" w:sz="4" w:space="0" w:color="000000"/>
              <w:bottom w:val="single" w:sz="4" w:space="0" w:color="000000"/>
            </w:tcBorders>
            <w:shd w:val="clear" w:color="auto" w:fill="FFFFFF"/>
            <w:tcMar>
              <w:bottom w:w="0" w:type="dxa"/>
            </w:tcMar>
          </w:tcPr>
          <w:p w14:paraId="0B1C39C2"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Agencia Valenciana Antifraude propone otorgar la condición de testigo protegido a las personas denunciantes de corrupción en el Anteproyecto de Ley de Enjuiciamiento Criminal</w:t>
            </w:r>
          </w:p>
        </w:tc>
        <w:tc>
          <w:tcPr>
            <w:tcW w:w="1984" w:type="dxa"/>
            <w:tcBorders>
              <w:top w:val="single" w:sz="4" w:space="0" w:color="000000"/>
              <w:bottom w:val="single" w:sz="4" w:space="0" w:color="000000"/>
            </w:tcBorders>
            <w:shd w:val="clear" w:color="auto" w:fill="FFFFFF"/>
          </w:tcPr>
          <w:p w14:paraId="54E0801F" w14:textId="77777777" w:rsidR="005423C8" w:rsidRPr="005423C8" w:rsidRDefault="00AF48E6" w:rsidP="006D0B66">
            <w:pPr>
              <w:jc w:val="center"/>
              <w:rPr>
                <w:rFonts w:ascii="Arial" w:eastAsia="Times New Roman" w:hAnsi="Arial" w:cs="Arial"/>
                <w:bCs/>
                <w:sz w:val="18"/>
                <w:szCs w:val="18"/>
              </w:rPr>
            </w:pPr>
            <w:hyperlink r:id="rId136" w:history="1">
              <w:r w:rsidR="005423C8" w:rsidRPr="005423C8">
                <w:rPr>
                  <w:rStyle w:val="Hipervnculo"/>
                  <w:rFonts w:ascii="Arial" w:eastAsia="Times New Roman" w:hAnsi="Arial" w:cs="Arial"/>
                  <w:bCs/>
                  <w:sz w:val="18"/>
                  <w:szCs w:val="18"/>
                </w:rPr>
                <w:t>https://bit.ly/340suVD</w:t>
              </w:r>
            </w:hyperlink>
          </w:p>
        </w:tc>
      </w:tr>
      <w:tr w:rsidR="005423C8" w:rsidRPr="005423C8" w14:paraId="54E3E14F"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6DE1C4E8"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25 de marzo</w:t>
            </w:r>
          </w:p>
        </w:tc>
        <w:tc>
          <w:tcPr>
            <w:tcW w:w="5255" w:type="dxa"/>
            <w:tcBorders>
              <w:top w:val="single" w:sz="4" w:space="0" w:color="000000"/>
              <w:bottom w:val="single" w:sz="4" w:space="0" w:color="000000"/>
            </w:tcBorders>
            <w:shd w:val="clear" w:color="auto" w:fill="FFFFFF"/>
            <w:tcMar>
              <w:bottom w:w="0" w:type="dxa"/>
            </w:tcMar>
          </w:tcPr>
          <w:p w14:paraId="094BE05C"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126 personas participan en la jornada sobre enriquecimiento injusto organizada por Cosital Valencia y la Agencia Valenciana Antifraude</w:t>
            </w:r>
          </w:p>
        </w:tc>
        <w:tc>
          <w:tcPr>
            <w:tcW w:w="1984" w:type="dxa"/>
            <w:tcBorders>
              <w:top w:val="single" w:sz="4" w:space="0" w:color="000000"/>
              <w:bottom w:val="single" w:sz="4" w:space="0" w:color="000000"/>
            </w:tcBorders>
            <w:shd w:val="clear" w:color="auto" w:fill="FFFFFF"/>
          </w:tcPr>
          <w:p w14:paraId="3EEAE870" w14:textId="77777777" w:rsidR="005423C8" w:rsidRPr="005423C8" w:rsidRDefault="00AF48E6" w:rsidP="006D0B66">
            <w:pPr>
              <w:jc w:val="center"/>
              <w:rPr>
                <w:rFonts w:ascii="Arial" w:eastAsia="Times New Roman" w:hAnsi="Arial" w:cs="Arial"/>
                <w:bCs/>
                <w:sz w:val="18"/>
                <w:szCs w:val="18"/>
              </w:rPr>
            </w:pPr>
            <w:hyperlink r:id="rId137" w:history="1">
              <w:r w:rsidR="005423C8" w:rsidRPr="005423C8">
                <w:rPr>
                  <w:rStyle w:val="Hipervnculo"/>
                  <w:rFonts w:ascii="Arial" w:eastAsia="Times New Roman" w:hAnsi="Arial" w:cs="Arial"/>
                  <w:bCs/>
                  <w:sz w:val="18"/>
                  <w:szCs w:val="18"/>
                </w:rPr>
                <w:t>https://bit.ly/32N0IuT</w:t>
              </w:r>
            </w:hyperlink>
          </w:p>
        </w:tc>
      </w:tr>
      <w:tr w:rsidR="005423C8" w:rsidRPr="005423C8" w14:paraId="2EDB9D87"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45477E9F"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30 de marzo</w:t>
            </w:r>
          </w:p>
        </w:tc>
        <w:tc>
          <w:tcPr>
            <w:tcW w:w="5255" w:type="dxa"/>
            <w:tcBorders>
              <w:top w:val="single" w:sz="4" w:space="0" w:color="000000"/>
              <w:bottom w:val="single" w:sz="4" w:space="0" w:color="000000"/>
            </w:tcBorders>
            <w:shd w:val="clear" w:color="auto" w:fill="FFFFFF"/>
            <w:tcMar>
              <w:bottom w:w="0" w:type="dxa"/>
            </w:tcMar>
          </w:tcPr>
          <w:p w14:paraId="62D17B51" w14:textId="0F5546ED"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 xml:space="preserve">La Agencia Valenciana Antifraude presenta a </w:t>
            </w:r>
            <w:r w:rsidR="00CC7691">
              <w:rPr>
                <w:rFonts w:ascii="Arial" w:eastAsia="Times New Roman" w:hAnsi="Arial" w:cs="Arial"/>
                <w:bCs/>
                <w:sz w:val="18"/>
                <w:szCs w:val="18"/>
              </w:rPr>
              <w:t>la</w:t>
            </w:r>
            <w:r w:rsidRPr="005423C8">
              <w:rPr>
                <w:rFonts w:ascii="Arial" w:eastAsia="Times New Roman" w:hAnsi="Arial" w:cs="Arial"/>
                <w:bCs/>
                <w:sz w:val="18"/>
                <w:szCs w:val="18"/>
              </w:rPr>
              <w:t xml:space="preserve">s Corts su Memoria de </w:t>
            </w:r>
            <w:r w:rsidR="0038226A">
              <w:rPr>
                <w:rFonts w:ascii="Arial" w:eastAsia="Times New Roman" w:hAnsi="Arial" w:cs="Arial"/>
                <w:bCs/>
                <w:sz w:val="18"/>
                <w:szCs w:val="18"/>
              </w:rPr>
              <w:t>a</w:t>
            </w:r>
            <w:r w:rsidRPr="005423C8">
              <w:rPr>
                <w:rFonts w:ascii="Arial" w:eastAsia="Times New Roman" w:hAnsi="Arial" w:cs="Arial"/>
                <w:bCs/>
                <w:sz w:val="18"/>
                <w:szCs w:val="18"/>
              </w:rPr>
              <w:t>ctividad del año 2020</w:t>
            </w:r>
          </w:p>
        </w:tc>
        <w:tc>
          <w:tcPr>
            <w:tcW w:w="1984" w:type="dxa"/>
            <w:tcBorders>
              <w:top w:val="single" w:sz="4" w:space="0" w:color="000000"/>
              <w:bottom w:val="single" w:sz="4" w:space="0" w:color="000000"/>
            </w:tcBorders>
            <w:shd w:val="clear" w:color="auto" w:fill="FFFFFF"/>
          </w:tcPr>
          <w:p w14:paraId="1974BF4D" w14:textId="77777777" w:rsidR="005423C8" w:rsidRPr="005423C8" w:rsidRDefault="00AF48E6" w:rsidP="006D0B66">
            <w:pPr>
              <w:jc w:val="center"/>
              <w:rPr>
                <w:rFonts w:ascii="Arial" w:eastAsia="Times New Roman" w:hAnsi="Arial" w:cs="Arial"/>
                <w:bCs/>
                <w:sz w:val="18"/>
                <w:szCs w:val="18"/>
              </w:rPr>
            </w:pPr>
            <w:hyperlink r:id="rId138" w:history="1">
              <w:r w:rsidR="005423C8" w:rsidRPr="005423C8">
                <w:rPr>
                  <w:rStyle w:val="Hipervnculo"/>
                  <w:rFonts w:ascii="Arial" w:eastAsia="Times New Roman" w:hAnsi="Arial" w:cs="Arial"/>
                  <w:bCs/>
                  <w:sz w:val="18"/>
                  <w:szCs w:val="18"/>
                </w:rPr>
                <w:t>https://bit.ly/3of3IaU</w:t>
              </w:r>
            </w:hyperlink>
          </w:p>
        </w:tc>
      </w:tr>
      <w:tr w:rsidR="005423C8" w:rsidRPr="005423C8" w14:paraId="4C8FC245"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3A37127E"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9 de abril</w:t>
            </w:r>
          </w:p>
        </w:tc>
        <w:tc>
          <w:tcPr>
            <w:tcW w:w="5255" w:type="dxa"/>
            <w:tcBorders>
              <w:top w:val="single" w:sz="4" w:space="0" w:color="000000"/>
              <w:bottom w:val="single" w:sz="4" w:space="0" w:color="000000"/>
            </w:tcBorders>
            <w:shd w:val="clear" w:color="auto" w:fill="FFFFFF"/>
            <w:tcMar>
              <w:bottom w:w="0" w:type="dxa"/>
            </w:tcMar>
          </w:tcPr>
          <w:p w14:paraId="6DCD4C6E"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Agencia Valenciana Antifraude firma un convenio con la Fundación Civio para el desarrollo del proyecto SceMaps</w:t>
            </w:r>
          </w:p>
        </w:tc>
        <w:tc>
          <w:tcPr>
            <w:tcW w:w="1984" w:type="dxa"/>
            <w:tcBorders>
              <w:top w:val="single" w:sz="4" w:space="0" w:color="000000"/>
              <w:bottom w:val="single" w:sz="4" w:space="0" w:color="000000"/>
            </w:tcBorders>
            <w:shd w:val="clear" w:color="auto" w:fill="FFFFFF"/>
          </w:tcPr>
          <w:p w14:paraId="77F9FDEF" w14:textId="77777777" w:rsidR="005423C8" w:rsidRPr="005423C8" w:rsidRDefault="00AF48E6" w:rsidP="006D0B66">
            <w:pPr>
              <w:jc w:val="center"/>
              <w:rPr>
                <w:rFonts w:ascii="Arial" w:eastAsia="Times New Roman" w:hAnsi="Arial" w:cs="Arial"/>
                <w:bCs/>
                <w:sz w:val="18"/>
                <w:szCs w:val="18"/>
              </w:rPr>
            </w:pPr>
            <w:hyperlink r:id="rId139" w:history="1">
              <w:r w:rsidR="005423C8" w:rsidRPr="005423C8">
                <w:rPr>
                  <w:rStyle w:val="Hipervnculo"/>
                  <w:rFonts w:ascii="Arial" w:eastAsia="Times New Roman" w:hAnsi="Arial" w:cs="Arial"/>
                  <w:bCs/>
                  <w:sz w:val="18"/>
                  <w:szCs w:val="18"/>
                </w:rPr>
                <w:t>https://bit.ly/3Gi4j1T</w:t>
              </w:r>
            </w:hyperlink>
          </w:p>
        </w:tc>
      </w:tr>
      <w:tr w:rsidR="005423C8" w:rsidRPr="005423C8" w14:paraId="3E4CDA35"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421CA210"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23 de abril</w:t>
            </w:r>
          </w:p>
        </w:tc>
        <w:tc>
          <w:tcPr>
            <w:tcW w:w="5255" w:type="dxa"/>
            <w:tcBorders>
              <w:top w:val="single" w:sz="4" w:space="0" w:color="000000"/>
              <w:bottom w:val="single" w:sz="4" w:space="0" w:color="000000"/>
            </w:tcBorders>
            <w:shd w:val="clear" w:color="auto" w:fill="FFFFFF"/>
            <w:tcMar>
              <w:bottom w:w="0" w:type="dxa"/>
            </w:tcMar>
          </w:tcPr>
          <w:p w14:paraId="5F822736"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El TSJ tiene por preparado el recurso de casación de la Agencia Valenciana Antifraude contra la petición de expedientes de investigación en curso</w:t>
            </w:r>
          </w:p>
        </w:tc>
        <w:tc>
          <w:tcPr>
            <w:tcW w:w="1984" w:type="dxa"/>
            <w:tcBorders>
              <w:top w:val="single" w:sz="4" w:space="0" w:color="000000"/>
              <w:bottom w:val="single" w:sz="4" w:space="0" w:color="000000"/>
            </w:tcBorders>
            <w:shd w:val="clear" w:color="auto" w:fill="FFFFFF"/>
          </w:tcPr>
          <w:p w14:paraId="1F2735EF" w14:textId="77777777" w:rsidR="005423C8" w:rsidRPr="005423C8" w:rsidRDefault="00AF48E6" w:rsidP="006D0B66">
            <w:pPr>
              <w:jc w:val="center"/>
              <w:rPr>
                <w:rFonts w:ascii="Arial" w:eastAsia="Times New Roman" w:hAnsi="Arial" w:cs="Arial"/>
                <w:bCs/>
                <w:sz w:val="18"/>
                <w:szCs w:val="18"/>
              </w:rPr>
            </w:pPr>
            <w:hyperlink r:id="rId140" w:history="1">
              <w:r w:rsidR="005423C8" w:rsidRPr="005423C8">
                <w:rPr>
                  <w:rStyle w:val="Hipervnculo"/>
                  <w:rFonts w:ascii="Arial" w:eastAsia="Times New Roman" w:hAnsi="Arial" w:cs="Arial"/>
                  <w:bCs/>
                  <w:sz w:val="18"/>
                  <w:szCs w:val="18"/>
                </w:rPr>
                <w:t>https://bit.ly/3KYZzle</w:t>
              </w:r>
            </w:hyperlink>
          </w:p>
        </w:tc>
      </w:tr>
      <w:tr w:rsidR="005423C8" w:rsidRPr="005423C8" w14:paraId="21CE1583"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255BE891"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29 de abril</w:t>
            </w:r>
          </w:p>
        </w:tc>
        <w:tc>
          <w:tcPr>
            <w:tcW w:w="5255" w:type="dxa"/>
            <w:tcBorders>
              <w:top w:val="single" w:sz="4" w:space="0" w:color="000000"/>
              <w:bottom w:val="single" w:sz="4" w:space="0" w:color="000000"/>
            </w:tcBorders>
            <w:shd w:val="clear" w:color="auto" w:fill="FFFFFF"/>
            <w:tcMar>
              <w:bottom w:w="0" w:type="dxa"/>
            </w:tcMar>
          </w:tcPr>
          <w:p w14:paraId="51F5B6D3"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Agencia Valenciana Antifraude en Benetússer</w:t>
            </w:r>
          </w:p>
        </w:tc>
        <w:tc>
          <w:tcPr>
            <w:tcW w:w="1984" w:type="dxa"/>
            <w:tcBorders>
              <w:top w:val="single" w:sz="4" w:space="0" w:color="000000"/>
              <w:bottom w:val="single" w:sz="4" w:space="0" w:color="000000"/>
            </w:tcBorders>
            <w:shd w:val="clear" w:color="auto" w:fill="FFFFFF"/>
          </w:tcPr>
          <w:p w14:paraId="5A73A6AD" w14:textId="77777777" w:rsidR="005423C8" w:rsidRPr="005423C8" w:rsidRDefault="00AF48E6" w:rsidP="006D0B66">
            <w:pPr>
              <w:jc w:val="center"/>
              <w:rPr>
                <w:rFonts w:ascii="Arial" w:eastAsia="Times New Roman" w:hAnsi="Arial" w:cs="Arial"/>
                <w:bCs/>
                <w:sz w:val="18"/>
                <w:szCs w:val="18"/>
              </w:rPr>
            </w:pPr>
            <w:hyperlink r:id="rId141" w:history="1">
              <w:r w:rsidR="005423C8" w:rsidRPr="005423C8">
                <w:rPr>
                  <w:rStyle w:val="Hipervnculo"/>
                  <w:rFonts w:ascii="Arial" w:eastAsia="Times New Roman" w:hAnsi="Arial" w:cs="Arial"/>
                  <w:bCs/>
                  <w:sz w:val="18"/>
                  <w:szCs w:val="18"/>
                </w:rPr>
                <w:t>https://bit.ly/3AP3JaK</w:t>
              </w:r>
            </w:hyperlink>
          </w:p>
        </w:tc>
      </w:tr>
      <w:tr w:rsidR="005423C8" w:rsidRPr="005423C8" w14:paraId="5ACF4371"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7A1C142F"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29 de abril</w:t>
            </w:r>
          </w:p>
        </w:tc>
        <w:tc>
          <w:tcPr>
            <w:tcW w:w="5255" w:type="dxa"/>
            <w:tcBorders>
              <w:top w:val="single" w:sz="4" w:space="0" w:color="000000"/>
              <w:bottom w:val="single" w:sz="4" w:space="0" w:color="000000"/>
            </w:tcBorders>
            <w:shd w:val="clear" w:color="auto" w:fill="FFFFFF"/>
            <w:tcMar>
              <w:bottom w:w="0" w:type="dxa"/>
            </w:tcMar>
          </w:tcPr>
          <w:p w14:paraId="223F47DC"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Cuarta reunión del Consejo de Participación de la Agencia Valenciana Antifraude</w:t>
            </w:r>
          </w:p>
        </w:tc>
        <w:tc>
          <w:tcPr>
            <w:tcW w:w="1984" w:type="dxa"/>
            <w:tcBorders>
              <w:top w:val="single" w:sz="4" w:space="0" w:color="000000"/>
              <w:bottom w:val="single" w:sz="4" w:space="0" w:color="000000"/>
            </w:tcBorders>
            <w:shd w:val="clear" w:color="auto" w:fill="FFFFFF"/>
          </w:tcPr>
          <w:p w14:paraId="70B49544" w14:textId="77777777" w:rsidR="005423C8" w:rsidRPr="005423C8" w:rsidRDefault="00AF48E6" w:rsidP="006D0B66">
            <w:pPr>
              <w:jc w:val="center"/>
              <w:rPr>
                <w:rFonts w:ascii="Arial" w:eastAsia="Times New Roman" w:hAnsi="Arial" w:cs="Arial"/>
                <w:bCs/>
                <w:sz w:val="18"/>
                <w:szCs w:val="18"/>
              </w:rPr>
            </w:pPr>
            <w:hyperlink r:id="rId142" w:history="1">
              <w:r w:rsidR="005423C8" w:rsidRPr="005423C8">
                <w:rPr>
                  <w:rStyle w:val="Hipervnculo"/>
                  <w:rFonts w:ascii="Arial" w:eastAsia="Times New Roman" w:hAnsi="Arial" w:cs="Arial"/>
                  <w:bCs/>
                  <w:sz w:val="18"/>
                  <w:szCs w:val="18"/>
                </w:rPr>
                <w:t>https://bit.ly/3gle8Bn</w:t>
              </w:r>
            </w:hyperlink>
          </w:p>
        </w:tc>
      </w:tr>
      <w:tr w:rsidR="005423C8" w:rsidRPr="005423C8" w14:paraId="25E0C74C"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5C5B3C10"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5 de mayo</w:t>
            </w:r>
          </w:p>
        </w:tc>
        <w:tc>
          <w:tcPr>
            <w:tcW w:w="5255" w:type="dxa"/>
            <w:tcBorders>
              <w:top w:val="single" w:sz="4" w:space="0" w:color="000000"/>
              <w:bottom w:val="single" w:sz="4" w:space="0" w:color="000000"/>
            </w:tcBorders>
            <w:shd w:val="clear" w:color="auto" w:fill="FFFFFF"/>
            <w:tcMar>
              <w:bottom w:w="0" w:type="dxa"/>
            </w:tcMar>
          </w:tcPr>
          <w:p w14:paraId="331C0EE0"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Más de 900 personas reciben formación de la Agencia Valenciana Antifraude en ética e integridad pública</w:t>
            </w:r>
          </w:p>
        </w:tc>
        <w:tc>
          <w:tcPr>
            <w:tcW w:w="1984" w:type="dxa"/>
            <w:tcBorders>
              <w:top w:val="single" w:sz="4" w:space="0" w:color="000000"/>
              <w:bottom w:val="single" w:sz="4" w:space="0" w:color="000000"/>
            </w:tcBorders>
            <w:shd w:val="clear" w:color="auto" w:fill="FFFFFF"/>
          </w:tcPr>
          <w:p w14:paraId="567371C7" w14:textId="77777777" w:rsidR="005423C8" w:rsidRPr="005423C8" w:rsidRDefault="00AF48E6" w:rsidP="006D0B66">
            <w:pPr>
              <w:jc w:val="center"/>
              <w:rPr>
                <w:rFonts w:ascii="Arial" w:eastAsia="Times New Roman" w:hAnsi="Arial" w:cs="Arial"/>
                <w:bCs/>
                <w:sz w:val="18"/>
                <w:szCs w:val="18"/>
              </w:rPr>
            </w:pPr>
            <w:hyperlink r:id="rId143" w:history="1">
              <w:r w:rsidR="005423C8" w:rsidRPr="005423C8">
                <w:rPr>
                  <w:rStyle w:val="Hipervnculo"/>
                  <w:rFonts w:ascii="Arial" w:eastAsia="Times New Roman" w:hAnsi="Arial" w:cs="Arial"/>
                  <w:bCs/>
                  <w:sz w:val="18"/>
                  <w:szCs w:val="18"/>
                </w:rPr>
                <w:t>https://bit.ly/3GklFey</w:t>
              </w:r>
            </w:hyperlink>
          </w:p>
        </w:tc>
      </w:tr>
      <w:tr w:rsidR="005423C8" w:rsidRPr="005423C8" w14:paraId="41472232"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3B4A6695"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14 de mayo</w:t>
            </w:r>
          </w:p>
        </w:tc>
        <w:tc>
          <w:tcPr>
            <w:tcW w:w="5255" w:type="dxa"/>
            <w:tcBorders>
              <w:top w:val="single" w:sz="4" w:space="0" w:color="000000"/>
              <w:bottom w:val="single" w:sz="4" w:space="0" w:color="000000"/>
            </w:tcBorders>
            <w:shd w:val="clear" w:color="auto" w:fill="FFFFFF"/>
            <w:tcMar>
              <w:bottom w:w="0" w:type="dxa"/>
            </w:tcMar>
          </w:tcPr>
          <w:p w14:paraId="304E2FE8"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Agencia Valenciana Antifraude celebró un nuevo webinar dedicado al Buzón de Denuncias</w:t>
            </w:r>
          </w:p>
        </w:tc>
        <w:tc>
          <w:tcPr>
            <w:tcW w:w="1984" w:type="dxa"/>
            <w:tcBorders>
              <w:top w:val="single" w:sz="4" w:space="0" w:color="000000"/>
              <w:bottom w:val="single" w:sz="4" w:space="0" w:color="000000"/>
            </w:tcBorders>
            <w:shd w:val="clear" w:color="auto" w:fill="FFFFFF"/>
          </w:tcPr>
          <w:p w14:paraId="42909F96" w14:textId="77777777" w:rsidR="005423C8" w:rsidRPr="005423C8" w:rsidRDefault="00AF48E6" w:rsidP="006D0B66">
            <w:pPr>
              <w:jc w:val="center"/>
              <w:rPr>
                <w:rFonts w:ascii="Arial" w:eastAsia="Times New Roman" w:hAnsi="Arial" w:cs="Arial"/>
                <w:bCs/>
                <w:sz w:val="18"/>
                <w:szCs w:val="18"/>
              </w:rPr>
            </w:pPr>
            <w:hyperlink r:id="rId144" w:history="1">
              <w:r w:rsidR="005423C8" w:rsidRPr="005423C8">
                <w:rPr>
                  <w:rStyle w:val="Hipervnculo"/>
                  <w:rFonts w:ascii="Arial" w:eastAsia="Times New Roman" w:hAnsi="Arial" w:cs="Arial"/>
                  <w:bCs/>
                  <w:sz w:val="18"/>
                  <w:szCs w:val="18"/>
                </w:rPr>
                <w:t>https://bit.ly/3L3AeGI</w:t>
              </w:r>
            </w:hyperlink>
          </w:p>
        </w:tc>
      </w:tr>
      <w:tr w:rsidR="005423C8" w:rsidRPr="005423C8" w14:paraId="53FB8A99"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60F7B6CC"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18 de mayo</w:t>
            </w:r>
          </w:p>
        </w:tc>
        <w:tc>
          <w:tcPr>
            <w:tcW w:w="5255" w:type="dxa"/>
            <w:tcBorders>
              <w:top w:val="single" w:sz="4" w:space="0" w:color="000000"/>
              <w:bottom w:val="single" w:sz="4" w:space="0" w:color="000000"/>
            </w:tcBorders>
            <w:shd w:val="clear" w:color="auto" w:fill="FFFFFF"/>
            <w:tcMar>
              <w:bottom w:w="0" w:type="dxa"/>
            </w:tcMar>
          </w:tcPr>
          <w:p w14:paraId="1A2C99C3" w14:textId="01B121FD"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“Covid-19, derechos y responsabilidades”</w:t>
            </w:r>
            <w:r w:rsidR="00026EE3">
              <w:rPr>
                <w:rFonts w:ascii="Arial" w:eastAsia="Times New Roman" w:hAnsi="Arial" w:cs="Arial"/>
                <w:bCs/>
                <w:sz w:val="18"/>
                <w:szCs w:val="18"/>
              </w:rPr>
              <w:t>.</w:t>
            </w:r>
            <w:r w:rsidRPr="005423C8">
              <w:rPr>
                <w:rFonts w:ascii="Arial" w:eastAsia="Times New Roman" w:hAnsi="Arial" w:cs="Arial"/>
                <w:bCs/>
                <w:sz w:val="18"/>
                <w:szCs w:val="18"/>
              </w:rPr>
              <w:t xml:space="preserve"> </w:t>
            </w:r>
            <w:r w:rsidR="00026EE3">
              <w:rPr>
                <w:rFonts w:ascii="Arial" w:eastAsia="Times New Roman" w:hAnsi="Arial" w:cs="Arial"/>
                <w:bCs/>
                <w:sz w:val="18"/>
                <w:szCs w:val="18"/>
              </w:rPr>
              <w:t>, a</w:t>
            </w:r>
            <w:r w:rsidRPr="005423C8">
              <w:rPr>
                <w:rFonts w:ascii="Arial" w:eastAsia="Times New Roman" w:hAnsi="Arial" w:cs="Arial"/>
                <w:bCs/>
                <w:sz w:val="18"/>
                <w:szCs w:val="18"/>
              </w:rPr>
              <w:t xml:space="preserve"> debate el impacto de la pandemia en el sistema de derechos civiles, sociales y políticos en la primera de las jornadas UV- AVAF</w:t>
            </w:r>
          </w:p>
        </w:tc>
        <w:tc>
          <w:tcPr>
            <w:tcW w:w="1984" w:type="dxa"/>
            <w:tcBorders>
              <w:top w:val="single" w:sz="4" w:space="0" w:color="000000"/>
              <w:bottom w:val="single" w:sz="4" w:space="0" w:color="000000"/>
            </w:tcBorders>
            <w:shd w:val="clear" w:color="auto" w:fill="FFFFFF"/>
          </w:tcPr>
          <w:p w14:paraId="3C1385A9" w14:textId="77777777" w:rsidR="005423C8" w:rsidRPr="005423C8" w:rsidRDefault="00AF48E6" w:rsidP="006D0B66">
            <w:pPr>
              <w:jc w:val="center"/>
              <w:rPr>
                <w:rFonts w:ascii="Arial" w:eastAsia="Times New Roman" w:hAnsi="Arial" w:cs="Arial"/>
                <w:bCs/>
                <w:sz w:val="18"/>
                <w:szCs w:val="18"/>
              </w:rPr>
            </w:pPr>
            <w:hyperlink r:id="rId145" w:history="1">
              <w:r w:rsidR="005423C8" w:rsidRPr="005423C8">
                <w:rPr>
                  <w:rStyle w:val="Hipervnculo"/>
                  <w:rFonts w:ascii="Arial" w:eastAsia="Times New Roman" w:hAnsi="Arial" w:cs="Arial"/>
                  <w:bCs/>
                  <w:sz w:val="18"/>
                  <w:szCs w:val="18"/>
                </w:rPr>
                <w:t>https://bit.ly/3L0Gxek</w:t>
              </w:r>
            </w:hyperlink>
          </w:p>
        </w:tc>
      </w:tr>
      <w:tr w:rsidR="005423C8" w:rsidRPr="005423C8" w14:paraId="2BA1114F"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7400E021"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25 de mayo</w:t>
            </w:r>
          </w:p>
        </w:tc>
        <w:tc>
          <w:tcPr>
            <w:tcW w:w="5255" w:type="dxa"/>
            <w:tcBorders>
              <w:top w:val="single" w:sz="4" w:space="0" w:color="000000"/>
              <w:bottom w:val="single" w:sz="4" w:space="0" w:color="000000"/>
            </w:tcBorders>
            <w:shd w:val="clear" w:color="auto" w:fill="FFFFFF"/>
            <w:tcMar>
              <w:bottom w:w="0" w:type="dxa"/>
            </w:tcMar>
          </w:tcPr>
          <w:p w14:paraId="60A335F1"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El 32% de las denuncias presentadas en la Agencia Valenciana Antifraude durante el año 2020 fueron sobre contratación pública</w:t>
            </w:r>
          </w:p>
        </w:tc>
        <w:tc>
          <w:tcPr>
            <w:tcW w:w="1984" w:type="dxa"/>
            <w:tcBorders>
              <w:top w:val="single" w:sz="4" w:space="0" w:color="000000"/>
              <w:bottom w:val="single" w:sz="4" w:space="0" w:color="000000"/>
            </w:tcBorders>
            <w:shd w:val="clear" w:color="auto" w:fill="FFFFFF"/>
          </w:tcPr>
          <w:p w14:paraId="70594460" w14:textId="77777777" w:rsidR="005423C8" w:rsidRPr="005423C8" w:rsidRDefault="00AF48E6" w:rsidP="006D0B66">
            <w:pPr>
              <w:jc w:val="center"/>
              <w:rPr>
                <w:rFonts w:ascii="Arial" w:eastAsia="Times New Roman" w:hAnsi="Arial" w:cs="Arial"/>
                <w:bCs/>
                <w:sz w:val="18"/>
                <w:szCs w:val="18"/>
              </w:rPr>
            </w:pPr>
            <w:hyperlink r:id="rId146" w:history="1">
              <w:r w:rsidR="005423C8" w:rsidRPr="005423C8">
                <w:rPr>
                  <w:rStyle w:val="Hipervnculo"/>
                  <w:rFonts w:ascii="Arial" w:eastAsia="Times New Roman" w:hAnsi="Arial" w:cs="Arial"/>
                  <w:bCs/>
                  <w:sz w:val="18"/>
                  <w:szCs w:val="18"/>
                </w:rPr>
                <w:t>https://bit.ly/3ITKP5n</w:t>
              </w:r>
            </w:hyperlink>
          </w:p>
        </w:tc>
      </w:tr>
      <w:tr w:rsidR="005423C8" w:rsidRPr="005423C8" w14:paraId="63D90B18"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5D21D60B"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3 de junio</w:t>
            </w:r>
          </w:p>
        </w:tc>
        <w:tc>
          <w:tcPr>
            <w:tcW w:w="5255" w:type="dxa"/>
            <w:tcBorders>
              <w:top w:val="single" w:sz="4" w:space="0" w:color="000000"/>
              <w:bottom w:val="single" w:sz="4" w:space="0" w:color="000000"/>
            </w:tcBorders>
            <w:shd w:val="clear" w:color="auto" w:fill="FFFFFF"/>
            <w:tcMar>
              <w:bottom w:w="0" w:type="dxa"/>
            </w:tcMar>
          </w:tcPr>
          <w:p w14:paraId="761D55BC"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Covid-19 y derechos fundamentales, protagonistas en Unisocietat Alzira</w:t>
            </w:r>
          </w:p>
        </w:tc>
        <w:tc>
          <w:tcPr>
            <w:tcW w:w="1984" w:type="dxa"/>
            <w:tcBorders>
              <w:top w:val="single" w:sz="4" w:space="0" w:color="000000"/>
              <w:bottom w:val="single" w:sz="4" w:space="0" w:color="000000"/>
            </w:tcBorders>
            <w:shd w:val="clear" w:color="auto" w:fill="FFFFFF"/>
          </w:tcPr>
          <w:p w14:paraId="5E6F0328" w14:textId="77777777" w:rsidR="005423C8" w:rsidRPr="005423C8" w:rsidRDefault="00AF48E6" w:rsidP="006D0B66">
            <w:pPr>
              <w:jc w:val="center"/>
              <w:rPr>
                <w:rFonts w:ascii="Arial" w:eastAsia="Times New Roman" w:hAnsi="Arial" w:cs="Arial"/>
                <w:bCs/>
                <w:sz w:val="18"/>
                <w:szCs w:val="18"/>
              </w:rPr>
            </w:pPr>
            <w:hyperlink r:id="rId147" w:history="1">
              <w:r w:rsidR="005423C8" w:rsidRPr="005423C8">
                <w:rPr>
                  <w:rStyle w:val="Hipervnculo"/>
                  <w:rFonts w:ascii="Arial" w:eastAsia="Times New Roman" w:hAnsi="Arial" w:cs="Arial"/>
                  <w:bCs/>
                  <w:sz w:val="18"/>
                  <w:szCs w:val="18"/>
                </w:rPr>
                <w:t>https://bit.ly/3GdeSDb</w:t>
              </w:r>
            </w:hyperlink>
          </w:p>
        </w:tc>
      </w:tr>
      <w:tr w:rsidR="005423C8" w:rsidRPr="005423C8" w14:paraId="04963ACA"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188B7156"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3 de junio</w:t>
            </w:r>
          </w:p>
        </w:tc>
        <w:tc>
          <w:tcPr>
            <w:tcW w:w="5255" w:type="dxa"/>
            <w:tcBorders>
              <w:top w:val="single" w:sz="4" w:space="0" w:color="000000"/>
              <w:bottom w:val="single" w:sz="4" w:space="0" w:color="000000"/>
            </w:tcBorders>
            <w:shd w:val="clear" w:color="auto" w:fill="FFFFFF"/>
            <w:tcMar>
              <w:bottom w:w="0" w:type="dxa"/>
            </w:tcMar>
          </w:tcPr>
          <w:p w14:paraId="3887AD03"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Los mecanismos de control público de los Fondos Europeos Next Generation</w:t>
            </w:r>
          </w:p>
        </w:tc>
        <w:tc>
          <w:tcPr>
            <w:tcW w:w="1984" w:type="dxa"/>
            <w:tcBorders>
              <w:top w:val="single" w:sz="4" w:space="0" w:color="000000"/>
              <w:bottom w:val="single" w:sz="4" w:space="0" w:color="000000"/>
            </w:tcBorders>
            <w:shd w:val="clear" w:color="auto" w:fill="FFFFFF"/>
          </w:tcPr>
          <w:p w14:paraId="48050B7B" w14:textId="77777777" w:rsidR="005423C8" w:rsidRPr="005423C8" w:rsidRDefault="00AF48E6" w:rsidP="006D0B66">
            <w:pPr>
              <w:jc w:val="center"/>
              <w:rPr>
                <w:rFonts w:ascii="Arial" w:eastAsia="Times New Roman" w:hAnsi="Arial" w:cs="Arial"/>
                <w:bCs/>
                <w:sz w:val="18"/>
                <w:szCs w:val="18"/>
              </w:rPr>
            </w:pPr>
            <w:hyperlink r:id="rId148" w:history="1">
              <w:r w:rsidR="005423C8" w:rsidRPr="005423C8">
                <w:rPr>
                  <w:rStyle w:val="Hipervnculo"/>
                  <w:rFonts w:ascii="Arial" w:eastAsia="Times New Roman" w:hAnsi="Arial" w:cs="Arial"/>
                  <w:bCs/>
                  <w:sz w:val="18"/>
                  <w:szCs w:val="18"/>
                </w:rPr>
                <w:t>https://bit.ly/3GhQpwO</w:t>
              </w:r>
            </w:hyperlink>
          </w:p>
        </w:tc>
      </w:tr>
      <w:tr w:rsidR="005423C8" w:rsidRPr="005423C8" w14:paraId="32BC985E"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125A0757"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11 de junio</w:t>
            </w:r>
          </w:p>
        </w:tc>
        <w:tc>
          <w:tcPr>
            <w:tcW w:w="5255" w:type="dxa"/>
            <w:tcBorders>
              <w:top w:val="single" w:sz="4" w:space="0" w:color="000000"/>
              <w:bottom w:val="single" w:sz="4" w:space="0" w:color="000000"/>
            </w:tcBorders>
            <w:shd w:val="clear" w:color="auto" w:fill="FFFFFF"/>
            <w:tcMar>
              <w:bottom w:w="0" w:type="dxa"/>
            </w:tcMar>
          </w:tcPr>
          <w:p w14:paraId="22D851AD"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Agencias y oficinas antifraude demandan una Estrategia Estatal de Lucha contra la Corrupción</w:t>
            </w:r>
          </w:p>
        </w:tc>
        <w:tc>
          <w:tcPr>
            <w:tcW w:w="1984" w:type="dxa"/>
            <w:tcBorders>
              <w:top w:val="single" w:sz="4" w:space="0" w:color="000000"/>
              <w:bottom w:val="single" w:sz="4" w:space="0" w:color="000000"/>
            </w:tcBorders>
            <w:shd w:val="clear" w:color="auto" w:fill="FFFFFF"/>
          </w:tcPr>
          <w:p w14:paraId="5FC20EBF" w14:textId="77777777" w:rsidR="005423C8" w:rsidRPr="005423C8" w:rsidRDefault="00AF48E6" w:rsidP="006D0B66">
            <w:pPr>
              <w:jc w:val="center"/>
              <w:rPr>
                <w:rFonts w:ascii="Arial" w:eastAsia="Times New Roman" w:hAnsi="Arial" w:cs="Arial"/>
                <w:bCs/>
                <w:sz w:val="18"/>
                <w:szCs w:val="18"/>
              </w:rPr>
            </w:pPr>
            <w:hyperlink r:id="rId149" w:history="1">
              <w:r w:rsidR="005423C8" w:rsidRPr="005423C8">
                <w:rPr>
                  <w:rStyle w:val="Hipervnculo"/>
                  <w:rFonts w:ascii="Arial" w:eastAsia="Times New Roman" w:hAnsi="Arial" w:cs="Arial"/>
                  <w:bCs/>
                  <w:sz w:val="18"/>
                  <w:szCs w:val="18"/>
                </w:rPr>
                <w:t>https://bit.ly/3HjMMrr</w:t>
              </w:r>
            </w:hyperlink>
          </w:p>
        </w:tc>
      </w:tr>
      <w:tr w:rsidR="005423C8" w:rsidRPr="005423C8" w14:paraId="06CC3638"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082E25F8"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14 de junio</w:t>
            </w:r>
          </w:p>
        </w:tc>
        <w:tc>
          <w:tcPr>
            <w:tcW w:w="5255" w:type="dxa"/>
            <w:tcBorders>
              <w:top w:val="single" w:sz="4" w:space="0" w:color="000000"/>
              <w:bottom w:val="single" w:sz="4" w:space="0" w:color="000000"/>
            </w:tcBorders>
            <w:shd w:val="clear" w:color="auto" w:fill="FFFFFF"/>
            <w:tcMar>
              <w:bottom w:w="0" w:type="dxa"/>
            </w:tcMar>
          </w:tcPr>
          <w:p w14:paraId="6D734A12"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El TSJ-CV acuerda la inadmisión del recurso del Ayuntamiento de Orihuela contra la resolución de la AVAF</w:t>
            </w:r>
          </w:p>
        </w:tc>
        <w:tc>
          <w:tcPr>
            <w:tcW w:w="1984" w:type="dxa"/>
            <w:tcBorders>
              <w:top w:val="single" w:sz="4" w:space="0" w:color="000000"/>
              <w:bottom w:val="single" w:sz="4" w:space="0" w:color="000000"/>
            </w:tcBorders>
            <w:shd w:val="clear" w:color="auto" w:fill="FFFFFF"/>
          </w:tcPr>
          <w:p w14:paraId="7AED9078" w14:textId="77777777" w:rsidR="005423C8" w:rsidRPr="005423C8" w:rsidRDefault="00AF48E6" w:rsidP="006D0B66">
            <w:pPr>
              <w:jc w:val="center"/>
              <w:rPr>
                <w:rFonts w:ascii="Arial" w:eastAsia="Times New Roman" w:hAnsi="Arial" w:cs="Arial"/>
                <w:bCs/>
                <w:sz w:val="18"/>
                <w:szCs w:val="18"/>
              </w:rPr>
            </w:pPr>
            <w:hyperlink r:id="rId150" w:history="1">
              <w:r w:rsidR="005423C8" w:rsidRPr="005423C8">
                <w:rPr>
                  <w:rStyle w:val="Hipervnculo"/>
                  <w:rFonts w:ascii="Arial" w:eastAsia="Times New Roman" w:hAnsi="Arial" w:cs="Arial"/>
                  <w:bCs/>
                  <w:sz w:val="18"/>
                  <w:szCs w:val="18"/>
                </w:rPr>
                <w:t>https://bit.ly/3rrkYfn</w:t>
              </w:r>
            </w:hyperlink>
          </w:p>
        </w:tc>
      </w:tr>
      <w:tr w:rsidR="005423C8" w:rsidRPr="005423C8" w14:paraId="6D774A40"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6348C81A"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17 de junio</w:t>
            </w:r>
          </w:p>
        </w:tc>
        <w:tc>
          <w:tcPr>
            <w:tcW w:w="5255" w:type="dxa"/>
            <w:tcBorders>
              <w:top w:val="single" w:sz="4" w:space="0" w:color="000000"/>
              <w:bottom w:val="single" w:sz="4" w:space="0" w:color="000000"/>
            </w:tcBorders>
            <w:shd w:val="clear" w:color="auto" w:fill="FFFFFF"/>
            <w:tcMar>
              <w:bottom w:w="0" w:type="dxa"/>
            </w:tcMar>
          </w:tcPr>
          <w:p w14:paraId="7A316B67" w14:textId="14A02C4F"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 xml:space="preserve">La AVAF participa en dos grupos de trabajo de la Red </w:t>
            </w:r>
            <w:r w:rsidR="00026EE3">
              <w:rPr>
                <w:rFonts w:ascii="Arial" w:eastAsia="Times New Roman" w:hAnsi="Arial" w:cs="Arial"/>
                <w:bCs/>
                <w:sz w:val="18"/>
                <w:szCs w:val="18"/>
              </w:rPr>
              <w:t>NEIWA</w:t>
            </w:r>
          </w:p>
        </w:tc>
        <w:tc>
          <w:tcPr>
            <w:tcW w:w="1984" w:type="dxa"/>
            <w:tcBorders>
              <w:top w:val="single" w:sz="4" w:space="0" w:color="000000"/>
              <w:bottom w:val="single" w:sz="4" w:space="0" w:color="000000"/>
            </w:tcBorders>
            <w:shd w:val="clear" w:color="auto" w:fill="FFFFFF"/>
          </w:tcPr>
          <w:p w14:paraId="54F24614" w14:textId="77777777" w:rsidR="005423C8" w:rsidRPr="005423C8" w:rsidRDefault="00AF48E6" w:rsidP="006D0B66">
            <w:pPr>
              <w:jc w:val="center"/>
              <w:rPr>
                <w:rFonts w:ascii="Arial" w:eastAsia="Times New Roman" w:hAnsi="Arial" w:cs="Arial"/>
                <w:bCs/>
                <w:sz w:val="18"/>
                <w:szCs w:val="18"/>
              </w:rPr>
            </w:pPr>
            <w:hyperlink r:id="rId151" w:history="1">
              <w:r w:rsidR="005423C8" w:rsidRPr="005423C8">
                <w:rPr>
                  <w:rStyle w:val="Hipervnculo"/>
                  <w:rFonts w:ascii="Arial" w:eastAsia="Times New Roman" w:hAnsi="Arial" w:cs="Arial"/>
                  <w:bCs/>
                  <w:sz w:val="18"/>
                  <w:szCs w:val="18"/>
                </w:rPr>
                <w:t>https://bit.ly/3HiyZS0</w:t>
              </w:r>
            </w:hyperlink>
          </w:p>
        </w:tc>
      </w:tr>
      <w:tr w:rsidR="005423C8" w:rsidRPr="005423C8" w14:paraId="0B948E3E"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1468630D"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17 de junio</w:t>
            </w:r>
          </w:p>
        </w:tc>
        <w:tc>
          <w:tcPr>
            <w:tcW w:w="5255" w:type="dxa"/>
            <w:tcBorders>
              <w:top w:val="single" w:sz="4" w:space="0" w:color="000000"/>
              <w:bottom w:val="single" w:sz="4" w:space="0" w:color="000000"/>
            </w:tcBorders>
            <w:shd w:val="clear" w:color="auto" w:fill="FFFFFF"/>
            <w:tcMar>
              <w:bottom w:w="0" w:type="dxa"/>
            </w:tcMar>
          </w:tcPr>
          <w:p w14:paraId="03ACAF7C"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El TSJ-CV cuestiona al Síndic de Greuges que haya examinado una queja contra la Agencia Valenciana Antifraude cuando está pendiente de resolución judicial</w:t>
            </w:r>
          </w:p>
        </w:tc>
        <w:tc>
          <w:tcPr>
            <w:tcW w:w="1984" w:type="dxa"/>
            <w:tcBorders>
              <w:top w:val="single" w:sz="4" w:space="0" w:color="000000"/>
              <w:bottom w:val="single" w:sz="4" w:space="0" w:color="000000"/>
            </w:tcBorders>
            <w:shd w:val="clear" w:color="auto" w:fill="FFFFFF"/>
          </w:tcPr>
          <w:p w14:paraId="12D4DFA6" w14:textId="77777777" w:rsidR="005423C8" w:rsidRPr="005423C8" w:rsidRDefault="00AF48E6" w:rsidP="006D0B66">
            <w:pPr>
              <w:jc w:val="center"/>
              <w:rPr>
                <w:rFonts w:ascii="Arial" w:eastAsia="Times New Roman" w:hAnsi="Arial" w:cs="Arial"/>
                <w:bCs/>
                <w:sz w:val="18"/>
                <w:szCs w:val="18"/>
              </w:rPr>
            </w:pPr>
            <w:hyperlink r:id="rId152" w:history="1">
              <w:r w:rsidR="005423C8" w:rsidRPr="005423C8">
                <w:rPr>
                  <w:rStyle w:val="Hipervnculo"/>
                  <w:rFonts w:ascii="Arial" w:eastAsia="Times New Roman" w:hAnsi="Arial" w:cs="Arial"/>
                  <w:bCs/>
                  <w:sz w:val="18"/>
                  <w:szCs w:val="18"/>
                </w:rPr>
                <w:t>https://bit.ly/3HdPWwN</w:t>
              </w:r>
            </w:hyperlink>
          </w:p>
        </w:tc>
      </w:tr>
      <w:tr w:rsidR="005423C8" w:rsidRPr="005423C8" w14:paraId="66ADF810"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5D219712"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13 de julio</w:t>
            </w:r>
          </w:p>
        </w:tc>
        <w:tc>
          <w:tcPr>
            <w:tcW w:w="5255" w:type="dxa"/>
            <w:tcBorders>
              <w:top w:val="single" w:sz="4" w:space="0" w:color="000000"/>
              <w:bottom w:val="single" w:sz="4" w:space="0" w:color="000000"/>
            </w:tcBorders>
            <w:shd w:val="clear" w:color="auto" w:fill="FFFFFF"/>
            <w:tcMar>
              <w:bottom w:w="0" w:type="dxa"/>
            </w:tcMar>
          </w:tcPr>
          <w:p w14:paraId="6CAD705E"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UPV y la Agencia Valenciana Antifraude impulsan la formación y la investigación en el ámbito de la lucha contra el fraude</w:t>
            </w:r>
          </w:p>
        </w:tc>
        <w:tc>
          <w:tcPr>
            <w:tcW w:w="1984" w:type="dxa"/>
            <w:tcBorders>
              <w:top w:val="single" w:sz="4" w:space="0" w:color="000000"/>
              <w:bottom w:val="single" w:sz="4" w:space="0" w:color="000000"/>
            </w:tcBorders>
            <w:shd w:val="clear" w:color="auto" w:fill="FFFFFF"/>
          </w:tcPr>
          <w:p w14:paraId="54BCB664" w14:textId="77777777" w:rsidR="005423C8" w:rsidRPr="005423C8" w:rsidRDefault="00AF48E6" w:rsidP="006D0B66">
            <w:pPr>
              <w:jc w:val="center"/>
              <w:rPr>
                <w:rFonts w:ascii="Arial" w:eastAsia="Times New Roman" w:hAnsi="Arial" w:cs="Arial"/>
                <w:bCs/>
                <w:sz w:val="18"/>
                <w:szCs w:val="18"/>
              </w:rPr>
            </w:pPr>
            <w:hyperlink r:id="rId153" w:history="1">
              <w:r w:rsidR="005423C8" w:rsidRPr="005423C8">
                <w:rPr>
                  <w:rStyle w:val="Hipervnculo"/>
                  <w:rFonts w:ascii="Arial" w:eastAsia="Times New Roman" w:hAnsi="Arial" w:cs="Arial"/>
                  <w:bCs/>
                  <w:sz w:val="18"/>
                  <w:szCs w:val="18"/>
                </w:rPr>
                <w:t>https://bit.ly/3geHly1</w:t>
              </w:r>
            </w:hyperlink>
          </w:p>
        </w:tc>
      </w:tr>
      <w:tr w:rsidR="005423C8" w:rsidRPr="005423C8" w14:paraId="6D21B1FD"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3B126092"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21 de julio</w:t>
            </w:r>
          </w:p>
        </w:tc>
        <w:tc>
          <w:tcPr>
            <w:tcW w:w="5255" w:type="dxa"/>
            <w:tcBorders>
              <w:top w:val="single" w:sz="4" w:space="0" w:color="000000"/>
              <w:bottom w:val="single" w:sz="4" w:space="0" w:color="000000"/>
            </w:tcBorders>
            <w:shd w:val="clear" w:color="auto" w:fill="FFFFFF"/>
            <w:tcMar>
              <w:bottom w:w="0" w:type="dxa"/>
            </w:tcMar>
          </w:tcPr>
          <w:p w14:paraId="4B0F83F3"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Agencia Valenciana Antifraude firma la Declaración de Utrecht junto a 26 agencias antifraude europeas</w:t>
            </w:r>
          </w:p>
        </w:tc>
        <w:tc>
          <w:tcPr>
            <w:tcW w:w="1984" w:type="dxa"/>
            <w:tcBorders>
              <w:top w:val="single" w:sz="4" w:space="0" w:color="000000"/>
              <w:bottom w:val="single" w:sz="4" w:space="0" w:color="000000"/>
            </w:tcBorders>
            <w:shd w:val="clear" w:color="auto" w:fill="FFFFFF"/>
          </w:tcPr>
          <w:p w14:paraId="2D45E2FC" w14:textId="77777777" w:rsidR="005423C8" w:rsidRPr="005423C8" w:rsidRDefault="00AF48E6" w:rsidP="006D0B66">
            <w:pPr>
              <w:jc w:val="center"/>
              <w:rPr>
                <w:rFonts w:ascii="Arial" w:eastAsia="Times New Roman" w:hAnsi="Arial" w:cs="Arial"/>
                <w:bCs/>
                <w:sz w:val="18"/>
                <w:szCs w:val="18"/>
              </w:rPr>
            </w:pPr>
            <w:hyperlink r:id="rId154" w:history="1">
              <w:r w:rsidR="005423C8" w:rsidRPr="005423C8">
                <w:rPr>
                  <w:rStyle w:val="Hipervnculo"/>
                  <w:rFonts w:ascii="Arial" w:eastAsia="Times New Roman" w:hAnsi="Arial" w:cs="Arial"/>
                  <w:bCs/>
                  <w:sz w:val="18"/>
                  <w:szCs w:val="18"/>
                </w:rPr>
                <w:t>https://bit.ly/3IRY8mO</w:t>
              </w:r>
            </w:hyperlink>
          </w:p>
        </w:tc>
      </w:tr>
      <w:tr w:rsidR="005423C8" w:rsidRPr="005423C8" w14:paraId="2ED41CBD"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40B62BF3"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8 de septiembre</w:t>
            </w:r>
          </w:p>
        </w:tc>
        <w:tc>
          <w:tcPr>
            <w:tcW w:w="5255" w:type="dxa"/>
            <w:tcBorders>
              <w:top w:val="single" w:sz="4" w:space="0" w:color="000000"/>
              <w:bottom w:val="single" w:sz="4" w:space="0" w:color="000000"/>
            </w:tcBorders>
            <w:shd w:val="clear" w:color="auto" w:fill="FFFFFF"/>
            <w:tcMar>
              <w:bottom w:w="0" w:type="dxa"/>
            </w:tcMar>
          </w:tcPr>
          <w:p w14:paraId="27C0D8A1"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Agencia Valenciana Antifraude participará en el Congreso Internacional de Transparencia 2021</w:t>
            </w:r>
          </w:p>
        </w:tc>
        <w:tc>
          <w:tcPr>
            <w:tcW w:w="1984" w:type="dxa"/>
            <w:tcBorders>
              <w:top w:val="single" w:sz="4" w:space="0" w:color="000000"/>
              <w:bottom w:val="single" w:sz="4" w:space="0" w:color="000000"/>
            </w:tcBorders>
            <w:shd w:val="clear" w:color="auto" w:fill="FFFFFF"/>
          </w:tcPr>
          <w:p w14:paraId="2C4359AD" w14:textId="77777777" w:rsidR="005423C8" w:rsidRPr="005423C8" w:rsidRDefault="00AF48E6" w:rsidP="006D0B66">
            <w:pPr>
              <w:jc w:val="center"/>
              <w:rPr>
                <w:rFonts w:ascii="Arial" w:eastAsia="Times New Roman" w:hAnsi="Arial" w:cs="Arial"/>
                <w:bCs/>
                <w:sz w:val="18"/>
                <w:szCs w:val="18"/>
              </w:rPr>
            </w:pPr>
            <w:hyperlink r:id="rId155" w:history="1">
              <w:r w:rsidR="005423C8" w:rsidRPr="005423C8">
                <w:rPr>
                  <w:rStyle w:val="Hipervnculo"/>
                  <w:rFonts w:ascii="Arial" w:eastAsia="Times New Roman" w:hAnsi="Arial" w:cs="Arial"/>
                  <w:bCs/>
                  <w:sz w:val="18"/>
                  <w:szCs w:val="18"/>
                </w:rPr>
                <w:t>https://bit.ly/3IL4B2W</w:t>
              </w:r>
            </w:hyperlink>
          </w:p>
        </w:tc>
      </w:tr>
      <w:tr w:rsidR="005423C8" w:rsidRPr="005423C8" w14:paraId="5D6E808D"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1A5F3ECD"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20 de septiembre</w:t>
            </w:r>
          </w:p>
        </w:tc>
        <w:tc>
          <w:tcPr>
            <w:tcW w:w="5255" w:type="dxa"/>
            <w:tcBorders>
              <w:top w:val="single" w:sz="4" w:space="0" w:color="000000"/>
              <w:bottom w:val="single" w:sz="4" w:space="0" w:color="000000"/>
            </w:tcBorders>
            <w:shd w:val="clear" w:color="auto" w:fill="FFFFFF"/>
            <w:tcMar>
              <w:bottom w:w="0" w:type="dxa"/>
            </w:tcMar>
          </w:tcPr>
          <w:p w14:paraId="52F90488"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Agencia Valenciana Antifraude recibe 187 denuncias en el primer semestre de 2021, frente a las 93 recibidas en el mismo periodo de 2020</w:t>
            </w:r>
          </w:p>
        </w:tc>
        <w:tc>
          <w:tcPr>
            <w:tcW w:w="1984" w:type="dxa"/>
            <w:tcBorders>
              <w:top w:val="single" w:sz="4" w:space="0" w:color="000000"/>
              <w:bottom w:val="single" w:sz="4" w:space="0" w:color="000000"/>
            </w:tcBorders>
            <w:shd w:val="clear" w:color="auto" w:fill="FFFFFF"/>
          </w:tcPr>
          <w:p w14:paraId="362FA8E1" w14:textId="77777777" w:rsidR="005423C8" w:rsidRPr="005423C8" w:rsidRDefault="00AF48E6" w:rsidP="006D0B66">
            <w:pPr>
              <w:jc w:val="center"/>
              <w:rPr>
                <w:rFonts w:ascii="Arial" w:eastAsia="Times New Roman" w:hAnsi="Arial" w:cs="Arial"/>
                <w:bCs/>
                <w:sz w:val="18"/>
                <w:szCs w:val="18"/>
              </w:rPr>
            </w:pPr>
            <w:hyperlink r:id="rId156" w:history="1">
              <w:r w:rsidR="005423C8" w:rsidRPr="005423C8">
                <w:rPr>
                  <w:rStyle w:val="Hipervnculo"/>
                  <w:rFonts w:ascii="Arial" w:eastAsia="Times New Roman" w:hAnsi="Arial" w:cs="Arial"/>
                  <w:bCs/>
                  <w:sz w:val="18"/>
                  <w:szCs w:val="18"/>
                </w:rPr>
                <w:t>https://bit.ly/3IRmuNB</w:t>
              </w:r>
            </w:hyperlink>
          </w:p>
        </w:tc>
      </w:tr>
      <w:tr w:rsidR="005423C8" w:rsidRPr="005423C8" w14:paraId="1E141F3B" w14:textId="77777777" w:rsidTr="006D0B66">
        <w:trPr>
          <w:jc w:val="right"/>
        </w:trPr>
        <w:tc>
          <w:tcPr>
            <w:tcW w:w="1266" w:type="dxa"/>
            <w:tcBorders>
              <w:top w:val="single" w:sz="4" w:space="0" w:color="000000"/>
              <w:bottom w:val="single" w:sz="4" w:space="0" w:color="000000"/>
            </w:tcBorders>
            <w:shd w:val="clear" w:color="auto" w:fill="FFFFFF"/>
            <w:tcMar>
              <w:bottom w:w="0" w:type="dxa"/>
            </w:tcMar>
          </w:tcPr>
          <w:p w14:paraId="73467FA1"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23 de septiembre</w:t>
            </w:r>
          </w:p>
        </w:tc>
        <w:tc>
          <w:tcPr>
            <w:tcW w:w="5255" w:type="dxa"/>
            <w:tcBorders>
              <w:top w:val="single" w:sz="4" w:space="0" w:color="000000"/>
              <w:bottom w:val="single" w:sz="4" w:space="0" w:color="000000"/>
            </w:tcBorders>
            <w:shd w:val="clear" w:color="auto" w:fill="FFFFFF"/>
            <w:tcMar>
              <w:bottom w:w="0" w:type="dxa"/>
            </w:tcMar>
          </w:tcPr>
          <w:p w14:paraId="729B3E98"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Universitat de València y la Agencia Valenciana Antifraude presentan el audiovisual de Docufòrum sobre los conflictos de interés</w:t>
            </w:r>
          </w:p>
        </w:tc>
        <w:tc>
          <w:tcPr>
            <w:tcW w:w="1984" w:type="dxa"/>
            <w:tcBorders>
              <w:top w:val="single" w:sz="4" w:space="0" w:color="000000"/>
              <w:bottom w:val="single" w:sz="4" w:space="0" w:color="000000"/>
            </w:tcBorders>
            <w:shd w:val="clear" w:color="auto" w:fill="FFFFFF"/>
          </w:tcPr>
          <w:p w14:paraId="48BD37D7" w14:textId="77777777" w:rsidR="005423C8" w:rsidRPr="005423C8" w:rsidRDefault="00AF48E6" w:rsidP="006D0B66">
            <w:pPr>
              <w:jc w:val="center"/>
              <w:rPr>
                <w:rFonts w:ascii="Arial" w:eastAsia="Times New Roman" w:hAnsi="Arial" w:cs="Arial"/>
                <w:bCs/>
                <w:sz w:val="18"/>
                <w:szCs w:val="18"/>
                <w:u w:val="single"/>
              </w:rPr>
            </w:pPr>
            <w:hyperlink r:id="rId157" w:history="1">
              <w:r w:rsidR="005423C8" w:rsidRPr="005423C8">
                <w:rPr>
                  <w:rStyle w:val="Hipervnculo"/>
                  <w:rFonts w:ascii="Arial" w:eastAsia="Times New Roman" w:hAnsi="Arial" w:cs="Arial"/>
                  <w:bCs/>
                  <w:sz w:val="18"/>
                  <w:szCs w:val="18"/>
                </w:rPr>
                <w:t>https://bit.ly/3rjOZxe</w:t>
              </w:r>
            </w:hyperlink>
          </w:p>
        </w:tc>
      </w:tr>
      <w:tr w:rsidR="005423C8" w:rsidRPr="005423C8" w14:paraId="5875844D" w14:textId="77777777" w:rsidTr="006D0B66">
        <w:trPr>
          <w:jc w:val="right"/>
        </w:trPr>
        <w:tc>
          <w:tcPr>
            <w:tcW w:w="1266" w:type="dxa"/>
            <w:tcBorders>
              <w:top w:val="single" w:sz="4" w:space="0" w:color="000000"/>
            </w:tcBorders>
            <w:shd w:val="clear" w:color="auto" w:fill="FFFFFF"/>
            <w:tcMar>
              <w:bottom w:w="0" w:type="dxa"/>
            </w:tcMar>
          </w:tcPr>
          <w:p w14:paraId="04FED209"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27 de septiembre</w:t>
            </w:r>
          </w:p>
        </w:tc>
        <w:tc>
          <w:tcPr>
            <w:tcW w:w="5255" w:type="dxa"/>
            <w:tcBorders>
              <w:top w:val="single" w:sz="4" w:space="0" w:color="000000"/>
            </w:tcBorders>
            <w:shd w:val="clear" w:color="auto" w:fill="FFFFFF"/>
            <w:tcMar>
              <w:bottom w:w="0" w:type="dxa"/>
            </w:tcMar>
          </w:tcPr>
          <w:p w14:paraId="3ECC4E34"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Agencia Valenciana Antifraude organiza 7 acciones formativas durante el mes de octubre para estudiantes, personal funcionario y ciudadanía en general</w:t>
            </w:r>
          </w:p>
        </w:tc>
        <w:tc>
          <w:tcPr>
            <w:tcW w:w="1984" w:type="dxa"/>
            <w:tcBorders>
              <w:top w:val="single" w:sz="4" w:space="0" w:color="000000"/>
            </w:tcBorders>
            <w:shd w:val="clear" w:color="auto" w:fill="FFFFFF"/>
          </w:tcPr>
          <w:p w14:paraId="3EE0FDCD" w14:textId="77777777" w:rsidR="005423C8" w:rsidRPr="005423C8" w:rsidRDefault="00AF48E6" w:rsidP="006D0B66">
            <w:pPr>
              <w:jc w:val="center"/>
              <w:rPr>
                <w:rFonts w:ascii="Arial" w:eastAsia="Times New Roman" w:hAnsi="Arial" w:cs="Arial"/>
                <w:bCs/>
                <w:sz w:val="18"/>
                <w:szCs w:val="18"/>
                <w:u w:val="single"/>
              </w:rPr>
            </w:pPr>
            <w:hyperlink r:id="rId158" w:history="1">
              <w:r w:rsidR="005423C8" w:rsidRPr="005423C8">
                <w:rPr>
                  <w:rStyle w:val="Hipervnculo"/>
                  <w:rFonts w:ascii="Arial" w:eastAsia="Times New Roman" w:hAnsi="Arial" w:cs="Arial"/>
                  <w:bCs/>
                  <w:sz w:val="18"/>
                  <w:szCs w:val="18"/>
                </w:rPr>
                <w:t>https://bit.ly/3HlEy22</w:t>
              </w:r>
            </w:hyperlink>
          </w:p>
        </w:tc>
      </w:tr>
      <w:tr w:rsidR="005423C8" w:rsidRPr="005423C8" w14:paraId="4A401F4A" w14:textId="77777777" w:rsidTr="006D0B66">
        <w:trPr>
          <w:jc w:val="right"/>
        </w:trPr>
        <w:tc>
          <w:tcPr>
            <w:tcW w:w="1266" w:type="dxa"/>
            <w:tcBorders>
              <w:top w:val="single" w:sz="4" w:space="0" w:color="000000"/>
            </w:tcBorders>
            <w:shd w:val="clear" w:color="auto" w:fill="FFFFFF"/>
            <w:tcMar>
              <w:bottom w:w="0" w:type="dxa"/>
            </w:tcMar>
          </w:tcPr>
          <w:p w14:paraId="2F616E37"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30 de septiembre</w:t>
            </w:r>
          </w:p>
        </w:tc>
        <w:tc>
          <w:tcPr>
            <w:tcW w:w="5255" w:type="dxa"/>
            <w:tcBorders>
              <w:top w:val="single" w:sz="4" w:space="0" w:color="000000"/>
            </w:tcBorders>
            <w:shd w:val="clear" w:color="auto" w:fill="FFFFFF"/>
            <w:tcMar>
              <w:bottom w:w="0" w:type="dxa"/>
            </w:tcMar>
          </w:tcPr>
          <w:p w14:paraId="47CE1191"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Las Oficinas y Agencias Antifraude de España urgen a la transposición de la Directiva Europea de protección de las personas denunciantes</w:t>
            </w:r>
          </w:p>
        </w:tc>
        <w:tc>
          <w:tcPr>
            <w:tcW w:w="1984" w:type="dxa"/>
            <w:tcBorders>
              <w:top w:val="single" w:sz="4" w:space="0" w:color="000000"/>
            </w:tcBorders>
            <w:shd w:val="clear" w:color="auto" w:fill="FFFFFF"/>
          </w:tcPr>
          <w:p w14:paraId="4784BC7F" w14:textId="77777777" w:rsidR="005423C8" w:rsidRPr="005423C8" w:rsidRDefault="00AF48E6" w:rsidP="006D0B66">
            <w:pPr>
              <w:jc w:val="center"/>
              <w:rPr>
                <w:rFonts w:ascii="Arial" w:eastAsia="Times New Roman" w:hAnsi="Arial" w:cs="Arial"/>
                <w:bCs/>
                <w:sz w:val="18"/>
                <w:szCs w:val="18"/>
                <w:u w:val="single"/>
              </w:rPr>
            </w:pPr>
            <w:hyperlink r:id="rId159" w:history="1">
              <w:r w:rsidR="005423C8" w:rsidRPr="005423C8">
                <w:rPr>
                  <w:rStyle w:val="Hipervnculo"/>
                  <w:rFonts w:ascii="Arial" w:eastAsia="Times New Roman" w:hAnsi="Arial" w:cs="Arial"/>
                  <w:bCs/>
                  <w:sz w:val="18"/>
                  <w:szCs w:val="18"/>
                </w:rPr>
                <w:t>https://bit.ly/3AOgC4G</w:t>
              </w:r>
            </w:hyperlink>
          </w:p>
        </w:tc>
      </w:tr>
      <w:tr w:rsidR="005423C8" w:rsidRPr="005423C8" w14:paraId="2A54897A" w14:textId="77777777" w:rsidTr="006D0B66">
        <w:trPr>
          <w:jc w:val="right"/>
        </w:trPr>
        <w:tc>
          <w:tcPr>
            <w:tcW w:w="1266" w:type="dxa"/>
            <w:tcBorders>
              <w:top w:val="single" w:sz="4" w:space="0" w:color="000000"/>
            </w:tcBorders>
            <w:shd w:val="clear" w:color="auto" w:fill="FFFFFF"/>
            <w:tcMar>
              <w:bottom w:w="0" w:type="dxa"/>
            </w:tcMar>
          </w:tcPr>
          <w:p w14:paraId="18FD3AD8"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15 de octubre</w:t>
            </w:r>
          </w:p>
        </w:tc>
        <w:tc>
          <w:tcPr>
            <w:tcW w:w="5255" w:type="dxa"/>
            <w:tcBorders>
              <w:top w:val="single" w:sz="4" w:space="0" w:color="000000"/>
            </w:tcBorders>
            <w:shd w:val="clear" w:color="auto" w:fill="FFFFFF"/>
            <w:tcMar>
              <w:bottom w:w="0" w:type="dxa"/>
            </w:tcMar>
          </w:tcPr>
          <w:p w14:paraId="45C72598"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Universidad de Salamanca y la Agencia Valenciana Antifraude firman un convenio de colaboración que incluye estancias de investigación para estudiantes de doctorado</w:t>
            </w:r>
          </w:p>
        </w:tc>
        <w:tc>
          <w:tcPr>
            <w:tcW w:w="1984" w:type="dxa"/>
            <w:tcBorders>
              <w:top w:val="single" w:sz="4" w:space="0" w:color="000000"/>
            </w:tcBorders>
            <w:shd w:val="clear" w:color="auto" w:fill="FFFFFF"/>
          </w:tcPr>
          <w:p w14:paraId="03FA09BF" w14:textId="77777777" w:rsidR="005423C8" w:rsidRPr="005423C8" w:rsidRDefault="00AF48E6" w:rsidP="006D0B66">
            <w:pPr>
              <w:jc w:val="center"/>
              <w:rPr>
                <w:rFonts w:ascii="Arial" w:eastAsia="Times New Roman" w:hAnsi="Arial" w:cs="Arial"/>
                <w:bCs/>
                <w:sz w:val="18"/>
                <w:szCs w:val="18"/>
                <w:u w:val="single"/>
              </w:rPr>
            </w:pPr>
            <w:hyperlink r:id="rId160" w:history="1">
              <w:r w:rsidR="005423C8" w:rsidRPr="005423C8">
                <w:rPr>
                  <w:rStyle w:val="Hipervnculo"/>
                  <w:rFonts w:ascii="Arial" w:eastAsia="Times New Roman" w:hAnsi="Arial" w:cs="Arial"/>
                  <w:bCs/>
                  <w:sz w:val="18"/>
                  <w:szCs w:val="18"/>
                </w:rPr>
                <w:t>https://bit.ly/3gvITE9</w:t>
              </w:r>
            </w:hyperlink>
          </w:p>
        </w:tc>
      </w:tr>
      <w:tr w:rsidR="005423C8" w:rsidRPr="005423C8" w14:paraId="61FCAE46" w14:textId="77777777" w:rsidTr="006D0B66">
        <w:trPr>
          <w:jc w:val="right"/>
        </w:trPr>
        <w:tc>
          <w:tcPr>
            <w:tcW w:w="1266" w:type="dxa"/>
            <w:tcBorders>
              <w:top w:val="single" w:sz="4" w:space="0" w:color="000000"/>
            </w:tcBorders>
            <w:shd w:val="clear" w:color="auto" w:fill="FFFFFF"/>
            <w:tcMar>
              <w:bottom w:w="0" w:type="dxa"/>
            </w:tcMar>
          </w:tcPr>
          <w:p w14:paraId="082AE3CB"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21 de octubre</w:t>
            </w:r>
          </w:p>
        </w:tc>
        <w:tc>
          <w:tcPr>
            <w:tcW w:w="5255" w:type="dxa"/>
            <w:tcBorders>
              <w:top w:val="single" w:sz="4" w:space="0" w:color="000000"/>
            </w:tcBorders>
            <w:shd w:val="clear" w:color="auto" w:fill="FFFFFF"/>
            <w:tcMar>
              <w:bottom w:w="0" w:type="dxa"/>
            </w:tcMar>
          </w:tcPr>
          <w:p w14:paraId="70718762" w14:textId="0C86A5A2"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Reunión con la presidenta de CSIF Comuni</w:t>
            </w:r>
            <w:r w:rsidR="008C1237">
              <w:rPr>
                <w:rFonts w:ascii="Arial" w:eastAsia="Times New Roman" w:hAnsi="Arial" w:cs="Arial"/>
                <w:bCs/>
                <w:sz w:val="18"/>
                <w:szCs w:val="18"/>
              </w:rPr>
              <w:t>tat</w:t>
            </w:r>
            <w:r w:rsidRPr="005423C8">
              <w:rPr>
                <w:rFonts w:ascii="Arial" w:eastAsia="Times New Roman" w:hAnsi="Arial" w:cs="Arial"/>
                <w:bCs/>
                <w:sz w:val="18"/>
                <w:szCs w:val="18"/>
              </w:rPr>
              <w:t xml:space="preserve"> Valenciana</w:t>
            </w:r>
          </w:p>
        </w:tc>
        <w:tc>
          <w:tcPr>
            <w:tcW w:w="1984" w:type="dxa"/>
            <w:tcBorders>
              <w:top w:val="single" w:sz="4" w:space="0" w:color="000000"/>
            </w:tcBorders>
            <w:shd w:val="clear" w:color="auto" w:fill="FFFFFF"/>
          </w:tcPr>
          <w:p w14:paraId="4E63B3FC" w14:textId="77777777" w:rsidR="005423C8" w:rsidRPr="005423C8" w:rsidRDefault="00AF48E6" w:rsidP="006D0B66">
            <w:pPr>
              <w:jc w:val="center"/>
              <w:rPr>
                <w:rFonts w:ascii="Arial" w:eastAsia="Times New Roman" w:hAnsi="Arial" w:cs="Arial"/>
                <w:bCs/>
                <w:sz w:val="18"/>
                <w:szCs w:val="18"/>
                <w:u w:val="single"/>
              </w:rPr>
            </w:pPr>
            <w:hyperlink r:id="rId161" w:history="1">
              <w:r w:rsidR="005423C8" w:rsidRPr="005423C8">
                <w:rPr>
                  <w:rStyle w:val="Hipervnculo"/>
                  <w:rFonts w:ascii="Arial" w:eastAsia="Times New Roman" w:hAnsi="Arial" w:cs="Arial"/>
                  <w:bCs/>
                  <w:sz w:val="18"/>
                  <w:szCs w:val="18"/>
                </w:rPr>
                <w:t>https://bit.ly/3s6jXbA</w:t>
              </w:r>
            </w:hyperlink>
          </w:p>
        </w:tc>
      </w:tr>
      <w:tr w:rsidR="005423C8" w:rsidRPr="005423C8" w14:paraId="3689653B" w14:textId="77777777" w:rsidTr="006D0B66">
        <w:trPr>
          <w:jc w:val="right"/>
        </w:trPr>
        <w:tc>
          <w:tcPr>
            <w:tcW w:w="1266" w:type="dxa"/>
            <w:tcBorders>
              <w:top w:val="single" w:sz="4" w:space="0" w:color="000000"/>
            </w:tcBorders>
            <w:shd w:val="clear" w:color="auto" w:fill="FFFFFF"/>
            <w:tcMar>
              <w:bottom w:w="0" w:type="dxa"/>
            </w:tcMar>
          </w:tcPr>
          <w:p w14:paraId="35B6AA91"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22 de octubre</w:t>
            </w:r>
          </w:p>
        </w:tc>
        <w:tc>
          <w:tcPr>
            <w:tcW w:w="5255" w:type="dxa"/>
            <w:tcBorders>
              <w:top w:val="single" w:sz="4" w:space="0" w:color="000000"/>
            </w:tcBorders>
            <w:shd w:val="clear" w:color="auto" w:fill="FFFFFF"/>
            <w:tcMar>
              <w:bottom w:w="0" w:type="dxa"/>
            </w:tcMar>
          </w:tcPr>
          <w:p w14:paraId="3BBA4F2C" w14:textId="712AF56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Los ayuntamientos y diputaciones más transparentes de la Comuni</w:t>
            </w:r>
            <w:r w:rsidR="008C1237">
              <w:rPr>
                <w:rFonts w:ascii="Arial" w:eastAsia="Times New Roman" w:hAnsi="Arial" w:cs="Arial"/>
                <w:bCs/>
                <w:sz w:val="18"/>
                <w:szCs w:val="18"/>
              </w:rPr>
              <w:t>tat</w:t>
            </w:r>
            <w:r w:rsidRPr="005423C8">
              <w:rPr>
                <w:rFonts w:ascii="Arial" w:eastAsia="Times New Roman" w:hAnsi="Arial" w:cs="Arial"/>
                <w:bCs/>
                <w:sz w:val="18"/>
                <w:szCs w:val="18"/>
              </w:rPr>
              <w:t xml:space="preserve"> Valenciana recogen en la CEU UCH los sellos Infoparticipa 2020</w:t>
            </w:r>
          </w:p>
        </w:tc>
        <w:tc>
          <w:tcPr>
            <w:tcW w:w="1984" w:type="dxa"/>
            <w:tcBorders>
              <w:top w:val="single" w:sz="4" w:space="0" w:color="000000"/>
            </w:tcBorders>
            <w:shd w:val="clear" w:color="auto" w:fill="FFFFFF"/>
          </w:tcPr>
          <w:p w14:paraId="757C244C" w14:textId="77777777" w:rsidR="005423C8" w:rsidRPr="005423C8" w:rsidRDefault="00AF48E6" w:rsidP="006D0B66">
            <w:pPr>
              <w:jc w:val="center"/>
              <w:rPr>
                <w:rFonts w:ascii="Arial" w:eastAsia="Times New Roman" w:hAnsi="Arial" w:cs="Arial"/>
                <w:bCs/>
                <w:sz w:val="18"/>
                <w:szCs w:val="18"/>
                <w:u w:val="single"/>
              </w:rPr>
            </w:pPr>
            <w:hyperlink r:id="rId162" w:history="1">
              <w:r w:rsidR="005423C8" w:rsidRPr="005423C8">
                <w:rPr>
                  <w:rStyle w:val="Hipervnculo"/>
                  <w:rFonts w:ascii="Arial" w:eastAsia="Times New Roman" w:hAnsi="Arial" w:cs="Arial"/>
                  <w:bCs/>
                  <w:sz w:val="18"/>
                  <w:szCs w:val="18"/>
                </w:rPr>
                <w:t>https://bit.ly/35FPQ3c</w:t>
              </w:r>
            </w:hyperlink>
          </w:p>
        </w:tc>
      </w:tr>
      <w:tr w:rsidR="005423C8" w:rsidRPr="005423C8" w14:paraId="6F3F7C33" w14:textId="77777777" w:rsidTr="006D0B66">
        <w:trPr>
          <w:jc w:val="right"/>
        </w:trPr>
        <w:tc>
          <w:tcPr>
            <w:tcW w:w="1266" w:type="dxa"/>
            <w:tcBorders>
              <w:top w:val="single" w:sz="4" w:space="0" w:color="000000"/>
            </w:tcBorders>
            <w:shd w:val="clear" w:color="auto" w:fill="FFFFFF"/>
            <w:tcMar>
              <w:bottom w:w="0" w:type="dxa"/>
            </w:tcMar>
          </w:tcPr>
          <w:p w14:paraId="4FFD5862"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26 de octubre</w:t>
            </w:r>
          </w:p>
        </w:tc>
        <w:tc>
          <w:tcPr>
            <w:tcW w:w="5255" w:type="dxa"/>
            <w:tcBorders>
              <w:top w:val="single" w:sz="4" w:space="0" w:color="000000"/>
            </w:tcBorders>
            <w:shd w:val="clear" w:color="auto" w:fill="FFFFFF"/>
            <w:tcMar>
              <w:bottom w:w="0" w:type="dxa"/>
            </w:tcMar>
          </w:tcPr>
          <w:p w14:paraId="45347A2C"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Reunión con Comisiones Obreras</w:t>
            </w:r>
          </w:p>
        </w:tc>
        <w:tc>
          <w:tcPr>
            <w:tcW w:w="1984" w:type="dxa"/>
            <w:tcBorders>
              <w:top w:val="single" w:sz="4" w:space="0" w:color="000000"/>
            </w:tcBorders>
            <w:shd w:val="clear" w:color="auto" w:fill="FFFFFF"/>
          </w:tcPr>
          <w:p w14:paraId="093FCA45" w14:textId="77777777" w:rsidR="005423C8" w:rsidRPr="005423C8" w:rsidRDefault="00AF48E6" w:rsidP="006D0B66">
            <w:pPr>
              <w:jc w:val="center"/>
              <w:rPr>
                <w:rFonts w:ascii="Arial" w:eastAsia="Times New Roman" w:hAnsi="Arial" w:cs="Arial"/>
                <w:bCs/>
                <w:sz w:val="18"/>
                <w:szCs w:val="18"/>
                <w:u w:val="single"/>
              </w:rPr>
            </w:pPr>
            <w:hyperlink r:id="rId163" w:history="1">
              <w:r w:rsidR="005423C8" w:rsidRPr="005423C8">
                <w:rPr>
                  <w:rStyle w:val="Hipervnculo"/>
                  <w:rFonts w:ascii="Arial" w:eastAsia="Times New Roman" w:hAnsi="Arial" w:cs="Arial"/>
                  <w:bCs/>
                  <w:sz w:val="18"/>
                  <w:szCs w:val="18"/>
                </w:rPr>
                <w:t>https://bit.ly/3oifIsp</w:t>
              </w:r>
            </w:hyperlink>
          </w:p>
        </w:tc>
      </w:tr>
      <w:tr w:rsidR="005423C8" w:rsidRPr="005423C8" w14:paraId="2E40F710" w14:textId="77777777" w:rsidTr="006D0B66">
        <w:trPr>
          <w:jc w:val="right"/>
        </w:trPr>
        <w:tc>
          <w:tcPr>
            <w:tcW w:w="1266" w:type="dxa"/>
            <w:tcBorders>
              <w:top w:val="single" w:sz="4" w:space="0" w:color="000000"/>
            </w:tcBorders>
            <w:shd w:val="clear" w:color="auto" w:fill="FFFFFF"/>
            <w:tcMar>
              <w:bottom w:w="0" w:type="dxa"/>
            </w:tcMar>
          </w:tcPr>
          <w:p w14:paraId="718CA723"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11 de noviembre</w:t>
            </w:r>
          </w:p>
        </w:tc>
        <w:tc>
          <w:tcPr>
            <w:tcW w:w="5255" w:type="dxa"/>
            <w:tcBorders>
              <w:top w:val="single" w:sz="4" w:space="0" w:color="000000"/>
            </w:tcBorders>
            <w:shd w:val="clear" w:color="auto" w:fill="FFFFFF"/>
            <w:tcMar>
              <w:bottom w:w="0" w:type="dxa"/>
            </w:tcMar>
          </w:tcPr>
          <w:p w14:paraId="3BF4D83C"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Reunión con la Universidad de Alicante</w:t>
            </w:r>
          </w:p>
        </w:tc>
        <w:tc>
          <w:tcPr>
            <w:tcW w:w="1984" w:type="dxa"/>
            <w:tcBorders>
              <w:top w:val="single" w:sz="4" w:space="0" w:color="000000"/>
            </w:tcBorders>
            <w:shd w:val="clear" w:color="auto" w:fill="FFFFFF"/>
          </w:tcPr>
          <w:p w14:paraId="3B184CA4" w14:textId="77777777" w:rsidR="005423C8" w:rsidRPr="005423C8" w:rsidRDefault="00AF48E6" w:rsidP="006D0B66">
            <w:pPr>
              <w:jc w:val="center"/>
              <w:rPr>
                <w:rFonts w:ascii="Arial" w:eastAsia="Times New Roman" w:hAnsi="Arial" w:cs="Arial"/>
                <w:bCs/>
                <w:sz w:val="18"/>
                <w:szCs w:val="18"/>
                <w:u w:val="single"/>
              </w:rPr>
            </w:pPr>
            <w:hyperlink r:id="rId164" w:history="1">
              <w:r w:rsidR="005423C8" w:rsidRPr="005423C8">
                <w:rPr>
                  <w:rStyle w:val="Hipervnculo"/>
                  <w:rFonts w:ascii="Arial" w:eastAsia="Times New Roman" w:hAnsi="Arial" w:cs="Arial"/>
                  <w:bCs/>
                  <w:sz w:val="18"/>
                  <w:szCs w:val="18"/>
                </w:rPr>
                <w:t>https://bit.ly/3L0gXGl</w:t>
              </w:r>
            </w:hyperlink>
          </w:p>
        </w:tc>
      </w:tr>
      <w:tr w:rsidR="005423C8" w:rsidRPr="005423C8" w14:paraId="2128EEA7" w14:textId="77777777" w:rsidTr="006D0B66">
        <w:trPr>
          <w:jc w:val="right"/>
        </w:trPr>
        <w:tc>
          <w:tcPr>
            <w:tcW w:w="1266" w:type="dxa"/>
            <w:tcBorders>
              <w:top w:val="single" w:sz="4" w:space="0" w:color="000000"/>
            </w:tcBorders>
            <w:shd w:val="clear" w:color="auto" w:fill="FFFFFF"/>
            <w:tcMar>
              <w:bottom w:w="0" w:type="dxa"/>
            </w:tcMar>
          </w:tcPr>
          <w:p w14:paraId="0D52DF3B"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19 de noviembre</w:t>
            </w:r>
          </w:p>
        </w:tc>
        <w:tc>
          <w:tcPr>
            <w:tcW w:w="5255" w:type="dxa"/>
            <w:tcBorders>
              <w:top w:val="single" w:sz="4" w:space="0" w:color="000000"/>
            </w:tcBorders>
            <w:shd w:val="clear" w:color="auto" w:fill="FFFFFF"/>
            <w:tcMar>
              <w:bottom w:w="0" w:type="dxa"/>
            </w:tcMar>
          </w:tcPr>
          <w:p w14:paraId="3F4A99AC"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“protección de los alertadores” ante casos de fraude y corrupción protagonizó la jornada UV- AVAF</w:t>
            </w:r>
          </w:p>
        </w:tc>
        <w:tc>
          <w:tcPr>
            <w:tcW w:w="1984" w:type="dxa"/>
            <w:tcBorders>
              <w:top w:val="single" w:sz="4" w:space="0" w:color="000000"/>
            </w:tcBorders>
            <w:shd w:val="clear" w:color="auto" w:fill="FFFFFF"/>
          </w:tcPr>
          <w:p w14:paraId="2BF64104" w14:textId="77777777" w:rsidR="005423C8" w:rsidRPr="005423C8" w:rsidRDefault="00AF48E6" w:rsidP="006D0B66">
            <w:pPr>
              <w:jc w:val="center"/>
              <w:rPr>
                <w:rFonts w:ascii="Arial" w:eastAsia="Times New Roman" w:hAnsi="Arial" w:cs="Arial"/>
                <w:bCs/>
                <w:sz w:val="18"/>
                <w:szCs w:val="18"/>
                <w:u w:val="single"/>
              </w:rPr>
            </w:pPr>
            <w:hyperlink r:id="rId165" w:history="1">
              <w:r w:rsidR="005423C8" w:rsidRPr="005423C8">
                <w:rPr>
                  <w:rStyle w:val="Hipervnculo"/>
                  <w:rFonts w:ascii="Arial" w:eastAsia="Times New Roman" w:hAnsi="Arial" w:cs="Arial"/>
                  <w:bCs/>
                  <w:sz w:val="18"/>
                  <w:szCs w:val="18"/>
                </w:rPr>
                <w:t>https://bit.ly/35v0Pw6</w:t>
              </w:r>
            </w:hyperlink>
          </w:p>
        </w:tc>
      </w:tr>
      <w:tr w:rsidR="005423C8" w:rsidRPr="005423C8" w14:paraId="4F2F0C40" w14:textId="77777777" w:rsidTr="006D0B66">
        <w:trPr>
          <w:jc w:val="right"/>
        </w:trPr>
        <w:tc>
          <w:tcPr>
            <w:tcW w:w="1266" w:type="dxa"/>
            <w:tcBorders>
              <w:top w:val="single" w:sz="4" w:space="0" w:color="000000"/>
            </w:tcBorders>
            <w:shd w:val="clear" w:color="auto" w:fill="FFFFFF"/>
            <w:tcMar>
              <w:bottom w:w="0" w:type="dxa"/>
            </w:tcMar>
          </w:tcPr>
          <w:p w14:paraId="3A5838FC"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19 de noviembre</w:t>
            </w:r>
          </w:p>
        </w:tc>
        <w:tc>
          <w:tcPr>
            <w:tcW w:w="5255" w:type="dxa"/>
            <w:tcBorders>
              <w:top w:val="single" w:sz="4" w:space="0" w:color="000000"/>
            </w:tcBorders>
            <w:shd w:val="clear" w:color="auto" w:fill="FFFFFF"/>
            <w:tcMar>
              <w:bottom w:w="0" w:type="dxa"/>
            </w:tcMar>
          </w:tcPr>
          <w:p w14:paraId="658EFDDA"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El Ayuntamiento de València es la primera institución pública valenciana que conectará su web al buzón de denuncias de la Agencia Valenciana Antifraude</w:t>
            </w:r>
          </w:p>
        </w:tc>
        <w:tc>
          <w:tcPr>
            <w:tcW w:w="1984" w:type="dxa"/>
            <w:tcBorders>
              <w:top w:val="single" w:sz="4" w:space="0" w:color="000000"/>
            </w:tcBorders>
            <w:shd w:val="clear" w:color="auto" w:fill="FFFFFF"/>
          </w:tcPr>
          <w:p w14:paraId="39AD7A06" w14:textId="77777777" w:rsidR="005423C8" w:rsidRPr="005423C8" w:rsidRDefault="00AF48E6" w:rsidP="006D0B66">
            <w:pPr>
              <w:jc w:val="center"/>
              <w:rPr>
                <w:rFonts w:ascii="Arial" w:eastAsia="Times New Roman" w:hAnsi="Arial" w:cs="Arial"/>
                <w:bCs/>
                <w:sz w:val="18"/>
                <w:szCs w:val="18"/>
                <w:u w:val="single"/>
              </w:rPr>
            </w:pPr>
            <w:hyperlink r:id="rId166" w:history="1">
              <w:r w:rsidR="005423C8" w:rsidRPr="005423C8">
                <w:rPr>
                  <w:rStyle w:val="Hipervnculo"/>
                  <w:rFonts w:ascii="Arial" w:eastAsia="Times New Roman" w:hAnsi="Arial" w:cs="Arial"/>
                  <w:bCs/>
                  <w:sz w:val="18"/>
                  <w:szCs w:val="18"/>
                </w:rPr>
                <w:t>https://bit.ly/3ggoF0U</w:t>
              </w:r>
            </w:hyperlink>
          </w:p>
        </w:tc>
      </w:tr>
      <w:tr w:rsidR="005423C8" w:rsidRPr="005423C8" w14:paraId="72C1405D" w14:textId="77777777" w:rsidTr="006D0B66">
        <w:trPr>
          <w:jc w:val="right"/>
        </w:trPr>
        <w:tc>
          <w:tcPr>
            <w:tcW w:w="1266" w:type="dxa"/>
            <w:tcBorders>
              <w:top w:val="single" w:sz="4" w:space="0" w:color="000000"/>
            </w:tcBorders>
            <w:shd w:val="clear" w:color="auto" w:fill="FFFFFF"/>
            <w:tcMar>
              <w:bottom w:w="0" w:type="dxa"/>
            </w:tcMar>
          </w:tcPr>
          <w:p w14:paraId="5AF5C572"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25 de noviembre</w:t>
            </w:r>
          </w:p>
        </w:tc>
        <w:tc>
          <w:tcPr>
            <w:tcW w:w="5255" w:type="dxa"/>
            <w:tcBorders>
              <w:top w:val="single" w:sz="4" w:space="0" w:color="000000"/>
            </w:tcBorders>
            <w:shd w:val="clear" w:color="auto" w:fill="FFFFFF"/>
            <w:tcMar>
              <w:bottom w:w="0" w:type="dxa"/>
            </w:tcMar>
          </w:tcPr>
          <w:p w14:paraId="21A48A39"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Federación Valencia de Municipios y Provincias y la Agencia Antifraude Valenciana colaborarán para ayudar a los ayuntamientos a elaborar sus planes antifraude</w:t>
            </w:r>
          </w:p>
        </w:tc>
        <w:tc>
          <w:tcPr>
            <w:tcW w:w="1984" w:type="dxa"/>
            <w:tcBorders>
              <w:top w:val="single" w:sz="4" w:space="0" w:color="000000"/>
            </w:tcBorders>
            <w:shd w:val="clear" w:color="auto" w:fill="FFFFFF"/>
          </w:tcPr>
          <w:p w14:paraId="40575E16" w14:textId="77777777" w:rsidR="005423C8" w:rsidRPr="005423C8" w:rsidRDefault="00AF48E6" w:rsidP="006D0B66">
            <w:pPr>
              <w:jc w:val="center"/>
              <w:rPr>
                <w:rFonts w:ascii="Arial" w:eastAsia="Times New Roman" w:hAnsi="Arial" w:cs="Arial"/>
                <w:bCs/>
                <w:sz w:val="18"/>
                <w:szCs w:val="18"/>
                <w:u w:val="single"/>
              </w:rPr>
            </w:pPr>
            <w:hyperlink r:id="rId167" w:history="1">
              <w:r w:rsidR="005423C8" w:rsidRPr="005423C8">
                <w:rPr>
                  <w:rStyle w:val="Hipervnculo"/>
                  <w:rFonts w:ascii="Arial" w:eastAsia="Times New Roman" w:hAnsi="Arial" w:cs="Arial"/>
                  <w:bCs/>
                  <w:sz w:val="18"/>
                  <w:szCs w:val="18"/>
                </w:rPr>
                <w:t>https://bit.ly/3KTtdZ4</w:t>
              </w:r>
            </w:hyperlink>
          </w:p>
        </w:tc>
      </w:tr>
      <w:tr w:rsidR="005423C8" w:rsidRPr="005423C8" w14:paraId="6AEE7CF8" w14:textId="77777777" w:rsidTr="006D0B66">
        <w:trPr>
          <w:jc w:val="right"/>
        </w:trPr>
        <w:tc>
          <w:tcPr>
            <w:tcW w:w="1266" w:type="dxa"/>
            <w:tcBorders>
              <w:top w:val="single" w:sz="4" w:space="0" w:color="000000"/>
            </w:tcBorders>
            <w:shd w:val="clear" w:color="auto" w:fill="FFFFFF"/>
            <w:tcMar>
              <w:bottom w:w="0" w:type="dxa"/>
            </w:tcMar>
          </w:tcPr>
          <w:p w14:paraId="7ACF2FD6"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29 de noviembre</w:t>
            </w:r>
          </w:p>
        </w:tc>
        <w:tc>
          <w:tcPr>
            <w:tcW w:w="5255" w:type="dxa"/>
            <w:tcBorders>
              <w:top w:val="single" w:sz="4" w:space="0" w:color="000000"/>
            </w:tcBorders>
            <w:shd w:val="clear" w:color="auto" w:fill="FFFFFF"/>
            <w:tcMar>
              <w:bottom w:w="0" w:type="dxa"/>
            </w:tcMar>
          </w:tcPr>
          <w:p w14:paraId="796B0EEA"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La Agencia Valenciana Antifraude organiza un Seminario por su 5º aniversario y congrega a la clase política, expertos, sociedad civil y agencias anticorrupción de toda España</w:t>
            </w:r>
          </w:p>
        </w:tc>
        <w:tc>
          <w:tcPr>
            <w:tcW w:w="1984" w:type="dxa"/>
            <w:tcBorders>
              <w:top w:val="single" w:sz="4" w:space="0" w:color="000000"/>
            </w:tcBorders>
            <w:shd w:val="clear" w:color="auto" w:fill="FFFFFF"/>
          </w:tcPr>
          <w:p w14:paraId="1B280FAF" w14:textId="77777777" w:rsidR="005423C8" w:rsidRPr="005423C8" w:rsidRDefault="00AF48E6" w:rsidP="006D0B66">
            <w:pPr>
              <w:jc w:val="center"/>
              <w:rPr>
                <w:rFonts w:ascii="Arial" w:eastAsia="Times New Roman" w:hAnsi="Arial" w:cs="Arial"/>
                <w:bCs/>
                <w:sz w:val="18"/>
                <w:szCs w:val="18"/>
                <w:u w:val="single"/>
              </w:rPr>
            </w:pPr>
            <w:hyperlink r:id="rId168" w:history="1">
              <w:r w:rsidR="005423C8" w:rsidRPr="005423C8">
                <w:rPr>
                  <w:rStyle w:val="Hipervnculo"/>
                  <w:rFonts w:ascii="Arial" w:eastAsia="Times New Roman" w:hAnsi="Arial" w:cs="Arial"/>
                  <w:bCs/>
                  <w:sz w:val="18"/>
                  <w:szCs w:val="18"/>
                </w:rPr>
                <w:t>https://bit.ly/3ggRM4i</w:t>
              </w:r>
            </w:hyperlink>
          </w:p>
        </w:tc>
      </w:tr>
      <w:tr w:rsidR="005423C8" w:rsidRPr="005423C8" w14:paraId="143AB0E5" w14:textId="77777777" w:rsidTr="00461E42">
        <w:trPr>
          <w:jc w:val="right"/>
        </w:trPr>
        <w:tc>
          <w:tcPr>
            <w:tcW w:w="1266" w:type="dxa"/>
            <w:tcBorders>
              <w:top w:val="single" w:sz="4" w:space="0" w:color="000000"/>
              <w:bottom w:val="single" w:sz="4" w:space="0" w:color="000000"/>
            </w:tcBorders>
            <w:shd w:val="clear" w:color="auto" w:fill="FFFFFF"/>
            <w:tcMar>
              <w:bottom w:w="0" w:type="dxa"/>
            </w:tcMar>
          </w:tcPr>
          <w:p w14:paraId="5A3D3279"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9 de diciembre</w:t>
            </w:r>
          </w:p>
        </w:tc>
        <w:tc>
          <w:tcPr>
            <w:tcW w:w="5255" w:type="dxa"/>
            <w:tcBorders>
              <w:top w:val="single" w:sz="4" w:space="0" w:color="000000"/>
              <w:bottom w:val="single" w:sz="4" w:space="0" w:color="000000"/>
            </w:tcBorders>
            <w:shd w:val="clear" w:color="auto" w:fill="FFFFFF"/>
            <w:tcMar>
              <w:bottom w:w="0" w:type="dxa"/>
            </w:tcMar>
          </w:tcPr>
          <w:p w14:paraId="78C639E0"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Participación de Joan Llinares en el podcast “Desde dentro”</w:t>
            </w:r>
          </w:p>
        </w:tc>
        <w:tc>
          <w:tcPr>
            <w:tcW w:w="1984" w:type="dxa"/>
            <w:tcBorders>
              <w:top w:val="single" w:sz="4" w:space="0" w:color="000000"/>
              <w:bottom w:val="single" w:sz="4" w:space="0" w:color="000000"/>
            </w:tcBorders>
            <w:shd w:val="clear" w:color="auto" w:fill="FFFFFF"/>
          </w:tcPr>
          <w:p w14:paraId="67A7321F" w14:textId="77777777" w:rsidR="005423C8" w:rsidRPr="005423C8" w:rsidRDefault="00AF48E6" w:rsidP="006D0B66">
            <w:pPr>
              <w:jc w:val="center"/>
              <w:rPr>
                <w:rFonts w:ascii="Arial" w:eastAsia="Times New Roman" w:hAnsi="Arial" w:cs="Arial"/>
                <w:bCs/>
                <w:sz w:val="18"/>
                <w:szCs w:val="18"/>
                <w:u w:val="single"/>
              </w:rPr>
            </w:pPr>
            <w:hyperlink r:id="rId169" w:history="1">
              <w:r w:rsidR="005423C8" w:rsidRPr="005423C8">
                <w:rPr>
                  <w:rStyle w:val="Hipervnculo"/>
                  <w:rFonts w:ascii="Arial" w:eastAsia="Times New Roman" w:hAnsi="Arial" w:cs="Arial"/>
                  <w:bCs/>
                  <w:sz w:val="18"/>
                  <w:szCs w:val="18"/>
                </w:rPr>
                <w:t>https://bit.ly/349eOHN</w:t>
              </w:r>
            </w:hyperlink>
          </w:p>
        </w:tc>
      </w:tr>
      <w:tr w:rsidR="005423C8" w:rsidRPr="005423C8" w14:paraId="0FD9514E" w14:textId="77777777" w:rsidTr="00461E42">
        <w:trPr>
          <w:jc w:val="right"/>
        </w:trPr>
        <w:tc>
          <w:tcPr>
            <w:tcW w:w="1266" w:type="dxa"/>
            <w:tcBorders>
              <w:top w:val="single" w:sz="4" w:space="0" w:color="000000"/>
              <w:bottom w:val="single" w:sz="4" w:space="0" w:color="auto"/>
            </w:tcBorders>
            <w:shd w:val="clear" w:color="auto" w:fill="FFFFFF"/>
            <w:tcMar>
              <w:bottom w:w="0" w:type="dxa"/>
            </w:tcMar>
          </w:tcPr>
          <w:p w14:paraId="2AA10EAB" w14:textId="77777777" w:rsidR="005423C8" w:rsidRPr="005423C8" w:rsidRDefault="005423C8" w:rsidP="005423C8">
            <w:pPr>
              <w:rPr>
                <w:rFonts w:ascii="Arial" w:eastAsia="Times New Roman" w:hAnsi="Arial" w:cs="Arial"/>
                <w:bCs/>
                <w:sz w:val="18"/>
                <w:szCs w:val="18"/>
              </w:rPr>
            </w:pPr>
            <w:r w:rsidRPr="005423C8">
              <w:rPr>
                <w:rFonts w:ascii="Arial" w:eastAsia="Times New Roman" w:hAnsi="Arial" w:cs="Arial"/>
                <w:bCs/>
                <w:sz w:val="18"/>
                <w:szCs w:val="18"/>
              </w:rPr>
              <w:t>17 de diciembre</w:t>
            </w:r>
          </w:p>
        </w:tc>
        <w:tc>
          <w:tcPr>
            <w:tcW w:w="5255" w:type="dxa"/>
            <w:tcBorders>
              <w:top w:val="single" w:sz="4" w:space="0" w:color="000000"/>
              <w:bottom w:val="single" w:sz="4" w:space="0" w:color="auto"/>
            </w:tcBorders>
            <w:shd w:val="clear" w:color="auto" w:fill="FFFFFF"/>
            <w:tcMar>
              <w:bottom w:w="0" w:type="dxa"/>
            </w:tcMar>
          </w:tcPr>
          <w:p w14:paraId="7FBC88EA" w14:textId="77777777" w:rsidR="005423C8" w:rsidRPr="005423C8" w:rsidRDefault="005423C8" w:rsidP="006D0B66">
            <w:pPr>
              <w:jc w:val="both"/>
              <w:rPr>
                <w:rFonts w:ascii="Arial" w:eastAsia="Times New Roman" w:hAnsi="Arial" w:cs="Arial"/>
                <w:bCs/>
                <w:sz w:val="18"/>
                <w:szCs w:val="18"/>
              </w:rPr>
            </w:pPr>
            <w:r w:rsidRPr="005423C8">
              <w:rPr>
                <w:rFonts w:ascii="Arial" w:eastAsia="Times New Roman" w:hAnsi="Arial" w:cs="Arial"/>
                <w:bCs/>
                <w:sz w:val="18"/>
                <w:szCs w:val="18"/>
              </w:rPr>
              <w:t>Finaliza el plazo de transposición de la Directiva Europea Whistleblower sin que el Gobierno de España haya realizado los trabajos de transposición</w:t>
            </w:r>
          </w:p>
        </w:tc>
        <w:tc>
          <w:tcPr>
            <w:tcW w:w="1984" w:type="dxa"/>
            <w:tcBorders>
              <w:top w:val="single" w:sz="4" w:space="0" w:color="000000"/>
              <w:bottom w:val="single" w:sz="4" w:space="0" w:color="auto"/>
            </w:tcBorders>
            <w:shd w:val="clear" w:color="auto" w:fill="FFFFFF"/>
          </w:tcPr>
          <w:p w14:paraId="7EDD6E31" w14:textId="77777777" w:rsidR="005423C8" w:rsidRPr="005423C8" w:rsidRDefault="00AF48E6" w:rsidP="006D0B66">
            <w:pPr>
              <w:jc w:val="center"/>
              <w:rPr>
                <w:rFonts w:ascii="Arial" w:eastAsia="Times New Roman" w:hAnsi="Arial" w:cs="Arial"/>
                <w:bCs/>
                <w:sz w:val="18"/>
                <w:szCs w:val="18"/>
                <w:u w:val="single"/>
              </w:rPr>
            </w:pPr>
            <w:hyperlink r:id="rId170" w:history="1">
              <w:r w:rsidR="005423C8" w:rsidRPr="005423C8">
                <w:rPr>
                  <w:rStyle w:val="Hipervnculo"/>
                  <w:rFonts w:ascii="Arial" w:eastAsia="Times New Roman" w:hAnsi="Arial" w:cs="Arial"/>
                  <w:bCs/>
                  <w:sz w:val="18"/>
                  <w:szCs w:val="18"/>
                </w:rPr>
                <w:t>https://bit.ly/3L0KVdi</w:t>
              </w:r>
            </w:hyperlink>
          </w:p>
        </w:tc>
      </w:tr>
    </w:tbl>
    <w:p w14:paraId="210D698B" w14:textId="22B6F212" w:rsidR="005423C8" w:rsidRDefault="00B673DC" w:rsidP="00AC1A12">
      <w:pPr>
        <w:pStyle w:val="Prrafodelista"/>
        <w:keepNext/>
        <w:numPr>
          <w:ilvl w:val="1"/>
          <w:numId w:val="15"/>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48" w:name="_Toc99106979"/>
      <w:r>
        <w:rPr>
          <w:rFonts w:ascii="Arial" w:eastAsia="Times New Roman" w:hAnsi="Arial" w:cs="Arial"/>
          <w:b/>
          <w:color w:val="9D2235"/>
          <w:sz w:val="32"/>
          <w:szCs w:val="32"/>
        </w:rPr>
        <w:t>Acciones de comunicación</w:t>
      </w:r>
      <w:bookmarkEnd w:id="48"/>
    </w:p>
    <w:p w14:paraId="2CB6A642" w14:textId="39E07F13" w:rsidR="00B673DC" w:rsidRDefault="007A3186" w:rsidP="00AC1A12">
      <w:pPr>
        <w:pStyle w:val="Prrafodelista"/>
        <w:keepNext/>
        <w:numPr>
          <w:ilvl w:val="2"/>
          <w:numId w:val="15"/>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49" w:name="_Toc99106980"/>
      <w:r>
        <w:rPr>
          <w:rFonts w:ascii="Arial" w:eastAsia="Times New Roman" w:hAnsi="Arial" w:cs="Arial"/>
          <w:b/>
          <w:color w:val="9D2235"/>
          <w:sz w:val="28"/>
          <w:szCs w:val="28"/>
        </w:rPr>
        <w:t>Grupo de comunicación</w:t>
      </w:r>
      <w:bookmarkEnd w:id="49"/>
    </w:p>
    <w:p w14:paraId="6BE6C4F2" w14:textId="1D9A901C" w:rsidR="007A3186" w:rsidRPr="007A3186" w:rsidRDefault="007A3186" w:rsidP="007A3186">
      <w:pPr>
        <w:spacing w:after="240" w:line="276" w:lineRule="auto"/>
        <w:jc w:val="both"/>
        <w:rPr>
          <w:rFonts w:ascii="Arial" w:eastAsia="Times New Roman" w:hAnsi="Arial" w:cs="Arial"/>
          <w:bCs/>
          <w:sz w:val="21"/>
          <w:szCs w:val="21"/>
        </w:rPr>
      </w:pPr>
      <w:r w:rsidRPr="007A3186">
        <w:rPr>
          <w:rFonts w:ascii="Arial" w:eastAsia="Times New Roman" w:hAnsi="Arial" w:cs="Arial"/>
          <w:bCs/>
          <w:sz w:val="21"/>
          <w:szCs w:val="21"/>
        </w:rPr>
        <w:t>Conscientes de la importancia que la comunicación tiene para la Agencia</w:t>
      </w:r>
      <w:r w:rsidR="00477A10">
        <w:rPr>
          <w:rFonts w:ascii="Arial" w:eastAsia="Times New Roman" w:hAnsi="Arial" w:cs="Arial"/>
          <w:bCs/>
          <w:sz w:val="21"/>
          <w:szCs w:val="21"/>
        </w:rPr>
        <w:t>,</w:t>
      </w:r>
      <w:r w:rsidRPr="007A3186">
        <w:rPr>
          <w:rFonts w:ascii="Arial" w:eastAsia="Times New Roman" w:hAnsi="Arial" w:cs="Arial"/>
          <w:bCs/>
          <w:sz w:val="21"/>
          <w:szCs w:val="21"/>
        </w:rPr>
        <w:t xml:space="preserve"> se constituyó durante el año 2021 un grupo de comunicación en el que participa personal de la Agencia de los diferentes departamentos que la forman.</w:t>
      </w:r>
    </w:p>
    <w:p w14:paraId="0F1E57C0" w14:textId="77777777" w:rsidR="007A3186" w:rsidRPr="007A3186" w:rsidRDefault="007A3186" w:rsidP="007A3186">
      <w:pPr>
        <w:spacing w:after="240" w:line="276" w:lineRule="auto"/>
        <w:jc w:val="both"/>
        <w:rPr>
          <w:rFonts w:ascii="Arial" w:eastAsia="Times New Roman" w:hAnsi="Arial" w:cs="Arial"/>
          <w:bCs/>
          <w:sz w:val="21"/>
          <w:szCs w:val="21"/>
        </w:rPr>
      </w:pPr>
      <w:r w:rsidRPr="007A3186">
        <w:rPr>
          <w:rFonts w:ascii="Arial" w:eastAsia="Times New Roman" w:hAnsi="Arial" w:cs="Arial"/>
          <w:bCs/>
          <w:sz w:val="21"/>
          <w:szCs w:val="21"/>
        </w:rPr>
        <w:t>El grupo se reúne de forma periódica y en él se debaten y analizan las acciones de comunicación que se pueden poner en marcha, así como la coordinación de eventos públicos y otras cuestiones que afectan tanto a la comunicación externa como interna de la Agencia. Durante 2021 se han realizado siete reuniones del Grupo de Comunicación.</w:t>
      </w:r>
    </w:p>
    <w:p w14:paraId="18515EA9" w14:textId="47912959" w:rsidR="007A3186" w:rsidRDefault="00770B30" w:rsidP="00AC1A12">
      <w:pPr>
        <w:pStyle w:val="Prrafodelista"/>
        <w:keepNext/>
        <w:numPr>
          <w:ilvl w:val="2"/>
          <w:numId w:val="15"/>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50" w:name="_Toc99106981"/>
      <w:r w:rsidRPr="001374AD">
        <w:rPr>
          <w:rFonts w:ascii="Arial" w:eastAsia="Times New Roman" w:hAnsi="Arial" w:cs="Times New Roman"/>
          <w:noProof/>
          <w:sz w:val="21"/>
          <w:szCs w:val="20"/>
        </w:rPr>
        <w:drawing>
          <wp:anchor distT="0" distB="0" distL="114300" distR="114300" simplePos="0" relativeHeight="251997184" behindDoc="0" locked="0" layoutInCell="1" allowOverlap="1" wp14:anchorId="06799BC1" wp14:editId="48C9FEC6">
            <wp:simplePos x="0" y="0"/>
            <wp:positionH relativeFrom="margin">
              <wp:align>right</wp:align>
            </wp:positionH>
            <wp:positionV relativeFrom="paragraph">
              <wp:posOffset>508000</wp:posOffset>
            </wp:positionV>
            <wp:extent cx="5394960" cy="759460"/>
            <wp:effectExtent l="0" t="0" r="0" b="2540"/>
            <wp:wrapTopAndBottom/>
            <wp:docPr id="10" name="Imagen 10"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Logotipo, nombre de la empresa&#10;&#10;Descripción generada automáticament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403214" cy="760817"/>
                    </a:xfrm>
                    <a:prstGeom prst="rect">
                      <a:avLst/>
                    </a:prstGeom>
                  </pic:spPr>
                </pic:pic>
              </a:graphicData>
            </a:graphic>
            <wp14:sizeRelV relativeFrom="margin">
              <wp14:pctHeight>0</wp14:pctHeight>
            </wp14:sizeRelV>
          </wp:anchor>
        </w:drawing>
      </w:r>
      <w:r w:rsidR="007A3186">
        <w:rPr>
          <w:rFonts w:ascii="Arial" w:eastAsia="Times New Roman" w:hAnsi="Arial" w:cs="Arial"/>
          <w:b/>
          <w:color w:val="9D2235"/>
          <w:sz w:val="28"/>
          <w:szCs w:val="28"/>
        </w:rPr>
        <w:t>Campaña#Estubuzón</w:t>
      </w:r>
      <w:bookmarkEnd w:id="50"/>
    </w:p>
    <w:p w14:paraId="11D274BF" w14:textId="77777777" w:rsidR="00770B30" w:rsidRDefault="00770B30" w:rsidP="00770B30">
      <w:pPr>
        <w:pStyle w:val="Descripcin"/>
        <w:rPr>
          <w:rFonts w:ascii="Arial" w:hAnsi="Arial" w:cs="Arial"/>
          <w:color w:val="9D2235" w:themeColor="accent1"/>
          <w:sz w:val="18"/>
          <w:szCs w:val="18"/>
        </w:rPr>
      </w:pPr>
    </w:p>
    <w:p w14:paraId="35496D16" w14:textId="1AFC11E1" w:rsidR="001374AD" w:rsidRPr="00FF2067" w:rsidRDefault="00EB35E0" w:rsidP="00FF2067">
      <w:pPr>
        <w:pStyle w:val="Descripcin"/>
        <w:jc w:val="center"/>
        <w:rPr>
          <w:rFonts w:ascii="Arial" w:eastAsia="Times New Roman" w:hAnsi="Arial" w:cs="Arial"/>
          <w:smallCaps w:val="0"/>
          <w:sz w:val="18"/>
          <w:szCs w:val="18"/>
        </w:rPr>
      </w:pPr>
      <w:bookmarkStart w:id="51" w:name="_Toc99099798"/>
      <w:r w:rsidRPr="00FF2067">
        <w:rPr>
          <w:rFonts w:ascii="Arial" w:hAnsi="Arial" w:cs="Arial"/>
          <w:smallCaps w:val="0"/>
          <w:color w:val="9D2235" w:themeColor="accent1"/>
          <w:sz w:val="18"/>
          <w:szCs w:val="18"/>
        </w:rPr>
        <w:t xml:space="preserve">Ilustración </w:t>
      </w:r>
      <w:r w:rsidRPr="00FF2067">
        <w:rPr>
          <w:rFonts w:ascii="Arial" w:hAnsi="Arial" w:cs="Arial"/>
          <w:smallCaps w:val="0"/>
          <w:color w:val="9D2235" w:themeColor="accent1"/>
          <w:sz w:val="18"/>
          <w:szCs w:val="18"/>
        </w:rPr>
        <w:fldChar w:fldCharType="begin" w:fldLock="1"/>
      </w:r>
      <w:r w:rsidRPr="00FF2067">
        <w:rPr>
          <w:rFonts w:ascii="Arial" w:hAnsi="Arial" w:cs="Arial"/>
          <w:smallCaps w:val="0"/>
          <w:color w:val="9D2235" w:themeColor="accent1"/>
          <w:sz w:val="18"/>
          <w:szCs w:val="18"/>
        </w:rPr>
        <w:instrText xml:space="preserve"> SEQ Ilustración \* ARABIC </w:instrText>
      </w:r>
      <w:r w:rsidRPr="00FF2067">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10</w:t>
      </w:r>
      <w:r w:rsidRPr="00FF2067">
        <w:rPr>
          <w:rFonts w:ascii="Arial" w:hAnsi="Arial" w:cs="Arial"/>
          <w:smallCaps w:val="0"/>
          <w:color w:val="9D2235" w:themeColor="accent1"/>
          <w:sz w:val="18"/>
          <w:szCs w:val="18"/>
        </w:rPr>
        <w:fldChar w:fldCharType="end"/>
      </w:r>
      <w:r w:rsidRPr="00FF2067">
        <w:rPr>
          <w:rFonts w:ascii="Arial" w:hAnsi="Arial" w:cs="Arial"/>
          <w:smallCaps w:val="0"/>
          <w:color w:val="9D2235" w:themeColor="accent1"/>
          <w:sz w:val="18"/>
          <w:szCs w:val="18"/>
        </w:rPr>
        <w:t xml:space="preserve">. </w:t>
      </w:r>
      <w:r w:rsidRPr="00FF2067">
        <w:rPr>
          <w:rFonts w:ascii="Arial" w:hAnsi="Arial" w:cs="Arial"/>
          <w:smallCaps w:val="0"/>
          <w:sz w:val="18"/>
          <w:szCs w:val="18"/>
        </w:rPr>
        <w:t>Campaña#Estubuzón</w:t>
      </w:r>
      <w:bookmarkEnd w:id="51"/>
    </w:p>
    <w:p w14:paraId="5CEAAA26" w14:textId="77777777" w:rsidR="001374AD" w:rsidRPr="001374AD" w:rsidRDefault="001374AD" w:rsidP="001374AD">
      <w:pPr>
        <w:spacing w:after="0" w:line="276" w:lineRule="auto"/>
        <w:jc w:val="both"/>
        <w:rPr>
          <w:rFonts w:ascii="Arial" w:eastAsia="Times New Roman" w:hAnsi="Arial" w:cs="Open Sans"/>
          <w:b/>
          <w:bCs/>
          <w:smallCaps/>
          <w:color w:val="94070A"/>
          <w:sz w:val="21"/>
          <w:szCs w:val="21"/>
          <w:lang w:eastAsia="es-ES"/>
        </w:rPr>
      </w:pPr>
    </w:p>
    <w:p w14:paraId="318E66BF" w14:textId="4D95D72F" w:rsidR="001374AD" w:rsidRPr="001374AD" w:rsidRDefault="001374AD" w:rsidP="00645E88">
      <w:pPr>
        <w:spacing w:after="120" w:line="276" w:lineRule="auto"/>
        <w:jc w:val="both"/>
        <w:rPr>
          <w:rFonts w:ascii="Arial" w:eastAsia="Times New Roman" w:hAnsi="Arial" w:cs="Open Sans"/>
          <w:sz w:val="21"/>
          <w:szCs w:val="21"/>
          <w:lang w:eastAsia="es-ES"/>
        </w:rPr>
      </w:pPr>
      <w:r w:rsidRPr="001374AD">
        <w:rPr>
          <w:rFonts w:ascii="Arial" w:eastAsia="Times New Roman" w:hAnsi="Arial" w:cs="Open Sans"/>
          <w:sz w:val="21"/>
          <w:szCs w:val="21"/>
          <w:lang w:eastAsia="es-ES"/>
        </w:rPr>
        <w:t xml:space="preserve">En el último trimestre del año, la Agencia Valenciana Antifraude ha realizado su primera campaña de comunicación directa dirigida a los empleados de las administraciones públicas de la Comunitat Valenciana. </w:t>
      </w:r>
    </w:p>
    <w:p w14:paraId="3F08794A" w14:textId="2CF2EE39" w:rsidR="001374AD" w:rsidRPr="001374AD" w:rsidRDefault="001374AD" w:rsidP="00645E88">
      <w:pPr>
        <w:spacing w:after="120" w:line="276" w:lineRule="auto"/>
        <w:jc w:val="both"/>
        <w:rPr>
          <w:rFonts w:ascii="Arial" w:eastAsia="Times New Roman" w:hAnsi="Arial" w:cs="Open Sans"/>
          <w:sz w:val="21"/>
          <w:szCs w:val="21"/>
          <w:lang w:eastAsia="es-ES"/>
        </w:rPr>
      </w:pPr>
      <w:r w:rsidRPr="001374AD">
        <w:rPr>
          <w:rFonts w:ascii="Arial" w:eastAsia="Times New Roman" w:hAnsi="Arial" w:cs="Open Sans"/>
          <w:sz w:val="21"/>
          <w:szCs w:val="21"/>
          <w:lang w:eastAsia="es-ES"/>
        </w:rPr>
        <w:t>Se han realizado más 600 envíos a todos los ayuntamientos y demás instituciones públicas</w:t>
      </w:r>
      <w:r w:rsidR="0059736F">
        <w:rPr>
          <w:rFonts w:ascii="Arial" w:eastAsia="Times New Roman" w:hAnsi="Arial" w:cs="Open Sans"/>
          <w:sz w:val="21"/>
          <w:szCs w:val="21"/>
          <w:lang w:eastAsia="es-ES"/>
        </w:rPr>
        <w:t>,</w:t>
      </w:r>
      <w:r w:rsidRPr="001374AD">
        <w:rPr>
          <w:rFonts w:ascii="Arial" w:eastAsia="Times New Roman" w:hAnsi="Arial" w:cs="Open Sans"/>
          <w:sz w:val="21"/>
          <w:szCs w:val="21"/>
          <w:lang w:eastAsia="es-ES"/>
        </w:rPr>
        <w:t xml:space="preserve"> con una carta del director de la </w:t>
      </w:r>
      <w:r w:rsidR="004A48B1">
        <w:rPr>
          <w:rFonts w:ascii="Arial" w:eastAsia="Times New Roman" w:hAnsi="Arial" w:cs="Open Sans"/>
          <w:sz w:val="21"/>
          <w:szCs w:val="21"/>
          <w:lang w:eastAsia="es-ES"/>
        </w:rPr>
        <w:t>A</w:t>
      </w:r>
      <w:r w:rsidRPr="001374AD">
        <w:rPr>
          <w:rFonts w:ascii="Arial" w:eastAsia="Times New Roman" w:hAnsi="Arial" w:cs="Open Sans"/>
          <w:sz w:val="21"/>
          <w:szCs w:val="21"/>
          <w:lang w:eastAsia="es-ES"/>
        </w:rPr>
        <w:t>gencia para informar</w:t>
      </w:r>
      <w:r w:rsidR="00AA72FB">
        <w:rPr>
          <w:rFonts w:ascii="Arial" w:eastAsia="Times New Roman" w:hAnsi="Arial" w:cs="Open Sans"/>
          <w:sz w:val="21"/>
          <w:szCs w:val="21"/>
          <w:lang w:eastAsia="es-ES"/>
        </w:rPr>
        <w:t>,</w:t>
      </w:r>
      <w:r w:rsidRPr="001374AD">
        <w:rPr>
          <w:rFonts w:ascii="Arial" w:eastAsia="Times New Roman" w:hAnsi="Arial" w:cs="Open Sans"/>
          <w:sz w:val="21"/>
          <w:szCs w:val="21"/>
          <w:lang w:eastAsia="es-ES"/>
        </w:rPr>
        <w:t xml:space="preserve"> que el pasado 17 de diciembre de 2021</w:t>
      </w:r>
      <w:r w:rsidR="00AA72FB">
        <w:rPr>
          <w:rFonts w:ascii="Arial" w:eastAsia="Times New Roman" w:hAnsi="Arial" w:cs="Open Sans"/>
          <w:sz w:val="21"/>
          <w:szCs w:val="21"/>
          <w:lang w:eastAsia="es-ES"/>
        </w:rPr>
        <w:t>,</w:t>
      </w:r>
      <w:r w:rsidRPr="001374AD">
        <w:rPr>
          <w:rFonts w:ascii="Arial" w:eastAsia="Times New Roman" w:hAnsi="Arial" w:cs="Open Sans"/>
          <w:sz w:val="21"/>
          <w:szCs w:val="21"/>
          <w:lang w:eastAsia="es-ES"/>
        </w:rPr>
        <w:t xml:space="preserve"> finalizó el plazo para la transposición al ordenamiento jurídico español de la Directiva Europea 1937/2019 de protección de las personas alertadoras, conocida como Directiva Whistleblower, que obliga a todas las instituciones públicas a contar con buzones de denuncia tanto internos como externos.</w:t>
      </w:r>
    </w:p>
    <w:p w14:paraId="4C45D452" w14:textId="4321E5CC" w:rsidR="001374AD" w:rsidRPr="001374AD" w:rsidRDefault="001374AD" w:rsidP="00645E88">
      <w:pPr>
        <w:spacing w:after="120" w:line="276" w:lineRule="auto"/>
        <w:rPr>
          <w:rFonts w:ascii="Arial" w:eastAsia="Times New Roman" w:hAnsi="Arial" w:cs="Arial"/>
          <w:bCs/>
          <w:sz w:val="21"/>
          <w:szCs w:val="21"/>
        </w:rPr>
      </w:pPr>
      <w:r w:rsidRPr="001374AD">
        <w:rPr>
          <w:rFonts w:ascii="Arial" w:eastAsia="Times New Roman" w:hAnsi="Arial" w:cs="Open Sans"/>
          <w:sz w:val="21"/>
          <w:szCs w:val="21"/>
          <w:lang w:eastAsia="es-ES"/>
        </w:rPr>
        <w:t>A dicha carta se adjuntaban calendarios de mesa del año 2022, acción de difusión de la existencia del buzón de denuncias de la Agencia Valenciana Antifraude.</w:t>
      </w:r>
    </w:p>
    <w:p w14:paraId="6D688168" w14:textId="196FF1AA" w:rsidR="007A3186" w:rsidRDefault="001374AD" w:rsidP="00AC1A12">
      <w:pPr>
        <w:pStyle w:val="Prrafodelista"/>
        <w:keepNext/>
        <w:numPr>
          <w:ilvl w:val="1"/>
          <w:numId w:val="15"/>
        </w:numPr>
        <w:spacing w:before="360" w:after="120" w:line="276" w:lineRule="auto"/>
        <w:ind w:left="851" w:hanging="851"/>
        <w:contextualSpacing w:val="0"/>
        <w:jc w:val="both"/>
        <w:outlineLvl w:val="1"/>
        <w:rPr>
          <w:rFonts w:ascii="Arial" w:eastAsia="Times New Roman" w:hAnsi="Arial" w:cs="Arial"/>
          <w:b/>
          <w:color w:val="9D2235"/>
          <w:sz w:val="32"/>
          <w:szCs w:val="32"/>
        </w:rPr>
      </w:pPr>
      <w:bookmarkStart w:id="52" w:name="_Toc99106982"/>
      <w:r>
        <w:rPr>
          <w:rFonts w:ascii="Arial" w:eastAsia="Times New Roman" w:hAnsi="Arial" w:cs="Arial"/>
          <w:b/>
          <w:color w:val="9D2235"/>
          <w:sz w:val="32"/>
          <w:szCs w:val="32"/>
        </w:rPr>
        <w:t>Relaciones con las Corts Valencianes</w:t>
      </w:r>
      <w:bookmarkEnd w:id="52"/>
    </w:p>
    <w:p w14:paraId="5C734803" w14:textId="645809E9" w:rsidR="001374AD" w:rsidRPr="001374AD" w:rsidRDefault="001374AD" w:rsidP="00645E88">
      <w:pPr>
        <w:spacing w:after="120" w:line="276" w:lineRule="auto"/>
        <w:jc w:val="both"/>
        <w:rPr>
          <w:rFonts w:ascii="Arial" w:eastAsia="Times New Roman" w:hAnsi="Arial" w:cs="Arial"/>
          <w:sz w:val="21"/>
          <w:szCs w:val="21"/>
          <w:lang w:eastAsia="es-ES"/>
        </w:rPr>
      </w:pPr>
      <w:r w:rsidRPr="001374AD">
        <w:rPr>
          <w:rFonts w:ascii="Arial" w:eastAsia="Times New Roman" w:hAnsi="Arial" w:cs="Arial"/>
          <w:sz w:val="21"/>
          <w:szCs w:val="21"/>
          <w:lang w:eastAsia="es-ES"/>
        </w:rPr>
        <w:t xml:space="preserve">De acuerdo con el artículo 5.4 de la Ley 11/2016 de la Generalitat, de creación de la Agencia, </w:t>
      </w:r>
      <w:r w:rsidRPr="00CF04AA">
        <w:rPr>
          <w:rFonts w:ascii="Arial" w:eastAsia="Times New Roman" w:hAnsi="Arial" w:cs="Arial"/>
          <w:sz w:val="21"/>
          <w:szCs w:val="21"/>
          <w:lang w:eastAsia="es-ES"/>
        </w:rPr>
        <w:t xml:space="preserve">“La agencia se relaciona con </w:t>
      </w:r>
      <w:r w:rsidR="00D36DE1">
        <w:rPr>
          <w:rFonts w:ascii="Arial" w:eastAsia="Times New Roman" w:hAnsi="Arial" w:cs="Arial"/>
          <w:sz w:val="21"/>
          <w:szCs w:val="21"/>
          <w:lang w:eastAsia="es-ES"/>
        </w:rPr>
        <w:t>la</w:t>
      </w:r>
      <w:r w:rsidRPr="00CF04AA">
        <w:rPr>
          <w:rFonts w:ascii="Arial" w:eastAsia="Times New Roman" w:hAnsi="Arial" w:cs="Arial"/>
          <w:sz w:val="21"/>
          <w:szCs w:val="21"/>
          <w:lang w:eastAsia="es-ES"/>
        </w:rPr>
        <w:t xml:space="preserve">s Corts mediante la comisión parlamentaria que se establezca. A esta comisión le corresponde el control de actuación de la agencia y la comprobación de los requisitos exigidos al candidato o candidata a director o directora antes de la elección por el Pleno de </w:t>
      </w:r>
      <w:r w:rsidR="00D36DE1">
        <w:rPr>
          <w:rFonts w:ascii="Arial" w:eastAsia="Times New Roman" w:hAnsi="Arial" w:cs="Arial"/>
          <w:sz w:val="21"/>
          <w:szCs w:val="21"/>
          <w:lang w:eastAsia="es-ES"/>
        </w:rPr>
        <w:t>la</w:t>
      </w:r>
      <w:r w:rsidRPr="00CF04AA">
        <w:rPr>
          <w:rFonts w:ascii="Arial" w:eastAsia="Times New Roman" w:hAnsi="Arial" w:cs="Arial"/>
          <w:sz w:val="21"/>
          <w:szCs w:val="21"/>
          <w:lang w:eastAsia="es-ES"/>
        </w:rPr>
        <w:t>s Corts. La Agencia, siempre que sea requerida, cooperará con las comisiones parlamentarias de investigación en la elaboración de dictámenes sobre asuntos de su ámbito de actuación. Asimismo, el director o directora de la Agencia acudirá a las comisiones parlamentarias a las que sea convocado para informar del estado de sus actuaciones y podrá solicitar, cuando lo crea conveniente, comparecer.”</w:t>
      </w:r>
    </w:p>
    <w:p w14:paraId="4C9C3626" w14:textId="0143BE03" w:rsidR="001374AD" w:rsidRPr="001374AD" w:rsidRDefault="001374AD" w:rsidP="00645E88">
      <w:pPr>
        <w:spacing w:after="120" w:line="276" w:lineRule="auto"/>
        <w:jc w:val="both"/>
        <w:rPr>
          <w:rFonts w:ascii="Arial" w:eastAsia="Times New Roman" w:hAnsi="Arial" w:cs="Arial"/>
          <w:bCs/>
          <w:sz w:val="21"/>
          <w:szCs w:val="21"/>
        </w:rPr>
      </w:pPr>
      <w:r w:rsidRPr="001374AD">
        <w:rPr>
          <w:rFonts w:ascii="Arial" w:eastAsia="Times New Roman" w:hAnsi="Arial" w:cs="Arial"/>
          <w:sz w:val="21"/>
          <w:szCs w:val="21"/>
        </w:rPr>
        <w:t>Los artículos 23 y 24 de la Ley 11/2016 de la Generalitat, por otra parte, se refieren a la elaboración y presentación, cuando concurran circunstancias especiales, de informes especiales y extraordinarios, los cuales, junto con la memoria anual</w:t>
      </w:r>
      <w:r w:rsidR="00AA72FB">
        <w:rPr>
          <w:rFonts w:ascii="Arial" w:eastAsia="Times New Roman" w:hAnsi="Arial" w:cs="Arial"/>
          <w:sz w:val="21"/>
          <w:szCs w:val="21"/>
        </w:rPr>
        <w:t>,</w:t>
      </w:r>
      <w:r w:rsidRPr="001374AD">
        <w:rPr>
          <w:rFonts w:ascii="Arial" w:eastAsia="Times New Roman" w:hAnsi="Arial" w:cs="Arial"/>
          <w:sz w:val="21"/>
          <w:szCs w:val="21"/>
        </w:rPr>
        <w:t xml:space="preserve"> serán publicados en el Boletín Oficial de l</w:t>
      </w:r>
      <w:r w:rsidR="00AA72FB">
        <w:rPr>
          <w:rFonts w:ascii="Arial" w:eastAsia="Times New Roman" w:hAnsi="Arial" w:cs="Arial"/>
          <w:sz w:val="21"/>
          <w:szCs w:val="21"/>
        </w:rPr>
        <w:t>a</w:t>
      </w:r>
      <w:r w:rsidRPr="001374AD">
        <w:rPr>
          <w:rFonts w:ascii="Arial" w:eastAsia="Times New Roman" w:hAnsi="Arial" w:cs="Arial"/>
          <w:sz w:val="21"/>
          <w:szCs w:val="21"/>
        </w:rPr>
        <w:t>s Corts y en el Portal de Transparencia de la web de la Agencia. También podrá elaborar la Agencia recomendaciones y dictámenes no vinculantes sobre asuntos de su competencia.</w:t>
      </w:r>
    </w:p>
    <w:p w14:paraId="2BC0AB14" w14:textId="77B73D69" w:rsidR="001374AD" w:rsidRDefault="007A5BE0" w:rsidP="00AC1A12">
      <w:pPr>
        <w:pStyle w:val="Prrafodelista"/>
        <w:keepNext/>
        <w:numPr>
          <w:ilvl w:val="2"/>
          <w:numId w:val="15"/>
        </w:numPr>
        <w:spacing w:before="360" w:after="120" w:line="276" w:lineRule="auto"/>
        <w:ind w:left="1134" w:hanging="1134"/>
        <w:contextualSpacing w:val="0"/>
        <w:jc w:val="both"/>
        <w:outlineLvl w:val="2"/>
        <w:rPr>
          <w:rFonts w:ascii="Arial" w:eastAsia="Times New Roman" w:hAnsi="Arial" w:cs="Arial"/>
          <w:b/>
          <w:color w:val="9D2235"/>
          <w:sz w:val="28"/>
          <w:szCs w:val="28"/>
        </w:rPr>
      </w:pPr>
      <w:bookmarkStart w:id="53" w:name="_Toc99106983"/>
      <w:r>
        <w:rPr>
          <w:rFonts w:ascii="Arial" w:eastAsia="Times New Roman" w:hAnsi="Arial" w:cs="Arial"/>
          <w:b/>
          <w:color w:val="9D2235"/>
          <w:sz w:val="28"/>
          <w:szCs w:val="28"/>
        </w:rPr>
        <w:t>Entrega de la Memoria 2020</w:t>
      </w:r>
      <w:bookmarkEnd w:id="53"/>
    </w:p>
    <w:p w14:paraId="29E3BAD6" w14:textId="7ED50B13" w:rsidR="007A5BE0" w:rsidRPr="007A5BE0" w:rsidRDefault="007A5BE0" w:rsidP="00645E88">
      <w:pPr>
        <w:spacing w:after="120" w:line="276" w:lineRule="auto"/>
        <w:jc w:val="both"/>
        <w:rPr>
          <w:rFonts w:ascii="Arial" w:eastAsia="Times New Roman" w:hAnsi="Arial" w:cs="Arial"/>
          <w:sz w:val="21"/>
          <w:szCs w:val="21"/>
          <w:lang w:eastAsia="es-ES"/>
        </w:rPr>
      </w:pPr>
      <w:r w:rsidRPr="007A5BE0">
        <w:rPr>
          <w:rFonts w:ascii="Arial" w:eastAsia="Times New Roman" w:hAnsi="Arial" w:cs="Arial"/>
          <w:sz w:val="21"/>
          <w:szCs w:val="21"/>
          <w:lang w:eastAsia="es-ES"/>
        </w:rPr>
        <w:t>La Memoria de actividades del ejercicio 2020</w:t>
      </w:r>
      <w:r w:rsidR="00AA72FB">
        <w:rPr>
          <w:rFonts w:ascii="Arial" w:eastAsia="Times New Roman" w:hAnsi="Arial" w:cs="Arial"/>
          <w:sz w:val="21"/>
          <w:szCs w:val="21"/>
          <w:lang w:eastAsia="es-ES"/>
        </w:rPr>
        <w:t>,</w:t>
      </w:r>
      <w:r w:rsidRPr="007A5BE0">
        <w:rPr>
          <w:rFonts w:ascii="Arial" w:eastAsia="Times New Roman" w:hAnsi="Arial" w:cs="Arial"/>
          <w:sz w:val="21"/>
          <w:szCs w:val="21"/>
          <w:lang w:eastAsia="es-ES"/>
        </w:rPr>
        <w:t xml:space="preserve"> se entregó en un acto protocolario en l</w:t>
      </w:r>
      <w:r w:rsidR="00AA72FB">
        <w:rPr>
          <w:rFonts w:ascii="Arial" w:eastAsia="Times New Roman" w:hAnsi="Arial" w:cs="Arial"/>
          <w:sz w:val="21"/>
          <w:szCs w:val="21"/>
          <w:lang w:eastAsia="es-ES"/>
        </w:rPr>
        <w:t>a</w:t>
      </w:r>
      <w:r w:rsidRPr="007A5BE0">
        <w:rPr>
          <w:rFonts w:ascii="Arial" w:eastAsia="Times New Roman" w:hAnsi="Arial" w:cs="Arial"/>
          <w:sz w:val="21"/>
          <w:szCs w:val="21"/>
          <w:lang w:eastAsia="es-ES"/>
        </w:rPr>
        <w:t>s Corts el 30 de marzo</w:t>
      </w:r>
      <w:r w:rsidR="00AA72FB">
        <w:rPr>
          <w:rFonts w:ascii="Arial" w:eastAsia="Times New Roman" w:hAnsi="Arial" w:cs="Arial"/>
          <w:sz w:val="21"/>
          <w:szCs w:val="21"/>
          <w:lang w:eastAsia="es-ES"/>
        </w:rPr>
        <w:t>,</w:t>
      </w:r>
      <w:r w:rsidRPr="007A5BE0">
        <w:rPr>
          <w:rFonts w:ascii="Arial" w:eastAsia="Times New Roman" w:hAnsi="Arial" w:cs="Arial"/>
          <w:sz w:val="21"/>
          <w:szCs w:val="21"/>
          <w:lang w:eastAsia="es-ES"/>
        </w:rPr>
        <w:t xml:space="preserve"> en cumplimiento del artículo 22.3 de la Ley 11/2016, en presencia del presidente y de los síndicos y síndicas de los grupos parlamentarios.</w:t>
      </w:r>
    </w:p>
    <w:p w14:paraId="452D5D0A" w14:textId="208373A6" w:rsidR="007A5BE0" w:rsidRPr="007A5BE0" w:rsidRDefault="007A5BE0" w:rsidP="007A5BE0">
      <w:pPr>
        <w:spacing w:after="240" w:line="276" w:lineRule="auto"/>
        <w:rPr>
          <w:rFonts w:ascii="Arial" w:eastAsia="Times New Roman" w:hAnsi="Arial" w:cs="Arial"/>
          <w:bCs/>
          <w:sz w:val="21"/>
          <w:szCs w:val="21"/>
        </w:rPr>
      </w:pPr>
      <w:r w:rsidRPr="007A5BE0">
        <w:rPr>
          <w:rFonts w:ascii="Arial" w:eastAsia="Times New Roman" w:hAnsi="Arial" w:cs="Arial"/>
          <w:sz w:val="21"/>
          <w:szCs w:val="21"/>
          <w:lang w:eastAsia="es-ES"/>
        </w:rPr>
        <w:t xml:space="preserve">Nota de prensa: </w:t>
      </w:r>
      <w:hyperlink r:id="rId172" w:history="1">
        <w:r w:rsidRPr="00F549D1">
          <w:rPr>
            <w:rFonts w:ascii="Arial" w:eastAsia="Times New Roman" w:hAnsi="Arial" w:cs="Arial"/>
            <w:color w:val="000080"/>
            <w:sz w:val="21"/>
            <w:szCs w:val="21"/>
            <w:u w:val="single"/>
            <w:lang w:eastAsia="es-ES"/>
          </w:rPr>
          <w:t>https://www.antifraucv.es/la-agencia-valenciana-antifraude-presenta-a-les-corts-su-memoria-de-actividad-del-ano-2020/</w:t>
        </w:r>
      </w:hyperlink>
    </w:p>
    <w:p w14:paraId="28EC0A74" w14:textId="774B7EEF" w:rsidR="007A5BE0" w:rsidRDefault="007A5BE0" w:rsidP="00AC1A12">
      <w:pPr>
        <w:pStyle w:val="Prrafodelista"/>
        <w:keepNext/>
        <w:numPr>
          <w:ilvl w:val="2"/>
          <w:numId w:val="15"/>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54" w:name="_Toc99106984"/>
      <w:r>
        <w:rPr>
          <w:rFonts w:ascii="Arial" w:eastAsia="Times New Roman" w:hAnsi="Arial" w:cs="Arial"/>
          <w:b/>
          <w:color w:val="9D2235"/>
          <w:sz w:val="28"/>
          <w:szCs w:val="28"/>
        </w:rPr>
        <w:t>Comparecencias del director ante Comisiones parlamentarias</w:t>
      </w:r>
      <w:bookmarkEnd w:id="54"/>
    </w:p>
    <w:p w14:paraId="748D37ED" w14:textId="77777777" w:rsidR="007A5BE0" w:rsidRPr="007A5BE0" w:rsidRDefault="007A5BE0" w:rsidP="009524CF">
      <w:pPr>
        <w:spacing w:after="240" w:line="276" w:lineRule="auto"/>
        <w:jc w:val="both"/>
        <w:rPr>
          <w:rFonts w:ascii="Arial" w:eastAsia="Times New Roman" w:hAnsi="Arial" w:cs="Arial"/>
          <w:b/>
          <w:bCs/>
          <w:iCs/>
          <w:color w:val="9D2235" w:themeColor="accent1"/>
          <w:sz w:val="21"/>
          <w:szCs w:val="21"/>
        </w:rPr>
      </w:pPr>
      <w:r w:rsidRPr="007A5BE0">
        <w:rPr>
          <w:rFonts w:ascii="Arial" w:eastAsia="Times New Roman" w:hAnsi="Arial" w:cs="Arial"/>
          <w:b/>
          <w:bCs/>
          <w:iCs/>
          <w:color w:val="9D2235" w:themeColor="accent1"/>
          <w:sz w:val="21"/>
          <w:szCs w:val="21"/>
        </w:rPr>
        <w:t>Presentación de la Memoria 2019</w:t>
      </w:r>
    </w:p>
    <w:p w14:paraId="7933A81A" w14:textId="77777777" w:rsidR="007A5BE0" w:rsidRPr="007A5BE0" w:rsidRDefault="007A5BE0" w:rsidP="009524CF">
      <w:pPr>
        <w:spacing w:after="240" w:line="276" w:lineRule="auto"/>
        <w:jc w:val="both"/>
        <w:rPr>
          <w:rFonts w:ascii="Arial" w:eastAsia="Times New Roman" w:hAnsi="Arial" w:cs="Arial"/>
          <w:bCs/>
          <w:sz w:val="21"/>
          <w:szCs w:val="21"/>
        </w:rPr>
      </w:pPr>
      <w:r w:rsidRPr="007A5BE0">
        <w:rPr>
          <w:rFonts w:ascii="Arial" w:eastAsia="Times New Roman" w:hAnsi="Arial" w:cs="Arial"/>
          <w:bCs/>
          <w:sz w:val="21"/>
          <w:szCs w:val="21"/>
        </w:rPr>
        <w:t xml:space="preserve">El 9 de febrero, en cumplimiento del artículo 22 de la Ley 11/2016, de 28 noviembre, de la Generalitat, el director de la Agencia presentó la Memoria anual de actividad correspondiente al año 2019 que, debido a las restricciones impuestas por la pandemia provocada por el COVID-19, no se pudo presentar en el ejercicio correspondiente ante la Comisión de Economía, Presupuestos y Hacienda. </w:t>
      </w:r>
    </w:p>
    <w:p w14:paraId="4DC4DC30" w14:textId="77777777" w:rsidR="007A5BE0" w:rsidRPr="007A5BE0" w:rsidRDefault="007A5BE0" w:rsidP="009524CF">
      <w:pPr>
        <w:spacing w:after="240" w:line="276" w:lineRule="auto"/>
        <w:jc w:val="both"/>
        <w:rPr>
          <w:rFonts w:ascii="Arial" w:eastAsia="Times New Roman" w:hAnsi="Arial" w:cs="Arial"/>
          <w:bCs/>
          <w:sz w:val="21"/>
          <w:szCs w:val="21"/>
        </w:rPr>
      </w:pPr>
      <w:r w:rsidRPr="007A5BE0">
        <w:rPr>
          <w:rFonts w:ascii="Arial" w:eastAsia="Times New Roman" w:hAnsi="Arial" w:cs="Arial"/>
          <w:bCs/>
          <w:sz w:val="21"/>
          <w:szCs w:val="21"/>
        </w:rPr>
        <w:t xml:space="preserve">El video íntegro de la comparecencia puede verse aquí: </w:t>
      </w:r>
      <w:hyperlink r:id="rId173" w:history="1">
        <w:r w:rsidRPr="007A5BE0">
          <w:rPr>
            <w:rStyle w:val="Hipervnculo"/>
            <w:rFonts w:ascii="Arial" w:eastAsia="Times New Roman" w:hAnsi="Arial" w:cs="Arial"/>
            <w:bCs/>
            <w:sz w:val="21"/>
            <w:szCs w:val="21"/>
          </w:rPr>
          <w:t>https://www.youtube.com/watch?v=YZeXawhmMqQ</w:t>
        </w:r>
      </w:hyperlink>
      <w:r w:rsidRPr="007A5BE0">
        <w:rPr>
          <w:rFonts w:ascii="Arial" w:eastAsia="Times New Roman" w:hAnsi="Arial" w:cs="Arial"/>
          <w:bCs/>
          <w:sz w:val="21"/>
          <w:szCs w:val="21"/>
        </w:rPr>
        <w:t xml:space="preserve"> </w:t>
      </w:r>
    </w:p>
    <w:p w14:paraId="38996461" w14:textId="77777777" w:rsidR="007A5BE0" w:rsidRPr="007A5BE0" w:rsidRDefault="007A5BE0" w:rsidP="009524CF">
      <w:pPr>
        <w:spacing w:after="240" w:line="276" w:lineRule="auto"/>
        <w:jc w:val="both"/>
        <w:rPr>
          <w:rFonts w:ascii="Arial" w:eastAsia="Times New Roman" w:hAnsi="Arial" w:cs="Arial"/>
          <w:b/>
          <w:bCs/>
          <w:iCs/>
          <w:color w:val="9D2235" w:themeColor="accent1"/>
          <w:sz w:val="21"/>
          <w:szCs w:val="21"/>
        </w:rPr>
      </w:pPr>
      <w:r w:rsidRPr="007A5BE0">
        <w:rPr>
          <w:rFonts w:ascii="Arial" w:eastAsia="Times New Roman" w:hAnsi="Arial" w:cs="Arial"/>
          <w:b/>
          <w:bCs/>
          <w:iCs/>
          <w:color w:val="9D2235" w:themeColor="accent1"/>
          <w:sz w:val="21"/>
          <w:szCs w:val="21"/>
        </w:rPr>
        <w:t>Comparecencia respecto a la Proposición de Ley de Transparencia y Buen Gobierno de la Comunitat Valenciana</w:t>
      </w:r>
    </w:p>
    <w:p w14:paraId="50378917" w14:textId="28227E3F" w:rsidR="007A5BE0" w:rsidRPr="007A5BE0" w:rsidRDefault="007A5BE0" w:rsidP="009524CF">
      <w:pPr>
        <w:spacing w:after="240" w:line="276" w:lineRule="auto"/>
        <w:jc w:val="both"/>
        <w:rPr>
          <w:rFonts w:ascii="Arial" w:eastAsia="Times New Roman" w:hAnsi="Arial" w:cs="Arial"/>
          <w:bCs/>
          <w:sz w:val="21"/>
          <w:szCs w:val="21"/>
        </w:rPr>
      </w:pPr>
      <w:r w:rsidRPr="007A5BE0">
        <w:rPr>
          <w:rFonts w:ascii="Arial" w:eastAsia="Times New Roman" w:hAnsi="Arial" w:cs="Arial"/>
          <w:bCs/>
          <w:sz w:val="21"/>
          <w:szCs w:val="21"/>
        </w:rPr>
        <w:t xml:space="preserve">En virtud de lo dispuesto en el artículo 5.4 de la Ley 11/2016, de 28 de noviembre, de la Generalitat, y el artículo 188 del Reglamento de las Corts Valencianes, el director de la Agencia solicitó su comparecencia respecto a la Proposición de Ley de Transparencia </w:t>
      </w:r>
      <w:r w:rsidR="00AA72FB">
        <w:rPr>
          <w:rFonts w:ascii="Arial" w:eastAsia="Times New Roman" w:hAnsi="Arial" w:cs="Arial"/>
          <w:bCs/>
          <w:sz w:val="21"/>
          <w:szCs w:val="21"/>
        </w:rPr>
        <w:t>y</w:t>
      </w:r>
      <w:r w:rsidRPr="007A5BE0">
        <w:rPr>
          <w:rFonts w:ascii="Arial" w:eastAsia="Times New Roman" w:hAnsi="Arial" w:cs="Arial"/>
          <w:bCs/>
          <w:sz w:val="21"/>
          <w:szCs w:val="21"/>
        </w:rPr>
        <w:t xml:space="preserve"> Buen Gobierno de la Comunitat Valenciana </w:t>
      </w:r>
      <w:hyperlink r:id="rId174" w:history="1">
        <w:r w:rsidR="00EC41E4" w:rsidRPr="002114A4">
          <w:rPr>
            <w:rStyle w:val="Hipervnculo"/>
            <w:rFonts w:ascii="Arial" w:hAnsi="Arial" w:cs="Arial"/>
            <w:sz w:val="21"/>
            <w:szCs w:val="21"/>
          </w:rPr>
          <w:t>https://www.cortsvalencianes.es/es/parlament-obert/participa/iniciativa/proposicion-de-ley-de-transparencia-y-buen-gobierno-de</w:t>
        </w:r>
      </w:hyperlink>
    </w:p>
    <w:p w14:paraId="119F5374" w14:textId="77777777" w:rsidR="007A5BE0" w:rsidRPr="007A5BE0" w:rsidRDefault="007A5BE0" w:rsidP="009524CF">
      <w:pPr>
        <w:spacing w:after="240" w:line="276" w:lineRule="auto"/>
        <w:jc w:val="both"/>
        <w:rPr>
          <w:rFonts w:ascii="Arial" w:eastAsia="Times New Roman" w:hAnsi="Arial" w:cs="Arial"/>
          <w:bCs/>
          <w:sz w:val="21"/>
          <w:szCs w:val="21"/>
        </w:rPr>
      </w:pPr>
      <w:r w:rsidRPr="007A5BE0">
        <w:rPr>
          <w:rFonts w:ascii="Arial" w:eastAsia="Times New Roman" w:hAnsi="Arial" w:cs="Arial"/>
          <w:bCs/>
          <w:sz w:val="21"/>
          <w:szCs w:val="21"/>
        </w:rPr>
        <w:t xml:space="preserve">Las Corts Valencianes, a través de su presidente, Sr. Enric Morera i Català, de acuerdo con la Resolución de Presidencia de carácter general 5/IX, que regula el procedimiento de participación ciudadana en el proceso legislativo, invitó al director de la Agencia a comparecer ante la Comisión de Coordinación, Organización y Régimen de las Instituciones de la Generalitat el 12 de mayo. </w:t>
      </w:r>
    </w:p>
    <w:p w14:paraId="531BA234" w14:textId="77777777" w:rsidR="007A5BE0" w:rsidRPr="007A5BE0" w:rsidRDefault="007A5BE0" w:rsidP="00461E42">
      <w:pPr>
        <w:spacing w:after="240" w:line="276" w:lineRule="auto"/>
        <w:jc w:val="both"/>
        <w:rPr>
          <w:rFonts w:ascii="Arial" w:eastAsia="Times New Roman" w:hAnsi="Arial" w:cs="Arial"/>
          <w:bCs/>
          <w:sz w:val="21"/>
          <w:szCs w:val="21"/>
        </w:rPr>
      </w:pPr>
      <w:r w:rsidRPr="007A5BE0">
        <w:rPr>
          <w:rFonts w:ascii="Arial" w:eastAsia="Times New Roman" w:hAnsi="Arial" w:cs="Arial"/>
          <w:bCs/>
          <w:sz w:val="21"/>
          <w:szCs w:val="21"/>
        </w:rPr>
        <w:t>Ante dicha comisión, el director expuso las alegaciones al Proyecto de ley formuladas por la Agencia:</w:t>
      </w:r>
    </w:p>
    <w:p w14:paraId="078BDAC4" w14:textId="5317C8B9" w:rsidR="007A5BE0" w:rsidRPr="007A5BE0" w:rsidRDefault="007A5BE0" w:rsidP="00461E42">
      <w:pPr>
        <w:numPr>
          <w:ilvl w:val="0"/>
          <w:numId w:val="31"/>
        </w:numPr>
        <w:spacing w:after="120" w:line="276" w:lineRule="auto"/>
        <w:ind w:left="714" w:hanging="357"/>
        <w:jc w:val="both"/>
        <w:rPr>
          <w:rFonts w:ascii="Arial" w:eastAsia="Times New Roman" w:hAnsi="Arial" w:cs="Arial"/>
          <w:bCs/>
          <w:sz w:val="21"/>
          <w:szCs w:val="21"/>
        </w:rPr>
      </w:pPr>
      <w:r w:rsidRPr="007A5BE0">
        <w:rPr>
          <w:rFonts w:ascii="Arial" w:eastAsia="Times New Roman" w:hAnsi="Arial" w:cs="Arial"/>
          <w:bCs/>
          <w:sz w:val="21"/>
          <w:szCs w:val="21"/>
        </w:rPr>
        <w:t>Propuesta de once enmiendas a la Proposición de la Ley de Transparencia y Buen Gobierno de la Comuni</w:t>
      </w:r>
      <w:r w:rsidR="008C1237">
        <w:rPr>
          <w:rFonts w:ascii="Arial" w:eastAsia="Times New Roman" w:hAnsi="Arial" w:cs="Arial"/>
          <w:bCs/>
          <w:sz w:val="21"/>
          <w:szCs w:val="21"/>
        </w:rPr>
        <w:t>tat</w:t>
      </w:r>
      <w:r w:rsidRPr="007A5BE0">
        <w:rPr>
          <w:rFonts w:ascii="Arial" w:eastAsia="Times New Roman" w:hAnsi="Arial" w:cs="Arial"/>
          <w:bCs/>
          <w:sz w:val="21"/>
          <w:szCs w:val="21"/>
        </w:rPr>
        <w:t xml:space="preserve"> Valenciana [RE</w:t>
      </w:r>
      <w:r w:rsidR="00AA72FB">
        <w:rPr>
          <w:rFonts w:ascii="Arial" w:eastAsia="Times New Roman" w:hAnsi="Arial" w:cs="Arial"/>
          <w:bCs/>
          <w:sz w:val="21"/>
          <w:szCs w:val="21"/>
        </w:rPr>
        <w:t xml:space="preserve"> </w:t>
      </w:r>
      <w:r w:rsidRPr="007A5BE0">
        <w:rPr>
          <w:rFonts w:ascii="Arial" w:eastAsia="Times New Roman" w:hAnsi="Arial" w:cs="Arial"/>
          <w:bCs/>
          <w:sz w:val="21"/>
          <w:szCs w:val="21"/>
        </w:rPr>
        <w:t>núm</w:t>
      </w:r>
      <w:r w:rsidR="00D86712">
        <w:rPr>
          <w:rFonts w:ascii="Arial" w:eastAsia="Times New Roman" w:hAnsi="Arial" w:cs="Arial"/>
          <w:bCs/>
          <w:sz w:val="21"/>
          <w:szCs w:val="21"/>
        </w:rPr>
        <w:t>.</w:t>
      </w:r>
      <w:r w:rsidRPr="007A5BE0">
        <w:rPr>
          <w:rFonts w:ascii="Arial" w:eastAsia="Times New Roman" w:hAnsi="Arial" w:cs="Arial"/>
          <w:bCs/>
          <w:sz w:val="21"/>
          <w:szCs w:val="21"/>
        </w:rPr>
        <w:t xml:space="preserve"> 23.111] (26.02.2021). </w:t>
      </w:r>
      <w:hyperlink r:id="rId175" w:history="1">
        <w:r w:rsidRPr="007A5BE0">
          <w:rPr>
            <w:rStyle w:val="Hipervnculo"/>
            <w:rFonts w:ascii="Arial" w:eastAsia="Times New Roman" w:hAnsi="Arial" w:cs="Arial"/>
            <w:bCs/>
            <w:sz w:val="21"/>
            <w:szCs w:val="21"/>
          </w:rPr>
          <w:t>https://www.antifraucv.es/wp-content/uploads/2021/04/210225_resolucio_aprovacio_esmenes_castella_valencia-3_CSV.pdf</w:t>
        </w:r>
      </w:hyperlink>
      <w:r w:rsidRPr="007A5BE0">
        <w:rPr>
          <w:rFonts w:ascii="Arial" w:eastAsia="Times New Roman" w:hAnsi="Arial" w:cs="Arial"/>
          <w:bCs/>
          <w:sz w:val="21"/>
          <w:szCs w:val="21"/>
        </w:rPr>
        <w:t xml:space="preserve"> </w:t>
      </w:r>
    </w:p>
    <w:p w14:paraId="1B54364C" w14:textId="4FDEA34C" w:rsidR="007A5BE0" w:rsidRPr="007A5BE0" w:rsidRDefault="007A5BE0" w:rsidP="00E501D4">
      <w:pPr>
        <w:numPr>
          <w:ilvl w:val="0"/>
          <w:numId w:val="31"/>
        </w:numPr>
        <w:spacing w:after="240" w:line="276" w:lineRule="auto"/>
        <w:ind w:left="714" w:hanging="357"/>
        <w:jc w:val="both"/>
        <w:rPr>
          <w:rFonts w:ascii="Arial" w:eastAsia="Times New Roman" w:hAnsi="Arial" w:cs="Arial"/>
          <w:bCs/>
          <w:sz w:val="21"/>
          <w:szCs w:val="21"/>
        </w:rPr>
      </w:pPr>
      <w:r w:rsidRPr="007A5BE0">
        <w:rPr>
          <w:rFonts w:ascii="Arial" w:eastAsia="Times New Roman" w:hAnsi="Arial" w:cs="Arial"/>
          <w:bCs/>
          <w:sz w:val="21"/>
          <w:szCs w:val="21"/>
        </w:rPr>
        <w:t>Propuesta de dos enmiendas a la Proposición de la Ley de Transparencia y Buen Gobierno de la Comuni</w:t>
      </w:r>
      <w:r w:rsidR="008C1237">
        <w:rPr>
          <w:rFonts w:ascii="Arial" w:eastAsia="Times New Roman" w:hAnsi="Arial" w:cs="Arial"/>
          <w:bCs/>
          <w:sz w:val="21"/>
          <w:szCs w:val="21"/>
        </w:rPr>
        <w:t>tat</w:t>
      </w:r>
      <w:r w:rsidRPr="007A5BE0">
        <w:rPr>
          <w:rFonts w:ascii="Arial" w:eastAsia="Times New Roman" w:hAnsi="Arial" w:cs="Arial"/>
          <w:bCs/>
          <w:sz w:val="21"/>
          <w:szCs w:val="21"/>
        </w:rPr>
        <w:t xml:space="preserve"> Valenciana, que se adicionan a las once presentadas con fecha 25 de febrero de 2012 [RE núm</w:t>
      </w:r>
      <w:r w:rsidR="00D86712">
        <w:rPr>
          <w:rFonts w:ascii="Arial" w:eastAsia="Times New Roman" w:hAnsi="Arial" w:cs="Arial"/>
          <w:bCs/>
          <w:sz w:val="21"/>
          <w:szCs w:val="21"/>
        </w:rPr>
        <w:t>.</w:t>
      </w:r>
      <w:r w:rsidRPr="007A5BE0">
        <w:rPr>
          <w:rFonts w:ascii="Arial" w:eastAsia="Times New Roman" w:hAnsi="Arial" w:cs="Arial"/>
          <w:bCs/>
          <w:sz w:val="21"/>
          <w:szCs w:val="21"/>
        </w:rPr>
        <w:t xml:space="preserve"> 23.111] (11.05.2021). </w:t>
      </w:r>
      <w:hyperlink r:id="rId176" w:history="1">
        <w:r w:rsidRPr="007A5BE0">
          <w:rPr>
            <w:rStyle w:val="Hipervnculo"/>
            <w:rFonts w:ascii="Arial" w:eastAsia="Times New Roman" w:hAnsi="Arial" w:cs="Arial"/>
            <w:bCs/>
            <w:sz w:val="21"/>
            <w:szCs w:val="21"/>
          </w:rPr>
          <w:t>https://www.antifraucv.es/wp-content/uploads/2021/04/210511_Oficios_y_Enmiendas_Ley_Transparencia_y_Buen_Gobierno_GVA_CAS.pdf</w:t>
        </w:r>
      </w:hyperlink>
      <w:r w:rsidRPr="007A5BE0">
        <w:rPr>
          <w:rFonts w:ascii="Arial" w:eastAsia="Times New Roman" w:hAnsi="Arial" w:cs="Arial"/>
          <w:bCs/>
          <w:sz w:val="21"/>
          <w:szCs w:val="21"/>
        </w:rPr>
        <w:t xml:space="preserve"> </w:t>
      </w:r>
    </w:p>
    <w:p w14:paraId="08B3B1B8" w14:textId="3CE8D589" w:rsidR="007A5BE0" w:rsidRPr="007A5BE0" w:rsidRDefault="007A5BE0" w:rsidP="009524CF">
      <w:pPr>
        <w:spacing w:after="240" w:line="276" w:lineRule="auto"/>
        <w:jc w:val="both"/>
        <w:rPr>
          <w:rFonts w:ascii="Arial" w:eastAsia="Times New Roman" w:hAnsi="Arial" w:cs="Arial"/>
          <w:bCs/>
          <w:sz w:val="21"/>
          <w:szCs w:val="21"/>
        </w:rPr>
      </w:pPr>
      <w:r w:rsidRPr="007A5BE0">
        <w:rPr>
          <w:rFonts w:ascii="Arial" w:eastAsia="Times New Roman" w:hAnsi="Arial" w:cs="Arial"/>
          <w:bCs/>
          <w:sz w:val="21"/>
          <w:szCs w:val="21"/>
        </w:rPr>
        <w:t xml:space="preserve">Nota de prensa: </w:t>
      </w:r>
      <w:hyperlink r:id="rId177" w:history="1">
        <w:r w:rsidR="00AA72FB" w:rsidRPr="00CE43CE">
          <w:rPr>
            <w:rStyle w:val="Hipervnculo"/>
            <w:rFonts w:ascii="Arial" w:eastAsia="Times New Roman" w:hAnsi="Arial" w:cs="Arial"/>
            <w:bCs/>
            <w:sz w:val="21"/>
            <w:szCs w:val="21"/>
          </w:rPr>
          <w:t>https://www.antifraucv.es/la-agencia-valenciana-antifraude-presenta-11-enmiendas-a-la-nueva-ley-de-transparencia-y-buen-gobierno-de-la-comunitat-valenciana/</w:t>
        </w:r>
      </w:hyperlink>
      <w:r w:rsidRPr="007A5BE0">
        <w:rPr>
          <w:rFonts w:ascii="Arial" w:eastAsia="Times New Roman" w:hAnsi="Arial" w:cs="Arial"/>
          <w:bCs/>
          <w:sz w:val="21"/>
          <w:szCs w:val="21"/>
        </w:rPr>
        <w:t xml:space="preserve"> </w:t>
      </w:r>
    </w:p>
    <w:p w14:paraId="1BE0DBE8" w14:textId="77777777" w:rsidR="007A5BE0" w:rsidRPr="007A5BE0" w:rsidRDefault="007A5BE0" w:rsidP="009524CF">
      <w:pPr>
        <w:spacing w:after="240" w:line="276" w:lineRule="auto"/>
        <w:jc w:val="both"/>
        <w:rPr>
          <w:rFonts w:ascii="Arial" w:eastAsia="Times New Roman" w:hAnsi="Arial" w:cs="Arial"/>
          <w:b/>
          <w:bCs/>
          <w:iCs/>
          <w:color w:val="9D2235" w:themeColor="accent1"/>
          <w:sz w:val="21"/>
          <w:szCs w:val="21"/>
        </w:rPr>
      </w:pPr>
      <w:r w:rsidRPr="007A5BE0">
        <w:rPr>
          <w:rFonts w:ascii="Arial" w:eastAsia="Times New Roman" w:hAnsi="Arial" w:cs="Arial"/>
          <w:b/>
          <w:bCs/>
          <w:iCs/>
          <w:color w:val="9D2235" w:themeColor="accent1"/>
          <w:sz w:val="21"/>
          <w:szCs w:val="21"/>
        </w:rPr>
        <w:t>Presentación de la Memoria 2020</w:t>
      </w:r>
    </w:p>
    <w:p w14:paraId="55B3DF74" w14:textId="668D52DF" w:rsidR="007A5BE0" w:rsidRPr="007A5BE0" w:rsidRDefault="007A5BE0" w:rsidP="009524CF">
      <w:pPr>
        <w:spacing w:after="240" w:line="276" w:lineRule="auto"/>
        <w:jc w:val="both"/>
        <w:rPr>
          <w:rFonts w:ascii="Arial" w:eastAsia="Times New Roman" w:hAnsi="Arial" w:cs="Arial"/>
          <w:bCs/>
          <w:sz w:val="21"/>
          <w:szCs w:val="21"/>
        </w:rPr>
      </w:pPr>
      <w:r w:rsidRPr="007A5BE0">
        <w:rPr>
          <w:rFonts w:ascii="Arial" w:eastAsia="Times New Roman" w:hAnsi="Arial" w:cs="Arial"/>
          <w:bCs/>
          <w:sz w:val="21"/>
          <w:szCs w:val="21"/>
        </w:rPr>
        <w:t>El 13 de mayo, en cumplimiento del artículo 22 de la Ley 11/2016, de 28 noviembre, de la Generalitat, el director de la Agencia presentó la Memoria anual de actividad correspondiente al año 2020</w:t>
      </w:r>
      <w:r w:rsidR="00AA72FB">
        <w:rPr>
          <w:rFonts w:ascii="Arial" w:eastAsia="Times New Roman" w:hAnsi="Arial" w:cs="Arial"/>
          <w:bCs/>
          <w:sz w:val="21"/>
          <w:szCs w:val="21"/>
        </w:rPr>
        <w:t>,</w:t>
      </w:r>
      <w:r w:rsidRPr="007A5BE0">
        <w:rPr>
          <w:rFonts w:ascii="Arial" w:eastAsia="Times New Roman" w:hAnsi="Arial" w:cs="Arial"/>
          <w:bCs/>
          <w:sz w:val="21"/>
          <w:szCs w:val="21"/>
        </w:rPr>
        <w:t xml:space="preserve"> ante la Comisión de Economía, Presupuestos y Hacienda. </w:t>
      </w:r>
    </w:p>
    <w:p w14:paraId="3367F869" w14:textId="70903A55" w:rsidR="007A5BE0" w:rsidRPr="007A5BE0" w:rsidRDefault="007A5BE0" w:rsidP="009524CF">
      <w:pPr>
        <w:spacing w:after="240" w:line="276" w:lineRule="auto"/>
        <w:jc w:val="both"/>
        <w:rPr>
          <w:rFonts w:ascii="Arial" w:eastAsia="Times New Roman" w:hAnsi="Arial" w:cs="Arial"/>
          <w:bCs/>
          <w:sz w:val="21"/>
          <w:szCs w:val="21"/>
        </w:rPr>
      </w:pPr>
      <w:r w:rsidRPr="007A5BE0">
        <w:rPr>
          <w:rFonts w:ascii="Arial" w:eastAsia="Times New Roman" w:hAnsi="Arial" w:cs="Arial"/>
          <w:bCs/>
          <w:sz w:val="21"/>
          <w:szCs w:val="21"/>
        </w:rPr>
        <w:t xml:space="preserve">El video íntegro de la comparecencia puede verse aquí: </w:t>
      </w:r>
      <w:hyperlink r:id="rId178" w:history="1">
        <w:r w:rsidRPr="007A5BE0">
          <w:rPr>
            <w:rStyle w:val="Hipervnculo"/>
            <w:rFonts w:ascii="Arial" w:eastAsia="Times New Roman" w:hAnsi="Arial" w:cs="Arial"/>
            <w:bCs/>
            <w:sz w:val="21"/>
            <w:szCs w:val="21"/>
          </w:rPr>
          <w:t>https://www.youtube.com/watch?v=BWORDmZqsYQ</w:t>
        </w:r>
      </w:hyperlink>
    </w:p>
    <w:p w14:paraId="499F216B" w14:textId="74D78C55" w:rsidR="002473FC" w:rsidRPr="002473FC" w:rsidRDefault="002473FC" w:rsidP="00AC1A12">
      <w:pPr>
        <w:pStyle w:val="Prrafodelista"/>
        <w:keepNext/>
        <w:numPr>
          <w:ilvl w:val="1"/>
          <w:numId w:val="15"/>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55" w:name="_Toc99106985"/>
      <w:r>
        <w:rPr>
          <w:rFonts w:ascii="Arial" w:eastAsia="Times New Roman" w:hAnsi="Arial" w:cs="Arial"/>
          <w:b/>
          <w:color w:val="9D2235"/>
          <w:sz w:val="32"/>
          <w:szCs w:val="32"/>
        </w:rPr>
        <w:t>Relaciones con otras instituciones</w:t>
      </w:r>
      <w:bookmarkEnd w:id="55"/>
    </w:p>
    <w:p w14:paraId="66F4C46B" w14:textId="3992137C" w:rsidR="002473FC" w:rsidRDefault="002473FC" w:rsidP="00AC1A12">
      <w:pPr>
        <w:pStyle w:val="Prrafodelista"/>
        <w:keepNext/>
        <w:numPr>
          <w:ilvl w:val="2"/>
          <w:numId w:val="15"/>
        </w:numPr>
        <w:spacing w:before="360" w:after="240" w:line="276" w:lineRule="auto"/>
        <w:ind w:left="1134" w:hanging="1134"/>
        <w:contextualSpacing w:val="0"/>
        <w:jc w:val="both"/>
        <w:outlineLvl w:val="2"/>
        <w:rPr>
          <w:rFonts w:ascii="Arial" w:eastAsia="Times New Roman" w:hAnsi="Arial" w:cs="Arial"/>
          <w:b/>
          <w:color w:val="9D2235"/>
          <w:sz w:val="28"/>
          <w:szCs w:val="28"/>
        </w:rPr>
      </w:pPr>
      <w:bookmarkStart w:id="56" w:name="_Toc99106986"/>
      <w:r>
        <w:rPr>
          <w:rFonts w:ascii="Arial" w:eastAsia="Times New Roman" w:hAnsi="Arial" w:cs="Arial"/>
          <w:b/>
          <w:color w:val="9D2235"/>
          <w:sz w:val="28"/>
          <w:szCs w:val="28"/>
        </w:rPr>
        <w:t>Eusko Legebitzarra / Parlamento Vasco</w:t>
      </w:r>
      <w:bookmarkEnd w:id="56"/>
    </w:p>
    <w:p w14:paraId="795C320E" w14:textId="77777777" w:rsidR="00C511CF" w:rsidRDefault="00C511CF" w:rsidP="00C511CF">
      <w:pPr>
        <w:pStyle w:val="Texto"/>
        <w:spacing w:after="240"/>
        <w:rPr>
          <w:rFonts w:ascii="Arial" w:hAnsi="Arial" w:cs="Arial"/>
        </w:rPr>
      </w:pPr>
      <w:r>
        <w:rPr>
          <w:rFonts w:ascii="Arial" w:hAnsi="Arial" w:cs="Arial"/>
        </w:rPr>
        <w:t xml:space="preserve">El Parlamento Vasco, a requerimiento </w:t>
      </w:r>
      <w:r w:rsidRPr="00363B5F">
        <w:rPr>
          <w:rFonts w:ascii="Arial" w:hAnsi="Arial" w:cs="Arial"/>
        </w:rPr>
        <w:t>Josu Estarrona Elizondo, parlamentario del grupo EH Bildu</w:t>
      </w:r>
      <w:r>
        <w:rPr>
          <w:rFonts w:ascii="Arial" w:hAnsi="Arial" w:cs="Arial"/>
        </w:rPr>
        <w:t xml:space="preserve">, cursó una invitación al director de la Agencia para comparecer delante de la </w:t>
      </w:r>
      <w:r w:rsidRPr="00363B5F">
        <w:rPr>
          <w:rFonts w:ascii="Arial" w:hAnsi="Arial" w:cs="Arial"/>
        </w:rPr>
        <w:t>Mesa de la Comisión de Economía, Hacienda y Presupuestos</w:t>
      </w:r>
      <w:r>
        <w:rPr>
          <w:rFonts w:ascii="Arial" w:hAnsi="Arial" w:cs="Arial"/>
        </w:rPr>
        <w:t xml:space="preserve"> el 1 de marzo de 2021 </w:t>
      </w:r>
      <w:hyperlink r:id="rId179" w:history="1">
        <w:r w:rsidRPr="00DA1C69">
          <w:rPr>
            <w:rStyle w:val="Hipervnculo"/>
            <w:rFonts w:ascii="Arial" w:hAnsi="Arial" w:cs="Arial"/>
          </w:rPr>
          <w:t>https://www.legebiltzarra.eus/ic2/restAPI/pvgune_descargar/default/5b981736-1434-465d-b718-5c98192330f7</w:t>
        </w:r>
      </w:hyperlink>
      <w:r>
        <w:rPr>
          <w:rFonts w:ascii="Arial" w:hAnsi="Arial" w:cs="Arial"/>
        </w:rPr>
        <w:t xml:space="preserve">, con el objetivo de realizar </w:t>
      </w:r>
      <w:r w:rsidRPr="00363B5F">
        <w:rPr>
          <w:rFonts w:ascii="Arial" w:hAnsi="Arial" w:cs="Arial"/>
        </w:rPr>
        <w:t>aportaciones en relación con</w:t>
      </w:r>
      <w:r>
        <w:rPr>
          <w:rFonts w:ascii="Arial" w:hAnsi="Arial" w:cs="Arial"/>
        </w:rPr>
        <w:t xml:space="preserve"> </w:t>
      </w:r>
      <w:r w:rsidRPr="00363B5F">
        <w:rPr>
          <w:rFonts w:ascii="Arial" w:hAnsi="Arial" w:cs="Arial"/>
        </w:rPr>
        <w:t>las proposiciones de ley de modificación de la Ley 1/1988, de 5 de febrero, del Tribunal Vasco de</w:t>
      </w:r>
      <w:r>
        <w:rPr>
          <w:rFonts w:ascii="Arial" w:hAnsi="Arial" w:cs="Arial"/>
        </w:rPr>
        <w:t xml:space="preserve"> </w:t>
      </w:r>
      <w:r w:rsidRPr="00363B5F">
        <w:rPr>
          <w:rFonts w:ascii="Arial" w:hAnsi="Arial" w:cs="Arial"/>
        </w:rPr>
        <w:t>Cuentas Públicas</w:t>
      </w:r>
      <w:r>
        <w:rPr>
          <w:rFonts w:ascii="Arial" w:hAnsi="Arial" w:cs="Arial"/>
        </w:rPr>
        <w:t xml:space="preserve"> </w:t>
      </w:r>
      <w:hyperlink r:id="rId180" w:history="1">
        <w:r w:rsidRPr="00DA1C69">
          <w:rPr>
            <w:rStyle w:val="Hipervnculo"/>
            <w:rFonts w:ascii="Arial" w:hAnsi="Arial" w:cs="Arial"/>
          </w:rPr>
          <w:t>https://www.boe.es/eli/es-pv/l/1988/02/05/1/con</w:t>
        </w:r>
      </w:hyperlink>
      <w:r>
        <w:rPr>
          <w:rFonts w:ascii="Arial" w:hAnsi="Arial" w:cs="Arial"/>
        </w:rPr>
        <w:t>.</w:t>
      </w:r>
    </w:p>
    <w:p w14:paraId="691A777C" w14:textId="5671B5CD" w:rsidR="00C511CF" w:rsidRPr="002473FC" w:rsidRDefault="00C511CF" w:rsidP="00C511CF">
      <w:pPr>
        <w:spacing w:after="240" w:line="276" w:lineRule="auto"/>
        <w:jc w:val="both"/>
        <w:rPr>
          <w:rFonts w:ascii="Arial" w:eastAsia="Times New Roman" w:hAnsi="Arial" w:cs="Arial"/>
          <w:bCs/>
          <w:sz w:val="21"/>
          <w:szCs w:val="21"/>
        </w:rPr>
      </w:pPr>
      <w:r>
        <w:rPr>
          <w:rFonts w:ascii="Arial" w:hAnsi="Arial" w:cs="Arial"/>
        </w:rPr>
        <w:t>La comparecencia se realizó por videoconferencia, ya que no se pudo viajar debido a la situación sanitaria provocada por el Covid-19.</w:t>
      </w:r>
    </w:p>
    <w:p w14:paraId="5D4DBDF8" w14:textId="35C2E81A" w:rsidR="002473FC" w:rsidRDefault="00C511CF" w:rsidP="00AC1A12">
      <w:pPr>
        <w:pStyle w:val="Prrafodelista"/>
        <w:keepNext/>
        <w:numPr>
          <w:ilvl w:val="1"/>
          <w:numId w:val="15"/>
        </w:numPr>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57" w:name="_Toc99106987"/>
      <w:r>
        <w:rPr>
          <w:rFonts w:ascii="Arial" w:eastAsia="Times New Roman" w:hAnsi="Arial" w:cs="Arial"/>
          <w:b/>
          <w:color w:val="9D2235"/>
          <w:sz w:val="32"/>
          <w:szCs w:val="32"/>
        </w:rPr>
        <w:t>Publicaciones en boletines oficiales</w:t>
      </w:r>
      <w:bookmarkEnd w:id="57"/>
    </w:p>
    <w:p w14:paraId="5263D27F" w14:textId="2313D7D3" w:rsidR="00C511CF" w:rsidRDefault="00C511CF" w:rsidP="009E34DE">
      <w:pPr>
        <w:spacing w:after="240" w:line="276" w:lineRule="auto"/>
        <w:jc w:val="both"/>
        <w:rPr>
          <w:rFonts w:ascii="Arial" w:eastAsia="Calibri" w:hAnsi="Arial" w:cs="Arial"/>
          <w:sz w:val="21"/>
        </w:rPr>
      </w:pPr>
      <w:r w:rsidRPr="00C511CF">
        <w:rPr>
          <w:rFonts w:ascii="Arial" w:eastAsia="Calibri" w:hAnsi="Arial" w:cs="Arial"/>
          <w:sz w:val="21"/>
        </w:rPr>
        <w:t>A lo largo del 2021, se efectuaron las siguientes publicaciones en boletines oficiales (Boletín Oficial de l</w:t>
      </w:r>
      <w:r w:rsidR="008865F8">
        <w:rPr>
          <w:rFonts w:ascii="Arial" w:eastAsia="Calibri" w:hAnsi="Arial" w:cs="Arial"/>
          <w:sz w:val="21"/>
        </w:rPr>
        <w:t>a</w:t>
      </w:r>
      <w:r w:rsidRPr="00C511CF">
        <w:rPr>
          <w:rFonts w:ascii="Arial" w:eastAsia="Calibri" w:hAnsi="Arial" w:cs="Arial"/>
          <w:sz w:val="21"/>
        </w:rPr>
        <w:t>s Corts Valencianes - BOCV, Diario Oficial de la Generalitat Valenciana - DOGV y Boletín Oficial del Estado - BOE):</w:t>
      </w:r>
    </w:p>
    <w:p w14:paraId="4B4B7751" w14:textId="77777777" w:rsidR="00B1299D" w:rsidRPr="00C511CF" w:rsidRDefault="00B1299D" w:rsidP="009E34DE">
      <w:pPr>
        <w:spacing w:after="240" w:line="276" w:lineRule="auto"/>
        <w:jc w:val="both"/>
        <w:rPr>
          <w:rFonts w:ascii="Arial" w:eastAsia="Calibri" w:hAnsi="Arial" w:cs="Arial"/>
          <w:sz w:val="21"/>
        </w:rPr>
      </w:pPr>
    </w:p>
    <w:p w14:paraId="2D72D1D0" w14:textId="7736215A" w:rsidR="003D573A" w:rsidRPr="003D573A" w:rsidRDefault="003D573A" w:rsidP="003D573A">
      <w:pPr>
        <w:pStyle w:val="Descripcin"/>
        <w:keepNext/>
        <w:rPr>
          <w:rFonts w:ascii="Arial" w:hAnsi="Arial" w:cs="Arial"/>
          <w:smallCaps w:val="0"/>
          <w:sz w:val="18"/>
          <w:szCs w:val="18"/>
        </w:rPr>
      </w:pPr>
      <w:bookmarkStart w:id="58" w:name="_Toc99107143"/>
      <w:r w:rsidRPr="003D573A">
        <w:rPr>
          <w:rFonts w:ascii="Arial" w:hAnsi="Arial" w:cs="Arial"/>
          <w:smallCaps w:val="0"/>
          <w:color w:val="9D2235" w:themeColor="accent1"/>
          <w:sz w:val="18"/>
          <w:szCs w:val="18"/>
        </w:rPr>
        <w:t xml:space="preserve">Tabla </w:t>
      </w:r>
      <w:r w:rsidRPr="003D573A">
        <w:rPr>
          <w:rFonts w:ascii="Arial" w:hAnsi="Arial" w:cs="Arial"/>
          <w:smallCaps w:val="0"/>
          <w:color w:val="9D2235" w:themeColor="accent1"/>
          <w:sz w:val="18"/>
          <w:szCs w:val="18"/>
        </w:rPr>
        <w:fldChar w:fldCharType="begin" w:fldLock="1"/>
      </w:r>
      <w:r w:rsidRPr="003D573A">
        <w:rPr>
          <w:rFonts w:ascii="Arial" w:hAnsi="Arial" w:cs="Arial"/>
          <w:smallCaps w:val="0"/>
          <w:color w:val="9D2235" w:themeColor="accent1"/>
          <w:sz w:val="18"/>
          <w:szCs w:val="18"/>
        </w:rPr>
        <w:instrText xml:space="preserve"> SEQ Tabla \* ARABIC </w:instrText>
      </w:r>
      <w:r w:rsidRPr="003D573A">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5</w:t>
      </w:r>
      <w:r w:rsidRPr="003D573A">
        <w:rPr>
          <w:rFonts w:ascii="Arial" w:hAnsi="Arial" w:cs="Arial"/>
          <w:smallCaps w:val="0"/>
          <w:color w:val="9D2235" w:themeColor="accent1"/>
          <w:sz w:val="18"/>
          <w:szCs w:val="18"/>
        </w:rPr>
        <w:fldChar w:fldCharType="end"/>
      </w:r>
      <w:r w:rsidRPr="003D573A">
        <w:rPr>
          <w:rFonts w:ascii="Arial" w:hAnsi="Arial" w:cs="Arial"/>
          <w:smallCaps w:val="0"/>
          <w:color w:val="9D2235" w:themeColor="accent1"/>
          <w:sz w:val="18"/>
          <w:szCs w:val="18"/>
        </w:rPr>
        <w:t xml:space="preserve">. </w:t>
      </w:r>
      <w:r w:rsidRPr="003D573A">
        <w:rPr>
          <w:rFonts w:ascii="Arial" w:hAnsi="Arial" w:cs="Arial"/>
          <w:smallCaps w:val="0"/>
          <w:sz w:val="18"/>
          <w:szCs w:val="18"/>
        </w:rPr>
        <w:t>Publicaciones en boletines oficiales año 2021</w:t>
      </w:r>
      <w:bookmarkEnd w:id="58"/>
    </w:p>
    <w:tbl>
      <w:tblPr>
        <w:tblW w:w="8812" w:type="dxa"/>
        <w:tblCellMar>
          <w:top w:w="55" w:type="dxa"/>
          <w:left w:w="55" w:type="dxa"/>
          <w:bottom w:w="55" w:type="dxa"/>
          <w:right w:w="55" w:type="dxa"/>
        </w:tblCellMar>
        <w:tblLook w:val="0000" w:firstRow="0" w:lastRow="0" w:firstColumn="0" w:lastColumn="0" w:noHBand="0" w:noVBand="0"/>
      </w:tblPr>
      <w:tblGrid>
        <w:gridCol w:w="5524"/>
        <w:gridCol w:w="1134"/>
        <w:gridCol w:w="1143"/>
        <w:gridCol w:w="1011"/>
      </w:tblGrid>
      <w:tr w:rsidR="00B158CC" w:rsidRPr="00C511CF" w14:paraId="7D2B9B32" w14:textId="77777777" w:rsidTr="009E34DE">
        <w:trPr>
          <w:tblHeader/>
        </w:trPr>
        <w:tc>
          <w:tcPr>
            <w:tcW w:w="5524" w:type="dxa"/>
            <w:tcBorders>
              <w:top w:val="single" w:sz="4" w:space="0" w:color="000000"/>
              <w:left w:val="single" w:sz="4" w:space="0" w:color="000000"/>
              <w:bottom w:val="single" w:sz="4" w:space="0" w:color="000000"/>
            </w:tcBorders>
            <w:shd w:val="clear" w:color="auto" w:fill="800000"/>
          </w:tcPr>
          <w:p w14:paraId="1BA58A2D" w14:textId="77777777" w:rsidR="00C511CF" w:rsidRPr="00645E88" w:rsidRDefault="00C511CF" w:rsidP="00AA4929">
            <w:pPr>
              <w:spacing w:after="0" w:line="276" w:lineRule="auto"/>
              <w:jc w:val="both"/>
              <w:rPr>
                <w:rFonts w:ascii="Arial" w:eastAsia="Calibri" w:hAnsi="Arial" w:cs="Arial"/>
                <w:b/>
                <w:bCs/>
                <w:sz w:val="20"/>
                <w:szCs w:val="20"/>
              </w:rPr>
            </w:pPr>
            <w:r w:rsidRPr="00645E88">
              <w:rPr>
                <w:rFonts w:ascii="Arial" w:eastAsia="Calibri" w:hAnsi="Arial" w:cs="Arial"/>
                <w:b/>
                <w:bCs/>
                <w:sz w:val="20"/>
                <w:szCs w:val="20"/>
              </w:rPr>
              <w:t>Asunto</w:t>
            </w:r>
          </w:p>
        </w:tc>
        <w:tc>
          <w:tcPr>
            <w:tcW w:w="1134" w:type="dxa"/>
            <w:tcBorders>
              <w:top w:val="single" w:sz="4" w:space="0" w:color="000000"/>
              <w:left w:val="single" w:sz="4" w:space="0" w:color="000000"/>
              <w:bottom w:val="single" w:sz="4" w:space="0" w:color="000000"/>
            </w:tcBorders>
            <w:shd w:val="clear" w:color="auto" w:fill="800000"/>
          </w:tcPr>
          <w:p w14:paraId="38B29B64" w14:textId="77777777" w:rsidR="00C511CF" w:rsidRPr="00645E88" w:rsidRDefault="00C511CF" w:rsidP="00AA4929">
            <w:pPr>
              <w:spacing w:after="0" w:line="276" w:lineRule="auto"/>
              <w:jc w:val="center"/>
              <w:rPr>
                <w:rFonts w:ascii="Arial" w:eastAsia="Calibri" w:hAnsi="Arial" w:cs="Arial"/>
                <w:b/>
                <w:bCs/>
                <w:sz w:val="20"/>
                <w:szCs w:val="20"/>
              </w:rPr>
            </w:pPr>
            <w:r w:rsidRPr="00645E88">
              <w:rPr>
                <w:rFonts w:ascii="Arial" w:eastAsia="Calibri" w:hAnsi="Arial" w:cs="Arial"/>
                <w:b/>
                <w:bCs/>
                <w:sz w:val="20"/>
                <w:szCs w:val="20"/>
              </w:rPr>
              <w:t>BOCV</w:t>
            </w:r>
          </w:p>
        </w:tc>
        <w:tc>
          <w:tcPr>
            <w:tcW w:w="1143" w:type="dxa"/>
            <w:tcBorders>
              <w:top w:val="single" w:sz="4" w:space="0" w:color="000000"/>
              <w:left w:val="single" w:sz="4" w:space="0" w:color="000000"/>
              <w:bottom w:val="single" w:sz="4" w:space="0" w:color="000000"/>
              <w:right w:val="single" w:sz="4" w:space="0" w:color="000000"/>
            </w:tcBorders>
            <w:shd w:val="clear" w:color="auto" w:fill="800000"/>
          </w:tcPr>
          <w:p w14:paraId="37002A43" w14:textId="77777777" w:rsidR="00C511CF" w:rsidRPr="00645E88" w:rsidRDefault="00C511CF" w:rsidP="00AA4929">
            <w:pPr>
              <w:spacing w:after="0" w:line="276" w:lineRule="auto"/>
              <w:jc w:val="center"/>
              <w:rPr>
                <w:rFonts w:ascii="Arial" w:eastAsia="Calibri" w:hAnsi="Arial" w:cs="Arial"/>
                <w:b/>
                <w:bCs/>
                <w:sz w:val="20"/>
                <w:szCs w:val="20"/>
              </w:rPr>
            </w:pPr>
            <w:r w:rsidRPr="00645E88">
              <w:rPr>
                <w:rFonts w:ascii="Arial" w:eastAsia="Calibri" w:hAnsi="Arial" w:cs="Arial"/>
                <w:b/>
                <w:bCs/>
                <w:sz w:val="20"/>
                <w:szCs w:val="20"/>
              </w:rPr>
              <w:t>DOGV</w:t>
            </w:r>
          </w:p>
        </w:tc>
        <w:tc>
          <w:tcPr>
            <w:tcW w:w="1011" w:type="dxa"/>
            <w:tcBorders>
              <w:top w:val="single" w:sz="4" w:space="0" w:color="000000"/>
              <w:left w:val="single" w:sz="4" w:space="0" w:color="000000"/>
              <w:bottom w:val="single" w:sz="4" w:space="0" w:color="000000"/>
              <w:right w:val="single" w:sz="4" w:space="0" w:color="000000"/>
            </w:tcBorders>
            <w:shd w:val="clear" w:color="auto" w:fill="800000"/>
          </w:tcPr>
          <w:p w14:paraId="1C622B80" w14:textId="77777777" w:rsidR="00C511CF" w:rsidRPr="00645E88" w:rsidRDefault="00C511CF" w:rsidP="00AA4929">
            <w:pPr>
              <w:spacing w:after="0" w:line="276" w:lineRule="auto"/>
              <w:jc w:val="center"/>
              <w:rPr>
                <w:rFonts w:ascii="Arial" w:eastAsia="Calibri" w:hAnsi="Arial" w:cs="Arial"/>
                <w:b/>
                <w:bCs/>
                <w:sz w:val="20"/>
                <w:szCs w:val="20"/>
              </w:rPr>
            </w:pPr>
            <w:r w:rsidRPr="00645E88">
              <w:rPr>
                <w:rFonts w:ascii="Arial" w:eastAsia="Calibri" w:hAnsi="Arial" w:cs="Arial"/>
                <w:b/>
                <w:bCs/>
                <w:sz w:val="20"/>
                <w:szCs w:val="20"/>
              </w:rPr>
              <w:t>BOE</w:t>
            </w:r>
          </w:p>
        </w:tc>
      </w:tr>
      <w:tr w:rsidR="00B158CC" w:rsidRPr="00C511CF" w14:paraId="51156DB4" w14:textId="77777777" w:rsidTr="00B158CC">
        <w:tc>
          <w:tcPr>
            <w:tcW w:w="5524" w:type="dxa"/>
            <w:tcBorders>
              <w:top w:val="single" w:sz="4" w:space="0" w:color="000000"/>
              <w:left w:val="single" w:sz="4" w:space="0" w:color="000000"/>
              <w:bottom w:val="single" w:sz="4" w:space="0" w:color="000000"/>
            </w:tcBorders>
            <w:shd w:val="clear" w:color="auto" w:fill="auto"/>
          </w:tcPr>
          <w:p w14:paraId="0CEDDB3B" w14:textId="6A1F690A"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núm</w:t>
            </w:r>
            <w:r w:rsidR="0038226A">
              <w:rPr>
                <w:rFonts w:ascii="Arial" w:eastAsia="Calibri" w:hAnsi="Arial" w:cs="Arial"/>
                <w:sz w:val="18"/>
                <w:szCs w:val="18"/>
              </w:rPr>
              <w:t>.</w:t>
            </w:r>
            <w:r w:rsidRPr="00C511CF">
              <w:rPr>
                <w:rFonts w:ascii="Arial" w:eastAsia="Calibri" w:hAnsi="Arial" w:cs="Arial"/>
                <w:sz w:val="18"/>
                <w:szCs w:val="18"/>
              </w:rPr>
              <w:t xml:space="preserve"> 666/2020, de 29 de diciembre, del director de la Agencia de Prevención y Lucha contra el Fraude y la Corrupción de la Comunitat Valenciana, por la que se crea y regula el Registro de Acuerdos y Resoluciones adoptados por el director o directora de la Agencia</w:t>
            </w:r>
          </w:p>
        </w:tc>
        <w:tc>
          <w:tcPr>
            <w:tcW w:w="1134" w:type="dxa"/>
            <w:tcBorders>
              <w:top w:val="single" w:sz="4" w:space="0" w:color="000000"/>
              <w:left w:val="single" w:sz="4" w:space="0" w:color="000000"/>
              <w:bottom w:val="single" w:sz="4" w:space="0" w:color="000000"/>
            </w:tcBorders>
            <w:shd w:val="clear" w:color="auto" w:fill="auto"/>
          </w:tcPr>
          <w:p w14:paraId="1C0028E6"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135 de 15.01.2021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4D2DB773"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8992 de 08.01.2021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6DE3A3F2"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618C2F86" w14:textId="77777777" w:rsidTr="00B158CC">
        <w:tc>
          <w:tcPr>
            <w:tcW w:w="5524" w:type="dxa"/>
            <w:tcBorders>
              <w:top w:val="single" w:sz="4" w:space="0" w:color="000000"/>
              <w:left w:val="single" w:sz="4" w:space="0" w:color="000000"/>
              <w:bottom w:val="single" w:sz="4" w:space="0" w:color="000000"/>
            </w:tcBorders>
            <w:shd w:val="clear" w:color="auto" w:fill="auto"/>
          </w:tcPr>
          <w:p w14:paraId="3E1E76B8" w14:textId="53E96A9B" w:rsidR="00C511CF" w:rsidRPr="00C511CF" w:rsidRDefault="00C511CF" w:rsidP="00AA4929">
            <w:pPr>
              <w:spacing w:after="0" w:line="276" w:lineRule="auto"/>
              <w:jc w:val="both"/>
              <w:rPr>
                <w:rFonts w:ascii="Arial" w:eastAsia="Calibri" w:hAnsi="Arial" w:cs="Arial"/>
                <w:b/>
                <w:sz w:val="18"/>
                <w:szCs w:val="18"/>
              </w:rPr>
            </w:pPr>
            <w:r w:rsidRPr="00C511CF">
              <w:rPr>
                <w:rFonts w:ascii="Arial" w:eastAsia="Calibri" w:hAnsi="Arial" w:cs="Arial"/>
                <w:b/>
                <w:sz w:val="18"/>
                <w:szCs w:val="18"/>
              </w:rPr>
              <w:t>ANUNCIO</w:t>
            </w:r>
            <w:r w:rsidRPr="00C511CF">
              <w:rPr>
                <w:rFonts w:ascii="Arial" w:eastAsia="Calibri" w:hAnsi="Arial" w:cs="Arial"/>
                <w:sz w:val="18"/>
                <w:szCs w:val="18"/>
              </w:rPr>
              <w:t xml:space="preserve"> por el cual se publica la Resolución </w:t>
            </w:r>
            <w:r w:rsidR="0038226A">
              <w:rPr>
                <w:rFonts w:ascii="Arial" w:eastAsia="Calibri" w:hAnsi="Arial" w:cs="Arial"/>
                <w:sz w:val="18"/>
                <w:szCs w:val="18"/>
              </w:rPr>
              <w:t xml:space="preserve">núm. </w:t>
            </w:r>
            <w:r w:rsidRPr="00C511CF">
              <w:rPr>
                <w:rFonts w:ascii="Arial" w:eastAsia="Calibri" w:hAnsi="Arial" w:cs="Arial"/>
                <w:sz w:val="18"/>
                <w:szCs w:val="18"/>
              </w:rPr>
              <w:t xml:space="preserve">466/2020, de 26 de octubre, del director de la Agencia de Prevención y Lucha contra el Fraude y la Corrupción, por la cual se aprueba el proyecto de presupuestos generales de la Agencia para el año 2021 (corrección de errores en virtud de la Resolución </w:t>
            </w:r>
            <w:r w:rsidR="0038226A">
              <w:rPr>
                <w:rFonts w:ascii="Arial" w:eastAsia="Calibri" w:hAnsi="Arial" w:cs="Arial"/>
                <w:sz w:val="18"/>
                <w:szCs w:val="18"/>
              </w:rPr>
              <w:t xml:space="preserve">núm. </w:t>
            </w:r>
            <w:r w:rsidRPr="00C511CF">
              <w:rPr>
                <w:rFonts w:ascii="Arial" w:eastAsia="Calibri" w:hAnsi="Arial" w:cs="Arial"/>
                <w:sz w:val="18"/>
                <w:szCs w:val="18"/>
              </w:rPr>
              <w:t>498/2020, de 3 de noviembre, del director de la Agencia)</w:t>
            </w:r>
          </w:p>
        </w:tc>
        <w:tc>
          <w:tcPr>
            <w:tcW w:w="1134" w:type="dxa"/>
            <w:tcBorders>
              <w:top w:val="single" w:sz="4" w:space="0" w:color="000000"/>
              <w:left w:val="single" w:sz="4" w:space="0" w:color="000000"/>
              <w:bottom w:val="single" w:sz="4" w:space="0" w:color="000000"/>
            </w:tcBorders>
            <w:shd w:val="clear" w:color="auto" w:fill="auto"/>
          </w:tcPr>
          <w:p w14:paraId="31BD5300"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136 de 21.01.2021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4725FEE4" w14:textId="77777777" w:rsidR="00C511CF" w:rsidRPr="00C511CF" w:rsidRDefault="00C511CF" w:rsidP="00AA4929">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17B04D24"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25391F0C" w14:textId="77777777" w:rsidTr="00B158CC">
        <w:tc>
          <w:tcPr>
            <w:tcW w:w="5524" w:type="dxa"/>
            <w:tcBorders>
              <w:top w:val="single" w:sz="4" w:space="0" w:color="000000"/>
              <w:left w:val="single" w:sz="4" w:space="0" w:color="000000"/>
              <w:bottom w:val="single" w:sz="4" w:space="0" w:color="000000"/>
            </w:tcBorders>
            <w:shd w:val="clear" w:color="auto" w:fill="auto"/>
          </w:tcPr>
          <w:p w14:paraId="5A081287" w14:textId="5D305607"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del director de la Agencia de Prevención y Lucha contra el Fraude y la Corrupción de la Comunitat Valenciana por la cual se acuerda la publicación del texto íntegro del convenio marco entre la Agencia de Prevención y Lucha contra el Fraude y la Corrupción de la Comuni</w:t>
            </w:r>
            <w:r w:rsidR="008C1237">
              <w:rPr>
                <w:rFonts w:ascii="Arial" w:eastAsia="Calibri" w:hAnsi="Arial" w:cs="Arial"/>
                <w:sz w:val="18"/>
                <w:szCs w:val="18"/>
              </w:rPr>
              <w:t>tat</w:t>
            </w:r>
            <w:r w:rsidRPr="00C511CF">
              <w:rPr>
                <w:rFonts w:ascii="Arial" w:eastAsia="Calibri" w:hAnsi="Arial" w:cs="Arial"/>
                <w:sz w:val="18"/>
                <w:szCs w:val="18"/>
              </w:rPr>
              <w:t xml:space="preserve"> Valenciana y la World Compliance Association para establecer un canal permanente de comunicación y colaboración para mejorar la eficacia en el cumplimiento de objetivos de interés común.</w:t>
            </w:r>
          </w:p>
        </w:tc>
        <w:tc>
          <w:tcPr>
            <w:tcW w:w="1134" w:type="dxa"/>
            <w:tcBorders>
              <w:top w:val="single" w:sz="4" w:space="0" w:color="000000"/>
              <w:left w:val="single" w:sz="4" w:space="0" w:color="000000"/>
              <w:bottom w:val="single" w:sz="4" w:space="0" w:color="000000"/>
            </w:tcBorders>
            <w:shd w:val="clear" w:color="auto" w:fill="auto"/>
          </w:tcPr>
          <w:p w14:paraId="02BB9FA3"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136 de 21.01.2021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72E7D47A" w14:textId="77777777" w:rsidR="00C511CF" w:rsidRPr="00C511CF" w:rsidRDefault="00C511CF" w:rsidP="00AA4929">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42CF493A"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54ED96D0" w14:textId="77777777" w:rsidTr="00B158CC">
        <w:tc>
          <w:tcPr>
            <w:tcW w:w="5524" w:type="dxa"/>
            <w:tcBorders>
              <w:top w:val="single" w:sz="4" w:space="0" w:color="000000"/>
              <w:left w:val="single" w:sz="4" w:space="0" w:color="000000"/>
              <w:bottom w:val="single" w:sz="4" w:space="0" w:color="000000"/>
            </w:tcBorders>
            <w:shd w:val="clear" w:color="auto" w:fill="auto"/>
          </w:tcPr>
          <w:p w14:paraId="1B68D532" w14:textId="3C569B27"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w:t>
            </w:r>
            <w:r w:rsidR="0038226A">
              <w:rPr>
                <w:rFonts w:ascii="Arial" w:eastAsia="Calibri" w:hAnsi="Arial" w:cs="Arial"/>
                <w:sz w:val="18"/>
                <w:szCs w:val="18"/>
              </w:rPr>
              <w:t xml:space="preserve">núm. </w:t>
            </w:r>
            <w:r w:rsidRPr="00C511CF">
              <w:rPr>
                <w:rFonts w:ascii="Arial" w:eastAsia="Calibri" w:hAnsi="Arial" w:cs="Arial"/>
                <w:sz w:val="18"/>
                <w:szCs w:val="18"/>
              </w:rPr>
              <w:t>32/2021, de 26 de enero, del director de la Agencia de Prevención y Lucha contra el Fraude y la Corrupción de la Comunitat Valenciana, por la que se convoca la provisión temporal de diferentes puestos de trabajo vacantes de naturaleza funcionarial de la Agencia, por funcionarios y funcionarias de carrera de las distintas administraciones públicas.</w:t>
            </w:r>
          </w:p>
        </w:tc>
        <w:tc>
          <w:tcPr>
            <w:tcW w:w="1134" w:type="dxa"/>
            <w:tcBorders>
              <w:top w:val="single" w:sz="4" w:space="0" w:color="000000"/>
              <w:left w:val="single" w:sz="4" w:space="0" w:color="000000"/>
              <w:bottom w:val="single" w:sz="4" w:space="0" w:color="000000"/>
            </w:tcBorders>
            <w:shd w:val="clear" w:color="auto" w:fill="auto"/>
          </w:tcPr>
          <w:p w14:paraId="1FC79DBB" w14:textId="77777777" w:rsidR="00C511CF" w:rsidRPr="00C511CF" w:rsidRDefault="00C511CF" w:rsidP="00AA4929">
            <w:pPr>
              <w:spacing w:after="0" w:line="276" w:lineRule="auto"/>
              <w:jc w:val="center"/>
              <w:rPr>
                <w:rFonts w:ascii="Arial" w:eastAsia="Calibri" w:hAnsi="Arial" w:cs="Arial"/>
                <w:sz w:val="18"/>
                <w:szCs w:val="18"/>
              </w:rPr>
            </w:pP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47FADC1C"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9012 de 03.02.2021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7DDAFB74"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3B0137A5" w14:textId="77777777" w:rsidTr="00B158CC">
        <w:tc>
          <w:tcPr>
            <w:tcW w:w="5524" w:type="dxa"/>
            <w:tcBorders>
              <w:top w:val="single" w:sz="4" w:space="0" w:color="000000"/>
              <w:left w:val="single" w:sz="4" w:space="0" w:color="000000"/>
              <w:bottom w:val="single" w:sz="4" w:space="0" w:color="000000"/>
            </w:tcBorders>
            <w:shd w:val="clear" w:color="auto" w:fill="auto"/>
          </w:tcPr>
          <w:p w14:paraId="39BF8533" w14:textId="77777777" w:rsidR="00C511CF" w:rsidRPr="00C511CF" w:rsidRDefault="00C511CF" w:rsidP="00AA4929">
            <w:pPr>
              <w:spacing w:after="0" w:line="276" w:lineRule="auto"/>
              <w:jc w:val="both"/>
              <w:rPr>
                <w:rFonts w:ascii="Arial" w:eastAsia="Calibri" w:hAnsi="Arial" w:cs="Arial"/>
                <w:b/>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del director de la Agencia de Prevención y Lucha contra el Fraude y la Corrupción de la Comunitat Valenciana por la cual se acuerda la publicación del texto íntegro del convenio de cooperación educativa entre la Agencia de Prevención y Lucha contra el Fraude y la Corrupción de la Comunitat Valenciana y la Universidad CEU Cardenal Herrera, para la realización de prácticas formativas por estudiantes universitarios</w:t>
            </w:r>
          </w:p>
        </w:tc>
        <w:tc>
          <w:tcPr>
            <w:tcW w:w="1134" w:type="dxa"/>
            <w:tcBorders>
              <w:top w:val="single" w:sz="4" w:space="0" w:color="000000"/>
              <w:left w:val="single" w:sz="4" w:space="0" w:color="000000"/>
              <w:bottom w:val="single" w:sz="4" w:space="0" w:color="000000"/>
            </w:tcBorders>
            <w:shd w:val="clear" w:color="auto" w:fill="auto"/>
          </w:tcPr>
          <w:p w14:paraId="0365D4FD"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145 de 24.02.2021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74A8B11E" w14:textId="77777777" w:rsidR="00C511CF" w:rsidRPr="00C511CF" w:rsidRDefault="00C511CF" w:rsidP="00AA4929">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069FC97B"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14EED175" w14:textId="77777777" w:rsidTr="00B158CC">
        <w:tc>
          <w:tcPr>
            <w:tcW w:w="5524" w:type="dxa"/>
            <w:tcBorders>
              <w:top w:val="single" w:sz="4" w:space="0" w:color="000000"/>
              <w:left w:val="single" w:sz="4" w:space="0" w:color="000000"/>
              <w:bottom w:val="single" w:sz="4" w:space="0" w:color="000000"/>
            </w:tcBorders>
            <w:shd w:val="clear" w:color="auto" w:fill="auto"/>
          </w:tcPr>
          <w:p w14:paraId="38C0851E" w14:textId="4FB9A0E1"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núm</w:t>
            </w:r>
            <w:r w:rsidR="0038226A">
              <w:rPr>
                <w:rFonts w:ascii="Arial" w:eastAsia="Calibri" w:hAnsi="Arial" w:cs="Arial"/>
                <w:sz w:val="18"/>
                <w:szCs w:val="18"/>
              </w:rPr>
              <w:t>.</w:t>
            </w:r>
            <w:r w:rsidRPr="00C511CF">
              <w:rPr>
                <w:rFonts w:ascii="Arial" w:eastAsia="Calibri" w:hAnsi="Arial" w:cs="Arial"/>
                <w:sz w:val="18"/>
                <w:szCs w:val="18"/>
              </w:rPr>
              <w:t xml:space="preserve"> 152/2021, de 10 de marzo, del director de la Agencia de Prevención y Lucha contra el Fraude y la Corrupción de la Comunitat Valenciana, por la que se declara desierta la convocatoria del procedimiento de provisión, por el sistema de libre designación, del puesto de trabajo número 9 de la relación de puestos de trabajo de la Agencia, jefe/a de Servicio de Sistemas de Información. (Expediente LD 4/2020)</w:t>
            </w:r>
          </w:p>
        </w:tc>
        <w:tc>
          <w:tcPr>
            <w:tcW w:w="1134" w:type="dxa"/>
            <w:tcBorders>
              <w:top w:val="single" w:sz="4" w:space="0" w:color="000000"/>
              <w:left w:val="single" w:sz="4" w:space="0" w:color="000000"/>
              <w:bottom w:val="single" w:sz="4" w:space="0" w:color="000000"/>
            </w:tcBorders>
            <w:shd w:val="clear" w:color="auto" w:fill="auto"/>
          </w:tcPr>
          <w:p w14:paraId="4CBF9103"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154 de 26.03.2021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6C2AF402"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9043 de 17.03.2021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46DFDB59"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302705E9" w14:textId="77777777" w:rsidTr="00B158CC">
        <w:tc>
          <w:tcPr>
            <w:tcW w:w="5524" w:type="dxa"/>
            <w:tcBorders>
              <w:top w:val="single" w:sz="4" w:space="0" w:color="000000"/>
              <w:left w:val="single" w:sz="4" w:space="0" w:color="000000"/>
              <w:bottom w:val="single" w:sz="4" w:space="0" w:color="000000"/>
            </w:tcBorders>
            <w:shd w:val="clear" w:color="auto" w:fill="auto"/>
          </w:tcPr>
          <w:p w14:paraId="28E62D1A" w14:textId="5F65BAA0"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del director de la Agencia de Prevención y Lucha contra el Fraude y la Corrupción de la Comunitat Valenciana por la cual se acuerda la publicación del texto íntegro del convenio de colaboración entre la agencia y la Fundación Ciudadana Civio para el desarrollo del proyecto SceMap</w:t>
            </w:r>
          </w:p>
        </w:tc>
        <w:tc>
          <w:tcPr>
            <w:tcW w:w="1134" w:type="dxa"/>
            <w:tcBorders>
              <w:top w:val="single" w:sz="4" w:space="0" w:color="000000"/>
              <w:left w:val="single" w:sz="4" w:space="0" w:color="000000"/>
              <w:bottom w:val="single" w:sz="4" w:space="0" w:color="000000"/>
            </w:tcBorders>
            <w:shd w:val="clear" w:color="auto" w:fill="auto"/>
          </w:tcPr>
          <w:p w14:paraId="215D0FBF"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158 de 21.04.2021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0A31C8F0" w14:textId="77777777" w:rsidR="00C511CF" w:rsidRPr="00C511CF" w:rsidRDefault="00C511CF" w:rsidP="00AA4929">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32F65BA8"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651A2D40" w14:textId="77777777" w:rsidTr="00B158CC">
        <w:tc>
          <w:tcPr>
            <w:tcW w:w="5524" w:type="dxa"/>
            <w:tcBorders>
              <w:top w:val="single" w:sz="4" w:space="0" w:color="000000"/>
              <w:left w:val="single" w:sz="4" w:space="0" w:color="000000"/>
              <w:bottom w:val="single" w:sz="4" w:space="0" w:color="000000"/>
            </w:tcBorders>
            <w:shd w:val="clear" w:color="auto" w:fill="auto"/>
          </w:tcPr>
          <w:p w14:paraId="641A993A" w14:textId="370E3BBC"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w:t>
            </w:r>
            <w:r w:rsidR="0038226A">
              <w:rPr>
                <w:rFonts w:ascii="Arial" w:eastAsia="Calibri" w:hAnsi="Arial" w:cs="Arial"/>
                <w:sz w:val="18"/>
                <w:szCs w:val="18"/>
              </w:rPr>
              <w:t xml:space="preserve">núm. </w:t>
            </w:r>
            <w:r w:rsidRPr="00C511CF">
              <w:rPr>
                <w:rFonts w:ascii="Arial" w:eastAsia="Calibri" w:hAnsi="Arial" w:cs="Arial"/>
                <w:sz w:val="18"/>
                <w:szCs w:val="18"/>
              </w:rPr>
              <w:t>317/2021, de 7 de mayo, del director de la Agencia de Prevención y Lucha contra el Fraude y la Corrupción de la Comunitat Valenciana, por la que se convoca la provisión, por el sistema de libre designación, del puesto de trabajo de naturaleza funcionarial número 9, jefe o jefa del Servicio de Sistemas de Información, y se aprueban las bases que rigen la convocatoria. Convocatoria LD 2/2021</w:t>
            </w:r>
          </w:p>
        </w:tc>
        <w:tc>
          <w:tcPr>
            <w:tcW w:w="1134" w:type="dxa"/>
            <w:tcBorders>
              <w:top w:val="single" w:sz="4" w:space="0" w:color="000000"/>
              <w:left w:val="single" w:sz="4" w:space="0" w:color="000000"/>
              <w:bottom w:val="single" w:sz="4" w:space="0" w:color="000000"/>
            </w:tcBorders>
            <w:shd w:val="clear" w:color="auto" w:fill="auto"/>
          </w:tcPr>
          <w:p w14:paraId="6B754140"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167 de 21.05.2021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0C5525C5"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9084 de 14.05.2021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3996B13C"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116 de 15.05.2021</w:t>
            </w:r>
          </w:p>
        </w:tc>
      </w:tr>
      <w:tr w:rsidR="00B158CC" w:rsidRPr="00C511CF" w14:paraId="7931A225" w14:textId="77777777" w:rsidTr="00B158CC">
        <w:tc>
          <w:tcPr>
            <w:tcW w:w="5524" w:type="dxa"/>
            <w:tcBorders>
              <w:top w:val="single" w:sz="4" w:space="0" w:color="000000"/>
              <w:left w:val="single" w:sz="4" w:space="0" w:color="000000"/>
              <w:bottom w:val="single" w:sz="4" w:space="0" w:color="000000"/>
            </w:tcBorders>
            <w:shd w:val="clear" w:color="auto" w:fill="auto"/>
          </w:tcPr>
          <w:p w14:paraId="3846E404" w14:textId="1514950D"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w:t>
            </w:r>
            <w:r w:rsidR="0038226A">
              <w:rPr>
                <w:rFonts w:ascii="Arial" w:eastAsia="Calibri" w:hAnsi="Arial" w:cs="Arial"/>
                <w:sz w:val="18"/>
                <w:szCs w:val="18"/>
              </w:rPr>
              <w:t xml:space="preserve">núm. </w:t>
            </w:r>
            <w:r w:rsidRPr="00C511CF">
              <w:rPr>
                <w:rFonts w:ascii="Arial" w:eastAsia="Calibri" w:hAnsi="Arial" w:cs="Arial"/>
                <w:sz w:val="18"/>
                <w:szCs w:val="18"/>
              </w:rPr>
              <w:t>318/2021, de 7 de mayo, del director de la Agencia de Prevención y Lucha contra el Fraude y la Corrupción de la Comunitat Valenciana, por la que se convoca la provisión, por el sistema de libre designación, del puesto de trabajo de naturaleza funcionarial número 15, jefe o jefa de la Unidad de Análisis e Investigación II, y se aprueban las bases que rigen la convocatoria. Convocatoria LD 1/2021</w:t>
            </w:r>
          </w:p>
        </w:tc>
        <w:tc>
          <w:tcPr>
            <w:tcW w:w="1134" w:type="dxa"/>
            <w:tcBorders>
              <w:top w:val="single" w:sz="4" w:space="0" w:color="000000"/>
              <w:left w:val="single" w:sz="4" w:space="0" w:color="000000"/>
              <w:bottom w:val="single" w:sz="4" w:space="0" w:color="000000"/>
            </w:tcBorders>
            <w:shd w:val="clear" w:color="auto" w:fill="auto"/>
          </w:tcPr>
          <w:p w14:paraId="12A63949"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167 de 21.05.2021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0DF0521B"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9084 de 14.05.2021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578A8C35"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116 de 15.05.2021</w:t>
            </w:r>
          </w:p>
        </w:tc>
      </w:tr>
      <w:tr w:rsidR="00B158CC" w:rsidRPr="00C511CF" w14:paraId="0923EDA5" w14:textId="77777777" w:rsidTr="00B158CC">
        <w:tc>
          <w:tcPr>
            <w:tcW w:w="5524" w:type="dxa"/>
            <w:tcBorders>
              <w:top w:val="single" w:sz="4" w:space="0" w:color="000000"/>
              <w:left w:val="single" w:sz="4" w:space="0" w:color="000000"/>
              <w:bottom w:val="single" w:sz="4" w:space="0" w:color="000000"/>
            </w:tcBorders>
            <w:shd w:val="clear" w:color="auto" w:fill="auto"/>
          </w:tcPr>
          <w:p w14:paraId="00265DEE" w14:textId="67F99ECD"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núm</w:t>
            </w:r>
            <w:r w:rsidR="0038226A">
              <w:rPr>
                <w:rFonts w:ascii="Arial" w:eastAsia="Calibri" w:hAnsi="Arial" w:cs="Arial"/>
                <w:sz w:val="18"/>
                <w:szCs w:val="18"/>
              </w:rPr>
              <w:t>.</w:t>
            </w:r>
            <w:r w:rsidRPr="00C511CF">
              <w:rPr>
                <w:rFonts w:ascii="Arial" w:eastAsia="Calibri" w:hAnsi="Arial" w:cs="Arial"/>
                <w:sz w:val="18"/>
                <w:szCs w:val="18"/>
              </w:rPr>
              <w:t xml:space="preserve"> 419/2021, de 10 de junio, del director de la Agencia de Prevención y Lucha contra el Fraude y la Corrupción de la Comunitat Valenciana, por la que se provee, por el sistema de libre designación, el puesto de trabajo de naturaleza funcionarial número 15, jefe/a de Unidad de Análisis e Investigación II. (Convocatoria LD 1/2021).</w:t>
            </w:r>
          </w:p>
        </w:tc>
        <w:tc>
          <w:tcPr>
            <w:tcW w:w="1134" w:type="dxa"/>
            <w:tcBorders>
              <w:top w:val="single" w:sz="4" w:space="0" w:color="000000"/>
              <w:left w:val="single" w:sz="4" w:space="0" w:color="000000"/>
              <w:bottom w:val="single" w:sz="4" w:space="0" w:color="000000"/>
            </w:tcBorders>
            <w:shd w:val="clear" w:color="auto" w:fill="auto"/>
          </w:tcPr>
          <w:p w14:paraId="5AEE29EF"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176 de 23.06.2021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7DCB91AF"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9107 de 15.06.2021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05A0E954"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0E9609D7" w14:textId="77777777" w:rsidTr="00B158CC">
        <w:tc>
          <w:tcPr>
            <w:tcW w:w="5524" w:type="dxa"/>
            <w:tcBorders>
              <w:top w:val="single" w:sz="4" w:space="0" w:color="000000"/>
              <w:left w:val="single" w:sz="4" w:space="0" w:color="000000"/>
              <w:bottom w:val="single" w:sz="4" w:space="0" w:color="000000"/>
            </w:tcBorders>
            <w:shd w:val="clear" w:color="auto" w:fill="auto"/>
          </w:tcPr>
          <w:p w14:paraId="42609A46" w14:textId="0857307C"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w:t>
            </w:r>
            <w:r w:rsidR="0038226A">
              <w:rPr>
                <w:rFonts w:ascii="Arial" w:eastAsia="Calibri" w:hAnsi="Arial" w:cs="Arial"/>
                <w:sz w:val="18"/>
                <w:szCs w:val="18"/>
              </w:rPr>
              <w:t xml:space="preserve">núm. </w:t>
            </w:r>
            <w:r w:rsidRPr="00C511CF">
              <w:rPr>
                <w:rFonts w:ascii="Arial" w:eastAsia="Calibri" w:hAnsi="Arial" w:cs="Arial"/>
                <w:sz w:val="18"/>
                <w:szCs w:val="18"/>
              </w:rPr>
              <w:t>522/2021, de 8 de julio, del director de la Agencia de Prevención y Lucha contra el Fraude y la Corrupción de la Comunitat Valenciana por la cual se provee, por el sistema de libre designación, el puesto de trabajo vacante de naturaleza funcionarial número 9, jefe o jefa del Servicio de Sistemas de Información (convocatoria LD 2/2021)</w:t>
            </w:r>
          </w:p>
        </w:tc>
        <w:tc>
          <w:tcPr>
            <w:tcW w:w="1134" w:type="dxa"/>
            <w:tcBorders>
              <w:top w:val="single" w:sz="4" w:space="0" w:color="000000"/>
              <w:left w:val="single" w:sz="4" w:space="0" w:color="000000"/>
              <w:bottom w:val="single" w:sz="4" w:space="0" w:color="000000"/>
            </w:tcBorders>
            <w:shd w:val="clear" w:color="auto" w:fill="auto"/>
          </w:tcPr>
          <w:p w14:paraId="0F0B4646"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183 de 23.07.2021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3E93B2E9"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9139 de 30.07.2021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4343796C"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6F6F28E7" w14:textId="77777777" w:rsidTr="00B158CC">
        <w:tc>
          <w:tcPr>
            <w:tcW w:w="5524" w:type="dxa"/>
            <w:tcBorders>
              <w:top w:val="single" w:sz="4" w:space="0" w:color="000000"/>
              <w:left w:val="single" w:sz="4" w:space="0" w:color="000000"/>
              <w:bottom w:val="single" w:sz="4" w:space="0" w:color="000000"/>
            </w:tcBorders>
            <w:shd w:val="clear" w:color="auto" w:fill="auto"/>
          </w:tcPr>
          <w:p w14:paraId="2D043C46" w14:textId="41CE2EB2"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núm</w:t>
            </w:r>
            <w:r w:rsidR="0038226A">
              <w:rPr>
                <w:rFonts w:ascii="Arial" w:eastAsia="Calibri" w:hAnsi="Arial" w:cs="Arial"/>
                <w:sz w:val="18"/>
                <w:szCs w:val="18"/>
              </w:rPr>
              <w:t>.</w:t>
            </w:r>
            <w:r w:rsidRPr="00C511CF">
              <w:rPr>
                <w:rFonts w:ascii="Arial" w:eastAsia="Calibri" w:hAnsi="Arial" w:cs="Arial"/>
                <w:sz w:val="18"/>
                <w:szCs w:val="18"/>
              </w:rPr>
              <w:t xml:space="preserve"> 530, de 15 de julio, del director de la Agencia de Prevención y Lucha contra el Fraude y la Corrupción de la Comunitat Valenciana, por la cual se acuerda la publicación del texto íntegro del Convenio marco entre la Universitat Politècnica de València y la Agencia de Prevención y Lucha contra el Fraude y la Corrupción de la Comunitat Valenciana para la colaboración cultural, educativa y científica</w:t>
            </w:r>
          </w:p>
        </w:tc>
        <w:tc>
          <w:tcPr>
            <w:tcW w:w="1134" w:type="dxa"/>
            <w:tcBorders>
              <w:top w:val="single" w:sz="4" w:space="0" w:color="000000"/>
              <w:left w:val="single" w:sz="4" w:space="0" w:color="000000"/>
              <w:bottom w:val="single" w:sz="4" w:space="0" w:color="000000"/>
            </w:tcBorders>
            <w:shd w:val="clear" w:color="auto" w:fill="auto"/>
          </w:tcPr>
          <w:p w14:paraId="168901A1"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183 de 23.07.2021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211039CF" w14:textId="77777777" w:rsidR="00C511CF" w:rsidRPr="00C511CF" w:rsidRDefault="00C511CF" w:rsidP="00AA4929">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06867625"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39B87FBE" w14:textId="77777777" w:rsidTr="00B158CC">
        <w:tc>
          <w:tcPr>
            <w:tcW w:w="5524" w:type="dxa"/>
            <w:tcBorders>
              <w:top w:val="single" w:sz="4" w:space="0" w:color="000000"/>
              <w:left w:val="single" w:sz="4" w:space="0" w:color="000000"/>
              <w:bottom w:val="single" w:sz="4" w:space="0" w:color="000000"/>
            </w:tcBorders>
            <w:shd w:val="clear" w:color="auto" w:fill="auto"/>
          </w:tcPr>
          <w:p w14:paraId="1681205B" w14:textId="701D4F51"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núm</w:t>
            </w:r>
            <w:r w:rsidR="0038226A">
              <w:rPr>
                <w:rFonts w:ascii="Arial" w:eastAsia="Calibri" w:hAnsi="Arial" w:cs="Arial"/>
                <w:sz w:val="18"/>
                <w:szCs w:val="18"/>
              </w:rPr>
              <w:t>.</w:t>
            </w:r>
            <w:r w:rsidRPr="00C511CF">
              <w:rPr>
                <w:rFonts w:ascii="Arial" w:eastAsia="Calibri" w:hAnsi="Arial" w:cs="Arial"/>
                <w:sz w:val="18"/>
                <w:szCs w:val="18"/>
              </w:rPr>
              <w:t xml:space="preserve"> 565/2021, de 29 de julio, del director de la Agencia de Prevención y Lucha contra el Fraude y la Corrupción de la Comunitat Valenciana por la que se aprueban las bases generales para la provisión de los puestos de trabajo de la Agencia de Prevención y Lucha contra el Fraude y la Corrupción de la Comunitat Valenciana, cuyo sistema de provisión es el concurso específico y baremo de méritos</w:t>
            </w:r>
          </w:p>
        </w:tc>
        <w:tc>
          <w:tcPr>
            <w:tcW w:w="1134" w:type="dxa"/>
            <w:tcBorders>
              <w:top w:val="single" w:sz="4" w:space="0" w:color="000000"/>
              <w:left w:val="single" w:sz="4" w:space="0" w:color="000000"/>
              <w:bottom w:val="single" w:sz="4" w:space="0" w:color="000000"/>
            </w:tcBorders>
            <w:shd w:val="clear" w:color="auto" w:fill="auto"/>
          </w:tcPr>
          <w:p w14:paraId="72C2EF0A"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185 de 22.09.2021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3B594460"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9147 de 10.08.2021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6AA0E686"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592C251C" w14:textId="77777777" w:rsidTr="00B158CC">
        <w:tc>
          <w:tcPr>
            <w:tcW w:w="5524" w:type="dxa"/>
            <w:tcBorders>
              <w:top w:val="single" w:sz="4" w:space="0" w:color="000000"/>
              <w:left w:val="single" w:sz="4" w:space="0" w:color="000000"/>
              <w:bottom w:val="single" w:sz="4" w:space="0" w:color="000000"/>
            </w:tcBorders>
            <w:shd w:val="clear" w:color="auto" w:fill="auto"/>
          </w:tcPr>
          <w:p w14:paraId="7609666D" w14:textId="77777777"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ANUNCIO</w:t>
            </w:r>
            <w:r w:rsidRPr="00C511CF">
              <w:rPr>
                <w:rFonts w:ascii="Arial" w:eastAsia="Calibri" w:hAnsi="Arial" w:cs="Arial"/>
                <w:sz w:val="18"/>
                <w:szCs w:val="18"/>
              </w:rPr>
              <w:t xml:space="preserve"> del director de la Agencia de Prevención y Lucha contra el Fraude y la Corrupción de la Comunitat Valenciana relativo a la modificación puntual de las bases generales para la provisión de los puestos de trabajo de la agencia cuyo sistema de provisión es el concurso específico</w:t>
            </w:r>
          </w:p>
        </w:tc>
        <w:tc>
          <w:tcPr>
            <w:tcW w:w="1134" w:type="dxa"/>
            <w:tcBorders>
              <w:top w:val="single" w:sz="4" w:space="0" w:color="000000"/>
              <w:left w:val="single" w:sz="4" w:space="0" w:color="000000"/>
              <w:bottom w:val="single" w:sz="4" w:space="0" w:color="000000"/>
            </w:tcBorders>
            <w:shd w:val="clear" w:color="auto" w:fill="auto"/>
          </w:tcPr>
          <w:p w14:paraId="61AB4B99"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202 de 08.11.2021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03800AEC"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9207 de 03.11.2021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622FA725"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3F188FA7" w14:textId="77777777" w:rsidTr="00B158CC">
        <w:tc>
          <w:tcPr>
            <w:tcW w:w="5524" w:type="dxa"/>
            <w:tcBorders>
              <w:top w:val="single" w:sz="4" w:space="0" w:color="000000"/>
              <w:left w:val="single" w:sz="4" w:space="0" w:color="000000"/>
              <w:bottom w:val="single" w:sz="4" w:space="0" w:color="000000"/>
            </w:tcBorders>
            <w:shd w:val="clear" w:color="auto" w:fill="auto"/>
          </w:tcPr>
          <w:p w14:paraId="0D9887E1" w14:textId="2EC2A1CF"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núm</w:t>
            </w:r>
            <w:r w:rsidR="0038226A">
              <w:rPr>
                <w:rFonts w:ascii="Arial" w:eastAsia="Calibri" w:hAnsi="Arial" w:cs="Arial"/>
                <w:sz w:val="18"/>
                <w:szCs w:val="18"/>
              </w:rPr>
              <w:t>.</w:t>
            </w:r>
            <w:r w:rsidRPr="00C511CF">
              <w:rPr>
                <w:rFonts w:ascii="Arial" w:eastAsia="Calibri" w:hAnsi="Arial" w:cs="Arial"/>
                <w:sz w:val="18"/>
                <w:szCs w:val="18"/>
              </w:rPr>
              <w:t xml:space="preserve"> 736, de 21 de octubre de 2021, del director de la Agencia de Prevención y Lucha contra el Fraude y la Corrupción de la Comunitat Valenciana, por la que se acuerda la publicación del texto íntegro del Convenio de colaboración académica, científica y cultural entre la Agencia de Prevención y Lucha contra el Fraude y la Corrupción de la Comunitat Valenciana y la Universidad de Salamanca</w:t>
            </w:r>
          </w:p>
        </w:tc>
        <w:tc>
          <w:tcPr>
            <w:tcW w:w="1134" w:type="dxa"/>
            <w:tcBorders>
              <w:top w:val="single" w:sz="4" w:space="0" w:color="000000"/>
              <w:left w:val="single" w:sz="4" w:space="0" w:color="000000"/>
              <w:bottom w:val="single" w:sz="4" w:space="0" w:color="000000"/>
            </w:tcBorders>
            <w:shd w:val="clear" w:color="auto" w:fill="auto"/>
          </w:tcPr>
          <w:p w14:paraId="2FA17B03"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202 de 08.11.2021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60F8E560" w14:textId="77777777" w:rsidR="00C511CF" w:rsidRPr="00C511CF" w:rsidRDefault="00C511CF" w:rsidP="00AA4929">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4784720F"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77AFD7F1" w14:textId="77777777" w:rsidTr="00B158CC">
        <w:tc>
          <w:tcPr>
            <w:tcW w:w="5524" w:type="dxa"/>
            <w:tcBorders>
              <w:top w:val="single" w:sz="4" w:space="0" w:color="000000"/>
              <w:left w:val="single" w:sz="4" w:space="0" w:color="000000"/>
              <w:bottom w:val="single" w:sz="4" w:space="0" w:color="000000"/>
            </w:tcBorders>
            <w:shd w:val="clear" w:color="auto" w:fill="auto"/>
          </w:tcPr>
          <w:p w14:paraId="2C4BCA38" w14:textId="48C77846"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w:t>
            </w:r>
            <w:r w:rsidR="0038226A">
              <w:rPr>
                <w:rFonts w:ascii="Arial" w:eastAsia="Calibri" w:hAnsi="Arial" w:cs="Arial"/>
                <w:sz w:val="18"/>
                <w:szCs w:val="18"/>
              </w:rPr>
              <w:t xml:space="preserve">núm. </w:t>
            </w:r>
            <w:r w:rsidRPr="00C511CF">
              <w:rPr>
                <w:rFonts w:ascii="Arial" w:eastAsia="Calibri" w:hAnsi="Arial" w:cs="Arial"/>
                <w:sz w:val="18"/>
                <w:szCs w:val="18"/>
              </w:rPr>
              <w:t>771/2021, de 2 de noviembre, del director de la Agencia de Prevención y Lucha contra el Fraude y la Corrupción de la Comunitat Valenciana por la cual se convoca la provisión, por el sistema de libre designación, del puesto de trabajo de naturaleza funcionarial número 19, jefe de Unidad de Producción y Explotación de los Sistemas Informáticos, y se aprueban las bases que rigen la convocatoria. Convocatoria LD 3/2021</w:t>
            </w:r>
          </w:p>
        </w:tc>
        <w:tc>
          <w:tcPr>
            <w:tcW w:w="1134" w:type="dxa"/>
            <w:tcBorders>
              <w:top w:val="single" w:sz="4" w:space="0" w:color="000000"/>
              <w:left w:val="single" w:sz="4" w:space="0" w:color="000000"/>
              <w:bottom w:val="single" w:sz="4" w:space="0" w:color="000000"/>
            </w:tcBorders>
            <w:shd w:val="clear" w:color="auto" w:fill="auto"/>
          </w:tcPr>
          <w:p w14:paraId="729983EF"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205 de 17.11.2021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06674D81"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9216 de 16.11.2021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44151412"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1EBF904D" w14:textId="77777777" w:rsidTr="00B158CC">
        <w:tc>
          <w:tcPr>
            <w:tcW w:w="5524" w:type="dxa"/>
            <w:tcBorders>
              <w:top w:val="single" w:sz="4" w:space="0" w:color="000000"/>
              <w:left w:val="single" w:sz="4" w:space="0" w:color="000000"/>
              <w:bottom w:val="single" w:sz="4" w:space="0" w:color="000000"/>
            </w:tcBorders>
            <w:shd w:val="clear" w:color="auto" w:fill="auto"/>
          </w:tcPr>
          <w:p w14:paraId="2FFC3DD9" w14:textId="560D863C"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ANUNCIO</w:t>
            </w:r>
            <w:r w:rsidRPr="00C511CF">
              <w:rPr>
                <w:rFonts w:ascii="Arial" w:eastAsia="Calibri" w:hAnsi="Arial" w:cs="Arial"/>
                <w:sz w:val="18"/>
                <w:szCs w:val="18"/>
              </w:rPr>
              <w:t xml:space="preserve"> por el que se publica la Resolución núm</w:t>
            </w:r>
            <w:r w:rsidR="00E069EF">
              <w:rPr>
                <w:rFonts w:ascii="Arial" w:eastAsia="Calibri" w:hAnsi="Arial" w:cs="Arial"/>
                <w:sz w:val="18"/>
                <w:szCs w:val="18"/>
              </w:rPr>
              <w:t>.</w:t>
            </w:r>
            <w:r w:rsidRPr="00C511CF">
              <w:rPr>
                <w:rFonts w:ascii="Arial" w:eastAsia="Calibri" w:hAnsi="Arial" w:cs="Arial"/>
                <w:sz w:val="18"/>
                <w:szCs w:val="18"/>
              </w:rPr>
              <w:t xml:space="preserve"> 717/2021, de 15 de octubre de 2021, del director de la Agencia de Prevención y Lucha contra el Fraude y la Corrupción de la Comunitat Valenciana, por la que se aprueba el proyecto de presupuestos generales de la Agencia para el año 2022 y la adenda aprobada mediante la Resolución núm</w:t>
            </w:r>
            <w:r w:rsidR="0038226A">
              <w:rPr>
                <w:rFonts w:ascii="Arial" w:eastAsia="Calibri" w:hAnsi="Arial" w:cs="Arial"/>
                <w:sz w:val="18"/>
                <w:szCs w:val="18"/>
              </w:rPr>
              <w:t>.</w:t>
            </w:r>
            <w:r w:rsidRPr="00C511CF">
              <w:rPr>
                <w:rFonts w:ascii="Arial" w:eastAsia="Calibri" w:hAnsi="Arial" w:cs="Arial"/>
                <w:sz w:val="18"/>
                <w:szCs w:val="18"/>
              </w:rPr>
              <w:t xml:space="preserve"> 729/2021, de 19 de octubre, del director</w:t>
            </w:r>
          </w:p>
        </w:tc>
        <w:tc>
          <w:tcPr>
            <w:tcW w:w="1134" w:type="dxa"/>
            <w:tcBorders>
              <w:top w:val="single" w:sz="4" w:space="0" w:color="000000"/>
              <w:left w:val="single" w:sz="4" w:space="0" w:color="000000"/>
              <w:bottom w:val="single" w:sz="4" w:space="0" w:color="000000"/>
            </w:tcBorders>
            <w:shd w:val="clear" w:color="auto" w:fill="auto"/>
          </w:tcPr>
          <w:p w14:paraId="7ADD8D10"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206 de 19.11.2021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207999D9" w14:textId="77777777" w:rsidR="00C511CF" w:rsidRPr="00C511CF" w:rsidRDefault="00C511CF" w:rsidP="00AA4929">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740FD732"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7A2E0815" w14:textId="77777777" w:rsidTr="00B158CC">
        <w:tc>
          <w:tcPr>
            <w:tcW w:w="5524" w:type="dxa"/>
            <w:tcBorders>
              <w:top w:val="single" w:sz="4" w:space="0" w:color="000000"/>
              <w:left w:val="single" w:sz="4" w:space="0" w:color="000000"/>
              <w:bottom w:val="single" w:sz="4" w:space="0" w:color="000000"/>
            </w:tcBorders>
            <w:shd w:val="clear" w:color="auto" w:fill="auto"/>
          </w:tcPr>
          <w:p w14:paraId="360FAC9F" w14:textId="4F78B467"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w:t>
            </w:r>
            <w:r w:rsidR="0038226A">
              <w:rPr>
                <w:rFonts w:ascii="Arial" w:eastAsia="Calibri" w:hAnsi="Arial" w:cs="Arial"/>
                <w:sz w:val="18"/>
                <w:szCs w:val="18"/>
              </w:rPr>
              <w:t xml:space="preserve">núm. </w:t>
            </w:r>
            <w:r w:rsidRPr="00C511CF">
              <w:rPr>
                <w:rFonts w:ascii="Arial" w:eastAsia="Calibri" w:hAnsi="Arial" w:cs="Arial"/>
                <w:sz w:val="18"/>
                <w:szCs w:val="18"/>
              </w:rPr>
              <w:t>772/2021, de 2 de noviembre, del director de la Agencia de Prevención y Lucha contra el Fraude y la Corrupción de la Comunitat Valenciana por la cual se convoca la provisión, por el sistema de libre designación, del puesto de trabajo de naturaleza funcionarial número 13, jefe de Unidad de Gestión Económica, y se aprueban las bases que rigen la convocatoria. Convocatoria LD 4/2021</w:t>
            </w:r>
          </w:p>
        </w:tc>
        <w:tc>
          <w:tcPr>
            <w:tcW w:w="1134" w:type="dxa"/>
            <w:tcBorders>
              <w:top w:val="single" w:sz="4" w:space="0" w:color="000000"/>
              <w:left w:val="single" w:sz="4" w:space="0" w:color="000000"/>
              <w:bottom w:val="single" w:sz="4" w:space="0" w:color="000000"/>
            </w:tcBorders>
            <w:shd w:val="clear" w:color="auto" w:fill="auto"/>
          </w:tcPr>
          <w:p w14:paraId="125E10A7"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207 de 24.11.2021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3DB195AF" w14:textId="4DC98BDB" w:rsidR="00C511CF" w:rsidRPr="00C511CF" w:rsidRDefault="00172A5B"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w:t>
            </w:r>
            <w:r w:rsidR="00C511CF" w:rsidRPr="00C511CF">
              <w:rPr>
                <w:rFonts w:ascii="Arial" w:eastAsia="Calibri" w:hAnsi="Arial" w:cs="Arial"/>
                <w:sz w:val="18"/>
                <w:szCs w:val="18"/>
              </w:rPr>
              <w:t xml:space="preserve"> 9220 de 22.11.2021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60C82B32"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60A89401" w14:textId="77777777" w:rsidTr="00B158CC">
        <w:tc>
          <w:tcPr>
            <w:tcW w:w="5524" w:type="dxa"/>
            <w:tcBorders>
              <w:top w:val="single" w:sz="4" w:space="0" w:color="000000"/>
              <w:left w:val="single" w:sz="4" w:space="0" w:color="000000"/>
              <w:bottom w:val="single" w:sz="4" w:space="0" w:color="000000"/>
            </w:tcBorders>
            <w:shd w:val="clear" w:color="auto" w:fill="auto"/>
          </w:tcPr>
          <w:p w14:paraId="52F9158C" w14:textId="1D02270E"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w:t>
            </w:r>
            <w:r w:rsidR="0038226A">
              <w:rPr>
                <w:rFonts w:ascii="Arial" w:eastAsia="Calibri" w:hAnsi="Arial" w:cs="Arial"/>
                <w:sz w:val="18"/>
                <w:szCs w:val="18"/>
              </w:rPr>
              <w:t xml:space="preserve">núm. </w:t>
            </w:r>
            <w:r w:rsidRPr="00C511CF">
              <w:rPr>
                <w:rFonts w:ascii="Arial" w:eastAsia="Calibri" w:hAnsi="Arial" w:cs="Arial"/>
                <w:sz w:val="18"/>
                <w:szCs w:val="18"/>
              </w:rPr>
              <w:t>854/2021, de 25 de noviembre, del director de la Agencia de Prevención y Lucha contra el Fraude y la Corrupción de la Comunitat Valenciana por la cual se acuerda la publicación del texto íntegro del protocolo de colaboración funcional entre la Agencia de Prevención y Lucha contra el Fraude y la Corrupción de la Comunitat Valenciana y el Ayuntamiento de València</w:t>
            </w:r>
          </w:p>
        </w:tc>
        <w:tc>
          <w:tcPr>
            <w:tcW w:w="1134" w:type="dxa"/>
            <w:tcBorders>
              <w:top w:val="single" w:sz="4" w:space="0" w:color="000000"/>
              <w:left w:val="single" w:sz="4" w:space="0" w:color="000000"/>
              <w:bottom w:val="single" w:sz="4" w:space="0" w:color="000000"/>
            </w:tcBorders>
            <w:shd w:val="clear" w:color="auto" w:fill="auto"/>
          </w:tcPr>
          <w:p w14:paraId="38BC88E1"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210 de 03.12.2021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33DC0498" w14:textId="77777777" w:rsidR="00C511CF" w:rsidRPr="00C511CF" w:rsidRDefault="00C511CF" w:rsidP="00AA4929">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1AA9016E"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15009E3F" w14:textId="77777777" w:rsidTr="00B158CC">
        <w:tc>
          <w:tcPr>
            <w:tcW w:w="5524" w:type="dxa"/>
            <w:tcBorders>
              <w:top w:val="single" w:sz="4" w:space="0" w:color="000000"/>
              <w:left w:val="single" w:sz="4" w:space="0" w:color="000000"/>
              <w:bottom w:val="single" w:sz="4" w:space="0" w:color="000000"/>
            </w:tcBorders>
            <w:shd w:val="clear" w:color="auto" w:fill="auto"/>
          </w:tcPr>
          <w:p w14:paraId="3E42C94C" w14:textId="0970F9D1"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w:t>
            </w:r>
            <w:r w:rsidR="0038226A">
              <w:rPr>
                <w:rFonts w:ascii="Arial" w:eastAsia="Calibri" w:hAnsi="Arial" w:cs="Arial"/>
                <w:sz w:val="18"/>
                <w:szCs w:val="18"/>
              </w:rPr>
              <w:t xml:space="preserve">núm. </w:t>
            </w:r>
            <w:r w:rsidRPr="00C511CF">
              <w:rPr>
                <w:rFonts w:ascii="Arial" w:eastAsia="Calibri" w:hAnsi="Arial" w:cs="Arial"/>
                <w:sz w:val="18"/>
                <w:szCs w:val="18"/>
              </w:rPr>
              <w:t>786/2021, de 8 de noviembre, del director de la Agencia de Prevención y Lucha contra el Fraude y la Corrupción de la Comunitat Valenciana, por la que se convoca la provisión, por el sistema de libre designación, del puesto de trabajo de naturaleza funcionarial número 2, jefe o jefa del Área de Administración, Recursos Humanos y Gestión Económica, y se aprueban las bases que rigen la convocatoria. Convocatoria LD 5/2021</w:t>
            </w:r>
          </w:p>
        </w:tc>
        <w:tc>
          <w:tcPr>
            <w:tcW w:w="1134" w:type="dxa"/>
            <w:tcBorders>
              <w:top w:val="single" w:sz="4" w:space="0" w:color="000000"/>
              <w:left w:val="single" w:sz="4" w:space="0" w:color="000000"/>
              <w:bottom w:val="single" w:sz="4" w:space="0" w:color="000000"/>
            </w:tcBorders>
            <w:shd w:val="clear" w:color="auto" w:fill="auto"/>
          </w:tcPr>
          <w:p w14:paraId="233147C5"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214 de 23.12.2021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349B1E45" w14:textId="77777777" w:rsidR="00C511CF" w:rsidRPr="00C511CF" w:rsidRDefault="00C511CF" w:rsidP="00AA4929">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3DE4FE68"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68D55278" w14:textId="77777777" w:rsidTr="00B158CC">
        <w:tc>
          <w:tcPr>
            <w:tcW w:w="5524" w:type="dxa"/>
            <w:tcBorders>
              <w:top w:val="single" w:sz="4" w:space="0" w:color="000000"/>
              <w:left w:val="single" w:sz="4" w:space="0" w:color="000000"/>
              <w:bottom w:val="single" w:sz="4" w:space="0" w:color="000000"/>
            </w:tcBorders>
            <w:shd w:val="clear" w:color="auto" w:fill="auto"/>
          </w:tcPr>
          <w:p w14:paraId="53C38EC8" w14:textId="1C1194D8"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w:t>
            </w:r>
            <w:r w:rsidR="0038226A">
              <w:rPr>
                <w:rFonts w:ascii="Arial" w:eastAsia="Calibri" w:hAnsi="Arial" w:cs="Arial"/>
                <w:sz w:val="18"/>
                <w:szCs w:val="18"/>
              </w:rPr>
              <w:t xml:space="preserve">núm. </w:t>
            </w:r>
            <w:r w:rsidRPr="00C511CF">
              <w:rPr>
                <w:rFonts w:ascii="Arial" w:eastAsia="Calibri" w:hAnsi="Arial" w:cs="Arial"/>
                <w:sz w:val="18"/>
                <w:szCs w:val="18"/>
              </w:rPr>
              <w:t>863/2021, de 30 de noviembre, del director de la Agencia de Prevención y Lucha contra el Fraude y la Corrupción de la Comunitat Valenciana, por la cual se convoca un concurso específico para la provisión del puesto de trabajo número 23, técnico o técnica superior de gestión administrativa, y se aprueban las bases que rigen la convocatoria</w:t>
            </w:r>
          </w:p>
        </w:tc>
        <w:tc>
          <w:tcPr>
            <w:tcW w:w="1134" w:type="dxa"/>
            <w:tcBorders>
              <w:top w:val="single" w:sz="4" w:space="0" w:color="000000"/>
              <w:left w:val="single" w:sz="4" w:space="0" w:color="000000"/>
              <w:bottom w:val="single" w:sz="4" w:space="0" w:color="000000"/>
            </w:tcBorders>
            <w:shd w:val="clear" w:color="auto" w:fill="auto"/>
          </w:tcPr>
          <w:p w14:paraId="10497BD4"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214 de 23.12.2021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6E204071" w14:textId="77777777" w:rsidR="00C511CF" w:rsidRPr="00C511CF" w:rsidRDefault="00C511CF" w:rsidP="00AA4929">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66551361"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278D7F1E" w14:textId="77777777" w:rsidTr="00B158CC">
        <w:tc>
          <w:tcPr>
            <w:tcW w:w="5524" w:type="dxa"/>
            <w:tcBorders>
              <w:top w:val="single" w:sz="4" w:space="0" w:color="000000"/>
              <w:left w:val="single" w:sz="4" w:space="0" w:color="000000"/>
              <w:bottom w:val="single" w:sz="4" w:space="0" w:color="000000"/>
            </w:tcBorders>
            <w:shd w:val="clear" w:color="auto" w:fill="auto"/>
          </w:tcPr>
          <w:p w14:paraId="5AC9A474" w14:textId="3F2089C1"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w:t>
            </w:r>
            <w:r w:rsidR="0038226A">
              <w:rPr>
                <w:rFonts w:ascii="Arial" w:eastAsia="Calibri" w:hAnsi="Arial" w:cs="Arial"/>
                <w:sz w:val="18"/>
                <w:szCs w:val="18"/>
              </w:rPr>
              <w:t xml:space="preserve">núm. </w:t>
            </w:r>
            <w:r w:rsidRPr="00C511CF">
              <w:rPr>
                <w:rFonts w:ascii="Arial" w:eastAsia="Calibri" w:hAnsi="Arial" w:cs="Arial"/>
                <w:sz w:val="18"/>
                <w:szCs w:val="18"/>
              </w:rPr>
              <w:t>875/2021, de 3 de diciembre, del director de la Agencia de Prevención y Lucha contra el Fraude y la Corrupción de la Comunitat Valenciana, por la que se acuerda la publicación del texto íntegro del Protocolo de colaboración funcional entre la Agencia de Prevención y Lucha contra el Fraude y la Corrupción de la Comunitat Valenciana y la Diputación Provincial de Castellón</w:t>
            </w:r>
          </w:p>
        </w:tc>
        <w:tc>
          <w:tcPr>
            <w:tcW w:w="1134" w:type="dxa"/>
            <w:tcBorders>
              <w:top w:val="single" w:sz="4" w:space="0" w:color="000000"/>
              <w:left w:val="single" w:sz="4" w:space="0" w:color="000000"/>
              <w:bottom w:val="single" w:sz="4" w:space="0" w:color="000000"/>
            </w:tcBorders>
            <w:shd w:val="clear" w:color="auto" w:fill="auto"/>
          </w:tcPr>
          <w:p w14:paraId="04B6CE56"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214 de 23.12.2021</w:t>
            </w:r>
          </w:p>
        </w:tc>
        <w:tc>
          <w:tcPr>
            <w:tcW w:w="1143" w:type="dxa"/>
            <w:tcBorders>
              <w:top w:val="single" w:sz="4" w:space="0" w:color="000000"/>
              <w:left w:val="single" w:sz="4" w:space="0" w:color="000000"/>
              <w:bottom w:val="single" w:sz="4" w:space="0" w:color="000000"/>
              <w:right w:val="single" w:sz="4" w:space="0" w:color="000000"/>
            </w:tcBorders>
            <w:shd w:val="clear" w:color="auto" w:fill="auto"/>
          </w:tcPr>
          <w:p w14:paraId="741664B3" w14:textId="77777777" w:rsidR="00C511CF" w:rsidRPr="00C511CF" w:rsidRDefault="00C511CF" w:rsidP="00AA4929">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000000"/>
              <w:right w:val="single" w:sz="4" w:space="0" w:color="000000"/>
            </w:tcBorders>
            <w:shd w:val="clear" w:color="auto" w:fill="auto"/>
          </w:tcPr>
          <w:p w14:paraId="1A220E5B" w14:textId="77777777" w:rsidR="00C511CF" w:rsidRPr="00C511CF" w:rsidRDefault="00C511CF" w:rsidP="00AA4929">
            <w:pPr>
              <w:spacing w:after="0" w:line="276" w:lineRule="auto"/>
              <w:jc w:val="center"/>
              <w:rPr>
                <w:rFonts w:ascii="Arial" w:eastAsia="Calibri" w:hAnsi="Arial" w:cs="Arial"/>
                <w:sz w:val="18"/>
                <w:szCs w:val="18"/>
              </w:rPr>
            </w:pPr>
          </w:p>
        </w:tc>
      </w:tr>
      <w:tr w:rsidR="00B158CC" w:rsidRPr="00C511CF" w14:paraId="76734686" w14:textId="77777777" w:rsidTr="00B158CC">
        <w:tc>
          <w:tcPr>
            <w:tcW w:w="5524" w:type="dxa"/>
            <w:tcBorders>
              <w:top w:val="single" w:sz="4" w:space="0" w:color="000000"/>
              <w:left w:val="single" w:sz="4" w:space="0" w:color="000000"/>
              <w:bottom w:val="single" w:sz="4" w:space="0" w:color="auto"/>
            </w:tcBorders>
            <w:shd w:val="clear" w:color="auto" w:fill="auto"/>
          </w:tcPr>
          <w:p w14:paraId="7A52755E" w14:textId="67410B15" w:rsidR="00C511CF" w:rsidRPr="00C511CF" w:rsidRDefault="00C511CF" w:rsidP="00AA4929">
            <w:pPr>
              <w:spacing w:after="0" w:line="276" w:lineRule="auto"/>
              <w:jc w:val="both"/>
              <w:rPr>
                <w:rFonts w:ascii="Arial" w:eastAsia="Calibri" w:hAnsi="Arial" w:cs="Arial"/>
                <w:sz w:val="18"/>
                <w:szCs w:val="18"/>
              </w:rPr>
            </w:pPr>
            <w:r w:rsidRPr="00C511CF">
              <w:rPr>
                <w:rFonts w:ascii="Arial" w:eastAsia="Calibri" w:hAnsi="Arial" w:cs="Arial"/>
                <w:b/>
                <w:sz w:val="18"/>
                <w:szCs w:val="18"/>
              </w:rPr>
              <w:t>RESOLUCIÓN</w:t>
            </w:r>
            <w:r w:rsidRPr="00C511CF">
              <w:rPr>
                <w:rFonts w:ascii="Arial" w:eastAsia="Calibri" w:hAnsi="Arial" w:cs="Arial"/>
                <w:sz w:val="18"/>
                <w:szCs w:val="18"/>
              </w:rPr>
              <w:t xml:space="preserve"> núm</w:t>
            </w:r>
            <w:r w:rsidR="0038226A">
              <w:rPr>
                <w:rFonts w:ascii="Arial" w:eastAsia="Calibri" w:hAnsi="Arial" w:cs="Arial"/>
                <w:sz w:val="18"/>
                <w:szCs w:val="18"/>
              </w:rPr>
              <w:t>.</w:t>
            </w:r>
            <w:r w:rsidRPr="00C511CF">
              <w:rPr>
                <w:rFonts w:ascii="Arial" w:eastAsia="Calibri" w:hAnsi="Arial" w:cs="Arial"/>
                <w:sz w:val="18"/>
                <w:szCs w:val="18"/>
              </w:rPr>
              <w:t xml:space="preserve"> 917/2021, de 16 de diciembre, del director de la Agencia de Prevención y Lucha contra el Fraude y la Corrupción de la Comunitat Valenciana, por la que se aprueba una modificación puntual del reglamento de funcionamiento y régimen interior referida a la organización interna de esta agencia</w:t>
            </w:r>
          </w:p>
        </w:tc>
        <w:tc>
          <w:tcPr>
            <w:tcW w:w="1134" w:type="dxa"/>
            <w:tcBorders>
              <w:top w:val="single" w:sz="4" w:space="0" w:color="000000"/>
              <w:left w:val="single" w:sz="4" w:space="0" w:color="000000"/>
              <w:bottom w:val="single" w:sz="4" w:space="0" w:color="auto"/>
            </w:tcBorders>
            <w:shd w:val="clear" w:color="auto" w:fill="auto"/>
          </w:tcPr>
          <w:p w14:paraId="486D7E53" w14:textId="77777777" w:rsidR="00C511CF" w:rsidRPr="00C511CF" w:rsidRDefault="00C511CF" w:rsidP="00AA4929">
            <w:pPr>
              <w:spacing w:after="0" w:line="276" w:lineRule="auto"/>
              <w:jc w:val="center"/>
              <w:rPr>
                <w:rFonts w:ascii="Arial" w:eastAsia="Calibri" w:hAnsi="Arial" w:cs="Arial"/>
                <w:sz w:val="18"/>
                <w:szCs w:val="18"/>
              </w:rPr>
            </w:pPr>
            <w:r w:rsidRPr="00C511CF">
              <w:rPr>
                <w:rFonts w:ascii="Arial" w:eastAsia="Calibri" w:hAnsi="Arial" w:cs="Arial"/>
                <w:sz w:val="18"/>
                <w:szCs w:val="18"/>
              </w:rPr>
              <w:t>N.º 214 de 23.12.2021</w:t>
            </w:r>
          </w:p>
        </w:tc>
        <w:tc>
          <w:tcPr>
            <w:tcW w:w="1143" w:type="dxa"/>
            <w:tcBorders>
              <w:top w:val="single" w:sz="4" w:space="0" w:color="000000"/>
              <w:left w:val="single" w:sz="4" w:space="0" w:color="000000"/>
              <w:bottom w:val="single" w:sz="4" w:space="0" w:color="auto"/>
              <w:right w:val="single" w:sz="4" w:space="0" w:color="000000"/>
            </w:tcBorders>
            <w:shd w:val="clear" w:color="auto" w:fill="auto"/>
          </w:tcPr>
          <w:p w14:paraId="2B9414A3" w14:textId="77777777" w:rsidR="00C511CF" w:rsidRPr="00C511CF" w:rsidRDefault="00C511CF" w:rsidP="00AA4929">
            <w:pPr>
              <w:spacing w:after="0" w:line="276" w:lineRule="auto"/>
              <w:jc w:val="center"/>
              <w:rPr>
                <w:rFonts w:ascii="Arial" w:eastAsia="Calibri" w:hAnsi="Arial" w:cs="Arial"/>
                <w:sz w:val="18"/>
                <w:szCs w:val="18"/>
              </w:rPr>
            </w:pPr>
          </w:p>
        </w:tc>
        <w:tc>
          <w:tcPr>
            <w:tcW w:w="1011" w:type="dxa"/>
            <w:tcBorders>
              <w:top w:val="single" w:sz="4" w:space="0" w:color="000000"/>
              <w:left w:val="single" w:sz="4" w:space="0" w:color="000000"/>
              <w:bottom w:val="single" w:sz="4" w:space="0" w:color="auto"/>
              <w:right w:val="single" w:sz="4" w:space="0" w:color="000000"/>
            </w:tcBorders>
            <w:shd w:val="clear" w:color="auto" w:fill="auto"/>
          </w:tcPr>
          <w:p w14:paraId="6AE88CED" w14:textId="77777777" w:rsidR="00C511CF" w:rsidRPr="00C511CF" w:rsidRDefault="00C511CF" w:rsidP="00AA4929">
            <w:pPr>
              <w:spacing w:after="0" w:line="276" w:lineRule="auto"/>
              <w:jc w:val="center"/>
              <w:rPr>
                <w:rFonts w:ascii="Arial" w:eastAsia="Calibri" w:hAnsi="Arial" w:cs="Arial"/>
                <w:sz w:val="18"/>
                <w:szCs w:val="18"/>
              </w:rPr>
            </w:pPr>
          </w:p>
        </w:tc>
      </w:tr>
    </w:tbl>
    <w:p w14:paraId="4955E4FC" w14:textId="77777777" w:rsidR="00C511CF" w:rsidRDefault="00C511CF" w:rsidP="00C511CF">
      <w:pPr>
        <w:spacing w:after="240" w:line="276" w:lineRule="auto"/>
        <w:jc w:val="both"/>
        <w:rPr>
          <w:rFonts w:ascii="Arial" w:eastAsia="Calibri" w:hAnsi="Arial" w:cs="Arial"/>
          <w:sz w:val="21"/>
          <w:highlight w:val="yellow"/>
        </w:rPr>
      </w:pPr>
    </w:p>
    <w:p w14:paraId="4039FA19" w14:textId="5C1EE628" w:rsidR="00A21AB4" w:rsidRPr="00973028" w:rsidRDefault="00A21AB4" w:rsidP="00461E42">
      <w:pPr>
        <w:rPr>
          <w:rFonts w:ascii="Arial" w:hAnsi="Arial" w:cs="Arial"/>
          <w:color w:val="000000" w:themeColor="text1"/>
          <w:sz w:val="21"/>
          <w:szCs w:val="21"/>
        </w:rPr>
      </w:pPr>
    </w:p>
    <w:p w14:paraId="7FD283C1" w14:textId="2B90B08C" w:rsidR="00F5441D" w:rsidRPr="00973028" w:rsidRDefault="00F5441D" w:rsidP="00461E42">
      <w:pPr>
        <w:rPr>
          <w:rFonts w:ascii="Arial" w:eastAsia="NSimSun" w:hAnsi="Arial" w:cs="Arial"/>
          <w:color w:val="000000"/>
          <w:kern w:val="2"/>
          <w:sz w:val="20"/>
          <w:szCs w:val="20"/>
          <w:lang w:eastAsia="zh-CN" w:bidi="hi-IN"/>
        </w:rPr>
      </w:pPr>
      <w:bookmarkStart w:id="59" w:name="_Hlk34644086"/>
      <w:bookmarkEnd w:id="4"/>
      <w:r w:rsidRPr="00973028">
        <w:rPr>
          <w:rFonts w:ascii="Arial" w:eastAsia="NSimSun" w:hAnsi="Arial" w:cs="Arial"/>
          <w:color w:val="000000"/>
          <w:kern w:val="2"/>
          <w:sz w:val="20"/>
          <w:szCs w:val="20"/>
          <w:lang w:eastAsia="zh-CN" w:bidi="hi-IN"/>
        </w:rPr>
        <w:br w:type="page"/>
      </w:r>
    </w:p>
    <w:p w14:paraId="56CE01DE" w14:textId="382A921E" w:rsidR="00342586" w:rsidRDefault="00342586" w:rsidP="00461E42">
      <w:pPr>
        <w:rPr>
          <w:rFonts w:ascii="Arial" w:eastAsia="NSimSun" w:hAnsi="Arial" w:cs="Arial"/>
          <w:color w:val="000000"/>
          <w:kern w:val="2"/>
          <w:sz w:val="20"/>
          <w:szCs w:val="20"/>
          <w:lang w:eastAsia="zh-CN" w:bidi="hi-IN"/>
        </w:rPr>
      </w:pPr>
    </w:p>
    <w:p w14:paraId="54345506" w14:textId="76AEB5FF" w:rsidR="00342586" w:rsidRDefault="00342586" w:rsidP="00461E42">
      <w:pPr>
        <w:rPr>
          <w:rFonts w:ascii="Arial" w:eastAsia="NSimSun" w:hAnsi="Arial" w:cs="Arial"/>
          <w:color w:val="000000"/>
          <w:kern w:val="2"/>
          <w:sz w:val="20"/>
          <w:szCs w:val="20"/>
          <w:lang w:eastAsia="zh-CN" w:bidi="hi-IN"/>
        </w:rPr>
      </w:pPr>
    </w:p>
    <w:p w14:paraId="2788EA47" w14:textId="77777777" w:rsidR="00342586" w:rsidRPr="00973028" w:rsidRDefault="00342586" w:rsidP="00461E42">
      <w:pPr>
        <w:rPr>
          <w:rFonts w:ascii="Arial" w:eastAsia="NSimSun" w:hAnsi="Arial" w:cs="Arial"/>
          <w:color w:val="000000"/>
          <w:kern w:val="2"/>
          <w:sz w:val="20"/>
          <w:szCs w:val="20"/>
          <w:lang w:eastAsia="zh-CN" w:bidi="hi-IN"/>
        </w:rPr>
      </w:pPr>
    </w:p>
    <w:p w14:paraId="0010A580" w14:textId="7C141A66" w:rsidR="0058362A" w:rsidRPr="0058362A" w:rsidRDefault="00942F44" w:rsidP="0058362A">
      <w:pPr>
        <w:pStyle w:val="Prrafodelista"/>
        <w:keepNext/>
        <w:numPr>
          <w:ilvl w:val="0"/>
          <w:numId w:val="16"/>
        </w:numPr>
        <w:suppressAutoHyphens/>
        <w:spacing w:after="0" w:line="240" w:lineRule="auto"/>
        <w:ind w:left="0" w:firstLine="0"/>
        <w:outlineLvl w:val="0"/>
        <w:rPr>
          <w:rFonts w:ascii="Arial" w:eastAsia="Times New Roman" w:hAnsi="Arial" w:cs="Arial"/>
          <w:b/>
          <w:bCs/>
          <w:color w:val="9D2235"/>
          <w:spacing w:val="-24"/>
          <w:kern w:val="2"/>
          <w:sz w:val="80"/>
          <w:szCs w:val="80"/>
          <w:lang w:eastAsia="es-ES" w:bidi="hi-IN"/>
        </w:rPr>
      </w:pPr>
      <w:r w:rsidRPr="00973028">
        <w:rPr>
          <w:rFonts w:ascii="Arial" w:eastAsia="Times New Roman" w:hAnsi="Arial" w:cs="Arial"/>
          <w:b/>
          <w:bCs/>
          <w:color w:val="9D2235"/>
          <w:spacing w:val="-24"/>
          <w:kern w:val="2"/>
          <w:sz w:val="80"/>
          <w:szCs w:val="80"/>
          <w:lang w:eastAsia="es-ES" w:bidi="hi-IN"/>
        </w:rPr>
        <w:br/>
      </w:r>
      <w:bookmarkStart w:id="60" w:name="_Toc99106988"/>
      <w:r w:rsidR="00B179C0">
        <w:rPr>
          <w:rFonts w:ascii="Arial" w:eastAsia="Times New Roman" w:hAnsi="Arial" w:cs="Arial"/>
          <w:b/>
          <w:bCs/>
          <w:color w:val="9D2235"/>
          <w:spacing w:val="-24"/>
          <w:kern w:val="2"/>
          <w:sz w:val="80"/>
          <w:szCs w:val="80"/>
          <w:lang w:eastAsia="es-ES" w:bidi="hi-IN"/>
        </w:rPr>
        <w:t xml:space="preserve">Marco normativo, </w:t>
      </w:r>
      <w:r w:rsidR="00982941">
        <w:rPr>
          <w:rFonts w:ascii="Arial" w:eastAsia="Times New Roman" w:hAnsi="Arial" w:cs="Arial"/>
          <w:b/>
          <w:bCs/>
          <w:color w:val="9D2235"/>
          <w:spacing w:val="-24"/>
          <w:kern w:val="2"/>
          <w:sz w:val="80"/>
          <w:szCs w:val="80"/>
          <w:lang w:eastAsia="es-ES" w:bidi="hi-IN"/>
        </w:rPr>
        <w:t>p</w:t>
      </w:r>
      <w:r w:rsidR="00B179C0">
        <w:rPr>
          <w:rFonts w:ascii="Arial" w:eastAsia="Times New Roman" w:hAnsi="Arial" w:cs="Arial"/>
          <w:b/>
          <w:bCs/>
          <w:color w:val="9D2235"/>
          <w:spacing w:val="-24"/>
          <w:kern w:val="2"/>
          <w:sz w:val="80"/>
          <w:szCs w:val="80"/>
          <w:lang w:eastAsia="es-ES" w:bidi="hi-IN"/>
        </w:rPr>
        <w:t xml:space="preserve">rotección de las </w:t>
      </w:r>
      <w:r w:rsidR="00982941">
        <w:rPr>
          <w:rFonts w:ascii="Arial" w:eastAsia="Times New Roman" w:hAnsi="Arial" w:cs="Arial"/>
          <w:b/>
          <w:bCs/>
          <w:color w:val="9D2235"/>
          <w:spacing w:val="-24"/>
          <w:kern w:val="2"/>
          <w:sz w:val="80"/>
          <w:szCs w:val="80"/>
          <w:lang w:eastAsia="es-ES" w:bidi="hi-IN"/>
        </w:rPr>
        <w:t>p</w:t>
      </w:r>
      <w:r w:rsidR="00B179C0">
        <w:rPr>
          <w:rFonts w:ascii="Arial" w:eastAsia="Times New Roman" w:hAnsi="Arial" w:cs="Arial"/>
          <w:b/>
          <w:bCs/>
          <w:color w:val="9D2235"/>
          <w:spacing w:val="-24"/>
          <w:kern w:val="2"/>
          <w:sz w:val="80"/>
          <w:szCs w:val="80"/>
          <w:lang w:eastAsia="es-ES" w:bidi="hi-IN"/>
        </w:rPr>
        <w:t xml:space="preserve">ersonas </w:t>
      </w:r>
      <w:r w:rsidR="00982941">
        <w:rPr>
          <w:rFonts w:ascii="Arial" w:eastAsia="Times New Roman" w:hAnsi="Arial" w:cs="Arial"/>
          <w:b/>
          <w:bCs/>
          <w:color w:val="9D2235"/>
          <w:spacing w:val="-24"/>
          <w:kern w:val="2"/>
          <w:sz w:val="80"/>
          <w:szCs w:val="80"/>
          <w:lang w:eastAsia="es-ES" w:bidi="hi-IN"/>
        </w:rPr>
        <w:t>d</w:t>
      </w:r>
      <w:r w:rsidR="00B179C0">
        <w:rPr>
          <w:rFonts w:ascii="Arial" w:eastAsia="Times New Roman" w:hAnsi="Arial" w:cs="Arial"/>
          <w:b/>
          <w:bCs/>
          <w:color w:val="9D2235"/>
          <w:spacing w:val="-24"/>
          <w:kern w:val="2"/>
          <w:sz w:val="80"/>
          <w:szCs w:val="80"/>
          <w:lang w:eastAsia="es-ES" w:bidi="hi-IN"/>
        </w:rPr>
        <w:t xml:space="preserve">enunciantes y </w:t>
      </w:r>
      <w:r w:rsidR="00982941">
        <w:rPr>
          <w:rFonts w:ascii="Arial" w:eastAsia="Times New Roman" w:hAnsi="Arial" w:cs="Arial"/>
          <w:b/>
          <w:bCs/>
          <w:color w:val="9D2235"/>
          <w:spacing w:val="-24"/>
          <w:kern w:val="2"/>
          <w:sz w:val="80"/>
          <w:szCs w:val="80"/>
          <w:lang w:eastAsia="es-ES" w:bidi="hi-IN"/>
        </w:rPr>
        <w:t>a</w:t>
      </w:r>
      <w:r w:rsidR="00B930CE">
        <w:rPr>
          <w:rFonts w:ascii="Arial" w:eastAsia="Times New Roman" w:hAnsi="Arial" w:cs="Arial"/>
          <w:b/>
          <w:bCs/>
          <w:color w:val="9D2235"/>
          <w:spacing w:val="-24"/>
          <w:kern w:val="2"/>
          <w:sz w:val="80"/>
          <w:szCs w:val="80"/>
          <w:lang w:eastAsia="es-ES" w:bidi="hi-IN"/>
        </w:rPr>
        <w:t xml:space="preserve">suntos </w:t>
      </w:r>
      <w:r w:rsidR="00982941">
        <w:rPr>
          <w:rFonts w:ascii="Arial" w:eastAsia="Times New Roman" w:hAnsi="Arial" w:cs="Arial"/>
          <w:b/>
          <w:bCs/>
          <w:color w:val="9D2235"/>
          <w:spacing w:val="-24"/>
          <w:kern w:val="2"/>
          <w:sz w:val="80"/>
          <w:szCs w:val="80"/>
          <w:lang w:eastAsia="es-ES" w:bidi="hi-IN"/>
        </w:rPr>
        <w:t>j</w:t>
      </w:r>
      <w:r w:rsidR="00B930CE">
        <w:rPr>
          <w:rFonts w:ascii="Arial" w:eastAsia="Times New Roman" w:hAnsi="Arial" w:cs="Arial"/>
          <w:b/>
          <w:bCs/>
          <w:color w:val="9D2235"/>
          <w:spacing w:val="-24"/>
          <w:kern w:val="2"/>
          <w:sz w:val="80"/>
          <w:szCs w:val="80"/>
          <w:lang w:eastAsia="es-ES" w:bidi="hi-IN"/>
        </w:rPr>
        <w:t>urídicos</w:t>
      </w:r>
      <w:bookmarkEnd w:id="60"/>
      <w:r w:rsidRPr="00973028">
        <w:rPr>
          <w:rFonts w:ascii="Arial" w:eastAsia="Times New Roman" w:hAnsi="Arial" w:cs="Arial"/>
          <w:b/>
          <w:bCs/>
          <w:color w:val="9D2235"/>
          <w:spacing w:val="-24"/>
          <w:kern w:val="2"/>
          <w:sz w:val="80"/>
          <w:szCs w:val="80"/>
          <w:lang w:eastAsia="es-ES" w:bidi="hi-IN"/>
        </w:rPr>
        <w:br/>
      </w:r>
    </w:p>
    <w:p w14:paraId="7FBDAA4A" w14:textId="24BBCD21" w:rsidR="002A47AA" w:rsidRPr="00973028" w:rsidRDefault="009954DA" w:rsidP="00AC1A12">
      <w:pPr>
        <w:pStyle w:val="Prrafodelista"/>
        <w:keepNext/>
        <w:numPr>
          <w:ilvl w:val="1"/>
          <w:numId w:val="16"/>
        </w:numPr>
        <w:suppressAutoHyphens/>
        <w:spacing w:before="360" w:after="240" w:line="276" w:lineRule="auto"/>
        <w:ind w:left="851" w:hanging="851"/>
        <w:jc w:val="both"/>
        <w:outlineLvl w:val="1"/>
        <w:rPr>
          <w:rFonts w:ascii="Arial" w:eastAsia="Times New Roman" w:hAnsi="Arial" w:cs="Arial"/>
          <w:b/>
          <w:bCs/>
          <w:color w:val="9D2235"/>
          <w:spacing w:val="-24"/>
          <w:kern w:val="2"/>
          <w:sz w:val="32"/>
          <w:szCs w:val="32"/>
          <w:lang w:eastAsia="es-ES" w:bidi="hi-IN"/>
        </w:rPr>
      </w:pPr>
      <w:bookmarkStart w:id="61" w:name="_Toc99106989"/>
      <w:r>
        <w:rPr>
          <w:rFonts w:ascii="Arial" w:eastAsia="Times New Roman" w:hAnsi="Arial" w:cs="Arial"/>
          <w:b/>
          <w:color w:val="9D2235"/>
          <w:sz w:val="32"/>
          <w:szCs w:val="32"/>
        </w:rPr>
        <w:t>Funciones</w:t>
      </w:r>
      <w:bookmarkEnd w:id="61"/>
    </w:p>
    <w:p w14:paraId="054A5F16" w14:textId="77777777" w:rsidR="009954DA" w:rsidRPr="009954DA" w:rsidRDefault="009954DA" w:rsidP="00461E42">
      <w:pPr>
        <w:spacing w:after="240" w:line="276" w:lineRule="auto"/>
        <w:jc w:val="both"/>
        <w:rPr>
          <w:rFonts w:ascii="Arial" w:hAnsi="Arial"/>
          <w:sz w:val="21"/>
          <w:szCs w:val="21"/>
        </w:rPr>
      </w:pPr>
      <w:r w:rsidRPr="009954DA">
        <w:rPr>
          <w:rFonts w:ascii="Arial" w:hAnsi="Arial"/>
          <w:sz w:val="21"/>
          <w:szCs w:val="21"/>
        </w:rPr>
        <w:t xml:space="preserve">El </w:t>
      </w:r>
      <w:hyperlink r:id="rId181" w:history="1">
        <w:r w:rsidRPr="00227E41">
          <w:rPr>
            <w:rStyle w:val="Hipervnculo"/>
            <w:rFonts w:ascii="Arial" w:hAnsi="Arial"/>
            <w:sz w:val="21"/>
            <w:szCs w:val="21"/>
          </w:rPr>
          <w:t>Reglamento de funcionamiento y régimen interior de 27 de junio de 2019 de la Agencia</w:t>
        </w:r>
      </w:hyperlink>
      <w:r w:rsidRPr="009954DA">
        <w:rPr>
          <w:rFonts w:ascii="Arial" w:hAnsi="Arial"/>
          <w:sz w:val="21"/>
          <w:szCs w:val="21"/>
        </w:rPr>
        <w:t xml:space="preserve"> recoge en su artículo 21 las funciones encomendadas a la unidad administrativa denominada </w:t>
      </w:r>
      <w:r w:rsidRPr="009954DA">
        <w:rPr>
          <w:rFonts w:ascii="Arial" w:hAnsi="Arial"/>
          <w:b/>
          <w:bCs/>
          <w:i/>
          <w:iCs/>
          <w:sz w:val="21"/>
          <w:szCs w:val="21"/>
        </w:rPr>
        <w:t>Dirección de Asuntos Jurídicos</w:t>
      </w:r>
      <w:r w:rsidRPr="009954DA">
        <w:rPr>
          <w:rFonts w:ascii="Arial" w:hAnsi="Arial"/>
          <w:i/>
          <w:iCs/>
          <w:sz w:val="21"/>
          <w:szCs w:val="21"/>
        </w:rPr>
        <w:t xml:space="preserve">, </w:t>
      </w:r>
      <w:r w:rsidRPr="009954DA">
        <w:rPr>
          <w:rFonts w:ascii="Arial" w:hAnsi="Arial"/>
          <w:sz w:val="21"/>
          <w:szCs w:val="21"/>
        </w:rPr>
        <w:t>enumeradas</w:t>
      </w:r>
      <w:r w:rsidRPr="009954DA">
        <w:rPr>
          <w:rFonts w:ascii="Arial" w:hAnsi="Arial"/>
          <w:i/>
          <w:iCs/>
          <w:sz w:val="21"/>
          <w:szCs w:val="21"/>
        </w:rPr>
        <w:t xml:space="preserve"> </w:t>
      </w:r>
      <w:r w:rsidRPr="009954DA">
        <w:rPr>
          <w:rFonts w:ascii="Arial" w:hAnsi="Arial"/>
          <w:sz w:val="21"/>
          <w:szCs w:val="21"/>
        </w:rPr>
        <w:t>con el siguiente tenor literal:</w:t>
      </w:r>
    </w:p>
    <w:p w14:paraId="112E7450" w14:textId="25403958" w:rsidR="009954DA" w:rsidRPr="009954DA" w:rsidRDefault="009954DA" w:rsidP="00461E42">
      <w:pPr>
        <w:pStyle w:val="Prrafodelista"/>
        <w:numPr>
          <w:ilvl w:val="0"/>
          <w:numId w:val="160"/>
        </w:numPr>
        <w:spacing w:after="120" w:line="276" w:lineRule="auto"/>
        <w:ind w:left="714" w:hanging="357"/>
        <w:contextualSpacing w:val="0"/>
        <w:jc w:val="both"/>
        <w:rPr>
          <w:rFonts w:ascii="Arial" w:hAnsi="Arial"/>
          <w:sz w:val="21"/>
          <w:szCs w:val="21"/>
        </w:rPr>
      </w:pPr>
      <w:r w:rsidRPr="009954DA">
        <w:rPr>
          <w:rFonts w:ascii="Arial" w:hAnsi="Arial"/>
          <w:sz w:val="21"/>
          <w:szCs w:val="21"/>
        </w:rPr>
        <w:t>Dirigir, coordinar y supervisar el funcionamiento y la organización de las unidades dependientes.</w:t>
      </w:r>
    </w:p>
    <w:p w14:paraId="3E30CB35" w14:textId="617F9B9B" w:rsidR="009954DA" w:rsidRPr="009954DA" w:rsidRDefault="009954DA" w:rsidP="00461E42">
      <w:pPr>
        <w:pStyle w:val="Prrafodelista"/>
        <w:numPr>
          <w:ilvl w:val="0"/>
          <w:numId w:val="160"/>
        </w:numPr>
        <w:spacing w:after="120" w:line="276" w:lineRule="auto"/>
        <w:ind w:left="714" w:hanging="357"/>
        <w:contextualSpacing w:val="0"/>
        <w:jc w:val="both"/>
        <w:rPr>
          <w:rFonts w:ascii="Arial" w:hAnsi="Arial"/>
          <w:sz w:val="21"/>
          <w:szCs w:val="21"/>
        </w:rPr>
      </w:pPr>
      <w:r w:rsidRPr="009954DA">
        <w:rPr>
          <w:rFonts w:ascii="Arial" w:hAnsi="Arial"/>
          <w:sz w:val="21"/>
          <w:szCs w:val="21"/>
        </w:rPr>
        <w:t>Efectuar las tareas correspondientes al asesoramiento jurídico de la Agencia, así como emitir los informes jurídicos preceptivos y aquellos otros que se soliciten por la Dirección de la Agencia.</w:t>
      </w:r>
    </w:p>
    <w:p w14:paraId="70F075EA" w14:textId="05BE1C13" w:rsidR="009954DA" w:rsidRPr="009954DA" w:rsidRDefault="009954DA" w:rsidP="00461E42">
      <w:pPr>
        <w:pStyle w:val="Prrafodelista"/>
        <w:numPr>
          <w:ilvl w:val="0"/>
          <w:numId w:val="160"/>
        </w:numPr>
        <w:spacing w:after="120" w:line="276" w:lineRule="auto"/>
        <w:ind w:left="714" w:hanging="357"/>
        <w:contextualSpacing w:val="0"/>
        <w:jc w:val="both"/>
        <w:rPr>
          <w:rFonts w:ascii="Arial" w:hAnsi="Arial"/>
          <w:sz w:val="21"/>
          <w:szCs w:val="21"/>
        </w:rPr>
      </w:pPr>
      <w:r w:rsidRPr="009954DA">
        <w:rPr>
          <w:rFonts w:ascii="Arial" w:hAnsi="Arial"/>
          <w:sz w:val="21"/>
          <w:szCs w:val="21"/>
        </w:rPr>
        <w:t>Prestar asesoría legal a la persona denunciante sobre los hechos relacionados con la denuncia, así como sobre los procedimientos que se interpongan en su contra con motivo de la misma.</w:t>
      </w:r>
    </w:p>
    <w:p w14:paraId="53E8973B" w14:textId="69ED1B0B" w:rsidR="009954DA" w:rsidRPr="009954DA" w:rsidRDefault="009954DA" w:rsidP="00461E42">
      <w:pPr>
        <w:pStyle w:val="Prrafodelista"/>
        <w:numPr>
          <w:ilvl w:val="0"/>
          <w:numId w:val="160"/>
        </w:numPr>
        <w:spacing w:after="120" w:line="276" w:lineRule="auto"/>
        <w:ind w:left="714" w:hanging="357"/>
        <w:contextualSpacing w:val="0"/>
        <w:jc w:val="both"/>
        <w:rPr>
          <w:rFonts w:ascii="Arial" w:hAnsi="Arial"/>
          <w:sz w:val="21"/>
          <w:szCs w:val="21"/>
        </w:rPr>
      </w:pPr>
      <w:r w:rsidRPr="009954DA">
        <w:rPr>
          <w:rFonts w:ascii="Arial" w:hAnsi="Arial"/>
          <w:sz w:val="21"/>
          <w:szCs w:val="21"/>
        </w:rPr>
        <w:t>Velar por la protección de las personas denunciantes, informantes y alertadoras, proponer la adopción de medidas que garanticen su protección, y en particular preservar su indemnidad personal y profesional.</w:t>
      </w:r>
    </w:p>
    <w:p w14:paraId="1CFE8AC7" w14:textId="1CA968D4" w:rsidR="009954DA" w:rsidRPr="009954DA" w:rsidRDefault="009954DA" w:rsidP="00461E42">
      <w:pPr>
        <w:pStyle w:val="Prrafodelista"/>
        <w:numPr>
          <w:ilvl w:val="0"/>
          <w:numId w:val="160"/>
        </w:numPr>
        <w:spacing w:after="120" w:line="276" w:lineRule="auto"/>
        <w:ind w:left="714" w:hanging="357"/>
        <w:contextualSpacing w:val="0"/>
        <w:jc w:val="both"/>
        <w:rPr>
          <w:rFonts w:ascii="Arial" w:hAnsi="Arial"/>
          <w:sz w:val="21"/>
          <w:szCs w:val="21"/>
        </w:rPr>
      </w:pPr>
      <w:r w:rsidRPr="009954DA">
        <w:rPr>
          <w:rFonts w:ascii="Arial" w:hAnsi="Arial"/>
          <w:sz w:val="21"/>
          <w:szCs w:val="21"/>
        </w:rPr>
        <w:t>Efectuar las propuestas de otorgamiento del estatuto de la persona denunciante y de resolución de cualquier incidencia que pueda surgir en relación con el mismo.</w:t>
      </w:r>
    </w:p>
    <w:p w14:paraId="6C1EADB0" w14:textId="66373311" w:rsidR="009954DA" w:rsidRPr="009954DA" w:rsidRDefault="009954DA" w:rsidP="00461E42">
      <w:pPr>
        <w:pStyle w:val="Prrafodelista"/>
        <w:numPr>
          <w:ilvl w:val="0"/>
          <w:numId w:val="160"/>
        </w:numPr>
        <w:spacing w:after="120" w:line="276" w:lineRule="auto"/>
        <w:ind w:left="714" w:hanging="357"/>
        <w:contextualSpacing w:val="0"/>
        <w:jc w:val="both"/>
        <w:rPr>
          <w:rFonts w:ascii="Arial" w:hAnsi="Arial"/>
          <w:sz w:val="21"/>
          <w:szCs w:val="21"/>
        </w:rPr>
      </w:pPr>
      <w:r w:rsidRPr="009954DA">
        <w:rPr>
          <w:rFonts w:ascii="Arial" w:hAnsi="Arial"/>
          <w:sz w:val="21"/>
          <w:szCs w:val="21"/>
        </w:rPr>
        <w:t>Elaborar y proponer las modificaciones legislativas y reglamentarias que afecten o se refieran a la Agencia.</w:t>
      </w:r>
    </w:p>
    <w:p w14:paraId="6FFA1805" w14:textId="77A687AD" w:rsidR="009954DA" w:rsidRPr="009954DA" w:rsidRDefault="009954DA" w:rsidP="00461E42">
      <w:pPr>
        <w:pStyle w:val="Prrafodelista"/>
        <w:numPr>
          <w:ilvl w:val="0"/>
          <w:numId w:val="160"/>
        </w:numPr>
        <w:spacing w:after="120" w:line="276" w:lineRule="auto"/>
        <w:ind w:left="714" w:hanging="357"/>
        <w:contextualSpacing w:val="0"/>
        <w:jc w:val="both"/>
        <w:rPr>
          <w:rFonts w:ascii="Arial" w:hAnsi="Arial"/>
          <w:sz w:val="21"/>
          <w:szCs w:val="21"/>
        </w:rPr>
      </w:pPr>
      <w:r w:rsidRPr="009954DA">
        <w:rPr>
          <w:rFonts w:ascii="Arial" w:hAnsi="Arial"/>
          <w:sz w:val="21"/>
          <w:szCs w:val="21"/>
        </w:rPr>
        <w:t>Cumplir con la función certificadora de las actuaciones generadas por la Agencia y de secretaria general.</w:t>
      </w:r>
    </w:p>
    <w:p w14:paraId="687864FC" w14:textId="36D834B7" w:rsidR="009954DA" w:rsidRPr="009954DA" w:rsidRDefault="009954DA" w:rsidP="00461E42">
      <w:pPr>
        <w:pStyle w:val="Prrafodelista"/>
        <w:numPr>
          <w:ilvl w:val="0"/>
          <w:numId w:val="160"/>
        </w:numPr>
        <w:spacing w:after="120" w:line="276" w:lineRule="auto"/>
        <w:ind w:left="714" w:hanging="357"/>
        <w:contextualSpacing w:val="0"/>
        <w:jc w:val="both"/>
        <w:rPr>
          <w:rFonts w:ascii="Arial" w:hAnsi="Arial"/>
          <w:sz w:val="21"/>
          <w:szCs w:val="21"/>
        </w:rPr>
      </w:pPr>
      <w:r w:rsidRPr="009954DA">
        <w:rPr>
          <w:rFonts w:ascii="Arial" w:hAnsi="Arial"/>
          <w:sz w:val="21"/>
          <w:szCs w:val="21"/>
        </w:rPr>
        <w:t>Tramitar los convenios a suscribir por la Agencia, sin perjuicio de la elaboración de propuestas, impulso y seguimiento por la unidad administrativa que corresponda.</w:t>
      </w:r>
    </w:p>
    <w:p w14:paraId="6DC70A69" w14:textId="07E4944F" w:rsidR="009954DA" w:rsidRPr="009954DA" w:rsidRDefault="009954DA" w:rsidP="00461E42">
      <w:pPr>
        <w:pStyle w:val="Prrafodelista"/>
        <w:numPr>
          <w:ilvl w:val="0"/>
          <w:numId w:val="160"/>
        </w:numPr>
        <w:spacing w:after="120" w:line="276" w:lineRule="auto"/>
        <w:ind w:left="714" w:hanging="357"/>
        <w:contextualSpacing w:val="0"/>
        <w:jc w:val="both"/>
        <w:rPr>
          <w:rFonts w:ascii="Arial" w:hAnsi="Arial"/>
          <w:sz w:val="21"/>
          <w:szCs w:val="21"/>
        </w:rPr>
      </w:pPr>
      <w:r w:rsidRPr="009954DA">
        <w:rPr>
          <w:rFonts w:ascii="Arial" w:hAnsi="Arial"/>
          <w:sz w:val="21"/>
          <w:szCs w:val="21"/>
        </w:rPr>
        <w:t>Instruir y tramitar los expedientes relativos a la imposición de las sanciones previstas en la Ley 11/2016, de 28 de noviembre, de la Generalitat.</w:t>
      </w:r>
    </w:p>
    <w:p w14:paraId="07E74972" w14:textId="3F3EB00E" w:rsidR="009954DA" w:rsidRPr="009954DA" w:rsidRDefault="009954DA" w:rsidP="00461E42">
      <w:pPr>
        <w:pStyle w:val="Prrafodelista"/>
        <w:numPr>
          <w:ilvl w:val="0"/>
          <w:numId w:val="160"/>
        </w:numPr>
        <w:spacing w:after="120" w:line="276" w:lineRule="auto"/>
        <w:ind w:left="714" w:hanging="357"/>
        <w:contextualSpacing w:val="0"/>
        <w:jc w:val="both"/>
        <w:rPr>
          <w:rFonts w:ascii="Arial" w:hAnsi="Arial"/>
          <w:sz w:val="21"/>
          <w:szCs w:val="21"/>
        </w:rPr>
      </w:pPr>
      <w:r w:rsidRPr="009954DA">
        <w:rPr>
          <w:rFonts w:ascii="Arial" w:hAnsi="Arial"/>
          <w:sz w:val="21"/>
          <w:szCs w:val="21"/>
        </w:rPr>
        <w:t>Ejercer la representación y defensa en juicio de la Agencia.</w:t>
      </w:r>
    </w:p>
    <w:p w14:paraId="4EF95216" w14:textId="740BA6F3" w:rsidR="009954DA" w:rsidRPr="009954DA" w:rsidRDefault="009954DA" w:rsidP="00461E42">
      <w:pPr>
        <w:pStyle w:val="Prrafodelista"/>
        <w:numPr>
          <w:ilvl w:val="0"/>
          <w:numId w:val="160"/>
        </w:numPr>
        <w:spacing w:after="120" w:line="276" w:lineRule="auto"/>
        <w:ind w:left="714" w:hanging="357"/>
        <w:contextualSpacing w:val="0"/>
        <w:jc w:val="both"/>
        <w:rPr>
          <w:rFonts w:ascii="Arial" w:hAnsi="Arial"/>
          <w:sz w:val="21"/>
          <w:szCs w:val="21"/>
        </w:rPr>
      </w:pPr>
      <w:r w:rsidRPr="009954DA">
        <w:rPr>
          <w:rFonts w:ascii="Arial" w:hAnsi="Arial"/>
          <w:sz w:val="21"/>
          <w:szCs w:val="21"/>
        </w:rPr>
        <w:t>Tramitar y proponer la resolución de las peticiones de acceso a la información pública que se formulen.</w:t>
      </w:r>
    </w:p>
    <w:p w14:paraId="4DCEEE42" w14:textId="40B345F7" w:rsidR="009954DA" w:rsidRPr="009954DA" w:rsidRDefault="009954DA" w:rsidP="00461E42">
      <w:pPr>
        <w:pStyle w:val="Prrafodelista"/>
        <w:numPr>
          <w:ilvl w:val="0"/>
          <w:numId w:val="160"/>
        </w:numPr>
        <w:spacing w:after="120" w:line="276" w:lineRule="auto"/>
        <w:ind w:left="714" w:hanging="357"/>
        <w:contextualSpacing w:val="0"/>
        <w:jc w:val="both"/>
        <w:rPr>
          <w:rFonts w:ascii="Arial" w:hAnsi="Arial"/>
          <w:sz w:val="21"/>
          <w:szCs w:val="21"/>
        </w:rPr>
      </w:pPr>
      <w:r w:rsidRPr="009954DA">
        <w:rPr>
          <w:rFonts w:ascii="Arial" w:hAnsi="Arial"/>
          <w:sz w:val="21"/>
          <w:szCs w:val="21"/>
        </w:rPr>
        <w:t>Tramitar los procedimientos de responsabilidad patrimonial.</w:t>
      </w:r>
    </w:p>
    <w:p w14:paraId="169732C5" w14:textId="567A1320" w:rsidR="009954DA" w:rsidRPr="009954DA" w:rsidRDefault="009954DA" w:rsidP="00461E42">
      <w:pPr>
        <w:pStyle w:val="Prrafodelista"/>
        <w:numPr>
          <w:ilvl w:val="0"/>
          <w:numId w:val="160"/>
        </w:numPr>
        <w:spacing w:after="120" w:line="276" w:lineRule="auto"/>
        <w:ind w:left="714" w:hanging="357"/>
        <w:contextualSpacing w:val="0"/>
        <w:jc w:val="both"/>
        <w:rPr>
          <w:rFonts w:ascii="Arial" w:hAnsi="Arial"/>
          <w:sz w:val="21"/>
          <w:szCs w:val="21"/>
        </w:rPr>
      </w:pPr>
      <w:r w:rsidRPr="009954DA">
        <w:rPr>
          <w:rFonts w:ascii="Arial" w:hAnsi="Arial"/>
          <w:sz w:val="21"/>
          <w:szCs w:val="21"/>
        </w:rPr>
        <w:t>Instruir y tramitar los expedientes disciplinarios del personal de la Agencia.</w:t>
      </w:r>
    </w:p>
    <w:p w14:paraId="41836C69" w14:textId="53749FC8" w:rsidR="009954DA" w:rsidRPr="009954DA" w:rsidRDefault="009954DA" w:rsidP="009954DA">
      <w:pPr>
        <w:pStyle w:val="Prrafodelista"/>
        <w:numPr>
          <w:ilvl w:val="0"/>
          <w:numId w:val="160"/>
        </w:numPr>
        <w:spacing w:after="240" w:line="276" w:lineRule="auto"/>
        <w:jc w:val="both"/>
        <w:rPr>
          <w:rFonts w:ascii="Arial" w:hAnsi="Arial"/>
          <w:sz w:val="21"/>
          <w:szCs w:val="21"/>
        </w:rPr>
      </w:pPr>
      <w:r w:rsidRPr="009954DA">
        <w:rPr>
          <w:rFonts w:ascii="Arial" w:hAnsi="Arial"/>
          <w:sz w:val="21"/>
          <w:szCs w:val="21"/>
        </w:rPr>
        <w:t>Aquellas otras que se le asignen por el director o directora de la Agencia.</w:t>
      </w:r>
    </w:p>
    <w:p w14:paraId="3AB323D8" w14:textId="77777777" w:rsidR="009954DA" w:rsidRPr="009954DA" w:rsidRDefault="009954DA" w:rsidP="009954DA">
      <w:pPr>
        <w:spacing w:after="240" w:line="276" w:lineRule="auto"/>
        <w:jc w:val="both"/>
        <w:rPr>
          <w:rFonts w:ascii="Arial" w:hAnsi="Arial"/>
          <w:sz w:val="21"/>
          <w:szCs w:val="21"/>
        </w:rPr>
      </w:pPr>
      <w:r w:rsidRPr="009954DA">
        <w:rPr>
          <w:rFonts w:ascii="Arial" w:hAnsi="Arial"/>
          <w:sz w:val="21"/>
          <w:szCs w:val="21"/>
        </w:rPr>
        <w:t>En desarrollo de la citada letra g), referida a “la función certificadora de las actuaciones generadas por la Agencia y de secretaría general”, corresponde a esta unidad administrativa participar como miembro de hecho y de derecho en las mesas técnicas y de negociación de las condiciones de trabajo del personal al servicio de la Agencia, a cuyo efecto realiza las tareas ordinarias de secretaría y elaboración de las actas de sus reuniones, así como el asesoramiento jurídico que corresponda en cada caso.</w:t>
      </w:r>
    </w:p>
    <w:p w14:paraId="0572EC2A" w14:textId="77777777" w:rsidR="009954DA" w:rsidRPr="009954DA" w:rsidRDefault="009954DA" w:rsidP="009954DA">
      <w:pPr>
        <w:spacing w:after="240" w:line="276" w:lineRule="auto"/>
        <w:jc w:val="both"/>
        <w:rPr>
          <w:rFonts w:ascii="Arial" w:hAnsi="Arial"/>
          <w:sz w:val="21"/>
          <w:szCs w:val="21"/>
        </w:rPr>
      </w:pPr>
      <w:r w:rsidRPr="009954DA">
        <w:rPr>
          <w:rFonts w:ascii="Arial" w:hAnsi="Arial"/>
          <w:sz w:val="21"/>
          <w:szCs w:val="21"/>
        </w:rPr>
        <w:t xml:space="preserve">Igualmente, en virtud de lo previsto en el 25.1 del Reglamento de funcionamiento y régimen interior, le corresponde a la Dirección de Asuntos Jurídicos ejercer la secretaría del Consejo de Participación de la Agencia. </w:t>
      </w:r>
    </w:p>
    <w:p w14:paraId="7723657E" w14:textId="77777777" w:rsidR="009954DA" w:rsidRPr="009954DA" w:rsidRDefault="009954DA" w:rsidP="009954DA">
      <w:pPr>
        <w:spacing w:after="240" w:line="276" w:lineRule="auto"/>
        <w:jc w:val="both"/>
        <w:rPr>
          <w:rFonts w:ascii="Arial" w:hAnsi="Arial"/>
          <w:sz w:val="21"/>
          <w:szCs w:val="21"/>
        </w:rPr>
      </w:pPr>
      <w:r w:rsidRPr="009954DA">
        <w:rPr>
          <w:rFonts w:ascii="Arial" w:hAnsi="Arial"/>
          <w:sz w:val="21"/>
          <w:szCs w:val="21"/>
        </w:rPr>
        <w:t>Otras de sus funciones es la relativa a la llevanza del Registro de acuerdos y resoluciones de la Dirección de la Agencia, conforme dispone el artículo 89 del Reglamento, así como las tareas relacionadas con el Registro de convenios propio de la Agencia, a que se refiere el artículo 87 del Reglamento.</w:t>
      </w:r>
    </w:p>
    <w:p w14:paraId="346F21D9" w14:textId="77777777" w:rsidR="009954DA" w:rsidRPr="009954DA" w:rsidRDefault="009954DA" w:rsidP="009954DA">
      <w:pPr>
        <w:spacing w:after="240" w:line="276" w:lineRule="auto"/>
        <w:jc w:val="both"/>
        <w:rPr>
          <w:rFonts w:ascii="Arial" w:hAnsi="Arial"/>
          <w:sz w:val="21"/>
          <w:szCs w:val="21"/>
        </w:rPr>
      </w:pPr>
      <w:r w:rsidRPr="009954DA">
        <w:rPr>
          <w:rFonts w:ascii="Arial" w:hAnsi="Arial"/>
          <w:sz w:val="21"/>
          <w:szCs w:val="21"/>
        </w:rPr>
        <w:t xml:space="preserve">Como novedad de finales de este ejercicio 2021, se ha producido una modificación puntual del Reglamento de funcionamiento y régimen interior de la Agencia, a la que más adelante se hará referencia de manera detallada, por la que se crea una </w:t>
      </w:r>
      <w:r w:rsidRPr="009954DA">
        <w:rPr>
          <w:rFonts w:ascii="Arial" w:hAnsi="Arial"/>
          <w:b/>
          <w:bCs/>
          <w:i/>
          <w:iCs/>
          <w:sz w:val="21"/>
          <w:szCs w:val="21"/>
        </w:rPr>
        <w:t xml:space="preserve">Dirección Adjunta </w:t>
      </w:r>
      <w:r w:rsidRPr="009954DA">
        <w:rPr>
          <w:rFonts w:ascii="Arial" w:hAnsi="Arial"/>
          <w:sz w:val="21"/>
          <w:szCs w:val="21"/>
        </w:rPr>
        <w:t xml:space="preserve">a la Dirección de la Agencia cuyas funciones se acumulan a esta Dirección de Asuntos Jurídicos. </w:t>
      </w:r>
    </w:p>
    <w:p w14:paraId="09ACE442" w14:textId="77777777" w:rsidR="009954DA" w:rsidRPr="009954DA" w:rsidRDefault="009954DA" w:rsidP="009954DA">
      <w:pPr>
        <w:spacing w:after="240" w:line="276" w:lineRule="auto"/>
        <w:jc w:val="both"/>
        <w:rPr>
          <w:rFonts w:ascii="Arial" w:hAnsi="Arial"/>
          <w:sz w:val="21"/>
          <w:szCs w:val="21"/>
        </w:rPr>
      </w:pPr>
      <w:r w:rsidRPr="009954DA">
        <w:rPr>
          <w:rFonts w:ascii="Arial" w:hAnsi="Arial"/>
          <w:sz w:val="21"/>
          <w:szCs w:val="21"/>
        </w:rPr>
        <w:t>Son funciones de la Dirección Adjunta de la Agencia la de prestar apoyo técnico y asistencia a la Dirección de la Agencia, a cuyo efecto impulsa, coordina y supervisa el ejercicio de las funciones del resto de unidades administrativas, así como realizar las tareas que la Dirección de la Agencia le encomiende o delegue.</w:t>
      </w:r>
    </w:p>
    <w:p w14:paraId="59EEF74F" w14:textId="26B8E857" w:rsidR="007E246B" w:rsidRDefault="009954DA" w:rsidP="009954DA">
      <w:pPr>
        <w:spacing w:after="240" w:line="276" w:lineRule="auto"/>
        <w:jc w:val="both"/>
        <w:rPr>
          <w:rFonts w:ascii="Arial" w:hAnsi="Arial"/>
          <w:sz w:val="21"/>
          <w:szCs w:val="21"/>
        </w:rPr>
      </w:pPr>
      <w:r w:rsidRPr="009954DA">
        <w:rPr>
          <w:rFonts w:ascii="Arial" w:hAnsi="Arial"/>
          <w:sz w:val="21"/>
          <w:szCs w:val="21"/>
        </w:rPr>
        <w:t>Asimismo, la Dirección Adjunta podrá firmar las resoluciones y actos administrativos que, de manera excepcional, expresa y motivada, le delegue la persona titular de la Dirección de la Agencia. También le corresponde asumir la suplencia de la Dirección de la AVAF, de forma interina y transitoriamente, en caso de vacante, ausencia o enfermedad, así como en los casos en que haya sido declarada la abstención o recusación de su director.</w:t>
      </w:r>
    </w:p>
    <w:p w14:paraId="18ADA7A4" w14:textId="77777777" w:rsidR="00B95A40" w:rsidRPr="00B95A40" w:rsidRDefault="00B95A40" w:rsidP="000F2343">
      <w:pPr>
        <w:pStyle w:val="Prrafodelista"/>
        <w:keepNext/>
        <w:numPr>
          <w:ilvl w:val="1"/>
          <w:numId w:val="16"/>
        </w:numPr>
        <w:suppressAutoHyphens/>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62" w:name="_Toc99106990"/>
      <w:r w:rsidRPr="00B95A40">
        <w:rPr>
          <w:rFonts w:ascii="Arial" w:eastAsia="Times New Roman" w:hAnsi="Arial" w:cs="Arial"/>
          <w:b/>
          <w:color w:val="9D2235"/>
          <w:sz w:val="32"/>
          <w:szCs w:val="32"/>
        </w:rPr>
        <w:t>Marco normativo</w:t>
      </w:r>
      <w:bookmarkEnd w:id="62"/>
    </w:p>
    <w:p w14:paraId="2FCF1D5A" w14:textId="77777777" w:rsidR="00B95A40" w:rsidRPr="00B95A40" w:rsidRDefault="00B95A40" w:rsidP="00DC1B01">
      <w:pPr>
        <w:pStyle w:val="Prrafodelista"/>
        <w:keepNext/>
        <w:numPr>
          <w:ilvl w:val="2"/>
          <w:numId w:val="16"/>
        </w:numPr>
        <w:suppressAutoHyphens/>
        <w:spacing w:before="360" w:after="240" w:line="276" w:lineRule="auto"/>
        <w:ind w:left="993" w:hanging="993"/>
        <w:jc w:val="both"/>
        <w:outlineLvl w:val="2"/>
        <w:rPr>
          <w:rFonts w:ascii="Arial" w:eastAsia="Times New Roman" w:hAnsi="Arial" w:cs="Arial"/>
          <w:b/>
          <w:color w:val="9D2235"/>
          <w:sz w:val="28"/>
          <w:szCs w:val="28"/>
        </w:rPr>
      </w:pPr>
      <w:bookmarkStart w:id="63" w:name="_Toc99106991"/>
      <w:bookmarkStart w:id="64" w:name="_Toc67646241"/>
      <w:r w:rsidRPr="00B95A40">
        <w:rPr>
          <w:rFonts w:ascii="Arial" w:eastAsia="Times New Roman" w:hAnsi="Arial" w:cs="Arial"/>
          <w:b/>
          <w:color w:val="9D2235"/>
          <w:sz w:val="28"/>
          <w:szCs w:val="28"/>
        </w:rPr>
        <w:t>Normativa de aplicación AVAF</w:t>
      </w:r>
      <w:bookmarkEnd w:id="63"/>
      <w:r w:rsidRPr="00B95A40">
        <w:rPr>
          <w:rFonts w:ascii="Arial" w:eastAsia="Times New Roman" w:hAnsi="Arial" w:cs="Arial"/>
          <w:b/>
          <w:color w:val="9D2235"/>
          <w:sz w:val="28"/>
          <w:szCs w:val="28"/>
        </w:rPr>
        <w:t xml:space="preserve"> </w:t>
      </w:r>
      <w:bookmarkEnd w:id="64"/>
    </w:p>
    <w:p w14:paraId="4EEC9E76" w14:textId="7EFFA141" w:rsidR="000A793B" w:rsidRPr="000A793B" w:rsidRDefault="000A793B" w:rsidP="00B34FCC">
      <w:pPr>
        <w:spacing w:after="240" w:line="276" w:lineRule="auto"/>
        <w:jc w:val="both"/>
        <w:rPr>
          <w:rFonts w:ascii="Arial" w:hAnsi="Arial"/>
          <w:sz w:val="21"/>
          <w:szCs w:val="21"/>
        </w:rPr>
      </w:pPr>
      <w:bookmarkStart w:id="65" w:name="_Hlk63062007"/>
      <w:bookmarkStart w:id="66" w:name="_Hlk63161450"/>
      <w:r w:rsidRPr="000A793B">
        <w:rPr>
          <w:rFonts w:ascii="Arial" w:hAnsi="Arial"/>
          <w:sz w:val="21"/>
          <w:szCs w:val="21"/>
        </w:rPr>
        <w:t xml:space="preserve">Con la creación de la Agencia de Prevención y Lucha contra el Fraude y la Corrupción de la Comunitat Valenciana (Agencia o AVAF) se da cumplimiento en la Comunitat Valenciana a la Resolución </w:t>
      </w:r>
      <w:r w:rsidR="0038226A">
        <w:rPr>
          <w:rFonts w:ascii="Arial" w:hAnsi="Arial"/>
          <w:sz w:val="21"/>
          <w:szCs w:val="21"/>
        </w:rPr>
        <w:t xml:space="preserve">núm. </w:t>
      </w:r>
      <w:r w:rsidRPr="000A793B">
        <w:rPr>
          <w:rFonts w:ascii="Arial" w:hAnsi="Arial"/>
          <w:sz w:val="21"/>
          <w:szCs w:val="21"/>
        </w:rPr>
        <w:t xml:space="preserve">58/4 de la Asamblea General de Naciones Unidas, por la que se aprueba </w:t>
      </w:r>
      <w:hyperlink r:id="rId182" w:history="1">
        <w:r w:rsidRPr="000A793B">
          <w:rPr>
            <w:rStyle w:val="Hipervnculo"/>
            <w:rFonts w:ascii="Arial" w:hAnsi="Arial"/>
            <w:sz w:val="21"/>
            <w:szCs w:val="21"/>
          </w:rPr>
          <w:t>la Convención de las Naciones Unidas contra la corrupción</w:t>
        </w:r>
      </w:hyperlink>
      <w:r w:rsidRPr="000A793B">
        <w:rPr>
          <w:rFonts w:ascii="Arial" w:hAnsi="Arial"/>
          <w:sz w:val="21"/>
          <w:szCs w:val="21"/>
        </w:rPr>
        <w:t xml:space="preserve">, hecha en Nueva York el 31 de octubre de 2003, cuya entrada en vigor en España se produjo mediante instrumento de ratificación publicado en el Boletín Oficial del Estado núm. 171 de 19 de julio de 2006. Dicha Convención forma parte, por tanto, del ordenamiento jurídico interno conforme a lo previsto en el artículo 96 de la </w:t>
      </w:r>
      <w:hyperlink r:id="rId183" w:history="1">
        <w:r w:rsidRPr="000A793B">
          <w:rPr>
            <w:rStyle w:val="Hipervnculo"/>
            <w:rFonts w:ascii="Arial" w:hAnsi="Arial"/>
            <w:sz w:val="21"/>
            <w:szCs w:val="21"/>
          </w:rPr>
          <w:t>Constitución Española</w:t>
        </w:r>
      </w:hyperlink>
      <w:r w:rsidRPr="000A793B">
        <w:rPr>
          <w:rFonts w:ascii="Arial" w:hAnsi="Arial"/>
          <w:sz w:val="21"/>
          <w:szCs w:val="21"/>
        </w:rPr>
        <w:t xml:space="preserve"> y obliga a todos los poderes públicos.</w:t>
      </w:r>
    </w:p>
    <w:p w14:paraId="06003CE6" w14:textId="77777777" w:rsidR="000A793B" w:rsidRPr="000A793B" w:rsidRDefault="000A793B" w:rsidP="00B34FCC">
      <w:pPr>
        <w:spacing w:after="240" w:line="276" w:lineRule="auto"/>
        <w:jc w:val="both"/>
        <w:rPr>
          <w:rFonts w:ascii="Arial" w:hAnsi="Arial"/>
          <w:sz w:val="21"/>
          <w:szCs w:val="21"/>
        </w:rPr>
      </w:pPr>
      <w:r w:rsidRPr="000A793B">
        <w:rPr>
          <w:rFonts w:ascii="Arial" w:hAnsi="Arial"/>
          <w:sz w:val="21"/>
          <w:szCs w:val="21"/>
        </w:rPr>
        <w:t>La Convención de las Naciones Unidas contra la corrupción establece, entre otras, las siguientes exigencias a los Estados Parte:</w:t>
      </w:r>
    </w:p>
    <w:p w14:paraId="21054B7A" w14:textId="77777777" w:rsidR="000A793B" w:rsidRPr="00B34FCC" w:rsidRDefault="000A793B" w:rsidP="00F84B8B">
      <w:pPr>
        <w:pStyle w:val="Prrafodelista"/>
        <w:numPr>
          <w:ilvl w:val="0"/>
          <w:numId w:val="174"/>
        </w:numPr>
        <w:spacing w:after="120" w:line="276" w:lineRule="auto"/>
        <w:ind w:left="714" w:hanging="357"/>
        <w:contextualSpacing w:val="0"/>
        <w:jc w:val="both"/>
        <w:rPr>
          <w:rFonts w:ascii="Arial" w:hAnsi="Arial"/>
          <w:sz w:val="21"/>
          <w:szCs w:val="21"/>
        </w:rPr>
      </w:pPr>
      <w:r w:rsidRPr="00B34FCC">
        <w:rPr>
          <w:rFonts w:ascii="Arial" w:hAnsi="Arial"/>
          <w:sz w:val="21"/>
          <w:szCs w:val="21"/>
        </w:rPr>
        <w:t>Creación de órganos independientes encargados de prevenir la corrupción, dotados de los recursos materiales que sean necesarios y de personal especializado y capacitados para el desempeño de sus funciones (artículos 6 y 36).</w:t>
      </w:r>
    </w:p>
    <w:p w14:paraId="632D5C36" w14:textId="77777777" w:rsidR="000A793B" w:rsidRPr="00B34FCC" w:rsidRDefault="000A793B" w:rsidP="00F84B8B">
      <w:pPr>
        <w:pStyle w:val="Prrafodelista"/>
        <w:numPr>
          <w:ilvl w:val="0"/>
          <w:numId w:val="174"/>
        </w:numPr>
        <w:spacing w:after="120" w:line="276" w:lineRule="auto"/>
        <w:ind w:left="714" w:hanging="357"/>
        <w:contextualSpacing w:val="0"/>
        <w:jc w:val="both"/>
        <w:rPr>
          <w:rFonts w:ascii="Arial" w:hAnsi="Arial"/>
          <w:sz w:val="21"/>
          <w:szCs w:val="21"/>
        </w:rPr>
      </w:pPr>
      <w:r w:rsidRPr="00B34FCC">
        <w:rPr>
          <w:rFonts w:ascii="Arial" w:hAnsi="Arial"/>
          <w:sz w:val="21"/>
          <w:szCs w:val="21"/>
        </w:rPr>
        <w:t>Establecimiento de medidas y sistemas para facilitar que los funcionarios públicos denuncien todo acto de corrupción a las autoridades competentes cuando tengan conocimiento de ello en el ejercicio de sus funciones (artículo 8.4).</w:t>
      </w:r>
    </w:p>
    <w:p w14:paraId="5E377C1A" w14:textId="77777777" w:rsidR="000A793B" w:rsidRPr="00B34FCC" w:rsidRDefault="000A793B" w:rsidP="00F84B8B">
      <w:pPr>
        <w:pStyle w:val="Prrafodelista"/>
        <w:numPr>
          <w:ilvl w:val="0"/>
          <w:numId w:val="174"/>
        </w:numPr>
        <w:spacing w:after="120" w:line="276" w:lineRule="auto"/>
        <w:ind w:left="714" w:hanging="357"/>
        <w:contextualSpacing w:val="0"/>
        <w:jc w:val="both"/>
        <w:rPr>
          <w:rFonts w:ascii="Arial" w:hAnsi="Arial"/>
          <w:sz w:val="21"/>
          <w:szCs w:val="21"/>
        </w:rPr>
      </w:pPr>
      <w:r w:rsidRPr="00B34FCC">
        <w:rPr>
          <w:rFonts w:ascii="Arial" w:hAnsi="Arial"/>
          <w:sz w:val="21"/>
          <w:szCs w:val="21"/>
        </w:rPr>
        <w:t>Acceso a los órganos de lucha contra la corrupción para que el público denuncie, incluso de manera anónima, incidentes de corrupción (artículo 13.2).</w:t>
      </w:r>
    </w:p>
    <w:p w14:paraId="11A0CE49" w14:textId="77777777" w:rsidR="000A793B" w:rsidRPr="00B34FCC" w:rsidRDefault="000A793B" w:rsidP="00F84B8B">
      <w:pPr>
        <w:pStyle w:val="Prrafodelista"/>
        <w:numPr>
          <w:ilvl w:val="0"/>
          <w:numId w:val="174"/>
        </w:numPr>
        <w:spacing w:after="120" w:line="276" w:lineRule="auto"/>
        <w:ind w:left="714" w:hanging="357"/>
        <w:contextualSpacing w:val="0"/>
        <w:jc w:val="both"/>
        <w:rPr>
          <w:rFonts w:ascii="Arial" w:hAnsi="Arial"/>
          <w:sz w:val="21"/>
          <w:szCs w:val="21"/>
        </w:rPr>
      </w:pPr>
      <w:r w:rsidRPr="00B34FCC">
        <w:rPr>
          <w:rFonts w:ascii="Arial" w:hAnsi="Arial"/>
          <w:sz w:val="21"/>
          <w:szCs w:val="21"/>
        </w:rPr>
        <w:t>Adopción de las medidas necesarias para proteger de manera eficaz contra actos de represalia o intimidación a los testigos y peritos que presten testimonio sobre delitos tipificados con arreglo a la Convención (artículo 32).</w:t>
      </w:r>
    </w:p>
    <w:p w14:paraId="61167C04" w14:textId="77777777" w:rsidR="000A793B" w:rsidRPr="00B34FCC" w:rsidRDefault="000A793B" w:rsidP="00F84B8B">
      <w:pPr>
        <w:pStyle w:val="Prrafodelista"/>
        <w:numPr>
          <w:ilvl w:val="0"/>
          <w:numId w:val="174"/>
        </w:numPr>
        <w:spacing w:after="120" w:line="276" w:lineRule="auto"/>
        <w:ind w:left="714" w:hanging="357"/>
        <w:contextualSpacing w:val="0"/>
        <w:jc w:val="both"/>
        <w:rPr>
          <w:rFonts w:ascii="Arial" w:hAnsi="Arial"/>
          <w:sz w:val="21"/>
          <w:szCs w:val="21"/>
        </w:rPr>
      </w:pPr>
      <w:r w:rsidRPr="00B34FCC">
        <w:rPr>
          <w:rFonts w:ascii="Arial" w:hAnsi="Arial"/>
          <w:sz w:val="21"/>
          <w:szCs w:val="21"/>
        </w:rPr>
        <w:t>Protección contra todo trato injustificado a las personas que denuncien ante las autoridades competentes, de buena fe y con motivos razonables (artículos 33).</w:t>
      </w:r>
    </w:p>
    <w:p w14:paraId="36A099D1" w14:textId="77777777" w:rsidR="000A793B" w:rsidRPr="00B34FCC" w:rsidRDefault="000A793B" w:rsidP="00F84B8B">
      <w:pPr>
        <w:pStyle w:val="Prrafodelista"/>
        <w:numPr>
          <w:ilvl w:val="0"/>
          <w:numId w:val="174"/>
        </w:numPr>
        <w:spacing w:after="240" w:line="276" w:lineRule="auto"/>
        <w:ind w:left="714" w:hanging="357"/>
        <w:contextualSpacing w:val="0"/>
        <w:jc w:val="both"/>
        <w:rPr>
          <w:rFonts w:ascii="Arial" w:hAnsi="Arial"/>
          <w:sz w:val="21"/>
          <w:szCs w:val="21"/>
        </w:rPr>
      </w:pPr>
      <w:r w:rsidRPr="00B34FCC">
        <w:rPr>
          <w:rFonts w:ascii="Arial" w:hAnsi="Arial"/>
          <w:sz w:val="21"/>
          <w:szCs w:val="21"/>
        </w:rPr>
        <w:t>Fomento de la cooperación entre los organismos públicos, los funcionarios públicos y los organismos encargados de investigar y enjuiciar delitos (artículo 38).</w:t>
      </w:r>
    </w:p>
    <w:p w14:paraId="25264B0F" w14:textId="77777777" w:rsidR="000A793B" w:rsidRPr="000A793B" w:rsidRDefault="000A793B" w:rsidP="00B34FCC">
      <w:pPr>
        <w:spacing w:after="240" w:line="276" w:lineRule="auto"/>
        <w:jc w:val="both"/>
        <w:rPr>
          <w:rFonts w:ascii="Arial" w:hAnsi="Arial"/>
          <w:sz w:val="21"/>
          <w:szCs w:val="21"/>
        </w:rPr>
      </w:pPr>
      <w:r w:rsidRPr="000A793B">
        <w:rPr>
          <w:rFonts w:ascii="Arial" w:hAnsi="Arial"/>
          <w:sz w:val="21"/>
          <w:szCs w:val="21"/>
        </w:rPr>
        <w:t xml:space="preserve">Por su parte, </w:t>
      </w:r>
      <w:r w:rsidRPr="000A793B">
        <w:rPr>
          <w:rFonts w:ascii="Arial" w:hAnsi="Arial"/>
          <w:b/>
          <w:bCs/>
          <w:sz w:val="21"/>
          <w:szCs w:val="21"/>
        </w:rPr>
        <w:t>en el ámbito de la Unión Europea y del Consejo de Europa</w:t>
      </w:r>
      <w:r w:rsidRPr="000A793B">
        <w:rPr>
          <w:rFonts w:ascii="Arial" w:hAnsi="Arial"/>
          <w:sz w:val="21"/>
          <w:szCs w:val="21"/>
        </w:rPr>
        <w:t>, son normas e instrumentos que sirven de guía de las actuaciones de esta Agencia los siguientes:</w:t>
      </w:r>
    </w:p>
    <w:p w14:paraId="0DDD388E" w14:textId="77777777" w:rsidR="000A793B" w:rsidRPr="00B34FCC" w:rsidRDefault="000A793B" w:rsidP="00F84B8B">
      <w:pPr>
        <w:pStyle w:val="Prrafodelista"/>
        <w:numPr>
          <w:ilvl w:val="0"/>
          <w:numId w:val="175"/>
        </w:numPr>
        <w:spacing w:after="120" w:line="276" w:lineRule="auto"/>
        <w:ind w:left="714" w:hanging="357"/>
        <w:contextualSpacing w:val="0"/>
        <w:jc w:val="both"/>
        <w:rPr>
          <w:rFonts w:ascii="Arial" w:hAnsi="Arial"/>
          <w:sz w:val="21"/>
          <w:szCs w:val="21"/>
        </w:rPr>
      </w:pPr>
      <w:r w:rsidRPr="00B34FCC">
        <w:rPr>
          <w:rFonts w:ascii="Arial" w:hAnsi="Arial"/>
          <w:sz w:val="21"/>
          <w:szCs w:val="21"/>
        </w:rPr>
        <w:t xml:space="preserve">Artículo 325 del </w:t>
      </w:r>
      <w:hyperlink r:id="rId184" w:history="1">
        <w:r w:rsidRPr="00B34FCC">
          <w:rPr>
            <w:rStyle w:val="Hipervnculo"/>
            <w:rFonts w:ascii="Arial" w:hAnsi="Arial"/>
            <w:sz w:val="21"/>
            <w:szCs w:val="21"/>
          </w:rPr>
          <w:t>Tratado de Funcionamiento de la Unión Europea</w:t>
        </w:r>
      </w:hyperlink>
      <w:r w:rsidRPr="00B34FCC">
        <w:rPr>
          <w:rFonts w:ascii="Arial" w:hAnsi="Arial"/>
          <w:sz w:val="21"/>
          <w:szCs w:val="21"/>
        </w:rPr>
        <w:t>, que impone a la Comisión y a los Estados miembros la obligación de combatir el fraude y cualesquiera actividades ilegales que perjudiquen sus intereses financieros, con efecto disuasorio y capacidad para prestar una protección eficaz.</w:t>
      </w:r>
    </w:p>
    <w:p w14:paraId="7ACF6651" w14:textId="089C9C0D" w:rsidR="000A793B" w:rsidRPr="00B34FCC" w:rsidRDefault="00AF48E6" w:rsidP="00F84B8B">
      <w:pPr>
        <w:pStyle w:val="Prrafodelista"/>
        <w:numPr>
          <w:ilvl w:val="0"/>
          <w:numId w:val="175"/>
        </w:numPr>
        <w:spacing w:after="120" w:line="276" w:lineRule="auto"/>
        <w:ind w:left="714" w:hanging="357"/>
        <w:contextualSpacing w:val="0"/>
        <w:jc w:val="both"/>
        <w:rPr>
          <w:rFonts w:ascii="Arial" w:hAnsi="Arial"/>
          <w:sz w:val="21"/>
          <w:szCs w:val="21"/>
        </w:rPr>
      </w:pPr>
      <w:hyperlink r:id="rId185" w:history="1">
        <w:r w:rsidR="000A793B" w:rsidRPr="00B34FCC">
          <w:rPr>
            <w:rStyle w:val="Hipervnculo"/>
            <w:rFonts w:ascii="Arial" w:hAnsi="Arial"/>
            <w:sz w:val="21"/>
            <w:szCs w:val="21"/>
          </w:rPr>
          <w:t xml:space="preserve">Resolución </w:t>
        </w:r>
        <w:r w:rsidR="0038226A">
          <w:rPr>
            <w:rStyle w:val="Hipervnculo"/>
            <w:rFonts w:ascii="Arial" w:hAnsi="Arial"/>
            <w:sz w:val="21"/>
            <w:szCs w:val="21"/>
          </w:rPr>
          <w:t xml:space="preserve">núm. </w:t>
        </w:r>
        <w:r w:rsidR="000A793B" w:rsidRPr="00B34FCC">
          <w:rPr>
            <w:rStyle w:val="Hipervnculo"/>
            <w:rFonts w:ascii="Arial" w:hAnsi="Arial"/>
            <w:sz w:val="21"/>
            <w:szCs w:val="21"/>
          </w:rPr>
          <w:t>24/97 del Consejo de Europa sobre los veinte principios rectores de la lucha contra la corrupción</w:t>
        </w:r>
      </w:hyperlink>
      <w:r w:rsidR="000A793B" w:rsidRPr="00B34FCC">
        <w:rPr>
          <w:rFonts w:ascii="Arial" w:hAnsi="Arial"/>
          <w:sz w:val="21"/>
          <w:szCs w:val="21"/>
          <w:u w:val="single"/>
        </w:rPr>
        <w:t>.</w:t>
      </w:r>
    </w:p>
    <w:p w14:paraId="01951D40" w14:textId="77777777" w:rsidR="000A793B" w:rsidRPr="00B34FCC" w:rsidRDefault="00AF48E6" w:rsidP="00F84B8B">
      <w:pPr>
        <w:pStyle w:val="Prrafodelista"/>
        <w:numPr>
          <w:ilvl w:val="0"/>
          <w:numId w:val="175"/>
        </w:numPr>
        <w:spacing w:after="120" w:line="276" w:lineRule="auto"/>
        <w:ind w:left="714" w:hanging="357"/>
        <w:contextualSpacing w:val="0"/>
        <w:jc w:val="both"/>
        <w:rPr>
          <w:rFonts w:ascii="Arial" w:hAnsi="Arial"/>
          <w:sz w:val="21"/>
          <w:szCs w:val="21"/>
        </w:rPr>
      </w:pPr>
      <w:hyperlink r:id="rId186" w:history="1">
        <w:r w:rsidR="000A793B" w:rsidRPr="00B34FCC">
          <w:rPr>
            <w:rStyle w:val="Hipervnculo"/>
            <w:rFonts w:ascii="Arial" w:hAnsi="Arial"/>
            <w:sz w:val="21"/>
            <w:szCs w:val="21"/>
          </w:rPr>
          <w:t>Decisión 1999/352/CE, por la que se crea la Oficina Europea de Lucha contra el Fraude</w:t>
        </w:r>
      </w:hyperlink>
      <w:r w:rsidR="000A793B" w:rsidRPr="00B34FCC">
        <w:rPr>
          <w:rFonts w:ascii="Arial" w:hAnsi="Arial"/>
          <w:sz w:val="21"/>
          <w:szCs w:val="21"/>
        </w:rPr>
        <w:t xml:space="preserve"> (OLAF).</w:t>
      </w:r>
    </w:p>
    <w:p w14:paraId="508FE269" w14:textId="77777777" w:rsidR="000A793B" w:rsidRPr="00B34FCC" w:rsidRDefault="00AF48E6" w:rsidP="00F84B8B">
      <w:pPr>
        <w:pStyle w:val="Prrafodelista"/>
        <w:numPr>
          <w:ilvl w:val="0"/>
          <w:numId w:val="175"/>
        </w:numPr>
        <w:spacing w:after="120" w:line="276" w:lineRule="auto"/>
        <w:ind w:left="714" w:hanging="357"/>
        <w:contextualSpacing w:val="0"/>
        <w:jc w:val="both"/>
        <w:rPr>
          <w:rFonts w:ascii="Arial" w:hAnsi="Arial"/>
          <w:sz w:val="21"/>
          <w:szCs w:val="21"/>
        </w:rPr>
      </w:pPr>
      <w:hyperlink r:id="rId187" w:history="1">
        <w:r w:rsidR="000A793B" w:rsidRPr="00B34FCC">
          <w:rPr>
            <w:rStyle w:val="Hipervnculo"/>
            <w:rFonts w:ascii="Arial" w:hAnsi="Arial"/>
            <w:sz w:val="21"/>
            <w:szCs w:val="21"/>
          </w:rPr>
          <w:t>Convenio Civil sobre la Corrupción del Consejo de Europa de 4 de noviembre de 1999</w:t>
        </w:r>
      </w:hyperlink>
      <w:r w:rsidR="000A793B" w:rsidRPr="00B34FCC">
        <w:rPr>
          <w:rFonts w:ascii="Arial" w:hAnsi="Arial"/>
          <w:sz w:val="21"/>
          <w:szCs w:val="21"/>
          <w:u w:val="single"/>
        </w:rPr>
        <w:t>.</w:t>
      </w:r>
    </w:p>
    <w:p w14:paraId="3AEDBEE5" w14:textId="77777777" w:rsidR="000A793B" w:rsidRPr="00B34FCC" w:rsidRDefault="00AF48E6" w:rsidP="00F84B8B">
      <w:pPr>
        <w:pStyle w:val="Prrafodelista"/>
        <w:numPr>
          <w:ilvl w:val="0"/>
          <w:numId w:val="175"/>
        </w:numPr>
        <w:spacing w:after="120" w:line="276" w:lineRule="auto"/>
        <w:ind w:left="714" w:hanging="357"/>
        <w:contextualSpacing w:val="0"/>
        <w:jc w:val="both"/>
        <w:rPr>
          <w:rFonts w:ascii="Arial" w:hAnsi="Arial"/>
          <w:sz w:val="21"/>
          <w:szCs w:val="21"/>
        </w:rPr>
      </w:pPr>
      <w:hyperlink r:id="rId188" w:history="1">
        <w:r w:rsidR="000A793B" w:rsidRPr="00B34FCC">
          <w:rPr>
            <w:rStyle w:val="Hipervnculo"/>
            <w:rFonts w:ascii="Arial" w:hAnsi="Arial"/>
            <w:sz w:val="21"/>
            <w:szCs w:val="21"/>
          </w:rPr>
          <w:t>Recomendación R (2000) 10, del Comité de ministros de los Estados miembros sobre códigos de conducta para los funcionarios públicos, adoptada el 11 de mayo de 2000</w:t>
        </w:r>
      </w:hyperlink>
      <w:r w:rsidR="000A793B" w:rsidRPr="00B34FCC">
        <w:rPr>
          <w:rFonts w:ascii="Arial" w:hAnsi="Arial"/>
          <w:sz w:val="21"/>
          <w:szCs w:val="21"/>
        </w:rPr>
        <w:t xml:space="preserve">. </w:t>
      </w:r>
    </w:p>
    <w:p w14:paraId="4DC139F2" w14:textId="77777777" w:rsidR="000A793B" w:rsidRPr="00B34FCC" w:rsidRDefault="00AF48E6" w:rsidP="00F84B8B">
      <w:pPr>
        <w:pStyle w:val="Prrafodelista"/>
        <w:numPr>
          <w:ilvl w:val="0"/>
          <w:numId w:val="175"/>
        </w:numPr>
        <w:spacing w:after="120" w:line="276" w:lineRule="auto"/>
        <w:ind w:left="714" w:hanging="357"/>
        <w:contextualSpacing w:val="0"/>
        <w:jc w:val="both"/>
        <w:rPr>
          <w:rFonts w:ascii="Arial" w:hAnsi="Arial"/>
          <w:sz w:val="21"/>
          <w:szCs w:val="21"/>
        </w:rPr>
      </w:pPr>
      <w:hyperlink r:id="rId189" w:history="1">
        <w:r w:rsidR="000A793B" w:rsidRPr="00B34FCC">
          <w:rPr>
            <w:rStyle w:val="Hipervnculo"/>
            <w:rFonts w:ascii="Arial" w:hAnsi="Arial"/>
            <w:sz w:val="21"/>
            <w:szCs w:val="21"/>
          </w:rPr>
          <w:t>Convenio de Lucha contra la Corrupción de Agentes Públicos Extranjeros en las Transacciones Comerciales Internacionales</w:t>
        </w:r>
      </w:hyperlink>
      <w:r w:rsidR="000A793B" w:rsidRPr="00B34FCC">
        <w:rPr>
          <w:rFonts w:ascii="Arial" w:hAnsi="Arial"/>
          <w:sz w:val="21"/>
          <w:szCs w:val="21"/>
        </w:rPr>
        <w:t xml:space="preserve"> (BOE núm.46, de 22 de febrero de 2002).</w:t>
      </w:r>
    </w:p>
    <w:p w14:paraId="08D8E231" w14:textId="77777777" w:rsidR="000A793B" w:rsidRPr="00B34FCC" w:rsidRDefault="00AF48E6" w:rsidP="00F84B8B">
      <w:pPr>
        <w:pStyle w:val="Prrafodelista"/>
        <w:numPr>
          <w:ilvl w:val="0"/>
          <w:numId w:val="175"/>
        </w:numPr>
        <w:spacing w:after="120" w:line="276" w:lineRule="auto"/>
        <w:ind w:left="714" w:hanging="357"/>
        <w:contextualSpacing w:val="0"/>
        <w:jc w:val="both"/>
        <w:rPr>
          <w:rFonts w:ascii="Arial" w:hAnsi="Arial"/>
          <w:sz w:val="21"/>
          <w:szCs w:val="21"/>
        </w:rPr>
      </w:pPr>
      <w:hyperlink r:id="rId190" w:history="1">
        <w:r w:rsidR="000A793B" w:rsidRPr="00B34FCC">
          <w:rPr>
            <w:rStyle w:val="Hipervnculo"/>
            <w:rFonts w:ascii="Arial" w:hAnsi="Arial"/>
            <w:sz w:val="21"/>
            <w:szCs w:val="21"/>
          </w:rPr>
          <w:t>Recomendación R (2003) 4, del Comité de ministros de los Estados miembros relativa a las reglas comunes contra la corrupción en la financiación de partidos políticos y campañas electorales, adoptada el 8 de abril de 2003.</w:t>
        </w:r>
      </w:hyperlink>
    </w:p>
    <w:p w14:paraId="036A2D26" w14:textId="77777777" w:rsidR="000A793B" w:rsidRPr="00B34FCC" w:rsidRDefault="00AF48E6" w:rsidP="00F84B8B">
      <w:pPr>
        <w:pStyle w:val="Prrafodelista"/>
        <w:numPr>
          <w:ilvl w:val="0"/>
          <w:numId w:val="175"/>
        </w:numPr>
        <w:spacing w:after="120" w:line="276" w:lineRule="auto"/>
        <w:ind w:left="714" w:hanging="357"/>
        <w:contextualSpacing w:val="0"/>
        <w:jc w:val="both"/>
        <w:rPr>
          <w:rFonts w:ascii="Arial" w:hAnsi="Arial"/>
          <w:sz w:val="21"/>
          <w:szCs w:val="21"/>
        </w:rPr>
      </w:pPr>
      <w:hyperlink r:id="rId191" w:history="1">
        <w:r w:rsidR="000A793B" w:rsidRPr="00B34FCC">
          <w:rPr>
            <w:rStyle w:val="Hipervnculo"/>
            <w:rFonts w:ascii="Arial" w:hAnsi="Arial"/>
            <w:sz w:val="21"/>
            <w:szCs w:val="21"/>
          </w:rPr>
          <w:t>Convenio Penal sobre la Corrupción</w:t>
        </w:r>
      </w:hyperlink>
      <w:r w:rsidR="000A793B" w:rsidRPr="00B34FCC">
        <w:rPr>
          <w:rFonts w:ascii="Arial" w:hAnsi="Arial"/>
          <w:sz w:val="21"/>
          <w:szCs w:val="21"/>
        </w:rPr>
        <w:t xml:space="preserve"> (BOE núm.182, de 28 de julio de 2010).</w:t>
      </w:r>
    </w:p>
    <w:p w14:paraId="1B52B8E3" w14:textId="77777777" w:rsidR="000A793B" w:rsidRPr="00B34FCC" w:rsidRDefault="00AF48E6" w:rsidP="00F84B8B">
      <w:pPr>
        <w:pStyle w:val="Prrafodelista"/>
        <w:numPr>
          <w:ilvl w:val="0"/>
          <w:numId w:val="175"/>
        </w:numPr>
        <w:spacing w:after="240" w:line="276" w:lineRule="auto"/>
        <w:jc w:val="both"/>
        <w:rPr>
          <w:rFonts w:ascii="Arial" w:hAnsi="Arial"/>
          <w:sz w:val="21"/>
          <w:szCs w:val="21"/>
        </w:rPr>
      </w:pPr>
      <w:hyperlink r:id="rId192" w:history="1">
        <w:r w:rsidR="000A793B" w:rsidRPr="00B34FCC">
          <w:rPr>
            <w:rStyle w:val="Hipervnculo"/>
            <w:rFonts w:ascii="Arial" w:hAnsi="Arial"/>
            <w:sz w:val="21"/>
            <w:szCs w:val="21"/>
          </w:rPr>
          <w:t>Convenio Civil sobre la Corrupción</w:t>
        </w:r>
      </w:hyperlink>
      <w:r w:rsidR="000A793B" w:rsidRPr="00B34FCC">
        <w:rPr>
          <w:rFonts w:ascii="Arial" w:hAnsi="Arial"/>
          <w:sz w:val="21"/>
          <w:szCs w:val="21"/>
        </w:rPr>
        <w:t xml:space="preserve"> (BOE núm.78, de 31 de 2010).</w:t>
      </w:r>
    </w:p>
    <w:p w14:paraId="3C315347" w14:textId="77777777" w:rsidR="000A793B" w:rsidRPr="000A793B" w:rsidRDefault="000A793B" w:rsidP="00B34FCC">
      <w:pPr>
        <w:spacing w:after="240" w:line="276" w:lineRule="auto"/>
        <w:jc w:val="both"/>
        <w:rPr>
          <w:rFonts w:ascii="Arial" w:hAnsi="Arial"/>
          <w:sz w:val="21"/>
          <w:szCs w:val="21"/>
        </w:rPr>
      </w:pPr>
      <w:r w:rsidRPr="000A793B">
        <w:rPr>
          <w:rFonts w:ascii="Arial" w:hAnsi="Arial"/>
          <w:sz w:val="21"/>
          <w:szCs w:val="21"/>
        </w:rPr>
        <w:t xml:space="preserve">Mención aparte merece la </w:t>
      </w:r>
      <w:hyperlink r:id="rId193" w:history="1">
        <w:r w:rsidRPr="000A793B">
          <w:rPr>
            <w:rStyle w:val="Hipervnculo"/>
            <w:rFonts w:ascii="Arial" w:hAnsi="Arial"/>
            <w:sz w:val="21"/>
            <w:szCs w:val="21"/>
          </w:rPr>
          <w:t>D</w:t>
        </w:r>
      </w:hyperlink>
      <w:hyperlink r:id="rId194" w:history="1">
        <w:r w:rsidRPr="000A793B">
          <w:rPr>
            <w:rStyle w:val="Hipervnculo"/>
            <w:rFonts w:ascii="Arial" w:hAnsi="Arial"/>
            <w:sz w:val="21"/>
            <w:szCs w:val="21"/>
          </w:rPr>
          <w:t>irectiva</w:t>
        </w:r>
      </w:hyperlink>
      <w:hyperlink r:id="rId195" w:history="1">
        <w:r w:rsidRPr="000A793B">
          <w:rPr>
            <w:rStyle w:val="Hipervnculo"/>
            <w:rFonts w:ascii="Arial" w:hAnsi="Arial"/>
            <w:sz w:val="21"/>
            <w:szCs w:val="21"/>
          </w:rPr>
          <w:t xml:space="preserve"> (UE) 2019/1937 </w:t>
        </w:r>
      </w:hyperlink>
      <w:hyperlink r:id="rId196" w:history="1">
        <w:r w:rsidRPr="000A793B">
          <w:rPr>
            <w:rStyle w:val="Hipervnculo"/>
            <w:rFonts w:ascii="Arial" w:hAnsi="Arial"/>
            <w:sz w:val="21"/>
            <w:szCs w:val="21"/>
          </w:rPr>
          <w:t xml:space="preserve">del Parlamento Europeo y del Consejo </w:t>
        </w:r>
      </w:hyperlink>
      <w:hyperlink r:id="rId197" w:history="1">
        <w:r w:rsidRPr="000A793B">
          <w:rPr>
            <w:rStyle w:val="Hipervnculo"/>
            <w:rFonts w:ascii="Arial" w:hAnsi="Arial"/>
            <w:sz w:val="21"/>
            <w:szCs w:val="21"/>
          </w:rPr>
          <w:t>de 23 de octubre de 2019 relativa a la protección de las personas que informen sobre infracciones del Derecho de la Unión.</w:t>
        </w:r>
      </w:hyperlink>
      <w:r w:rsidRPr="000A793B">
        <w:rPr>
          <w:rFonts w:ascii="Arial" w:hAnsi="Arial"/>
          <w:sz w:val="21"/>
          <w:szCs w:val="21"/>
        </w:rPr>
        <w:t xml:space="preserve"> El apartado 3.2.3. de esta Memoria se dedica íntegramente a esta importante y trascendente norma europea, cuyo período de transposición en España venció el pasado 17 de diciembre de 2021, de modo que las obligaciones derivadas de la misma producen en nuestro territorio, desde aquella fecha, de acuerdo con la jurisprudencia del Tribunal de Justicia Europeo, efectos directos y vinculan a todos los poderes públicos.</w:t>
      </w:r>
    </w:p>
    <w:p w14:paraId="09340CEA" w14:textId="445EACB6" w:rsidR="000A793B" w:rsidRPr="000A793B" w:rsidRDefault="000A793B" w:rsidP="00B34FCC">
      <w:pPr>
        <w:spacing w:after="240" w:line="276" w:lineRule="auto"/>
        <w:jc w:val="both"/>
        <w:rPr>
          <w:rFonts w:ascii="Arial" w:hAnsi="Arial"/>
          <w:sz w:val="21"/>
          <w:szCs w:val="21"/>
        </w:rPr>
      </w:pPr>
      <w:r w:rsidRPr="000A793B">
        <w:rPr>
          <w:rFonts w:ascii="Arial" w:hAnsi="Arial"/>
          <w:b/>
          <w:bCs/>
          <w:sz w:val="21"/>
          <w:szCs w:val="21"/>
        </w:rPr>
        <w:t>En cuanto a la normativa propia de la Agencia</w:t>
      </w:r>
      <w:r w:rsidRPr="000A793B">
        <w:rPr>
          <w:rFonts w:ascii="Arial" w:hAnsi="Arial"/>
          <w:sz w:val="21"/>
          <w:szCs w:val="21"/>
        </w:rPr>
        <w:t xml:space="preserve">, en primer lugar, debemos referirnos, a su Ley fundacional, </w:t>
      </w:r>
      <w:hyperlink r:id="rId198" w:history="1">
        <w:r w:rsidRPr="000A793B">
          <w:rPr>
            <w:rStyle w:val="Hipervnculo"/>
            <w:rFonts w:ascii="Arial" w:hAnsi="Arial"/>
            <w:sz w:val="21"/>
            <w:szCs w:val="21"/>
          </w:rPr>
          <w:t>Ley 11/2016, de 28 de noviembre, de la Generalitat,</w:t>
        </w:r>
      </w:hyperlink>
      <w:r w:rsidRPr="000A793B">
        <w:rPr>
          <w:rFonts w:ascii="Arial" w:hAnsi="Arial"/>
          <w:sz w:val="21"/>
          <w:szCs w:val="21"/>
          <w:u w:val="single"/>
        </w:rPr>
        <w:t xml:space="preserve"> </w:t>
      </w:r>
      <w:r w:rsidRPr="000A793B">
        <w:rPr>
          <w:rFonts w:ascii="Arial" w:hAnsi="Arial"/>
          <w:sz w:val="21"/>
          <w:szCs w:val="21"/>
        </w:rPr>
        <w:t>mediante la que se crea la Agencia como un organismo especializado dentro del territorio valenciano, con la misión y funciones de prevenir y erradicar el fraude y la corrupción de las instituciones públicas valencianas y para el impulso de la integridad y la ética pública, además del fomento de una cultura de buenas prácticas y de rechazo del fraude y la corrupción en el diseño, la ejecución y la evaluación de políticas públicas y en la gestión de recursos públicos.</w:t>
      </w:r>
    </w:p>
    <w:p w14:paraId="2F141228" w14:textId="77777777" w:rsidR="000A793B" w:rsidRPr="000A793B" w:rsidRDefault="000A793B" w:rsidP="00B34FCC">
      <w:pPr>
        <w:spacing w:after="240" w:line="276" w:lineRule="auto"/>
        <w:jc w:val="both"/>
        <w:rPr>
          <w:rFonts w:ascii="Arial" w:hAnsi="Arial"/>
          <w:sz w:val="21"/>
          <w:szCs w:val="21"/>
        </w:rPr>
      </w:pPr>
      <w:r w:rsidRPr="000A793B">
        <w:rPr>
          <w:rFonts w:ascii="Arial" w:hAnsi="Arial"/>
          <w:sz w:val="21"/>
          <w:szCs w:val="21"/>
        </w:rPr>
        <w:t xml:space="preserve">Tras su puesta en marcha, la Agencia aprobó la </w:t>
      </w:r>
      <w:hyperlink r:id="rId199" w:history="1">
        <w:r w:rsidRPr="000A793B">
          <w:rPr>
            <w:rStyle w:val="Hipervnculo"/>
            <w:rFonts w:ascii="Arial" w:hAnsi="Arial"/>
            <w:sz w:val="21"/>
            <w:szCs w:val="21"/>
          </w:rPr>
          <w:t>Resolución de 25 de abril de 2018, por la que se crea el Buzón de denuncias y se regula su funcionamiento</w:t>
        </w:r>
      </w:hyperlink>
      <w:r w:rsidRPr="000A793B">
        <w:rPr>
          <w:rFonts w:ascii="Arial" w:hAnsi="Arial"/>
          <w:sz w:val="21"/>
          <w:szCs w:val="21"/>
        </w:rPr>
        <w:t>, con el fin de garantizar la existencia de un canal seguro y accesible para la recepción de denuncias y llevar a cabo con plenas garantías y confidencialidad sus fines específicos.</w:t>
      </w:r>
    </w:p>
    <w:p w14:paraId="72888E42" w14:textId="77777777" w:rsidR="000A793B" w:rsidRPr="000A793B" w:rsidRDefault="000A793B" w:rsidP="00B34FCC">
      <w:pPr>
        <w:spacing w:after="240" w:line="276" w:lineRule="auto"/>
        <w:jc w:val="both"/>
        <w:rPr>
          <w:rFonts w:ascii="Arial" w:hAnsi="Arial"/>
          <w:sz w:val="21"/>
          <w:szCs w:val="21"/>
        </w:rPr>
      </w:pPr>
      <w:r w:rsidRPr="000A793B">
        <w:rPr>
          <w:rFonts w:ascii="Arial" w:hAnsi="Arial"/>
          <w:sz w:val="21"/>
          <w:szCs w:val="21"/>
        </w:rPr>
        <w:t xml:space="preserve">Más tarde, conforme se intensifica su actividad y en aras a mejorar su organización interna se aprueba la </w:t>
      </w:r>
      <w:hyperlink r:id="rId200" w:anchor="boc/iniciativa/clau/189589287465552" w:history="1">
        <w:r w:rsidRPr="000A793B">
          <w:rPr>
            <w:rStyle w:val="Hipervnculo"/>
            <w:rFonts w:ascii="Arial" w:hAnsi="Arial"/>
            <w:sz w:val="21"/>
            <w:szCs w:val="21"/>
          </w:rPr>
          <w:t>Resolución de 7 de enero de 2019, por la que se crea el Consejo de Dirección de la Agencia de Prevención y Lucha contra el Fraude y la Corrupción de la Comunitat Valenciana</w:t>
        </w:r>
      </w:hyperlink>
      <w:r w:rsidRPr="000A793B">
        <w:rPr>
          <w:rFonts w:ascii="Arial" w:hAnsi="Arial"/>
          <w:sz w:val="21"/>
          <w:szCs w:val="21"/>
          <w:u w:val="single"/>
        </w:rPr>
        <w:t>.</w:t>
      </w:r>
      <w:r w:rsidRPr="000A793B">
        <w:rPr>
          <w:rFonts w:ascii="Arial" w:hAnsi="Arial"/>
          <w:sz w:val="21"/>
          <w:szCs w:val="21"/>
        </w:rPr>
        <w:t xml:space="preserve"> Este Consejo de Dirección se constituye como órgano colegiado de asesoramiento y asistencia al director de la Agencia para la deliberación, propuesta y coordinación de las funciones y actuaciones propias de la misma.</w:t>
      </w:r>
    </w:p>
    <w:p w14:paraId="0880A614" w14:textId="77777777" w:rsidR="000A793B" w:rsidRPr="000A793B" w:rsidRDefault="000A793B" w:rsidP="00B34FCC">
      <w:pPr>
        <w:spacing w:after="240" w:line="276" w:lineRule="auto"/>
        <w:jc w:val="both"/>
        <w:rPr>
          <w:rFonts w:ascii="Arial" w:hAnsi="Arial"/>
          <w:sz w:val="21"/>
          <w:szCs w:val="21"/>
          <w:u w:val="single"/>
        </w:rPr>
      </w:pPr>
      <w:r w:rsidRPr="000A793B">
        <w:rPr>
          <w:rFonts w:ascii="Arial" w:hAnsi="Arial"/>
          <w:sz w:val="21"/>
          <w:szCs w:val="21"/>
        </w:rPr>
        <w:t xml:space="preserve">Asimismo, en cumplimiento de lo previsto en el apartado segundo de la disposición transitoria primera de la Ley 11/2016, de 28 de noviembre, de la Generalitat, y como desarrollo reglamentario de la misma se aprueba el </w:t>
      </w:r>
      <w:hyperlink r:id="rId201" w:history="1">
        <w:r w:rsidRPr="000A793B">
          <w:rPr>
            <w:rStyle w:val="Hipervnculo"/>
            <w:rFonts w:ascii="Arial" w:hAnsi="Arial"/>
            <w:sz w:val="21"/>
            <w:szCs w:val="21"/>
          </w:rPr>
          <w:t>Reglamento de funcionamiento y régimen interior de 27 de junio de 2019 de la Agencia (DOGV núm. 8582, de 2. 07.2019)</w:t>
        </w:r>
      </w:hyperlink>
      <w:r w:rsidRPr="000A793B">
        <w:rPr>
          <w:rFonts w:ascii="Arial" w:hAnsi="Arial"/>
          <w:sz w:val="21"/>
          <w:szCs w:val="21"/>
          <w:u w:val="single"/>
        </w:rPr>
        <w:t>.</w:t>
      </w:r>
    </w:p>
    <w:p w14:paraId="47A53601" w14:textId="77777777" w:rsidR="000A793B" w:rsidRPr="000A793B" w:rsidRDefault="000A793B" w:rsidP="00B34FCC">
      <w:pPr>
        <w:spacing w:after="240" w:line="276" w:lineRule="auto"/>
        <w:jc w:val="both"/>
        <w:rPr>
          <w:rFonts w:ascii="Arial" w:hAnsi="Arial"/>
          <w:sz w:val="21"/>
          <w:szCs w:val="21"/>
        </w:rPr>
      </w:pPr>
      <w:r w:rsidRPr="000A793B">
        <w:rPr>
          <w:rFonts w:ascii="Arial" w:hAnsi="Arial"/>
          <w:sz w:val="21"/>
          <w:szCs w:val="21"/>
        </w:rPr>
        <w:t xml:space="preserve">También, en cumplimiento del artículo 25 de la citada Ley 11/2016, </w:t>
      </w:r>
      <w:bookmarkStart w:id="67" w:name="_Hlk95296232"/>
      <w:r w:rsidRPr="000A793B">
        <w:rPr>
          <w:rFonts w:ascii="Arial" w:hAnsi="Arial"/>
          <w:sz w:val="21"/>
          <w:szCs w:val="21"/>
        </w:rPr>
        <w:t xml:space="preserve">mediante </w:t>
      </w:r>
      <w:hyperlink r:id="rId202" w:history="1">
        <w:r w:rsidRPr="000A793B">
          <w:rPr>
            <w:rStyle w:val="Hipervnculo"/>
            <w:rFonts w:ascii="Arial" w:hAnsi="Arial"/>
            <w:sz w:val="21"/>
            <w:szCs w:val="21"/>
          </w:rPr>
          <w:t>Resolución de 12 de febrero de 2019 se crea el Consejo de Participación de la Agencia y se abre plazo dirigido a las organizaciones cívicas interesadas para la presentación de candidaturas (DOGV núm. 8492, de 22.02.2019)</w:t>
        </w:r>
      </w:hyperlink>
      <w:r w:rsidRPr="000A793B">
        <w:rPr>
          <w:rFonts w:ascii="Arial" w:hAnsi="Arial"/>
          <w:sz w:val="21"/>
          <w:szCs w:val="21"/>
        </w:rPr>
        <w:t>,</w:t>
      </w:r>
      <w:r w:rsidRPr="000A793B">
        <w:rPr>
          <w:rFonts w:ascii="Arial" w:hAnsi="Arial"/>
          <w:b/>
          <w:bCs/>
          <w:sz w:val="21"/>
          <w:szCs w:val="21"/>
        </w:rPr>
        <w:t xml:space="preserve"> </w:t>
      </w:r>
      <w:r w:rsidRPr="000A793B">
        <w:rPr>
          <w:rFonts w:ascii="Arial" w:hAnsi="Arial"/>
          <w:sz w:val="21"/>
          <w:szCs w:val="21"/>
        </w:rPr>
        <w:t>y a través de la</w:t>
      </w:r>
      <w:r w:rsidRPr="000A793B">
        <w:rPr>
          <w:rFonts w:ascii="Arial" w:hAnsi="Arial"/>
          <w:b/>
          <w:bCs/>
          <w:sz w:val="21"/>
          <w:szCs w:val="21"/>
        </w:rPr>
        <w:t xml:space="preserve"> </w:t>
      </w:r>
      <w:hyperlink r:id="rId203" w:history="1">
        <w:r w:rsidRPr="000A793B">
          <w:rPr>
            <w:rStyle w:val="Hipervnculo"/>
            <w:rFonts w:ascii="Arial" w:hAnsi="Arial"/>
            <w:sz w:val="21"/>
            <w:szCs w:val="21"/>
          </w:rPr>
          <w:t xml:space="preserve">Resolución de 15 de octubre de 2019 se determina su composición </w:t>
        </w:r>
        <w:bookmarkEnd w:id="67"/>
        <w:r w:rsidRPr="000A793B">
          <w:rPr>
            <w:rStyle w:val="Hipervnculo"/>
            <w:rFonts w:ascii="Arial" w:hAnsi="Arial"/>
            <w:sz w:val="21"/>
            <w:szCs w:val="21"/>
          </w:rPr>
          <w:t>(DOGV núm. 8665, de 28.10.2019).</w:t>
        </w:r>
      </w:hyperlink>
      <w:r w:rsidRPr="000A793B">
        <w:rPr>
          <w:rFonts w:ascii="Arial" w:hAnsi="Arial"/>
          <w:sz w:val="21"/>
          <w:szCs w:val="21"/>
        </w:rPr>
        <w:t xml:space="preserve"> Por medio de este Consejo de Participación, la Agencia rinde cuentas de su gestión a la ciudadanía e impulsa su vinculación con la sociedad civil. </w:t>
      </w:r>
    </w:p>
    <w:p w14:paraId="5F3DCFC1" w14:textId="77777777" w:rsidR="000A793B" w:rsidRPr="000A793B" w:rsidRDefault="000A793B" w:rsidP="00B34FCC">
      <w:pPr>
        <w:spacing w:after="240" w:line="276" w:lineRule="auto"/>
        <w:jc w:val="both"/>
        <w:rPr>
          <w:rFonts w:ascii="Arial" w:hAnsi="Arial"/>
          <w:sz w:val="21"/>
          <w:szCs w:val="21"/>
        </w:rPr>
      </w:pPr>
      <w:r w:rsidRPr="000A793B">
        <w:rPr>
          <w:rFonts w:ascii="Arial" w:hAnsi="Arial"/>
          <w:sz w:val="21"/>
          <w:szCs w:val="21"/>
        </w:rPr>
        <w:t>El Consejo de Participación de la Agencia se encuentra compuesto por una presidencia, ejercida por el director de la Agencia; una vicepresidencia, elegida de entre las organizaciones cívicas de carácter social que trabajan contra el fraude y la corrupción en la Comunitat Valenciana; doce vocalías, integradas por representantes de cada una de las organizaciones cívicas de carácter social que trabajan contra el fraude y la corrupción en la Comunitat Valenciana; y cuatro vocalías, que son personas que se han destacado por su compromiso en defensa de la ética, la lucha contra el fraude y la corrupción, expertas e independientes de reconocido prestigio y cuya trayectoria o actividad, jurídica, académica, social o de cualquier otra índole, está relacionada con las materias y funciones de la Agencia. Además, participan en el Consejo las personas titulares de la Dirección de Prevención, Formación y Documentación, de la Dirección de Análisis e Investigación y de la Jefatura de Gabinete de Relaciones Institucionales, Comunicación y Participación de la Agencia, ejerciendo la secretaría del Consejo, la persona titular de la Dirección de Asuntos Jurídicos.</w:t>
      </w:r>
    </w:p>
    <w:p w14:paraId="06A5FDF0" w14:textId="77777777" w:rsidR="000A793B" w:rsidRPr="000A793B" w:rsidRDefault="000A793B" w:rsidP="00B34FCC">
      <w:pPr>
        <w:spacing w:after="240" w:line="276" w:lineRule="auto"/>
        <w:jc w:val="both"/>
        <w:rPr>
          <w:rFonts w:ascii="Arial" w:hAnsi="Arial"/>
          <w:sz w:val="21"/>
          <w:szCs w:val="21"/>
        </w:rPr>
      </w:pPr>
      <w:r w:rsidRPr="000A793B">
        <w:rPr>
          <w:rFonts w:ascii="Arial" w:hAnsi="Arial"/>
          <w:sz w:val="21"/>
          <w:szCs w:val="21"/>
        </w:rPr>
        <w:t xml:space="preserve">Todas estas disposiciones, que forman parte del marco normativo de la AVAF, se encuentran incorporadas al </w:t>
      </w:r>
      <w:hyperlink r:id="rId204" w:history="1">
        <w:r w:rsidRPr="000A793B">
          <w:rPr>
            <w:rStyle w:val="Hipervnculo"/>
            <w:rFonts w:ascii="Arial" w:hAnsi="Arial"/>
            <w:sz w:val="21"/>
            <w:szCs w:val="21"/>
          </w:rPr>
          <w:t>Código de Lucha contra el Fraude y la Corrupción</w:t>
        </w:r>
      </w:hyperlink>
      <w:r w:rsidRPr="000A793B">
        <w:rPr>
          <w:rFonts w:ascii="Arial" w:hAnsi="Arial"/>
          <w:sz w:val="21"/>
          <w:szCs w:val="21"/>
        </w:rPr>
        <w:t>, el cual puede visualizarse en la página web del Boletín Oficial del Estado.</w:t>
      </w:r>
    </w:p>
    <w:p w14:paraId="3C26F2B0" w14:textId="77777777" w:rsidR="000A793B" w:rsidRPr="000A793B" w:rsidRDefault="000A793B" w:rsidP="00B34FCC">
      <w:pPr>
        <w:spacing w:after="240" w:line="276" w:lineRule="auto"/>
        <w:jc w:val="both"/>
        <w:rPr>
          <w:rFonts w:ascii="Arial" w:hAnsi="Arial"/>
          <w:sz w:val="21"/>
          <w:szCs w:val="21"/>
        </w:rPr>
      </w:pPr>
      <w:r w:rsidRPr="000A793B">
        <w:rPr>
          <w:rFonts w:ascii="Arial" w:hAnsi="Arial"/>
          <w:sz w:val="21"/>
          <w:szCs w:val="21"/>
        </w:rPr>
        <w:t xml:space="preserve">Además, resulta necesario destacar, a los efectos de la aplicación de la Ley 11/2016, de 28 de noviembre, de la Generalitat, y de su Reglamento de funcionamiento y régimen interior de 27 de junio de 2019, la aprobación de la </w:t>
      </w:r>
      <w:hyperlink r:id="rId205" w:history="1">
        <w:r w:rsidRPr="000A793B">
          <w:rPr>
            <w:rStyle w:val="Hipervnculo"/>
            <w:rFonts w:ascii="Arial" w:hAnsi="Arial"/>
            <w:sz w:val="21"/>
            <w:szCs w:val="21"/>
          </w:rPr>
          <w:t>Resolución de 5 de octubre de 2020, por la que se concreta el ámbito de actuación material de la AVAF</w:t>
        </w:r>
      </w:hyperlink>
      <w:r w:rsidRPr="000A793B">
        <w:rPr>
          <w:rFonts w:ascii="Arial" w:hAnsi="Arial"/>
          <w:sz w:val="21"/>
          <w:szCs w:val="21"/>
        </w:rPr>
        <w:t>, en la que se delimitan los conceptos de corrupción, fraude, irregularidades administrativas y comportamientos constitutivos de infracción administrativa o disciplinaria, así como conductas y actividades reprochables, todos ellos hechos y conductas en los que la AVAF interviene desde sus diferentes Direcciones funcionales.</w:t>
      </w:r>
    </w:p>
    <w:p w14:paraId="55494D84" w14:textId="166F48FB" w:rsidR="000A793B" w:rsidRPr="000A793B" w:rsidRDefault="000A793B" w:rsidP="00B34FCC">
      <w:pPr>
        <w:spacing w:after="240" w:line="276" w:lineRule="auto"/>
        <w:jc w:val="both"/>
        <w:rPr>
          <w:rFonts w:ascii="Arial" w:hAnsi="Arial"/>
          <w:sz w:val="21"/>
          <w:szCs w:val="21"/>
        </w:rPr>
      </w:pPr>
      <w:r w:rsidRPr="000A793B">
        <w:rPr>
          <w:rFonts w:ascii="Arial" w:hAnsi="Arial"/>
          <w:sz w:val="21"/>
          <w:szCs w:val="21"/>
        </w:rPr>
        <w:t xml:space="preserve">Por último, conviene mencionar que el Pleno de las Corts Valencianes en la sesión de 27 de mayo de 2021 aprobó la </w:t>
      </w:r>
      <w:hyperlink r:id="rId206" w:history="1">
        <w:r w:rsidRPr="000A793B">
          <w:rPr>
            <w:rStyle w:val="Hipervnculo"/>
            <w:rFonts w:ascii="Arial" w:hAnsi="Arial"/>
            <w:sz w:val="21"/>
            <w:szCs w:val="21"/>
          </w:rPr>
          <w:t>Resolución</w:t>
        </w:r>
        <w:r w:rsidR="0038226A">
          <w:rPr>
            <w:rStyle w:val="Hipervnculo"/>
            <w:rFonts w:ascii="Arial" w:hAnsi="Arial"/>
            <w:sz w:val="21"/>
            <w:szCs w:val="21"/>
          </w:rPr>
          <w:t xml:space="preserve"> núm.</w:t>
        </w:r>
        <w:r w:rsidRPr="000A793B">
          <w:rPr>
            <w:rStyle w:val="Hipervnculo"/>
            <w:rFonts w:ascii="Arial" w:hAnsi="Arial"/>
            <w:sz w:val="21"/>
            <w:szCs w:val="21"/>
          </w:rPr>
          <w:t xml:space="preserve"> 350/X, sobre apoyo al trabajo de investigación de la corrupción y prevención del fraude de la Agencia Valenciana Antifraude</w:t>
        </w:r>
      </w:hyperlink>
      <w:r w:rsidRPr="000A793B">
        <w:rPr>
          <w:rFonts w:ascii="Arial" w:hAnsi="Arial"/>
          <w:sz w:val="21"/>
          <w:szCs w:val="21"/>
        </w:rPr>
        <w:t xml:space="preserve"> (BOCV núm. 170 de 2.06.2021), cuya parte dispositiva recoge, de modo literal, lo siguiente:</w:t>
      </w:r>
    </w:p>
    <w:p w14:paraId="5443FB93" w14:textId="77777777" w:rsidR="000A793B" w:rsidRPr="002378CD" w:rsidRDefault="000A793B" w:rsidP="00B34FCC">
      <w:pPr>
        <w:spacing w:after="240" w:line="276" w:lineRule="auto"/>
        <w:ind w:left="709"/>
        <w:contextualSpacing/>
        <w:jc w:val="both"/>
        <w:rPr>
          <w:rFonts w:ascii="Arial" w:hAnsi="Arial"/>
          <w:sz w:val="20"/>
          <w:szCs w:val="20"/>
        </w:rPr>
      </w:pPr>
      <w:r w:rsidRPr="002378CD">
        <w:rPr>
          <w:rFonts w:ascii="Arial" w:hAnsi="Arial"/>
          <w:sz w:val="20"/>
          <w:szCs w:val="20"/>
        </w:rPr>
        <w:t>“Las Corts Valencianes declaran:</w:t>
      </w:r>
    </w:p>
    <w:p w14:paraId="4F17138A" w14:textId="77777777" w:rsidR="000A793B" w:rsidRPr="002378CD" w:rsidRDefault="000A793B" w:rsidP="00B34FCC">
      <w:pPr>
        <w:spacing w:after="240" w:line="276" w:lineRule="auto"/>
        <w:ind w:left="709"/>
        <w:contextualSpacing/>
        <w:jc w:val="both"/>
        <w:rPr>
          <w:rFonts w:ascii="Arial" w:hAnsi="Arial"/>
          <w:sz w:val="20"/>
          <w:szCs w:val="20"/>
        </w:rPr>
      </w:pPr>
      <w:r w:rsidRPr="002378CD">
        <w:rPr>
          <w:rFonts w:ascii="Arial" w:hAnsi="Arial"/>
          <w:sz w:val="20"/>
          <w:szCs w:val="20"/>
        </w:rPr>
        <w:t>1. La condena a la corrupción y el fraude en la Comunitat Valenciana.</w:t>
      </w:r>
    </w:p>
    <w:p w14:paraId="43556681" w14:textId="77777777" w:rsidR="000A793B" w:rsidRPr="002378CD" w:rsidRDefault="000A793B" w:rsidP="00B34FCC">
      <w:pPr>
        <w:spacing w:after="240" w:line="276" w:lineRule="auto"/>
        <w:ind w:left="709"/>
        <w:contextualSpacing/>
        <w:jc w:val="both"/>
        <w:rPr>
          <w:rFonts w:ascii="Arial" w:hAnsi="Arial"/>
          <w:sz w:val="20"/>
          <w:szCs w:val="20"/>
        </w:rPr>
      </w:pPr>
      <w:r w:rsidRPr="002378CD">
        <w:rPr>
          <w:rFonts w:ascii="Arial" w:hAnsi="Arial"/>
          <w:sz w:val="20"/>
          <w:szCs w:val="20"/>
        </w:rPr>
        <w:t>2. El apoyo firme al trabajo de investigación de la Agencia Valenciana Antifraude en su lucha contra el fraude y la corrupción.</w:t>
      </w:r>
    </w:p>
    <w:p w14:paraId="3E4A46BE" w14:textId="77777777" w:rsidR="000A793B" w:rsidRPr="002378CD" w:rsidRDefault="000A793B" w:rsidP="00B34FCC">
      <w:pPr>
        <w:spacing w:after="240" w:line="276" w:lineRule="auto"/>
        <w:ind w:left="709"/>
        <w:contextualSpacing/>
        <w:jc w:val="both"/>
        <w:rPr>
          <w:rFonts w:ascii="Arial" w:hAnsi="Arial"/>
          <w:sz w:val="20"/>
          <w:szCs w:val="20"/>
        </w:rPr>
      </w:pPr>
      <w:r w:rsidRPr="002378CD">
        <w:rPr>
          <w:rFonts w:ascii="Arial" w:hAnsi="Arial"/>
          <w:sz w:val="20"/>
          <w:szCs w:val="20"/>
        </w:rPr>
        <w:t>3. La necesidad de garantizar la independencia y confidencialidad del trabajo que lleva a cabo la Agencia Valenciana Antifraude, como órgano independiente adscrito únicamente a las Corts Valencianes.</w:t>
      </w:r>
    </w:p>
    <w:p w14:paraId="4288C5BC" w14:textId="77777777" w:rsidR="000A793B" w:rsidRPr="000A793B" w:rsidRDefault="000A793B" w:rsidP="00B34FCC">
      <w:pPr>
        <w:spacing w:after="240" w:line="276" w:lineRule="auto"/>
        <w:ind w:left="709"/>
        <w:jc w:val="both"/>
        <w:rPr>
          <w:rFonts w:ascii="Arial" w:hAnsi="Arial"/>
          <w:sz w:val="21"/>
          <w:szCs w:val="21"/>
        </w:rPr>
      </w:pPr>
      <w:r w:rsidRPr="002378CD">
        <w:rPr>
          <w:rFonts w:ascii="Arial" w:hAnsi="Arial"/>
          <w:sz w:val="20"/>
          <w:szCs w:val="20"/>
        </w:rPr>
        <w:t>4. El compromiso de todos los grupos parlamentarios a respetar esa confidencialidad y a permitir el trabajo de investigación en los expedientes que requieran esa confidencialidad en la lucha contra el fraude y la corrupción.”</w:t>
      </w:r>
    </w:p>
    <w:p w14:paraId="3F5B0649" w14:textId="2C6E4239" w:rsidR="000A793B" w:rsidRPr="000A793B" w:rsidRDefault="000A793B" w:rsidP="00B34FCC">
      <w:pPr>
        <w:spacing w:after="240" w:line="276" w:lineRule="auto"/>
        <w:jc w:val="both"/>
        <w:rPr>
          <w:rFonts w:ascii="Arial" w:hAnsi="Arial"/>
          <w:sz w:val="21"/>
          <w:szCs w:val="21"/>
        </w:rPr>
      </w:pPr>
      <w:r w:rsidRPr="000A793B">
        <w:rPr>
          <w:rFonts w:ascii="Arial" w:hAnsi="Arial"/>
          <w:sz w:val="21"/>
          <w:szCs w:val="21"/>
        </w:rPr>
        <w:t xml:space="preserve">Esta Resolución de las Corts se produce tras reiteradas solicitudes de acceso a la información sobre expedientes de investigación en trámite abiertas en la Agencia que, con base en el </w:t>
      </w:r>
      <w:hyperlink r:id="rId207" w:history="1">
        <w:r w:rsidRPr="000A793B">
          <w:rPr>
            <w:rStyle w:val="Hipervnculo"/>
            <w:rFonts w:ascii="Arial" w:hAnsi="Arial"/>
            <w:sz w:val="21"/>
            <w:szCs w:val="21"/>
          </w:rPr>
          <w:t>artículo 12 del Reglamento de las Corts</w:t>
        </w:r>
      </w:hyperlink>
      <w:r w:rsidRPr="000A793B">
        <w:rPr>
          <w:rFonts w:ascii="Arial" w:hAnsi="Arial"/>
          <w:sz w:val="21"/>
          <w:szCs w:val="21"/>
        </w:rPr>
        <w:t xml:space="preserve">, han venido realizando algunos Grupos Parlamentarios, y sobre las que se puso de relieve su colisión con la necesaria confidencialidad de las actuaciones de </w:t>
      </w:r>
      <w:r w:rsidR="00FC788F">
        <w:rPr>
          <w:rFonts w:ascii="Arial" w:hAnsi="Arial"/>
          <w:sz w:val="21"/>
          <w:szCs w:val="21"/>
        </w:rPr>
        <w:t xml:space="preserve">la </w:t>
      </w:r>
      <w:r w:rsidRPr="000A793B">
        <w:rPr>
          <w:rFonts w:ascii="Arial" w:hAnsi="Arial"/>
          <w:sz w:val="21"/>
          <w:szCs w:val="21"/>
        </w:rPr>
        <w:t>AVAF, en especial, mientras no haya finalizado la investigación.</w:t>
      </w:r>
    </w:p>
    <w:p w14:paraId="68895D1B" w14:textId="1677509F" w:rsidR="000A793B" w:rsidRPr="000A793B" w:rsidRDefault="000A793B" w:rsidP="00B34FCC">
      <w:pPr>
        <w:spacing w:after="240" w:line="276" w:lineRule="auto"/>
        <w:jc w:val="both"/>
        <w:rPr>
          <w:rFonts w:ascii="Arial" w:hAnsi="Arial"/>
          <w:b/>
          <w:bCs/>
          <w:sz w:val="21"/>
          <w:szCs w:val="21"/>
        </w:rPr>
      </w:pPr>
      <w:r w:rsidRPr="000A793B">
        <w:rPr>
          <w:rFonts w:ascii="Arial" w:hAnsi="Arial"/>
          <w:sz w:val="21"/>
          <w:szCs w:val="21"/>
        </w:rPr>
        <w:t>Al respecto, la Agencia ha defendido que el propio Reglamento de l</w:t>
      </w:r>
      <w:r w:rsidR="00D36DE1">
        <w:rPr>
          <w:rFonts w:ascii="Arial" w:hAnsi="Arial"/>
          <w:sz w:val="21"/>
          <w:szCs w:val="21"/>
        </w:rPr>
        <w:t>a</w:t>
      </w:r>
      <w:r w:rsidRPr="000A793B">
        <w:rPr>
          <w:rFonts w:ascii="Arial" w:hAnsi="Arial"/>
          <w:sz w:val="21"/>
          <w:szCs w:val="21"/>
        </w:rPr>
        <w:t>s Corts reconoce la existencia de razones jurídicas, por tal debe entenderse el término “fundadas en derecho”, en el mismo artículo 12, que impiden facilitar la documentación solicitada por los parlamentarios y parlamentarias.</w:t>
      </w:r>
      <w:r w:rsidRPr="000A793B">
        <w:rPr>
          <w:rFonts w:ascii="Arial" w:hAnsi="Arial"/>
          <w:b/>
          <w:bCs/>
          <w:sz w:val="21"/>
          <w:szCs w:val="21"/>
        </w:rPr>
        <w:t xml:space="preserve"> </w:t>
      </w:r>
    </w:p>
    <w:p w14:paraId="56F737DE" w14:textId="77777777" w:rsidR="000A793B" w:rsidRPr="000A793B" w:rsidRDefault="000A793B" w:rsidP="00B34FCC">
      <w:pPr>
        <w:spacing w:after="240" w:line="276" w:lineRule="auto"/>
        <w:jc w:val="both"/>
        <w:rPr>
          <w:rFonts w:ascii="Arial" w:hAnsi="Arial"/>
          <w:b/>
          <w:bCs/>
          <w:sz w:val="21"/>
          <w:szCs w:val="21"/>
        </w:rPr>
      </w:pPr>
      <w:r w:rsidRPr="000A793B">
        <w:rPr>
          <w:rFonts w:ascii="Arial" w:hAnsi="Arial"/>
          <w:sz w:val="21"/>
          <w:szCs w:val="21"/>
        </w:rPr>
        <w:t xml:space="preserve">Así, se considera que estas razones fundadas en derecho son las previstas en este caso en una norma con categoría de Ley, la propia </w:t>
      </w:r>
      <w:hyperlink r:id="rId208" w:history="1">
        <w:r w:rsidRPr="000A793B">
          <w:rPr>
            <w:rStyle w:val="Hipervnculo"/>
            <w:rFonts w:ascii="Arial" w:hAnsi="Arial"/>
            <w:sz w:val="21"/>
            <w:szCs w:val="21"/>
          </w:rPr>
          <w:t>Ley 11/2016 y, en concreto en su artículo 8</w:t>
        </w:r>
      </w:hyperlink>
      <w:r w:rsidRPr="000A793B">
        <w:rPr>
          <w:rFonts w:ascii="Arial" w:hAnsi="Arial"/>
          <w:sz w:val="21"/>
          <w:szCs w:val="21"/>
        </w:rPr>
        <w:t>, como salvaguarda del buen fin de la investigación y de derechos que son fundamentales. Así, entre otros, el derecho a la defensa del investigado y a la presunción de inocencia, o el derecho a la indemnidad, entendido en sentido amplio, que corresponde a los denunciantes, testigos y cualquier persona que colabora con las investigaciones.</w:t>
      </w:r>
    </w:p>
    <w:p w14:paraId="2837A004" w14:textId="77777777" w:rsidR="000A793B" w:rsidRPr="000A793B" w:rsidRDefault="000A793B" w:rsidP="00B34FCC">
      <w:pPr>
        <w:spacing w:after="240" w:line="276" w:lineRule="auto"/>
        <w:jc w:val="both"/>
        <w:rPr>
          <w:rFonts w:ascii="Arial" w:hAnsi="Arial"/>
          <w:sz w:val="21"/>
          <w:szCs w:val="21"/>
        </w:rPr>
      </w:pPr>
      <w:r w:rsidRPr="000A793B">
        <w:rPr>
          <w:rFonts w:ascii="Arial" w:hAnsi="Arial"/>
          <w:sz w:val="21"/>
          <w:szCs w:val="21"/>
        </w:rPr>
        <w:t xml:space="preserve">En este mismo sentido, la </w:t>
      </w:r>
      <w:hyperlink r:id="rId209" w:history="1">
        <w:r w:rsidRPr="000A793B">
          <w:rPr>
            <w:rStyle w:val="Hipervnculo"/>
            <w:rFonts w:ascii="Arial" w:hAnsi="Arial"/>
            <w:sz w:val="21"/>
            <w:szCs w:val="21"/>
          </w:rPr>
          <w:t xml:space="preserve">Ley 2/2015, de 2 de abril, de Transparencia, Buen Gobierno y Participación Ciudadana de la </w:t>
        </w:r>
        <w:r w:rsidRPr="002378CD">
          <w:rPr>
            <w:rStyle w:val="Hipervnculo"/>
            <w:rFonts w:ascii="Arial" w:hAnsi="Arial"/>
            <w:sz w:val="21"/>
            <w:szCs w:val="21"/>
          </w:rPr>
          <w:t>Comunitat</w:t>
        </w:r>
        <w:r w:rsidRPr="000A793B">
          <w:rPr>
            <w:rStyle w:val="Hipervnculo"/>
            <w:rFonts w:ascii="Arial" w:hAnsi="Arial"/>
            <w:sz w:val="21"/>
            <w:szCs w:val="21"/>
          </w:rPr>
          <w:t xml:space="preserve"> Valenciana en su artículo 12</w:t>
        </w:r>
      </w:hyperlink>
      <w:r w:rsidRPr="000A793B">
        <w:rPr>
          <w:rFonts w:ascii="Arial" w:hAnsi="Arial"/>
          <w:b/>
          <w:bCs/>
          <w:sz w:val="21"/>
          <w:szCs w:val="21"/>
        </w:rPr>
        <w:t xml:space="preserve"> </w:t>
      </w:r>
      <w:r w:rsidRPr="000A793B">
        <w:rPr>
          <w:rFonts w:ascii="Arial" w:hAnsi="Arial"/>
          <w:sz w:val="21"/>
          <w:szCs w:val="21"/>
        </w:rPr>
        <w:t xml:space="preserve">remite al </w:t>
      </w:r>
      <w:hyperlink r:id="rId210" w:history="1">
        <w:r w:rsidRPr="000A793B">
          <w:rPr>
            <w:rStyle w:val="Hipervnculo"/>
            <w:rFonts w:ascii="Arial" w:hAnsi="Arial"/>
            <w:sz w:val="21"/>
            <w:szCs w:val="21"/>
          </w:rPr>
          <w:t>artículo 14 de la Ley 19/2013, de 9 de diciembre, de Transparencia, Acceso a la Información Pública y Buen Gobierno</w:t>
        </w:r>
      </w:hyperlink>
      <w:r w:rsidRPr="000A793B">
        <w:rPr>
          <w:rFonts w:ascii="Arial" w:hAnsi="Arial"/>
          <w:sz w:val="21"/>
          <w:szCs w:val="21"/>
        </w:rPr>
        <w:t>, el cual establece que el derecho de acceso a la información podrá ser limitado cuando acceder a ella suponga un perjuicio, ya sea para la investigación y sanción de ilícitos penales, administrativos o disciplinarios, ya sea para las funciones administrativas de vigilancia, inspección y control, así como para la salvaguarda de la garantía de la confidencialidad o el secreto requerido en los procesos de toma de decisión.</w:t>
      </w:r>
    </w:p>
    <w:p w14:paraId="6876F0C6" w14:textId="6EA66649" w:rsidR="00B95A40" w:rsidRDefault="000A793B" w:rsidP="00B34FCC">
      <w:pPr>
        <w:spacing w:after="240" w:line="276" w:lineRule="auto"/>
        <w:jc w:val="both"/>
        <w:rPr>
          <w:rFonts w:ascii="Arial" w:hAnsi="Arial"/>
          <w:sz w:val="21"/>
          <w:szCs w:val="21"/>
        </w:rPr>
      </w:pPr>
      <w:r w:rsidRPr="000A793B">
        <w:rPr>
          <w:rFonts w:ascii="Arial" w:hAnsi="Arial"/>
          <w:sz w:val="21"/>
          <w:szCs w:val="21"/>
        </w:rPr>
        <w:t>En el apartado 3.4.5. de esta Memoria se recogen las solicitudes que hasta la fecha ha recibido esta Agencia en relación con el acceso a expedientes de investigación en trámite por parte de distintos Grupos Parlamentarios de las Corts Valencianes.</w:t>
      </w:r>
    </w:p>
    <w:p w14:paraId="6E706F6A" w14:textId="77777777" w:rsidR="00E928EE" w:rsidRPr="00E928EE" w:rsidRDefault="00E928EE" w:rsidP="00DC1B01">
      <w:pPr>
        <w:pStyle w:val="Prrafodelista"/>
        <w:keepNext/>
        <w:numPr>
          <w:ilvl w:val="2"/>
          <w:numId w:val="16"/>
        </w:numPr>
        <w:suppressAutoHyphens/>
        <w:spacing w:before="360" w:after="240" w:line="276" w:lineRule="auto"/>
        <w:ind w:left="993" w:hanging="993"/>
        <w:jc w:val="both"/>
        <w:outlineLvl w:val="2"/>
        <w:rPr>
          <w:rFonts w:ascii="Arial" w:eastAsia="Times New Roman" w:hAnsi="Arial" w:cs="Arial"/>
          <w:b/>
          <w:color w:val="9D2235"/>
          <w:sz w:val="28"/>
          <w:szCs w:val="28"/>
        </w:rPr>
      </w:pPr>
      <w:bookmarkStart w:id="68" w:name="_Toc99106992"/>
      <w:bookmarkStart w:id="69" w:name="_Toc67646242"/>
      <w:bookmarkStart w:id="70" w:name="_Hlk95301437"/>
      <w:r w:rsidRPr="00E928EE">
        <w:rPr>
          <w:rFonts w:ascii="Arial" w:eastAsia="Times New Roman" w:hAnsi="Arial" w:cs="Arial"/>
          <w:b/>
          <w:color w:val="9D2235"/>
          <w:sz w:val="28"/>
          <w:szCs w:val="28"/>
        </w:rPr>
        <w:t>Plan anual normativo AVAF</w:t>
      </w:r>
      <w:bookmarkEnd w:id="68"/>
      <w:r w:rsidRPr="00743B74">
        <w:rPr>
          <w:rFonts w:ascii="Arial" w:eastAsia="Times New Roman" w:hAnsi="Arial" w:cs="Arial"/>
          <w:b/>
          <w:color w:val="9D2235"/>
          <w:sz w:val="28"/>
          <w:szCs w:val="28"/>
        </w:rPr>
        <w:t xml:space="preserve"> </w:t>
      </w:r>
      <w:bookmarkEnd w:id="69"/>
    </w:p>
    <w:bookmarkEnd w:id="70"/>
    <w:p w14:paraId="476C58DD" w14:textId="77777777" w:rsidR="00E928EE" w:rsidRPr="00435535" w:rsidRDefault="00E928EE" w:rsidP="00E928EE">
      <w:pPr>
        <w:spacing w:after="240" w:line="276" w:lineRule="auto"/>
        <w:jc w:val="both"/>
        <w:rPr>
          <w:rFonts w:ascii="Arial" w:eastAsia="SimSun" w:hAnsi="Arial" w:cs="Arial"/>
          <w:kern w:val="2"/>
          <w:sz w:val="21"/>
          <w:szCs w:val="21"/>
          <w:lang w:eastAsia="zh-CN" w:bidi="hi-IN"/>
        </w:rPr>
      </w:pPr>
      <w:r w:rsidRPr="00743B74">
        <w:rPr>
          <w:rFonts w:ascii="Arial" w:eastAsia="SimSun" w:hAnsi="Arial" w:cs="Arial"/>
          <w:kern w:val="2"/>
          <w:sz w:val="21"/>
          <w:szCs w:val="21"/>
          <w:lang w:eastAsia="zh-CN" w:bidi="hi-IN"/>
        </w:rPr>
        <w:t xml:space="preserve">A finales del año 2020 y conforme quedó recogido en la Memoria de </w:t>
      </w:r>
      <w:r>
        <w:rPr>
          <w:rFonts w:ascii="Arial" w:eastAsia="SimSun" w:hAnsi="Arial" w:cs="Arial"/>
          <w:kern w:val="2"/>
          <w:sz w:val="21"/>
          <w:szCs w:val="21"/>
          <w:lang w:eastAsia="zh-CN" w:bidi="hi-IN"/>
        </w:rPr>
        <w:t>a</w:t>
      </w:r>
      <w:r w:rsidRPr="00743B74">
        <w:rPr>
          <w:rFonts w:ascii="Arial" w:eastAsia="SimSun" w:hAnsi="Arial" w:cs="Arial"/>
          <w:kern w:val="2"/>
          <w:sz w:val="21"/>
          <w:szCs w:val="21"/>
          <w:lang w:eastAsia="zh-CN" w:bidi="hi-IN"/>
        </w:rPr>
        <w:t>ctividades anterior</w:t>
      </w:r>
      <w:r>
        <w:rPr>
          <w:rFonts w:ascii="Arial" w:eastAsia="SimSun" w:hAnsi="Arial" w:cs="Arial"/>
          <w:kern w:val="2"/>
          <w:sz w:val="21"/>
          <w:szCs w:val="21"/>
          <w:lang w:eastAsia="zh-CN" w:bidi="hi-IN"/>
        </w:rPr>
        <w:t xml:space="preserve"> a esta</w:t>
      </w:r>
      <w:r w:rsidRPr="00743B74">
        <w:rPr>
          <w:rFonts w:ascii="Arial" w:eastAsia="SimSun" w:hAnsi="Arial" w:cs="Arial"/>
          <w:kern w:val="2"/>
          <w:sz w:val="21"/>
          <w:szCs w:val="21"/>
          <w:lang w:eastAsia="zh-CN" w:bidi="hi-IN"/>
        </w:rPr>
        <w:t xml:space="preserve">, la Agencia aprobó, en cumplimiento del artículo 132 de la Ley 39/2015, de 1 de octubre, de </w:t>
      </w:r>
      <w:r w:rsidRPr="00435535">
        <w:rPr>
          <w:rFonts w:ascii="Arial" w:eastAsia="SimSun" w:hAnsi="Arial" w:cs="Arial"/>
          <w:kern w:val="2"/>
          <w:sz w:val="21"/>
          <w:szCs w:val="21"/>
          <w:lang w:eastAsia="zh-CN" w:bidi="hi-IN"/>
        </w:rPr>
        <w:t xml:space="preserve">Procedimiento Administrativo Común de las Administraciones Públicas, su Plan anual normativo </w:t>
      </w:r>
      <w:r w:rsidRPr="00E36950">
        <w:rPr>
          <w:rFonts w:ascii="Arial" w:eastAsia="SimSun" w:hAnsi="Arial" w:cs="Arial"/>
          <w:kern w:val="2"/>
          <w:sz w:val="21"/>
          <w:szCs w:val="21"/>
          <w:lang w:eastAsia="zh-CN" w:bidi="hi-IN"/>
        </w:rPr>
        <w:t xml:space="preserve">mediante </w:t>
      </w:r>
      <w:hyperlink r:id="rId211" w:history="1">
        <w:r w:rsidRPr="002378CD">
          <w:rPr>
            <w:rFonts w:ascii="Arial" w:eastAsia="SimSun" w:hAnsi="Arial" w:cs="Arial"/>
            <w:color w:val="000080"/>
            <w:kern w:val="2"/>
            <w:sz w:val="21"/>
            <w:szCs w:val="21"/>
            <w:u w:val="single"/>
            <w:lang w:eastAsia="zh-CN" w:bidi="hi-IN"/>
          </w:rPr>
          <w:t>Resolución núm. 671/2020, de 30 de diciembre, del director de la Agencia, por la que se aprueba el Plan anual normativo de la Agencia para el año 2021</w:t>
        </w:r>
      </w:hyperlink>
      <w:r w:rsidRPr="00E36950">
        <w:rPr>
          <w:rFonts w:ascii="Arial" w:eastAsia="SimSun" w:hAnsi="Arial" w:cs="Arial"/>
          <w:kern w:val="2"/>
          <w:sz w:val="21"/>
          <w:szCs w:val="21"/>
          <w:lang w:eastAsia="zh-CN" w:bidi="hi-IN"/>
        </w:rPr>
        <w:t>, disponible en su página web, en el</w:t>
      </w:r>
      <w:r w:rsidRPr="00435535">
        <w:rPr>
          <w:rFonts w:ascii="Arial" w:eastAsia="SimSun" w:hAnsi="Arial" w:cs="Arial"/>
          <w:kern w:val="2"/>
          <w:sz w:val="21"/>
          <w:szCs w:val="21"/>
          <w:lang w:eastAsia="zh-CN" w:bidi="hi-IN"/>
        </w:rPr>
        <w:t xml:space="preserve"> apartado “Planes Anuales Normativos de la AVAF”, en </w:t>
      </w:r>
      <w:hyperlink r:id="rId212" w:history="1">
        <w:r w:rsidRPr="002378CD">
          <w:rPr>
            <w:rFonts w:ascii="Arial" w:eastAsia="SimSun" w:hAnsi="Arial" w:cs="Arial"/>
            <w:color w:val="000080"/>
            <w:kern w:val="2"/>
            <w:sz w:val="21"/>
            <w:szCs w:val="21"/>
            <w:u w:val="single"/>
            <w:lang w:eastAsia="zh-CN" w:bidi="hi-IN"/>
          </w:rPr>
          <w:t>https://www.antifraucv.es/informacion-de-relevancia-juridica/</w:t>
        </w:r>
      </w:hyperlink>
      <w:r w:rsidRPr="002378CD">
        <w:rPr>
          <w:rFonts w:ascii="Arial" w:eastAsia="SimSun" w:hAnsi="Arial" w:cs="Arial"/>
          <w:color w:val="000080"/>
          <w:kern w:val="2"/>
          <w:sz w:val="21"/>
          <w:szCs w:val="21"/>
          <w:u w:val="single"/>
          <w:lang w:eastAsia="zh-CN" w:bidi="hi-IN"/>
        </w:rPr>
        <w:t>.</w:t>
      </w:r>
    </w:p>
    <w:p w14:paraId="0797E20D" w14:textId="77777777" w:rsidR="00E928EE" w:rsidRPr="00743B74" w:rsidRDefault="00E928EE" w:rsidP="00E928EE">
      <w:pPr>
        <w:spacing w:after="240" w:line="276" w:lineRule="auto"/>
        <w:jc w:val="both"/>
        <w:rPr>
          <w:rFonts w:ascii="Arial" w:eastAsia="SimSun" w:hAnsi="Arial" w:cs="Arial"/>
          <w:kern w:val="2"/>
          <w:sz w:val="21"/>
          <w:szCs w:val="21"/>
          <w:lang w:eastAsia="zh-CN" w:bidi="hi-IN"/>
        </w:rPr>
      </w:pPr>
      <w:r w:rsidRPr="00743B74">
        <w:rPr>
          <w:rFonts w:ascii="Arial" w:eastAsia="SimSun" w:hAnsi="Arial" w:cs="Arial"/>
          <w:kern w:val="2"/>
          <w:sz w:val="21"/>
          <w:szCs w:val="21"/>
          <w:lang w:eastAsia="zh-CN" w:bidi="hi-IN"/>
        </w:rPr>
        <w:t xml:space="preserve">El citado Plan para el ejercicio 2021 contenía dos propuestas de normas que a lo largo del referido ejercicio alcanzaron distintos grados de tramitación. </w:t>
      </w:r>
    </w:p>
    <w:p w14:paraId="50172DDD" w14:textId="77777777" w:rsidR="00E928EE" w:rsidRPr="00743B74" w:rsidRDefault="00E928EE" w:rsidP="00E928EE">
      <w:pPr>
        <w:spacing w:after="240" w:line="276" w:lineRule="auto"/>
        <w:jc w:val="both"/>
        <w:rPr>
          <w:rFonts w:ascii="Arial" w:eastAsia="SimSun" w:hAnsi="Arial" w:cs="Arial"/>
          <w:kern w:val="2"/>
          <w:sz w:val="21"/>
          <w:szCs w:val="21"/>
          <w:lang w:eastAsia="zh-CN" w:bidi="hi-IN"/>
        </w:rPr>
      </w:pPr>
      <w:r w:rsidRPr="00743B74">
        <w:rPr>
          <w:rFonts w:ascii="Arial" w:eastAsia="SimSun" w:hAnsi="Arial" w:cs="Arial"/>
          <w:kern w:val="2"/>
          <w:sz w:val="21"/>
          <w:szCs w:val="21"/>
          <w:lang w:eastAsia="zh-CN" w:bidi="hi-IN"/>
        </w:rPr>
        <w:t>En cuanto a la primera propuesta de norma del Plan,</w:t>
      </w:r>
      <w:r>
        <w:rPr>
          <w:rFonts w:ascii="Arial" w:eastAsia="SimSun" w:hAnsi="Arial" w:cs="Arial"/>
          <w:kern w:val="2"/>
          <w:sz w:val="21"/>
          <w:szCs w:val="21"/>
          <w:lang w:eastAsia="zh-CN" w:bidi="hi-IN"/>
        </w:rPr>
        <w:t xml:space="preserve"> esta</w:t>
      </w:r>
      <w:r w:rsidRPr="00743B74">
        <w:rPr>
          <w:rFonts w:ascii="Arial" w:eastAsia="SimSun" w:hAnsi="Arial" w:cs="Arial"/>
          <w:kern w:val="2"/>
          <w:sz w:val="21"/>
          <w:szCs w:val="21"/>
          <w:lang w:eastAsia="zh-CN" w:bidi="hi-IN"/>
        </w:rPr>
        <w:t xml:space="preserve"> </w:t>
      </w:r>
      <w:r>
        <w:rPr>
          <w:rFonts w:ascii="Arial" w:eastAsia="SimSun" w:hAnsi="Arial" w:cs="Arial"/>
          <w:kern w:val="2"/>
          <w:sz w:val="21"/>
          <w:szCs w:val="21"/>
          <w:lang w:eastAsia="zh-CN" w:bidi="hi-IN"/>
        </w:rPr>
        <w:t xml:space="preserve">era relativa </w:t>
      </w:r>
      <w:r w:rsidRPr="00743B74">
        <w:rPr>
          <w:rFonts w:ascii="Arial" w:eastAsia="SimSun" w:hAnsi="Arial" w:cs="Arial"/>
          <w:kern w:val="2"/>
          <w:sz w:val="21"/>
          <w:szCs w:val="21"/>
          <w:lang w:eastAsia="zh-CN" w:bidi="hi-IN"/>
        </w:rPr>
        <w:t xml:space="preserve">a la </w:t>
      </w:r>
      <w:r w:rsidRPr="00743B74">
        <w:rPr>
          <w:rFonts w:ascii="Arial" w:eastAsia="SimSun" w:hAnsi="Arial" w:cs="Arial"/>
          <w:b/>
          <w:bCs/>
          <w:kern w:val="2"/>
          <w:sz w:val="21"/>
          <w:szCs w:val="21"/>
          <w:lang w:eastAsia="zh-CN" w:bidi="hi-IN"/>
        </w:rPr>
        <w:t xml:space="preserve">modificación puntual del Reglamento de funcionamiento y régimen interior de la Agencia de 27 de junio de 2019, </w:t>
      </w:r>
      <w:r w:rsidRPr="00743B74">
        <w:rPr>
          <w:rFonts w:ascii="Arial" w:eastAsia="SimSun" w:hAnsi="Arial" w:cs="Arial"/>
          <w:kern w:val="2"/>
          <w:sz w:val="21"/>
          <w:szCs w:val="21"/>
          <w:lang w:eastAsia="zh-CN" w:bidi="hi-IN"/>
        </w:rPr>
        <w:t xml:space="preserve">cuyo objeto era crear la Dirección Adjunta a la Dirección de la Agencia, de naturaleza administrativa y funcionarial, </w:t>
      </w:r>
      <w:r>
        <w:rPr>
          <w:rFonts w:ascii="Arial" w:eastAsia="SimSun" w:hAnsi="Arial" w:cs="Arial"/>
          <w:kern w:val="2"/>
          <w:sz w:val="21"/>
          <w:szCs w:val="21"/>
          <w:lang w:eastAsia="zh-CN" w:bidi="hi-IN"/>
        </w:rPr>
        <w:t xml:space="preserve">a fin de mejorar la </w:t>
      </w:r>
      <w:r w:rsidRPr="00743B74">
        <w:rPr>
          <w:rFonts w:ascii="Arial" w:eastAsia="SimSun" w:hAnsi="Arial" w:cs="Arial"/>
          <w:kern w:val="2"/>
          <w:sz w:val="21"/>
          <w:szCs w:val="21"/>
          <w:lang w:eastAsia="zh-CN" w:bidi="hi-IN"/>
        </w:rPr>
        <w:t xml:space="preserve">organización interna </w:t>
      </w:r>
      <w:r>
        <w:rPr>
          <w:rFonts w:ascii="Arial" w:eastAsia="SimSun" w:hAnsi="Arial" w:cs="Arial"/>
          <w:kern w:val="2"/>
          <w:sz w:val="21"/>
          <w:szCs w:val="21"/>
          <w:lang w:eastAsia="zh-CN" w:bidi="hi-IN"/>
        </w:rPr>
        <w:t>y fortalecer su estructura.</w:t>
      </w:r>
    </w:p>
    <w:p w14:paraId="62B77F7D" w14:textId="77777777" w:rsidR="00E928EE" w:rsidRPr="00435535" w:rsidRDefault="00E928EE" w:rsidP="00E928EE">
      <w:pPr>
        <w:spacing w:after="240" w:line="276" w:lineRule="auto"/>
        <w:jc w:val="both"/>
        <w:rPr>
          <w:rFonts w:ascii="Arial" w:eastAsia="SimSun" w:hAnsi="Arial" w:cs="Arial"/>
          <w:kern w:val="2"/>
          <w:sz w:val="21"/>
          <w:szCs w:val="21"/>
          <w:lang w:eastAsia="zh-CN" w:bidi="hi-IN"/>
        </w:rPr>
      </w:pPr>
      <w:r w:rsidRPr="00743B74">
        <w:rPr>
          <w:rFonts w:ascii="Arial" w:eastAsia="SimSun" w:hAnsi="Arial" w:cs="Arial"/>
          <w:kern w:val="2"/>
          <w:sz w:val="21"/>
          <w:szCs w:val="21"/>
          <w:lang w:eastAsia="zh-CN" w:bidi="hi-IN"/>
        </w:rPr>
        <w:t xml:space="preserve">Esta propuesta de modificación del Reglamento de la Agencia se materializó, tras la realización de los trámites legales oportunos, entre los que destaca </w:t>
      </w:r>
      <w:r>
        <w:rPr>
          <w:rFonts w:ascii="Arial" w:eastAsia="SimSun" w:hAnsi="Arial" w:cs="Arial"/>
          <w:kern w:val="2"/>
          <w:sz w:val="21"/>
          <w:szCs w:val="21"/>
          <w:lang w:eastAsia="zh-CN" w:bidi="hi-IN"/>
        </w:rPr>
        <w:t xml:space="preserve">la conformidad a la misma dada por su </w:t>
      </w:r>
      <w:r w:rsidRPr="00743B74">
        <w:rPr>
          <w:rFonts w:ascii="Arial" w:eastAsia="SimSun" w:hAnsi="Arial" w:cs="Arial"/>
          <w:kern w:val="2"/>
          <w:sz w:val="21"/>
          <w:szCs w:val="21"/>
          <w:lang w:eastAsia="zh-CN" w:bidi="hi-IN"/>
        </w:rPr>
        <w:t xml:space="preserve">Consejo de Dirección y la </w:t>
      </w:r>
      <w:r w:rsidRPr="00435535">
        <w:rPr>
          <w:rFonts w:ascii="Arial" w:eastAsia="SimSun" w:hAnsi="Arial" w:cs="Arial"/>
          <w:kern w:val="2"/>
          <w:sz w:val="21"/>
          <w:szCs w:val="21"/>
          <w:lang w:eastAsia="zh-CN" w:bidi="hi-IN"/>
        </w:rPr>
        <w:t xml:space="preserve">presentación de la propuesta de modificación en las Corts Valencianes, con la aprobación de </w:t>
      </w:r>
      <w:r w:rsidRPr="00E36950">
        <w:rPr>
          <w:rFonts w:ascii="Arial" w:eastAsia="SimSun" w:hAnsi="Arial" w:cs="Arial"/>
          <w:kern w:val="2"/>
          <w:sz w:val="21"/>
          <w:szCs w:val="21"/>
          <w:lang w:eastAsia="zh-CN" w:bidi="hi-IN"/>
        </w:rPr>
        <w:t xml:space="preserve">la </w:t>
      </w:r>
      <w:hyperlink r:id="rId213" w:history="1">
        <w:r w:rsidRPr="002378CD">
          <w:rPr>
            <w:rFonts w:ascii="Arial" w:eastAsia="SimSun" w:hAnsi="Arial" w:cs="Arial"/>
            <w:color w:val="000080"/>
            <w:kern w:val="2"/>
            <w:sz w:val="21"/>
            <w:szCs w:val="21"/>
            <w:u w:val="single"/>
            <w:lang w:eastAsia="zh-CN" w:bidi="hi-IN"/>
          </w:rPr>
          <w:t>Resolución núm. 917/2021, de 16 de diciembre, del director de la Agencia, por la que se aprueba una modificación puntual del Reglamento de funcionamiento y régimen interior referida a la organización interna de esta Agencia</w:t>
        </w:r>
      </w:hyperlink>
      <w:r w:rsidRPr="00435535">
        <w:rPr>
          <w:rFonts w:ascii="Arial" w:eastAsia="SimSun" w:hAnsi="Arial" w:cs="Arial"/>
          <w:kern w:val="2"/>
          <w:sz w:val="21"/>
          <w:szCs w:val="21"/>
          <w:lang w:eastAsia="zh-CN" w:bidi="hi-IN"/>
        </w:rPr>
        <w:t>, que se publicó en el DOGV núm. 9250, de 5 de enero de 2022.</w:t>
      </w:r>
    </w:p>
    <w:p w14:paraId="63FE8457" w14:textId="77777777" w:rsidR="00E928EE" w:rsidRPr="00435535" w:rsidRDefault="00E928EE" w:rsidP="00E928EE">
      <w:pPr>
        <w:spacing w:after="240" w:line="276" w:lineRule="auto"/>
        <w:jc w:val="both"/>
        <w:rPr>
          <w:rFonts w:ascii="Arial" w:eastAsia="SimSun" w:hAnsi="Arial" w:cs="Arial"/>
          <w:kern w:val="2"/>
          <w:sz w:val="21"/>
          <w:szCs w:val="21"/>
          <w:lang w:eastAsia="zh-CN" w:bidi="hi-IN"/>
        </w:rPr>
      </w:pPr>
      <w:r w:rsidRPr="00435535">
        <w:rPr>
          <w:rFonts w:ascii="Arial" w:eastAsia="SimSun" w:hAnsi="Arial" w:cs="Arial"/>
          <w:kern w:val="2"/>
          <w:sz w:val="21"/>
          <w:szCs w:val="21"/>
          <w:lang w:eastAsia="zh-CN" w:bidi="hi-IN"/>
        </w:rPr>
        <w:t xml:space="preserve">La segunda propuesta contenida en el Plan anual normativo de la Agencia, para el ejercicio 2021, se refería a la aprobación del </w:t>
      </w:r>
      <w:r w:rsidRPr="00D558FD">
        <w:rPr>
          <w:rFonts w:ascii="Arial" w:eastAsia="SimSun" w:hAnsi="Arial" w:cs="Arial"/>
          <w:b/>
          <w:bCs/>
          <w:kern w:val="2"/>
          <w:sz w:val="21"/>
          <w:szCs w:val="21"/>
          <w:lang w:eastAsia="zh-CN" w:bidi="hi-IN"/>
        </w:rPr>
        <w:t>Código ético y de conducta</w:t>
      </w:r>
      <w:r>
        <w:rPr>
          <w:rFonts w:ascii="Arial" w:eastAsia="SimSun" w:hAnsi="Arial" w:cs="Arial"/>
          <w:kern w:val="2"/>
          <w:sz w:val="21"/>
          <w:szCs w:val="21"/>
          <w:lang w:eastAsia="zh-CN" w:bidi="hi-IN"/>
        </w:rPr>
        <w:t xml:space="preserve">, aplicable a todo su personal y también a su director, con previsión de </w:t>
      </w:r>
      <w:r w:rsidRPr="00435535">
        <w:rPr>
          <w:rFonts w:ascii="Arial" w:eastAsia="SimSun" w:hAnsi="Arial" w:cs="Arial"/>
          <w:kern w:val="2"/>
          <w:sz w:val="21"/>
          <w:szCs w:val="21"/>
          <w:lang w:eastAsia="zh-CN" w:bidi="hi-IN"/>
        </w:rPr>
        <w:t>recoger los principios éticos y los valores de buen gobierno que deben informar</w:t>
      </w:r>
      <w:r>
        <w:rPr>
          <w:rFonts w:ascii="Arial" w:eastAsia="SimSun" w:hAnsi="Arial" w:cs="Arial"/>
          <w:kern w:val="2"/>
          <w:sz w:val="21"/>
          <w:szCs w:val="21"/>
          <w:lang w:eastAsia="zh-CN" w:bidi="hi-IN"/>
        </w:rPr>
        <w:t xml:space="preserve"> todas sus actuaciones</w:t>
      </w:r>
      <w:r w:rsidRPr="00435535">
        <w:rPr>
          <w:rFonts w:ascii="Arial" w:eastAsia="SimSun" w:hAnsi="Arial" w:cs="Arial"/>
          <w:kern w:val="2"/>
          <w:sz w:val="21"/>
          <w:szCs w:val="21"/>
          <w:lang w:eastAsia="zh-CN" w:bidi="hi-IN"/>
        </w:rPr>
        <w:t>, así como regular las normas de conducta que necesariamente debe</w:t>
      </w:r>
      <w:r>
        <w:rPr>
          <w:rFonts w:ascii="Arial" w:eastAsia="SimSun" w:hAnsi="Arial" w:cs="Arial"/>
          <w:kern w:val="2"/>
          <w:sz w:val="21"/>
          <w:szCs w:val="21"/>
          <w:lang w:eastAsia="zh-CN" w:bidi="hi-IN"/>
        </w:rPr>
        <w:t>n ser</w:t>
      </w:r>
      <w:r w:rsidRPr="00435535">
        <w:rPr>
          <w:rFonts w:ascii="Arial" w:eastAsia="SimSun" w:hAnsi="Arial" w:cs="Arial"/>
          <w:kern w:val="2"/>
          <w:sz w:val="21"/>
          <w:szCs w:val="21"/>
          <w:lang w:eastAsia="zh-CN" w:bidi="hi-IN"/>
        </w:rPr>
        <w:t xml:space="preserve"> observa</w:t>
      </w:r>
      <w:r>
        <w:rPr>
          <w:rFonts w:ascii="Arial" w:eastAsia="SimSun" w:hAnsi="Arial" w:cs="Arial"/>
          <w:kern w:val="2"/>
          <w:sz w:val="21"/>
          <w:szCs w:val="21"/>
          <w:lang w:eastAsia="zh-CN" w:bidi="hi-IN"/>
        </w:rPr>
        <w:t>das en el desarrollo de las mismas.</w:t>
      </w:r>
    </w:p>
    <w:p w14:paraId="32EE11AA" w14:textId="77777777" w:rsidR="00E928EE" w:rsidRPr="00435535" w:rsidRDefault="00E928EE" w:rsidP="00E928EE">
      <w:pPr>
        <w:spacing w:after="240" w:line="276" w:lineRule="auto"/>
        <w:jc w:val="both"/>
        <w:rPr>
          <w:rFonts w:ascii="Arial" w:eastAsia="SimSun" w:hAnsi="Arial" w:cs="Arial"/>
          <w:kern w:val="2"/>
          <w:sz w:val="21"/>
          <w:szCs w:val="21"/>
          <w:lang w:eastAsia="zh-CN" w:bidi="hi-IN"/>
        </w:rPr>
      </w:pPr>
      <w:r w:rsidRPr="00435535">
        <w:rPr>
          <w:rFonts w:ascii="Arial" w:eastAsia="SimSun" w:hAnsi="Arial" w:cs="Arial"/>
          <w:kern w:val="2"/>
          <w:sz w:val="21"/>
          <w:szCs w:val="21"/>
          <w:lang w:eastAsia="zh-CN" w:bidi="hi-IN"/>
        </w:rPr>
        <w:t xml:space="preserve">Durante 2021, la tramitación del </w:t>
      </w:r>
      <w:r>
        <w:rPr>
          <w:rFonts w:ascii="Arial" w:eastAsia="SimSun" w:hAnsi="Arial" w:cs="Arial"/>
          <w:kern w:val="2"/>
          <w:sz w:val="21"/>
          <w:szCs w:val="21"/>
          <w:lang w:eastAsia="zh-CN" w:bidi="hi-IN"/>
        </w:rPr>
        <w:t>P</w:t>
      </w:r>
      <w:r w:rsidRPr="00435535">
        <w:rPr>
          <w:rFonts w:ascii="Arial" w:eastAsia="SimSun" w:hAnsi="Arial" w:cs="Arial"/>
          <w:kern w:val="2"/>
          <w:sz w:val="21"/>
          <w:szCs w:val="21"/>
          <w:lang w:eastAsia="zh-CN" w:bidi="hi-IN"/>
        </w:rPr>
        <w:t xml:space="preserve">royecto del Código ético y de conducta de la Agencia se avanzó mucho, si bien este no llegó a aprobarse antes de finalizar el año y, por ello, fue objeto de inclusión en el Plan anual normativo para 2022, </w:t>
      </w:r>
      <w:r>
        <w:rPr>
          <w:rFonts w:ascii="Arial" w:eastAsia="SimSun" w:hAnsi="Arial" w:cs="Arial"/>
          <w:kern w:val="2"/>
          <w:sz w:val="21"/>
          <w:szCs w:val="21"/>
          <w:lang w:eastAsia="zh-CN" w:bidi="hi-IN"/>
        </w:rPr>
        <w:t xml:space="preserve">a fin de </w:t>
      </w:r>
      <w:r w:rsidRPr="00435535">
        <w:rPr>
          <w:rFonts w:ascii="Arial" w:eastAsia="SimSun" w:hAnsi="Arial" w:cs="Arial"/>
          <w:kern w:val="2"/>
          <w:sz w:val="21"/>
          <w:szCs w:val="21"/>
          <w:lang w:eastAsia="zh-CN" w:bidi="hi-IN"/>
        </w:rPr>
        <w:t xml:space="preserve">completar los trámites que restaban, </w:t>
      </w:r>
      <w:r>
        <w:rPr>
          <w:rFonts w:ascii="Arial" w:eastAsia="SimSun" w:hAnsi="Arial" w:cs="Arial"/>
          <w:kern w:val="2"/>
          <w:sz w:val="21"/>
          <w:szCs w:val="21"/>
          <w:lang w:eastAsia="zh-CN" w:bidi="hi-IN"/>
        </w:rPr>
        <w:t>lo que se produjo</w:t>
      </w:r>
      <w:r w:rsidRPr="00435535">
        <w:rPr>
          <w:rFonts w:ascii="Arial" w:eastAsia="SimSun" w:hAnsi="Arial" w:cs="Arial"/>
          <w:kern w:val="2"/>
          <w:sz w:val="21"/>
          <w:szCs w:val="21"/>
          <w:lang w:eastAsia="zh-CN" w:bidi="hi-IN"/>
        </w:rPr>
        <w:t xml:space="preserve"> durante los meses de enero y febrero de 2022. </w:t>
      </w:r>
    </w:p>
    <w:p w14:paraId="13174A95" w14:textId="77777777" w:rsidR="00E928EE" w:rsidRPr="00435535" w:rsidRDefault="00E928EE" w:rsidP="0068362B">
      <w:pPr>
        <w:spacing w:after="240" w:line="276" w:lineRule="auto"/>
        <w:jc w:val="both"/>
        <w:rPr>
          <w:rFonts w:ascii="Arial" w:eastAsia="SimSun" w:hAnsi="Arial" w:cs="Arial"/>
          <w:kern w:val="2"/>
          <w:sz w:val="21"/>
          <w:szCs w:val="21"/>
          <w:lang w:eastAsia="zh-CN" w:bidi="hi-IN"/>
        </w:rPr>
      </w:pPr>
      <w:r w:rsidRPr="00435535">
        <w:rPr>
          <w:rFonts w:ascii="Arial" w:eastAsia="SimSun" w:hAnsi="Arial" w:cs="Arial"/>
          <w:kern w:val="2"/>
          <w:sz w:val="21"/>
          <w:szCs w:val="21"/>
          <w:lang w:eastAsia="zh-CN" w:bidi="hi-IN"/>
        </w:rPr>
        <w:t xml:space="preserve">Así, </w:t>
      </w:r>
      <w:r>
        <w:rPr>
          <w:rFonts w:ascii="Arial" w:eastAsia="SimSun" w:hAnsi="Arial" w:cs="Arial"/>
          <w:kern w:val="2"/>
          <w:sz w:val="21"/>
          <w:szCs w:val="21"/>
          <w:lang w:eastAsia="zh-CN" w:bidi="hi-IN"/>
        </w:rPr>
        <w:t>los documentos relativos a la</w:t>
      </w:r>
      <w:r w:rsidRPr="00435535">
        <w:rPr>
          <w:rFonts w:ascii="Arial" w:eastAsia="SimSun" w:hAnsi="Arial" w:cs="Arial"/>
          <w:kern w:val="2"/>
          <w:sz w:val="21"/>
          <w:szCs w:val="21"/>
          <w:lang w:eastAsia="zh-CN" w:bidi="hi-IN"/>
        </w:rPr>
        <w:t xml:space="preserve"> elaboración y tramitación de este Código, que se ha llevado a cabo durante 2021 y principios de 2022, se encuentra</w:t>
      </w:r>
      <w:r>
        <w:rPr>
          <w:rFonts w:ascii="Arial" w:eastAsia="SimSun" w:hAnsi="Arial" w:cs="Arial"/>
          <w:kern w:val="2"/>
          <w:sz w:val="21"/>
          <w:szCs w:val="21"/>
          <w:lang w:eastAsia="zh-CN" w:bidi="hi-IN"/>
        </w:rPr>
        <w:t>n</w:t>
      </w:r>
      <w:r w:rsidRPr="00435535">
        <w:rPr>
          <w:rFonts w:ascii="Arial" w:eastAsia="SimSun" w:hAnsi="Arial" w:cs="Arial"/>
          <w:kern w:val="2"/>
          <w:sz w:val="21"/>
          <w:szCs w:val="21"/>
          <w:lang w:eastAsia="zh-CN" w:bidi="hi-IN"/>
        </w:rPr>
        <w:t xml:space="preserve"> disponible</w:t>
      </w:r>
      <w:r>
        <w:rPr>
          <w:rFonts w:ascii="Arial" w:eastAsia="SimSun" w:hAnsi="Arial" w:cs="Arial"/>
          <w:kern w:val="2"/>
          <w:sz w:val="21"/>
          <w:szCs w:val="21"/>
          <w:lang w:eastAsia="zh-CN" w:bidi="hi-IN"/>
        </w:rPr>
        <w:t>s</w:t>
      </w:r>
      <w:r w:rsidRPr="00435535">
        <w:rPr>
          <w:rFonts w:ascii="Arial" w:eastAsia="SimSun" w:hAnsi="Arial" w:cs="Arial"/>
          <w:kern w:val="2"/>
          <w:sz w:val="21"/>
          <w:szCs w:val="21"/>
          <w:lang w:eastAsia="zh-CN" w:bidi="hi-IN"/>
        </w:rPr>
        <w:t xml:space="preserve"> en la página</w:t>
      </w:r>
      <w:r w:rsidRPr="00435535">
        <w:rPr>
          <w:rFonts w:ascii="Liberation Serif" w:eastAsia="SimSun" w:hAnsi="Liberation Serif" w:cs="Lucida Sans"/>
          <w:kern w:val="2"/>
          <w:sz w:val="24"/>
          <w:szCs w:val="24"/>
          <w:lang w:eastAsia="zh-CN" w:bidi="hi-IN"/>
        </w:rPr>
        <w:t xml:space="preserve"> </w:t>
      </w:r>
      <w:r w:rsidRPr="00435535">
        <w:rPr>
          <w:rFonts w:ascii="Arial" w:eastAsia="SimSun" w:hAnsi="Arial" w:cs="Arial"/>
          <w:kern w:val="2"/>
          <w:sz w:val="21"/>
          <w:szCs w:val="21"/>
          <w:lang w:eastAsia="zh-CN" w:bidi="hi-IN"/>
        </w:rPr>
        <w:t xml:space="preserve">web de la Agencia, en el apartado “Código ético y de conducta”, </w:t>
      </w:r>
      <w:hyperlink r:id="rId214" w:history="1">
        <w:r w:rsidRPr="002378CD">
          <w:rPr>
            <w:rFonts w:ascii="Arial" w:eastAsia="SimSun" w:hAnsi="Arial" w:cs="Arial"/>
            <w:color w:val="000080"/>
            <w:kern w:val="2"/>
            <w:sz w:val="21"/>
            <w:szCs w:val="21"/>
            <w:u w:val="single"/>
            <w:lang w:eastAsia="zh-CN" w:bidi="hi-IN"/>
          </w:rPr>
          <w:t>https://www.antifraucv.es/informacion-de-relevancia-juridica/</w:t>
        </w:r>
      </w:hyperlink>
      <w:r w:rsidRPr="00435535">
        <w:rPr>
          <w:rFonts w:ascii="Arial" w:eastAsia="SimSun" w:hAnsi="Arial" w:cs="Arial"/>
          <w:kern w:val="2"/>
          <w:sz w:val="21"/>
          <w:szCs w:val="21"/>
          <w:lang w:eastAsia="zh-CN" w:bidi="hi-IN"/>
        </w:rPr>
        <w:t>. A destacar, los siguientes:</w:t>
      </w:r>
    </w:p>
    <w:p w14:paraId="4E2E277E"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 xml:space="preserve">18.02.2022 – </w:t>
      </w:r>
      <w:hyperlink r:id="rId215" w:history="1">
        <w:r w:rsidRPr="00A83C68">
          <w:rPr>
            <w:rStyle w:val="Hipervnculo"/>
            <w:rFonts w:ascii="Arial" w:eastAsia="SimSun" w:hAnsi="Arial" w:cs="Arial"/>
            <w:kern w:val="2"/>
            <w:sz w:val="20"/>
            <w:szCs w:val="20"/>
            <w:lang w:eastAsia="zh-CN" w:bidi="hi-IN"/>
          </w:rPr>
          <w:t>Código ético y de conducta de la AVAF</w:t>
        </w:r>
      </w:hyperlink>
      <w:r w:rsidRPr="00A83C68">
        <w:rPr>
          <w:rFonts w:ascii="Arial" w:eastAsia="SimSun" w:hAnsi="Arial" w:cs="Arial"/>
          <w:b/>
          <w:bCs/>
          <w:kern w:val="2"/>
          <w:sz w:val="20"/>
          <w:szCs w:val="20"/>
          <w:lang w:eastAsia="zh-CN" w:bidi="hi-IN"/>
        </w:rPr>
        <w:t>.</w:t>
      </w:r>
    </w:p>
    <w:p w14:paraId="5BADFD17"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 xml:space="preserve">07.03.2022 – </w:t>
      </w:r>
      <w:hyperlink r:id="rId216" w:history="1">
        <w:r w:rsidRPr="00A83C68">
          <w:rPr>
            <w:rStyle w:val="Hipervnculo"/>
            <w:rFonts w:ascii="Arial" w:eastAsia="SimSun" w:hAnsi="Arial" w:cs="Arial"/>
            <w:kern w:val="2"/>
            <w:sz w:val="20"/>
            <w:szCs w:val="20"/>
            <w:lang w:eastAsia="zh-CN" w:bidi="hi-IN"/>
          </w:rPr>
          <w:t>Designación del Comité de ética de la AVAF</w:t>
        </w:r>
      </w:hyperlink>
      <w:r w:rsidRPr="00A83C68">
        <w:rPr>
          <w:rFonts w:ascii="Arial" w:eastAsia="SimSun" w:hAnsi="Arial" w:cs="Arial"/>
          <w:kern w:val="2"/>
          <w:sz w:val="20"/>
          <w:szCs w:val="20"/>
          <w:lang w:eastAsia="zh-CN" w:bidi="hi-IN"/>
        </w:rPr>
        <w:t>.</w:t>
      </w:r>
    </w:p>
    <w:p w14:paraId="3CD33FE9" w14:textId="77777777" w:rsidR="00913299" w:rsidRPr="00A83C68" w:rsidRDefault="00913299" w:rsidP="00913299">
      <w:pPr>
        <w:spacing w:after="240" w:line="276" w:lineRule="auto"/>
        <w:ind w:left="709"/>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 xml:space="preserve">16.03.2022 – </w:t>
      </w:r>
      <w:hyperlink r:id="rId217" w:history="1">
        <w:r w:rsidRPr="00A83C68">
          <w:rPr>
            <w:rStyle w:val="Hipervnculo"/>
            <w:rFonts w:ascii="Arial" w:eastAsia="SimSun" w:hAnsi="Arial" w:cs="Arial"/>
            <w:kern w:val="2"/>
            <w:sz w:val="20"/>
            <w:szCs w:val="20"/>
            <w:lang w:eastAsia="zh-CN" w:bidi="hi-IN"/>
          </w:rPr>
          <w:t>Condiciones de funcionamiento del Buzón interno de denuncias de la AVAF</w:t>
        </w:r>
      </w:hyperlink>
      <w:r w:rsidRPr="00A83C68">
        <w:rPr>
          <w:rFonts w:ascii="Arial" w:eastAsia="SimSun" w:hAnsi="Arial" w:cs="Arial"/>
          <w:kern w:val="2"/>
          <w:sz w:val="20"/>
          <w:szCs w:val="20"/>
          <w:lang w:eastAsia="zh-CN" w:bidi="hi-IN"/>
        </w:rPr>
        <w:t>.</w:t>
      </w:r>
    </w:p>
    <w:p w14:paraId="0F479E58" w14:textId="77777777" w:rsidR="00913299" w:rsidRPr="00A83C68" w:rsidRDefault="00913299" w:rsidP="00913299">
      <w:pPr>
        <w:spacing w:after="240" w:line="276" w:lineRule="auto"/>
        <w:ind w:left="709"/>
        <w:jc w:val="both"/>
        <w:rPr>
          <w:rFonts w:ascii="Arial" w:eastAsia="SimSun" w:hAnsi="Arial" w:cs="Arial"/>
          <w:kern w:val="2"/>
          <w:sz w:val="20"/>
          <w:szCs w:val="20"/>
          <w:lang w:eastAsia="zh-CN" w:bidi="hi-IN"/>
        </w:rPr>
      </w:pPr>
    </w:p>
    <w:p w14:paraId="4992617F" w14:textId="77777777" w:rsidR="00913299" w:rsidRPr="00A83C68" w:rsidRDefault="00913299" w:rsidP="005A6312">
      <w:pPr>
        <w:spacing w:after="120" w:line="276" w:lineRule="auto"/>
        <w:ind w:left="709"/>
        <w:jc w:val="both"/>
        <w:rPr>
          <w:rFonts w:ascii="Arial" w:eastAsia="SimSun" w:hAnsi="Arial" w:cs="Arial"/>
          <w:b/>
          <w:bCs/>
          <w:kern w:val="2"/>
          <w:sz w:val="20"/>
          <w:szCs w:val="20"/>
          <w:lang w:eastAsia="zh-CN" w:bidi="hi-IN"/>
        </w:rPr>
      </w:pPr>
      <w:r w:rsidRPr="00A83C68">
        <w:rPr>
          <w:rFonts w:ascii="Arial" w:eastAsia="SimSun" w:hAnsi="Arial" w:cs="Arial"/>
          <w:b/>
          <w:bCs/>
          <w:kern w:val="2"/>
          <w:sz w:val="20"/>
          <w:szCs w:val="20"/>
          <w:lang w:eastAsia="zh-CN" w:bidi="hi-IN"/>
        </w:rPr>
        <w:t>Documentos que integran el expediente de elaboración y aprobación del Código ético y de conducta</w:t>
      </w:r>
    </w:p>
    <w:p w14:paraId="0FB32293"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07.02.2022 – Memoria económica.</w:t>
      </w:r>
    </w:p>
    <w:p w14:paraId="66422848"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04.02.2022 – Informe de impacto de género.</w:t>
      </w:r>
    </w:p>
    <w:p w14:paraId="13104BEB"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03.02.2022 – Acta de la Mesa de Negociación con sindicatos.</w:t>
      </w:r>
    </w:p>
    <w:p w14:paraId="733D3037"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28.01.2022 – Convocatoria Mesa Negociación con sindicatos.</w:t>
      </w:r>
    </w:p>
    <w:p w14:paraId="0D6F9084"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28.01.2022 – Propuesta Código ético y de conducta tras alegaciones.</w:t>
      </w:r>
    </w:p>
    <w:p w14:paraId="0C07C60A"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24.01.2022 – Contestación alegaciones Código ético y de conducta.</w:t>
      </w:r>
    </w:p>
    <w:p w14:paraId="214515F2"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20.01.2022 – Recomendaciones lenguaje inclusivo del grupo de trabajo de igualdad.</w:t>
      </w:r>
    </w:p>
    <w:p w14:paraId="7267B41C"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28.12.2021 – Informe jurídico sobre el texto adaptado tras alegaciones.</w:t>
      </w:r>
    </w:p>
    <w:p w14:paraId="0F759627"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27.12.2021 – Propuesta Código ético y de conducta DAJ.</w:t>
      </w:r>
    </w:p>
    <w:p w14:paraId="2D0E12F0"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18.10.2021 – Resolución estimación alegaciones y texto adaptado.</w:t>
      </w:r>
    </w:p>
    <w:p w14:paraId="0FF94095"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29.09.2021 – Informe primer trámite audiencia personal AVAF.</w:t>
      </w:r>
    </w:p>
    <w:p w14:paraId="682F3ADD"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29.09.2021 – Resolución de inicio de tramitación del Código ético y de conducta.</w:t>
      </w:r>
    </w:p>
    <w:p w14:paraId="76F22CF6" w14:textId="77777777" w:rsidR="00913299" w:rsidRPr="00A83C68" w:rsidRDefault="00913299" w:rsidP="00913299">
      <w:pPr>
        <w:spacing w:after="240" w:line="276" w:lineRule="auto"/>
        <w:ind w:left="709"/>
        <w:contextualSpacing/>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15.07.2021 – Primer trámite audiencia personal AVAF.</w:t>
      </w:r>
    </w:p>
    <w:p w14:paraId="43B3E329" w14:textId="77777777" w:rsidR="00913299" w:rsidRPr="00913299" w:rsidRDefault="00913299" w:rsidP="00913299">
      <w:pPr>
        <w:spacing w:after="240" w:line="276" w:lineRule="auto"/>
        <w:ind w:left="709"/>
        <w:jc w:val="both"/>
        <w:rPr>
          <w:rFonts w:ascii="Arial" w:eastAsia="SimSun" w:hAnsi="Arial" w:cs="Arial"/>
          <w:kern w:val="2"/>
          <w:sz w:val="20"/>
          <w:szCs w:val="20"/>
          <w:lang w:eastAsia="zh-CN" w:bidi="hi-IN"/>
        </w:rPr>
      </w:pPr>
      <w:r w:rsidRPr="00A83C68">
        <w:rPr>
          <w:rFonts w:ascii="Arial" w:eastAsia="SimSun" w:hAnsi="Arial" w:cs="Arial"/>
          <w:kern w:val="2"/>
          <w:sz w:val="20"/>
          <w:szCs w:val="20"/>
          <w:lang w:eastAsia="zh-CN" w:bidi="hi-IN"/>
        </w:rPr>
        <w:t>13.07.2021 – Texto inicial Código ético y de conducta AVAF.</w:t>
      </w:r>
    </w:p>
    <w:p w14:paraId="16D0FC63" w14:textId="77777777" w:rsidR="00913299" w:rsidRPr="00A83C68" w:rsidRDefault="00913299" w:rsidP="00913299">
      <w:pPr>
        <w:spacing w:after="240" w:line="276" w:lineRule="auto"/>
        <w:jc w:val="both"/>
        <w:rPr>
          <w:rFonts w:ascii="Arial" w:eastAsia="SimSun" w:hAnsi="Arial" w:cs="Arial"/>
          <w:kern w:val="2"/>
          <w:sz w:val="21"/>
          <w:szCs w:val="21"/>
          <w:lang w:eastAsia="zh-CN" w:bidi="hi-IN"/>
        </w:rPr>
      </w:pPr>
      <w:r w:rsidRPr="00A83C68">
        <w:rPr>
          <w:rFonts w:ascii="Arial" w:eastAsia="SimSun" w:hAnsi="Arial" w:cs="Arial"/>
          <w:kern w:val="2"/>
          <w:sz w:val="21"/>
          <w:szCs w:val="21"/>
          <w:lang w:eastAsia="zh-CN" w:bidi="hi-IN"/>
        </w:rPr>
        <w:t xml:space="preserve">Como anexo en esta Memoria se encuentra disponible el texto íntegro del </w:t>
      </w:r>
      <w:hyperlink r:id="rId218" w:history="1">
        <w:r w:rsidRPr="00A83C68">
          <w:rPr>
            <w:rStyle w:val="Hipervnculo"/>
            <w:rFonts w:ascii="Arial" w:eastAsia="SimSun" w:hAnsi="Arial" w:cs="Arial"/>
            <w:kern w:val="2"/>
            <w:sz w:val="21"/>
            <w:szCs w:val="21"/>
            <w:lang w:eastAsia="zh-CN" w:bidi="hi-IN"/>
          </w:rPr>
          <w:t>Código ético y de conducta de la AVAF</w:t>
        </w:r>
      </w:hyperlink>
      <w:r w:rsidRPr="00A83C68">
        <w:rPr>
          <w:rFonts w:ascii="Arial" w:eastAsia="SimSun" w:hAnsi="Arial" w:cs="Arial"/>
          <w:kern w:val="2"/>
          <w:sz w:val="21"/>
          <w:szCs w:val="21"/>
          <w:lang w:eastAsia="zh-CN" w:bidi="hi-IN"/>
        </w:rPr>
        <w:t xml:space="preserve">, que ha sido aprobado por Resolución núm. 82/2022, de 10 de febrero, del director de la Agencia, y se encuentra publicado en el </w:t>
      </w:r>
      <w:r w:rsidRPr="00A83C68">
        <w:rPr>
          <w:rFonts w:ascii="Arial" w:eastAsia="SimSun" w:hAnsi="Arial" w:cs="Arial"/>
          <w:i/>
          <w:iCs/>
          <w:kern w:val="2"/>
          <w:sz w:val="21"/>
          <w:szCs w:val="21"/>
          <w:lang w:eastAsia="zh-CN" w:bidi="hi-IN"/>
        </w:rPr>
        <w:t>Diari Oficial de la Generalitat Valenciana</w:t>
      </w:r>
      <w:r w:rsidRPr="00A83C68">
        <w:rPr>
          <w:rFonts w:ascii="Arial" w:eastAsia="SimSun" w:hAnsi="Arial" w:cs="Arial"/>
          <w:kern w:val="2"/>
          <w:sz w:val="21"/>
          <w:szCs w:val="21"/>
          <w:lang w:eastAsia="zh-CN" w:bidi="hi-IN"/>
        </w:rPr>
        <w:t xml:space="preserve"> núm. 9281, de 18.02.2022, y en el </w:t>
      </w:r>
      <w:r w:rsidRPr="00A83C68">
        <w:rPr>
          <w:rFonts w:ascii="Arial" w:eastAsia="SimSun" w:hAnsi="Arial" w:cs="Arial"/>
          <w:i/>
          <w:iCs/>
          <w:kern w:val="2"/>
          <w:sz w:val="21"/>
          <w:szCs w:val="21"/>
          <w:lang w:eastAsia="zh-CN" w:bidi="hi-IN"/>
        </w:rPr>
        <w:t>Butlletí Oficial de Corts Valencianas</w:t>
      </w:r>
      <w:r w:rsidRPr="00A83C68">
        <w:rPr>
          <w:rFonts w:ascii="Arial" w:eastAsia="SimSun" w:hAnsi="Arial" w:cs="Arial"/>
          <w:kern w:val="2"/>
          <w:sz w:val="21"/>
          <w:szCs w:val="21"/>
          <w:lang w:eastAsia="zh-CN" w:bidi="hi-IN"/>
        </w:rPr>
        <w:t xml:space="preserve"> núm. 229, de 2 de marzo de 2022. Su fecha de entrada en vigor se ha producido el 21 de febrero de 2022.</w:t>
      </w:r>
    </w:p>
    <w:p w14:paraId="41AAAC54" w14:textId="77777777" w:rsidR="00913299" w:rsidRPr="00A83C68" w:rsidRDefault="00913299" w:rsidP="00913299">
      <w:pPr>
        <w:spacing w:after="240" w:line="276" w:lineRule="auto"/>
        <w:jc w:val="both"/>
        <w:rPr>
          <w:rFonts w:ascii="Arial" w:eastAsia="SimSun" w:hAnsi="Arial" w:cs="Arial"/>
          <w:kern w:val="2"/>
          <w:sz w:val="21"/>
          <w:szCs w:val="21"/>
          <w:lang w:eastAsia="zh-CN" w:bidi="hi-IN"/>
        </w:rPr>
      </w:pPr>
      <w:r w:rsidRPr="00A83C68">
        <w:rPr>
          <w:rFonts w:ascii="Arial" w:eastAsia="SimSun" w:hAnsi="Arial" w:cs="Arial"/>
          <w:kern w:val="2"/>
          <w:sz w:val="21"/>
          <w:szCs w:val="21"/>
          <w:lang w:eastAsia="zh-CN" w:bidi="hi-IN"/>
        </w:rPr>
        <w:t xml:space="preserve">En fecha 7 de marzo de 2022 se </w:t>
      </w:r>
      <w:hyperlink r:id="rId219" w:history="1">
        <w:r w:rsidRPr="00A83C68">
          <w:rPr>
            <w:rStyle w:val="Hipervnculo"/>
            <w:rFonts w:ascii="Arial" w:eastAsia="SimSun" w:hAnsi="Arial" w:cs="Arial"/>
            <w:kern w:val="2"/>
            <w:sz w:val="21"/>
            <w:szCs w:val="21"/>
            <w:lang w:eastAsia="zh-CN" w:bidi="hi-IN"/>
          </w:rPr>
          <w:t>designaron los miembros del Comité de ética</w:t>
        </w:r>
      </w:hyperlink>
      <w:r w:rsidRPr="00A83C68">
        <w:rPr>
          <w:rFonts w:ascii="Arial" w:eastAsia="SimSun" w:hAnsi="Arial" w:cs="Arial"/>
          <w:kern w:val="2"/>
          <w:sz w:val="21"/>
          <w:szCs w:val="21"/>
          <w:lang w:eastAsia="zh-CN" w:bidi="hi-IN"/>
        </w:rPr>
        <w:t>, regulado en los artículos 33 a 36 del citado Código ético, en los que se especifican sus funciones, composición y mandato, y régimen de funcionamiento. Se trata de un órgano colegiado consultivo que garantizará la efectividad y velará por la adecuada aplicación de este Código ético y de conducta, y a cuyo efecto podrá emitir informes y recomendaciones, al tiempo que gestionará el canal interno de denuncias de la AVAF.</w:t>
      </w:r>
    </w:p>
    <w:p w14:paraId="1CCA3E2F" w14:textId="6506C839" w:rsidR="00913299" w:rsidRPr="00A83C68" w:rsidRDefault="00913299" w:rsidP="00913299">
      <w:pPr>
        <w:spacing w:after="240" w:line="276" w:lineRule="auto"/>
        <w:jc w:val="both"/>
        <w:rPr>
          <w:rFonts w:ascii="Arial" w:eastAsia="SimSun" w:hAnsi="Arial" w:cs="Arial"/>
          <w:kern w:val="2"/>
          <w:sz w:val="21"/>
          <w:szCs w:val="21"/>
          <w:lang w:eastAsia="zh-CN" w:bidi="hi-IN"/>
        </w:rPr>
      </w:pPr>
      <w:r w:rsidRPr="00A83C68">
        <w:rPr>
          <w:rFonts w:ascii="Arial" w:eastAsia="SimSun" w:hAnsi="Arial" w:cs="Arial"/>
          <w:kern w:val="2"/>
          <w:sz w:val="21"/>
          <w:szCs w:val="21"/>
          <w:lang w:eastAsia="zh-CN" w:bidi="hi-IN"/>
        </w:rPr>
        <w:t xml:space="preserve">El Comité de ética está integrado por dos personas externas a la AVAF, a propuesta de su Consejo de Dirección, a saber, Antonio Penadés Chust, vocal del Consejo de Participación, y Mª Luisa Cuerda Arnau, catedrática de Derecho penal especialista en derechos fundamentales de la Universidad Jaume I de Castellón. A estas personas se añade una tercera, elegida de entre y por el personal </w:t>
      </w:r>
      <w:r w:rsidR="00934C3C">
        <w:rPr>
          <w:rFonts w:ascii="Arial" w:eastAsia="SimSun" w:hAnsi="Arial" w:cs="Arial"/>
          <w:kern w:val="2"/>
          <w:sz w:val="21"/>
          <w:szCs w:val="21"/>
          <w:lang w:eastAsia="zh-CN" w:bidi="hi-IN"/>
        </w:rPr>
        <w:t xml:space="preserve">funcionario </w:t>
      </w:r>
      <w:r w:rsidRPr="00A83C68">
        <w:rPr>
          <w:rFonts w:ascii="Arial" w:eastAsia="SimSun" w:hAnsi="Arial" w:cs="Arial"/>
          <w:kern w:val="2"/>
          <w:sz w:val="21"/>
          <w:szCs w:val="21"/>
          <w:lang w:eastAsia="zh-CN" w:bidi="hi-IN"/>
        </w:rPr>
        <w:t>de la Agencia, Amparo Martí Puertes.</w:t>
      </w:r>
    </w:p>
    <w:p w14:paraId="07FDDDBA" w14:textId="0CFE5C4B" w:rsidR="00E928EE" w:rsidRPr="00435535" w:rsidRDefault="00913299" w:rsidP="00913299">
      <w:pPr>
        <w:spacing w:after="240" w:line="276" w:lineRule="auto"/>
        <w:jc w:val="both"/>
        <w:rPr>
          <w:rFonts w:ascii="Arial" w:eastAsia="SimSun" w:hAnsi="Arial" w:cs="Arial"/>
          <w:kern w:val="2"/>
          <w:sz w:val="21"/>
          <w:szCs w:val="21"/>
          <w:lang w:eastAsia="zh-CN" w:bidi="hi-IN"/>
        </w:rPr>
      </w:pPr>
      <w:r w:rsidRPr="00A83C68">
        <w:rPr>
          <w:rFonts w:ascii="Arial" w:eastAsia="SimSun" w:hAnsi="Arial" w:cs="Arial"/>
          <w:kern w:val="2"/>
          <w:sz w:val="21"/>
          <w:szCs w:val="21"/>
          <w:lang w:eastAsia="zh-CN" w:bidi="hi-IN"/>
        </w:rPr>
        <w:t xml:space="preserve">Además, el 16 de marzo de 2022 se aprobaron las </w:t>
      </w:r>
      <w:hyperlink r:id="rId220" w:history="1">
        <w:r w:rsidRPr="00A83C68">
          <w:rPr>
            <w:rStyle w:val="Hipervnculo"/>
            <w:rFonts w:ascii="Arial" w:eastAsia="SimSun" w:hAnsi="Arial" w:cs="Arial"/>
            <w:kern w:val="2"/>
            <w:sz w:val="21"/>
            <w:szCs w:val="21"/>
            <w:lang w:eastAsia="zh-CN" w:bidi="hi-IN"/>
          </w:rPr>
          <w:t>condiciones de funcionamiento del Buzón interno de denuncias de la AVAF</w:t>
        </w:r>
      </w:hyperlink>
      <w:r w:rsidRPr="00A83C68">
        <w:rPr>
          <w:rFonts w:ascii="Arial" w:eastAsia="SimSun" w:hAnsi="Arial" w:cs="Arial"/>
          <w:kern w:val="2"/>
          <w:sz w:val="21"/>
          <w:szCs w:val="21"/>
          <w:lang w:eastAsia="zh-CN" w:bidi="hi-IN"/>
        </w:rPr>
        <w:t>, a través del que cualquier servidor o servidora pública de la AVAF podrá dirigirse, incluso de forma anónima, al Comité de ética, para comunicar cualquier acción u omisión que pueda suponer el incumplimiento de los principios y normas de conducta, o realizar consultas en relación con la aplicación o interpretación del Código.</w:t>
      </w:r>
    </w:p>
    <w:p w14:paraId="15167EA7" w14:textId="176FCD5D" w:rsidR="00E928EE" w:rsidRPr="002378CD" w:rsidRDefault="00E928EE" w:rsidP="00E928EE">
      <w:pPr>
        <w:spacing w:after="240" w:line="276" w:lineRule="auto"/>
        <w:jc w:val="both"/>
        <w:rPr>
          <w:rFonts w:ascii="Arial" w:eastAsia="SimSun" w:hAnsi="Arial" w:cs="Arial"/>
          <w:b/>
          <w:bCs/>
          <w:color w:val="000080"/>
          <w:kern w:val="2"/>
          <w:sz w:val="21"/>
          <w:szCs w:val="21"/>
          <w:u w:val="single"/>
          <w:lang w:eastAsia="zh-CN" w:bidi="hi-IN"/>
        </w:rPr>
      </w:pPr>
      <w:r w:rsidRPr="00435535">
        <w:rPr>
          <w:rFonts w:ascii="Arial" w:eastAsia="SimSun" w:hAnsi="Arial" w:cs="Arial"/>
          <w:kern w:val="2"/>
          <w:sz w:val="21"/>
          <w:szCs w:val="21"/>
          <w:lang w:eastAsia="zh-CN" w:bidi="hi-IN"/>
        </w:rPr>
        <w:t xml:space="preserve">Por otra parte, antes de finalizar el año 2021, la Agencia </w:t>
      </w:r>
      <w:r w:rsidRPr="00415127">
        <w:rPr>
          <w:rFonts w:ascii="Arial" w:eastAsia="SimSun" w:hAnsi="Arial" w:cs="Arial"/>
          <w:kern w:val="2"/>
          <w:sz w:val="21"/>
          <w:szCs w:val="21"/>
          <w:lang w:eastAsia="zh-CN" w:bidi="hi-IN"/>
        </w:rPr>
        <w:t>aprobó su Plan anual normativo</w:t>
      </w:r>
      <w:r w:rsidRPr="00435535">
        <w:rPr>
          <w:rFonts w:ascii="Arial" w:eastAsia="SimSun" w:hAnsi="Arial" w:cs="Arial"/>
          <w:kern w:val="2"/>
          <w:sz w:val="21"/>
          <w:szCs w:val="21"/>
          <w:lang w:eastAsia="zh-CN" w:bidi="hi-IN"/>
        </w:rPr>
        <w:t xml:space="preserve"> para el ejercicio 2022, mediante</w:t>
      </w:r>
      <w:r w:rsidRPr="00E36950">
        <w:rPr>
          <w:rFonts w:ascii="Arial" w:eastAsia="SimSun" w:hAnsi="Arial" w:cs="Arial"/>
          <w:kern w:val="2"/>
          <w:sz w:val="21"/>
          <w:szCs w:val="21"/>
          <w:lang w:eastAsia="zh-CN" w:bidi="hi-IN"/>
        </w:rPr>
        <w:t xml:space="preserve"> </w:t>
      </w:r>
      <w:bookmarkStart w:id="71" w:name="_Hlk94702902"/>
      <w:r w:rsidR="00AA7873">
        <w:rPr>
          <w:rFonts w:ascii="Arial" w:eastAsia="SimSun" w:hAnsi="Arial" w:cs="Arial"/>
          <w:color w:val="0000FF"/>
          <w:kern w:val="2"/>
          <w:sz w:val="21"/>
          <w:szCs w:val="21"/>
          <w:u w:val="single"/>
          <w:lang w:eastAsia="zh-CN" w:bidi="hi-IN"/>
        </w:rPr>
        <w:fldChar w:fldCharType="begin" w:fldLock="1"/>
      </w:r>
      <w:r w:rsidR="00AA7873">
        <w:rPr>
          <w:rFonts w:ascii="Arial" w:eastAsia="SimSun" w:hAnsi="Arial" w:cs="Arial"/>
          <w:color w:val="0000FF"/>
          <w:kern w:val="2"/>
          <w:sz w:val="21"/>
          <w:szCs w:val="21"/>
          <w:u w:val="single"/>
          <w:lang w:eastAsia="zh-CN" w:bidi="hi-IN"/>
        </w:rPr>
        <w:instrText xml:space="preserve"> HYPERLINK "https://www.antifraucv.es/wp-content/uploads/2021/12/211230_RES_PLAN_NORMATIVO_AVAF_CAS-2022-CSV.pdf" </w:instrText>
      </w:r>
      <w:r w:rsidR="00AA7873">
        <w:rPr>
          <w:rFonts w:ascii="Arial" w:eastAsia="SimSun" w:hAnsi="Arial" w:cs="Arial"/>
          <w:color w:val="0000FF"/>
          <w:kern w:val="2"/>
          <w:sz w:val="21"/>
          <w:szCs w:val="21"/>
          <w:u w:val="single"/>
          <w:lang w:eastAsia="zh-CN" w:bidi="hi-IN"/>
        </w:rPr>
      </w:r>
      <w:r w:rsidR="00AA7873">
        <w:rPr>
          <w:rFonts w:ascii="Arial" w:eastAsia="SimSun" w:hAnsi="Arial" w:cs="Arial"/>
          <w:color w:val="0000FF"/>
          <w:kern w:val="2"/>
          <w:sz w:val="21"/>
          <w:szCs w:val="21"/>
          <w:u w:val="single"/>
          <w:lang w:eastAsia="zh-CN" w:bidi="hi-IN"/>
        </w:rPr>
        <w:fldChar w:fldCharType="separate"/>
      </w:r>
      <w:r w:rsidRPr="00AA7873">
        <w:rPr>
          <w:rStyle w:val="Hipervnculo"/>
          <w:rFonts w:ascii="Arial" w:eastAsia="SimSun" w:hAnsi="Arial" w:cs="Arial"/>
          <w:kern w:val="2"/>
          <w:sz w:val="21"/>
          <w:szCs w:val="21"/>
          <w:lang w:eastAsia="zh-CN" w:bidi="hi-IN"/>
        </w:rPr>
        <w:t>Resolución núm. 1007/2021, de 30 de diciembre, del director de la AVAF.</w:t>
      </w:r>
      <w:r w:rsidR="00AA7873">
        <w:rPr>
          <w:rFonts w:ascii="Arial" w:eastAsia="SimSun" w:hAnsi="Arial" w:cs="Arial"/>
          <w:color w:val="0000FF"/>
          <w:kern w:val="2"/>
          <w:sz w:val="21"/>
          <w:szCs w:val="21"/>
          <w:u w:val="single"/>
          <w:lang w:eastAsia="zh-CN" w:bidi="hi-IN"/>
        </w:rPr>
        <w:fldChar w:fldCharType="end"/>
      </w:r>
      <w:r w:rsidRPr="00E36950">
        <w:rPr>
          <w:rFonts w:ascii="Arial" w:eastAsia="SimSun" w:hAnsi="Arial" w:cs="Arial"/>
          <w:color w:val="0000FF"/>
          <w:kern w:val="2"/>
          <w:sz w:val="21"/>
          <w:szCs w:val="21"/>
          <w:u w:val="single"/>
          <w:lang w:eastAsia="zh-CN" w:bidi="hi-IN"/>
        </w:rPr>
        <w:t xml:space="preserve"> </w:t>
      </w:r>
    </w:p>
    <w:bookmarkEnd w:id="71"/>
    <w:p w14:paraId="402579AE" w14:textId="77777777" w:rsidR="00E928EE" w:rsidRPr="00743B74" w:rsidRDefault="00E928EE" w:rsidP="00E928EE">
      <w:pPr>
        <w:spacing w:after="240" w:line="276" w:lineRule="auto"/>
        <w:jc w:val="both"/>
        <w:rPr>
          <w:rFonts w:ascii="Arial" w:eastAsia="SimSun" w:hAnsi="Arial" w:cs="Arial"/>
          <w:b/>
          <w:bCs/>
          <w:kern w:val="2"/>
          <w:sz w:val="21"/>
          <w:szCs w:val="21"/>
          <w:lang w:eastAsia="zh-CN" w:bidi="hi-IN"/>
        </w:rPr>
      </w:pPr>
      <w:r w:rsidRPr="00435535">
        <w:rPr>
          <w:rFonts w:ascii="Arial" w:eastAsia="SimSun" w:hAnsi="Arial" w:cs="Arial"/>
          <w:kern w:val="2"/>
          <w:sz w:val="21"/>
          <w:szCs w:val="21"/>
          <w:lang w:eastAsia="zh-CN" w:bidi="hi-IN"/>
        </w:rPr>
        <w:t>En el nuevo Plan se incluyen dos propuestas normativas, la primera, conforme se ha avanzado, comprendía la continuación de la tramitación para la aprobación del Código ético y de conducta de la AVAF, y la segunda se refiere a la</w:t>
      </w:r>
      <w:r w:rsidRPr="00743B74">
        <w:rPr>
          <w:rFonts w:ascii="Arial" w:eastAsia="SimSun" w:hAnsi="Arial" w:cs="Arial"/>
          <w:kern w:val="2"/>
          <w:sz w:val="21"/>
          <w:szCs w:val="21"/>
          <w:lang w:eastAsia="zh-CN" w:bidi="hi-IN"/>
        </w:rPr>
        <w:t xml:space="preserve"> </w:t>
      </w:r>
      <w:r w:rsidRPr="00743B74">
        <w:rPr>
          <w:rFonts w:ascii="Arial" w:eastAsia="SimSun" w:hAnsi="Arial" w:cs="Arial"/>
          <w:b/>
          <w:bCs/>
          <w:kern w:val="2"/>
          <w:sz w:val="21"/>
          <w:szCs w:val="21"/>
          <w:lang w:eastAsia="zh-CN" w:bidi="hi-IN"/>
        </w:rPr>
        <w:t>necesaria modificación de la Ley 11/2016, de 28 de noviembre, de la Generalitat, de la Agencia de Prevención y Lucha Contra el Fraude y la Corrupción de la Comunitat Valenciana, para su adaptación a la Directiva (UE) 2019/1937, del Parlamento Europeo y del Consejo de 23 de octubre de 2019.</w:t>
      </w:r>
    </w:p>
    <w:p w14:paraId="21B6EED9" w14:textId="0B927BE2" w:rsidR="00B95A40" w:rsidRDefault="00E928EE" w:rsidP="00E928EE">
      <w:pPr>
        <w:spacing w:after="240" w:line="276" w:lineRule="auto"/>
        <w:jc w:val="both"/>
        <w:rPr>
          <w:rFonts w:ascii="Arial" w:hAnsi="Arial"/>
          <w:sz w:val="21"/>
          <w:szCs w:val="21"/>
        </w:rPr>
      </w:pPr>
      <w:r w:rsidRPr="00743B74">
        <w:rPr>
          <w:rFonts w:ascii="Arial" w:eastAsia="SimSun" w:hAnsi="Arial" w:cs="Arial"/>
          <w:kern w:val="2"/>
          <w:sz w:val="21"/>
          <w:szCs w:val="21"/>
          <w:lang w:eastAsia="zh-CN" w:bidi="hi-IN"/>
        </w:rPr>
        <w:t>La modificación propuesta obedece a que</w:t>
      </w:r>
      <w:r>
        <w:rPr>
          <w:rFonts w:ascii="Arial" w:eastAsia="SimSun" w:hAnsi="Arial" w:cs="Arial"/>
          <w:kern w:val="2"/>
          <w:sz w:val="21"/>
          <w:szCs w:val="21"/>
          <w:lang w:eastAsia="zh-CN" w:bidi="hi-IN"/>
        </w:rPr>
        <w:t>,</w:t>
      </w:r>
      <w:r w:rsidRPr="00743B74">
        <w:rPr>
          <w:rFonts w:ascii="Arial" w:eastAsia="SimSun" w:hAnsi="Arial" w:cs="Arial"/>
          <w:kern w:val="2"/>
          <w:sz w:val="21"/>
          <w:szCs w:val="21"/>
          <w:lang w:eastAsia="zh-CN" w:bidi="hi-IN"/>
        </w:rPr>
        <w:t xml:space="preserve"> tanto la Ley 11/2016 reguladora de esta Agencia como su normativa de desarrollo</w:t>
      </w:r>
      <w:r>
        <w:rPr>
          <w:rFonts w:ascii="Arial" w:eastAsia="SimSun" w:hAnsi="Arial" w:cs="Arial"/>
          <w:kern w:val="2"/>
          <w:sz w:val="21"/>
          <w:szCs w:val="21"/>
          <w:lang w:eastAsia="zh-CN" w:bidi="hi-IN"/>
        </w:rPr>
        <w:t>,</w:t>
      </w:r>
      <w:r w:rsidRPr="00743B74">
        <w:rPr>
          <w:rFonts w:ascii="Arial" w:eastAsia="SimSun" w:hAnsi="Arial" w:cs="Arial"/>
          <w:kern w:val="2"/>
          <w:sz w:val="21"/>
          <w:szCs w:val="21"/>
          <w:lang w:eastAsia="zh-CN" w:bidi="hi-IN"/>
        </w:rPr>
        <w:t xml:space="preserve"> </w:t>
      </w:r>
      <w:r>
        <w:rPr>
          <w:rFonts w:ascii="Arial" w:eastAsia="SimSun" w:hAnsi="Arial" w:cs="Arial"/>
          <w:kern w:val="2"/>
          <w:sz w:val="21"/>
          <w:szCs w:val="21"/>
          <w:lang w:eastAsia="zh-CN" w:bidi="hi-IN"/>
        </w:rPr>
        <w:t>aunque se</w:t>
      </w:r>
      <w:r w:rsidRPr="00743B74">
        <w:rPr>
          <w:rFonts w:ascii="Arial" w:eastAsia="SimSun" w:hAnsi="Arial" w:cs="Arial"/>
          <w:kern w:val="2"/>
          <w:sz w:val="21"/>
          <w:szCs w:val="21"/>
          <w:lang w:eastAsia="zh-CN" w:bidi="hi-IN"/>
        </w:rPr>
        <w:t xml:space="preserve"> anticiparon </w:t>
      </w:r>
      <w:r>
        <w:rPr>
          <w:rFonts w:ascii="Arial" w:eastAsia="SimSun" w:hAnsi="Arial" w:cs="Arial"/>
          <w:kern w:val="2"/>
          <w:sz w:val="21"/>
          <w:szCs w:val="21"/>
          <w:lang w:eastAsia="zh-CN" w:bidi="hi-IN"/>
        </w:rPr>
        <w:t>a</w:t>
      </w:r>
      <w:r w:rsidRPr="00743B74">
        <w:rPr>
          <w:rFonts w:ascii="Arial" w:eastAsia="SimSun" w:hAnsi="Arial" w:cs="Arial"/>
          <w:kern w:val="2"/>
          <w:sz w:val="21"/>
          <w:szCs w:val="21"/>
          <w:lang w:eastAsia="zh-CN" w:bidi="hi-IN"/>
        </w:rPr>
        <w:t xml:space="preserve"> </w:t>
      </w:r>
      <w:r>
        <w:rPr>
          <w:rFonts w:ascii="Arial" w:eastAsia="SimSun" w:hAnsi="Arial" w:cs="Arial"/>
          <w:kern w:val="2"/>
          <w:sz w:val="21"/>
          <w:szCs w:val="21"/>
          <w:lang w:eastAsia="zh-CN" w:bidi="hi-IN"/>
        </w:rPr>
        <w:t>la</w:t>
      </w:r>
      <w:r w:rsidRPr="00743B74">
        <w:rPr>
          <w:rFonts w:ascii="Arial" w:eastAsia="SimSun" w:hAnsi="Arial" w:cs="Arial"/>
          <w:kern w:val="2"/>
          <w:sz w:val="21"/>
          <w:szCs w:val="21"/>
          <w:lang w:eastAsia="zh-CN" w:bidi="hi-IN"/>
        </w:rPr>
        <w:t xml:space="preserve"> regulación</w:t>
      </w:r>
      <w:r>
        <w:rPr>
          <w:rFonts w:ascii="Arial" w:eastAsia="SimSun" w:hAnsi="Arial" w:cs="Arial"/>
          <w:kern w:val="2"/>
          <w:sz w:val="21"/>
          <w:szCs w:val="21"/>
          <w:lang w:eastAsia="zh-CN" w:bidi="hi-IN"/>
        </w:rPr>
        <w:t xml:space="preserve"> contenida en esta Directiva en</w:t>
      </w:r>
      <w:r w:rsidRPr="00743B74">
        <w:rPr>
          <w:rFonts w:ascii="Arial" w:eastAsia="SimSun" w:hAnsi="Arial" w:cs="Arial"/>
          <w:kern w:val="2"/>
          <w:sz w:val="21"/>
          <w:szCs w:val="21"/>
          <w:lang w:eastAsia="zh-CN" w:bidi="hi-IN"/>
        </w:rPr>
        <w:t xml:space="preserve"> </w:t>
      </w:r>
      <w:r>
        <w:rPr>
          <w:rFonts w:ascii="Arial" w:eastAsia="SimSun" w:hAnsi="Arial" w:cs="Arial"/>
          <w:kern w:val="2"/>
          <w:sz w:val="21"/>
          <w:szCs w:val="21"/>
          <w:lang w:eastAsia="zh-CN" w:bidi="hi-IN"/>
        </w:rPr>
        <w:t xml:space="preserve">muchos </w:t>
      </w:r>
      <w:r w:rsidRPr="00743B74">
        <w:rPr>
          <w:rFonts w:ascii="Arial" w:eastAsia="SimSun" w:hAnsi="Arial" w:cs="Arial"/>
          <w:kern w:val="2"/>
          <w:sz w:val="21"/>
          <w:szCs w:val="21"/>
          <w:lang w:eastAsia="zh-CN" w:bidi="hi-IN"/>
        </w:rPr>
        <w:t xml:space="preserve">de </w:t>
      </w:r>
      <w:r>
        <w:rPr>
          <w:rFonts w:ascii="Arial" w:eastAsia="SimSun" w:hAnsi="Arial" w:cs="Arial"/>
          <w:kern w:val="2"/>
          <w:sz w:val="21"/>
          <w:szCs w:val="21"/>
          <w:lang w:eastAsia="zh-CN" w:bidi="hi-IN"/>
        </w:rPr>
        <w:t>su</w:t>
      </w:r>
      <w:r w:rsidRPr="00743B74">
        <w:rPr>
          <w:rFonts w:ascii="Arial" w:eastAsia="SimSun" w:hAnsi="Arial" w:cs="Arial"/>
          <w:kern w:val="2"/>
          <w:sz w:val="21"/>
          <w:szCs w:val="21"/>
          <w:lang w:eastAsia="zh-CN" w:bidi="hi-IN"/>
        </w:rPr>
        <w:t>s aspectos</w:t>
      </w:r>
      <w:r>
        <w:rPr>
          <w:rFonts w:ascii="Arial" w:eastAsia="SimSun" w:hAnsi="Arial" w:cs="Arial"/>
          <w:kern w:val="2"/>
          <w:sz w:val="21"/>
          <w:szCs w:val="21"/>
          <w:lang w:eastAsia="zh-CN" w:bidi="hi-IN"/>
        </w:rPr>
        <w:t xml:space="preserve"> (en especial, protección de las personas denunciantes y establecimiento de un canal externo de denuncias, seguro, accesible y confidencial), quedan todavía por abordar algunos otros que implican la necesaria y urgente reforma de nuestra norma autonómica, </w:t>
      </w:r>
      <w:r w:rsidRPr="00743B74">
        <w:rPr>
          <w:rFonts w:ascii="Arial" w:eastAsia="SimSun" w:hAnsi="Arial" w:cs="Arial"/>
          <w:kern w:val="2"/>
          <w:sz w:val="21"/>
          <w:szCs w:val="21"/>
          <w:lang w:eastAsia="zh-CN" w:bidi="hi-IN"/>
        </w:rPr>
        <w:t xml:space="preserve">más </w:t>
      </w:r>
      <w:r>
        <w:rPr>
          <w:rFonts w:ascii="Arial" w:eastAsia="SimSun" w:hAnsi="Arial" w:cs="Arial"/>
          <w:kern w:val="2"/>
          <w:sz w:val="21"/>
          <w:szCs w:val="21"/>
          <w:lang w:eastAsia="zh-CN" w:bidi="hi-IN"/>
        </w:rPr>
        <w:t xml:space="preserve">aún </w:t>
      </w:r>
      <w:r w:rsidRPr="00743B74">
        <w:rPr>
          <w:rFonts w:ascii="Arial" w:eastAsia="SimSun" w:hAnsi="Arial" w:cs="Arial"/>
          <w:kern w:val="2"/>
          <w:sz w:val="21"/>
          <w:szCs w:val="21"/>
          <w:lang w:eastAsia="zh-CN" w:bidi="hi-IN"/>
        </w:rPr>
        <w:t>cuando</w:t>
      </w:r>
      <w:r>
        <w:rPr>
          <w:rFonts w:ascii="Arial" w:eastAsia="SimSun" w:hAnsi="Arial" w:cs="Arial"/>
          <w:kern w:val="2"/>
          <w:sz w:val="21"/>
          <w:szCs w:val="21"/>
          <w:lang w:eastAsia="zh-CN" w:bidi="hi-IN"/>
        </w:rPr>
        <w:t>,</w:t>
      </w:r>
      <w:r w:rsidRPr="00743B74">
        <w:rPr>
          <w:rFonts w:ascii="Arial" w:eastAsia="SimSun" w:hAnsi="Arial" w:cs="Arial"/>
          <w:kern w:val="2"/>
          <w:sz w:val="21"/>
          <w:szCs w:val="21"/>
          <w:lang w:eastAsia="zh-CN" w:bidi="hi-IN"/>
        </w:rPr>
        <w:t xml:space="preserve"> una vez finalizado el periodo de dos años de transposición de</w:t>
      </w:r>
      <w:r>
        <w:rPr>
          <w:rFonts w:ascii="Arial" w:eastAsia="SimSun" w:hAnsi="Arial" w:cs="Arial"/>
          <w:kern w:val="2"/>
          <w:sz w:val="21"/>
          <w:szCs w:val="21"/>
          <w:lang w:eastAsia="zh-CN" w:bidi="hi-IN"/>
        </w:rPr>
        <w:t xml:space="preserve"> la citada Directiva</w:t>
      </w:r>
      <w:r w:rsidRPr="00743B74">
        <w:rPr>
          <w:rFonts w:ascii="Arial" w:eastAsia="SimSun" w:hAnsi="Arial" w:cs="Arial"/>
          <w:kern w:val="2"/>
          <w:sz w:val="21"/>
          <w:szCs w:val="21"/>
          <w:lang w:eastAsia="zh-CN" w:bidi="hi-IN"/>
        </w:rPr>
        <w:t>, no se ha aprobado normativa estatal</w:t>
      </w:r>
      <w:r>
        <w:rPr>
          <w:rFonts w:ascii="Arial" w:eastAsia="SimSun" w:hAnsi="Arial" w:cs="Arial"/>
          <w:kern w:val="2"/>
          <w:sz w:val="21"/>
          <w:szCs w:val="21"/>
          <w:lang w:eastAsia="zh-CN" w:bidi="hi-IN"/>
        </w:rPr>
        <w:t xml:space="preserve"> alguna</w:t>
      </w:r>
      <w:r w:rsidRPr="00743B74">
        <w:rPr>
          <w:rFonts w:ascii="Arial" w:eastAsia="SimSun" w:hAnsi="Arial" w:cs="Arial"/>
          <w:kern w:val="2"/>
          <w:sz w:val="21"/>
          <w:szCs w:val="21"/>
          <w:lang w:eastAsia="zh-CN" w:bidi="hi-IN"/>
        </w:rPr>
        <w:t xml:space="preserve"> al respecto.</w:t>
      </w:r>
    </w:p>
    <w:p w14:paraId="15BC6ACC" w14:textId="77777777" w:rsidR="006561A3" w:rsidRPr="00C33E35" w:rsidRDefault="006561A3" w:rsidP="00DC1B01">
      <w:pPr>
        <w:pStyle w:val="Prrafodelista"/>
        <w:keepNext/>
        <w:numPr>
          <w:ilvl w:val="2"/>
          <w:numId w:val="16"/>
        </w:numPr>
        <w:suppressAutoHyphens/>
        <w:spacing w:before="360" w:after="240" w:line="276" w:lineRule="auto"/>
        <w:ind w:left="993" w:hanging="993"/>
        <w:jc w:val="both"/>
        <w:outlineLvl w:val="2"/>
        <w:rPr>
          <w:rFonts w:ascii="Arial" w:eastAsia="Times New Roman" w:hAnsi="Arial" w:cs="Arial"/>
          <w:b/>
          <w:color w:val="9D2235"/>
          <w:sz w:val="28"/>
          <w:szCs w:val="28"/>
        </w:rPr>
      </w:pPr>
      <w:bookmarkStart w:id="72" w:name="_Toc99106993"/>
      <w:r w:rsidRPr="00A307DF">
        <w:rPr>
          <w:rFonts w:ascii="Arial" w:eastAsia="Times New Roman" w:hAnsi="Arial" w:cs="Arial"/>
          <w:b/>
          <w:color w:val="9D2235"/>
          <w:sz w:val="28"/>
          <w:szCs w:val="28"/>
        </w:rPr>
        <w:t>Directiva (UE) 2019/1937</w:t>
      </w:r>
      <w:r w:rsidRPr="00C33E35">
        <w:rPr>
          <w:rFonts w:ascii="Arial" w:eastAsia="Times New Roman" w:hAnsi="Arial" w:cs="Arial"/>
          <w:b/>
          <w:color w:val="9D2235"/>
          <w:sz w:val="28"/>
          <w:szCs w:val="28"/>
        </w:rPr>
        <w:t xml:space="preserve"> del Parlamento Europeo y del Consejo de 23 de octubre de 2019, relativa a la protección de las personas que informan sobre infracciones del Derecho de la Unión</w:t>
      </w:r>
      <w:bookmarkEnd w:id="72"/>
    </w:p>
    <w:p w14:paraId="519152EA" w14:textId="77777777" w:rsidR="0065513B" w:rsidRPr="0065513B" w:rsidRDefault="0065513B" w:rsidP="0065513B">
      <w:pPr>
        <w:spacing w:after="240" w:line="276" w:lineRule="auto"/>
        <w:jc w:val="both"/>
        <w:rPr>
          <w:rFonts w:ascii="Arial" w:hAnsi="Arial"/>
          <w:sz w:val="21"/>
          <w:szCs w:val="21"/>
        </w:rPr>
      </w:pPr>
      <w:r w:rsidRPr="0065513B">
        <w:rPr>
          <w:rFonts w:ascii="Arial" w:hAnsi="Arial"/>
          <w:sz w:val="21"/>
          <w:szCs w:val="21"/>
        </w:rPr>
        <w:t xml:space="preserve">El pasado 17 de diciembre de 2021 finalizó el plazo para la transposición al ordenamiento jurídico español de la </w:t>
      </w:r>
      <w:hyperlink r:id="rId221" w:history="1">
        <w:r w:rsidRPr="0065513B">
          <w:rPr>
            <w:rStyle w:val="Hipervnculo"/>
            <w:rFonts w:ascii="Arial" w:hAnsi="Arial"/>
            <w:sz w:val="21"/>
            <w:szCs w:val="21"/>
          </w:rPr>
          <w:t>Directiva (UE) 2019/1937 del Parlamento Europeo y del Consejo, de 23 de octubre de 2019, relativa a la protección de las personas que informan sobre infracciones del Derecho de la Unión,</w:t>
        </w:r>
      </w:hyperlink>
      <w:r w:rsidRPr="0065513B">
        <w:rPr>
          <w:rFonts w:ascii="Arial" w:hAnsi="Arial"/>
          <w:sz w:val="21"/>
          <w:szCs w:val="21"/>
        </w:rPr>
        <w:t xml:space="preserve"> publicada en el </w:t>
      </w:r>
      <w:r w:rsidRPr="0065513B">
        <w:rPr>
          <w:rFonts w:ascii="Arial" w:hAnsi="Arial"/>
          <w:i/>
          <w:iCs/>
          <w:sz w:val="21"/>
          <w:szCs w:val="21"/>
        </w:rPr>
        <w:t>Diario Oficial de la Unión Europea</w:t>
      </w:r>
      <w:r w:rsidRPr="0065513B">
        <w:rPr>
          <w:rFonts w:ascii="Arial" w:hAnsi="Arial"/>
          <w:sz w:val="21"/>
          <w:szCs w:val="21"/>
        </w:rPr>
        <w:t xml:space="preserve"> (DOUE) el 26 de noviembre de 2019 y cuya entrada en vigor se produjo en fecha 17 de diciembre de 2019.</w:t>
      </w:r>
    </w:p>
    <w:p w14:paraId="1E5313B5" w14:textId="77777777" w:rsidR="0065513B" w:rsidRPr="0065513B" w:rsidRDefault="0065513B" w:rsidP="0065513B">
      <w:pPr>
        <w:spacing w:after="240" w:line="276" w:lineRule="auto"/>
        <w:jc w:val="both"/>
        <w:rPr>
          <w:rFonts w:ascii="Arial" w:hAnsi="Arial"/>
          <w:sz w:val="21"/>
          <w:szCs w:val="21"/>
        </w:rPr>
      </w:pPr>
      <w:r w:rsidRPr="0065513B">
        <w:rPr>
          <w:rFonts w:ascii="Arial" w:hAnsi="Arial"/>
          <w:sz w:val="21"/>
          <w:szCs w:val="21"/>
        </w:rPr>
        <w:t>La importancia y trascendencia de esta Directiva deriva de que con su aprobación se asiste a la aparición de un nuevo marco europeo en materia de protección a personas que denuncian o alertan de hechos o conductas contrarios al interés público.</w:t>
      </w:r>
    </w:p>
    <w:p w14:paraId="502A4564" w14:textId="378148AB" w:rsidR="00B95A40" w:rsidRDefault="0065513B" w:rsidP="0065513B">
      <w:pPr>
        <w:spacing w:after="240" w:line="276" w:lineRule="auto"/>
        <w:jc w:val="both"/>
        <w:rPr>
          <w:rFonts w:ascii="Arial" w:hAnsi="Arial"/>
          <w:sz w:val="21"/>
          <w:szCs w:val="21"/>
        </w:rPr>
      </w:pPr>
      <w:r w:rsidRPr="0065513B">
        <w:rPr>
          <w:rFonts w:ascii="Arial" w:hAnsi="Arial"/>
          <w:sz w:val="21"/>
          <w:szCs w:val="21"/>
        </w:rPr>
        <w:t xml:space="preserve">En la actualidad, la transposición de la Directiva (UE) 2019/1937 en los países de la Unión Europea, se encuentra, según fuentes de </w:t>
      </w:r>
      <w:hyperlink r:id="rId222" w:history="1">
        <w:r w:rsidRPr="0065513B">
          <w:rPr>
            <w:rStyle w:val="Hipervnculo"/>
            <w:rFonts w:ascii="Arial" w:hAnsi="Arial"/>
            <w:sz w:val="21"/>
            <w:szCs w:val="21"/>
          </w:rPr>
          <w:t>Transparencia Internacional</w:t>
        </w:r>
      </w:hyperlink>
      <w:r w:rsidRPr="0065513B">
        <w:rPr>
          <w:rFonts w:ascii="Arial" w:hAnsi="Arial"/>
          <w:sz w:val="21"/>
          <w:szCs w:val="21"/>
        </w:rPr>
        <w:t>, en el siguiente estado:</w:t>
      </w:r>
    </w:p>
    <w:p w14:paraId="55F3B876" w14:textId="17F51464" w:rsidR="003762B2" w:rsidRPr="003762B2" w:rsidRDefault="006561A3" w:rsidP="003762B2">
      <w:pPr>
        <w:spacing w:after="240" w:line="276" w:lineRule="auto"/>
        <w:jc w:val="both"/>
        <w:rPr>
          <w:rFonts w:ascii="Arial" w:hAnsi="Arial"/>
          <w:sz w:val="21"/>
          <w:szCs w:val="21"/>
        </w:rPr>
      </w:pPr>
      <w:r>
        <w:rPr>
          <w:noProof/>
        </w:rPr>
        <mc:AlternateContent>
          <mc:Choice Requires="wps">
            <w:drawing>
              <wp:anchor distT="0" distB="0" distL="114300" distR="114300" simplePos="0" relativeHeight="252062720" behindDoc="0" locked="0" layoutInCell="1" allowOverlap="1" wp14:anchorId="127A6EDA" wp14:editId="0F314A82">
                <wp:simplePos x="0" y="0"/>
                <wp:positionH relativeFrom="column">
                  <wp:posOffset>120015</wp:posOffset>
                </wp:positionH>
                <wp:positionV relativeFrom="paragraph">
                  <wp:posOffset>3971925</wp:posOffset>
                </wp:positionV>
                <wp:extent cx="5092700" cy="247650"/>
                <wp:effectExtent l="0" t="0" r="0" b="0"/>
                <wp:wrapTopAndBottom/>
                <wp:docPr id="22" name="Cuadro de texto 22"/>
                <wp:cNvGraphicFramePr/>
                <a:graphic xmlns:a="http://schemas.openxmlformats.org/drawingml/2006/main">
                  <a:graphicData uri="http://schemas.microsoft.com/office/word/2010/wordprocessingShape">
                    <wps:wsp>
                      <wps:cNvSpPr txBox="1"/>
                      <wps:spPr>
                        <a:xfrm>
                          <a:off x="0" y="0"/>
                          <a:ext cx="5092700" cy="247650"/>
                        </a:xfrm>
                        <a:prstGeom prst="rect">
                          <a:avLst/>
                        </a:prstGeom>
                        <a:solidFill>
                          <a:prstClr val="white"/>
                        </a:solidFill>
                        <a:ln>
                          <a:noFill/>
                        </a:ln>
                      </wps:spPr>
                      <wps:txbx>
                        <w:txbxContent>
                          <w:p w14:paraId="696F3B2A" w14:textId="0E827BE9" w:rsidR="006561A3" w:rsidRPr="003762B2" w:rsidRDefault="006561A3" w:rsidP="003762B2">
                            <w:pPr>
                              <w:pStyle w:val="Descripcin"/>
                              <w:jc w:val="center"/>
                              <w:rPr>
                                <w:rFonts w:ascii="Arial" w:eastAsia="SimSun" w:hAnsi="Arial" w:cs="Arial"/>
                                <w:smallCaps w:val="0"/>
                                <w:noProof/>
                                <w:kern w:val="2"/>
                                <w:sz w:val="18"/>
                                <w:szCs w:val="18"/>
                                <w:lang w:eastAsia="zh-CN" w:bidi="hi-IN"/>
                              </w:rPr>
                            </w:pPr>
                            <w:bookmarkStart w:id="73" w:name="_Toc99099127"/>
                            <w:r w:rsidRPr="003762B2">
                              <w:rPr>
                                <w:rFonts w:ascii="Arial" w:hAnsi="Arial" w:cs="Arial"/>
                                <w:smallCaps w:val="0"/>
                                <w:color w:val="9D2235" w:themeColor="accent1"/>
                                <w:sz w:val="18"/>
                                <w:szCs w:val="18"/>
                              </w:rPr>
                              <w:t xml:space="preserve">Imagen </w:t>
                            </w:r>
                            <w:r w:rsidRPr="003762B2">
                              <w:rPr>
                                <w:rFonts w:ascii="Arial" w:hAnsi="Arial" w:cs="Arial"/>
                                <w:smallCaps w:val="0"/>
                                <w:color w:val="9D2235" w:themeColor="accent1"/>
                                <w:sz w:val="18"/>
                                <w:szCs w:val="18"/>
                              </w:rPr>
                              <w:fldChar w:fldCharType="begin"/>
                            </w:r>
                            <w:r w:rsidRPr="003762B2">
                              <w:rPr>
                                <w:rFonts w:ascii="Arial" w:hAnsi="Arial" w:cs="Arial"/>
                                <w:smallCaps w:val="0"/>
                                <w:color w:val="9D2235" w:themeColor="accent1"/>
                                <w:sz w:val="18"/>
                                <w:szCs w:val="18"/>
                              </w:rPr>
                              <w:instrText xml:space="preserve"> SEQ Imagen \* ARABIC </w:instrText>
                            </w:r>
                            <w:r w:rsidRPr="003762B2">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3</w:t>
                            </w:r>
                            <w:r w:rsidRPr="003762B2">
                              <w:rPr>
                                <w:rFonts w:ascii="Arial" w:hAnsi="Arial" w:cs="Arial"/>
                                <w:smallCaps w:val="0"/>
                                <w:color w:val="9D2235" w:themeColor="accent1"/>
                                <w:sz w:val="18"/>
                                <w:szCs w:val="18"/>
                              </w:rPr>
                              <w:fldChar w:fldCharType="end"/>
                            </w:r>
                            <w:r w:rsidRPr="003762B2">
                              <w:rPr>
                                <w:rFonts w:ascii="Arial" w:hAnsi="Arial" w:cs="Arial"/>
                                <w:smallCaps w:val="0"/>
                                <w:color w:val="9D2235" w:themeColor="accent1"/>
                                <w:sz w:val="18"/>
                                <w:szCs w:val="18"/>
                              </w:rPr>
                              <w:t xml:space="preserve">. </w:t>
                            </w:r>
                            <w:r w:rsidRPr="003762B2">
                              <w:rPr>
                                <w:rFonts w:ascii="Arial" w:hAnsi="Arial" w:cs="Arial"/>
                                <w:smallCaps w:val="0"/>
                                <w:sz w:val="18"/>
                                <w:szCs w:val="18"/>
                              </w:rPr>
                              <w:t>Infografía estado de la transposición mapa Europa de Transparencia Internacional</w:t>
                            </w:r>
                            <w:bookmarkEnd w:id="73"/>
                          </w:p>
                          <w:p w14:paraId="32DB39E5" w14:textId="77777777" w:rsidR="003762B2" w:rsidRDefault="003762B2" w:rsidP="003762B2">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A6EDA" id="Cuadro de texto 22" o:spid="_x0000_s1037" type="#_x0000_t202" style="position:absolute;left:0;text-align:left;margin-left:9.45pt;margin-top:312.75pt;width:401pt;height:19.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" stroked="f">
                <v:textbox inset="0,0,0,0">
                  <w:txbxContent>
                    <w:p w14:paraId="696F3B2A" w14:textId="0E827BE9" w:rsidR="006561A3" w:rsidRPr="003762B2" w:rsidRDefault="006561A3" w:rsidP="003762B2">
                      <w:pPr>
                        <w:pStyle w:val="Descripcin"/>
                        <w:jc w:val="center"/>
                        <w:rPr>
                          <w:rFonts w:ascii="Arial" w:eastAsia="SimSun" w:hAnsi="Arial" w:cs="Arial"/>
                          <w:smallCaps w:val="0"/>
                          <w:noProof/>
                          <w:kern w:val="2"/>
                          <w:sz w:val="18"/>
                          <w:szCs w:val="18"/>
                          <w:lang w:eastAsia="zh-CN" w:bidi="hi-IN"/>
                        </w:rPr>
                      </w:pPr>
                      <w:bookmarkStart w:id="82" w:name="_Toc99099127"/>
                      <w:r w:rsidRPr="003762B2">
                        <w:rPr>
                          <w:rFonts w:ascii="Arial" w:hAnsi="Arial" w:cs="Arial"/>
                          <w:smallCaps w:val="0"/>
                          <w:color w:val="9D2235" w:themeColor="accent1"/>
                          <w:sz w:val="18"/>
                          <w:szCs w:val="18"/>
                        </w:rPr>
                        <w:t xml:space="preserve">Imagen </w:t>
                      </w:r>
                      <w:r w:rsidRPr="003762B2">
                        <w:rPr>
                          <w:rFonts w:ascii="Arial" w:hAnsi="Arial" w:cs="Arial"/>
                          <w:smallCaps w:val="0"/>
                          <w:color w:val="9D2235" w:themeColor="accent1"/>
                          <w:sz w:val="18"/>
                          <w:szCs w:val="18"/>
                        </w:rPr>
                        <w:fldChar w:fldCharType="begin"/>
                      </w:r>
                      <w:r w:rsidRPr="003762B2">
                        <w:rPr>
                          <w:rFonts w:ascii="Arial" w:hAnsi="Arial" w:cs="Arial"/>
                          <w:smallCaps w:val="0"/>
                          <w:color w:val="9D2235" w:themeColor="accent1"/>
                          <w:sz w:val="18"/>
                          <w:szCs w:val="18"/>
                        </w:rPr>
                        <w:instrText xml:space="preserve"> SEQ Imagen \* ARABIC </w:instrText>
                      </w:r>
                      <w:r w:rsidRPr="003762B2">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3</w:t>
                      </w:r>
                      <w:r w:rsidRPr="003762B2">
                        <w:rPr>
                          <w:rFonts w:ascii="Arial" w:hAnsi="Arial" w:cs="Arial"/>
                          <w:smallCaps w:val="0"/>
                          <w:color w:val="9D2235" w:themeColor="accent1"/>
                          <w:sz w:val="18"/>
                          <w:szCs w:val="18"/>
                        </w:rPr>
                        <w:fldChar w:fldCharType="end"/>
                      </w:r>
                      <w:r w:rsidRPr="003762B2">
                        <w:rPr>
                          <w:rFonts w:ascii="Arial" w:hAnsi="Arial" w:cs="Arial"/>
                          <w:smallCaps w:val="0"/>
                          <w:color w:val="9D2235" w:themeColor="accent1"/>
                          <w:sz w:val="18"/>
                          <w:szCs w:val="18"/>
                        </w:rPr>
                        <w:t xml:space="preserve">. </w:t>
                      </w:r>
                      <w:r w:rsidRPr="003762B2">
                        <w:rPr>
                          <w:rFonts w:ascii="Arial" w:hAnsi="Arial" w:cs="Arial"/>
                          <w:smallCaps w:val="0"/>
                          <w:sz w:val="18"/>
                          <w:szCs w:val="18"/>
                        </w:rPr>
                        <w:t>Infografía estado de la transposición mapa Europa de Transparencia Internacional</w:t>
                      </w:r>
                      <w:bookmarkEnd w:id="82"/>
                    </w:p>
                    <w:p w14:paraId="32DB39E5" w14:textId="77777777" w:rsidR="003762B2" w:rsidRDefault="003762B2" w:rsidP="003762B2">
                      <w:pPr>
                        <w:jc w:val="center"/>
                      </w:pPr>
                    </w:p>
                  </w:txbxContent>
                </v:textbox>
                <w10:wrap type="topAndBottom"/>
              </v:shape>
            </w:pict>
          </mc:Fallback>
        </mc:AlternateContent>
      </w:r>
      <w:r w:rsidRPr="006561A3">
        <w:rPr>
          <w:rFonts w:ascii="Arial" w:eastAsia="SimSun" w:hAnsi="Arial" w:cs="Arial"/>
          <w:noProof/>
          <w:kern w:val="2"/>
          <w:sz w:val="21"/>
          <w:szCs w:val="21"/>
          <w:lang w:eastAsia="zh-CN" w:bidi="hi-IN"/>
        </w:rPr>
        <w:drawing>
          <wp:anchor distT="0" distB="0" distL="114300" distR="114300" simplePos="0" relativeHeight="252060672" behindDoc="0" locked="0" layoutInCell="1" allowOverlap="1" wp14:anchorId="15F39AA7" wp14:editId="3F1DF521">
            <wp:simplePos x="0" y="0"/>
            <wp:positionH relativeFrom="margin">
              <wp:align>center</wp:align>
            </wp:positionH>
            <wp:positionV relativeFrom="paragraph">
              <wp:posOffset>0</wp:posOffset>
            </wp:positionV>
            <wp:extent cx="3039745" cy="3917315"/>
            <wp:effectExtent l="0" t="0" r="8255" b="6985"/>
            <wp:wrapTopAndBottom/>
            <wp:docPr id="14" name="Imagen 1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Mapa&#10;&#10;Descripción generada automáticamente"/>
                    <pic:cNvPicPr/>
                  </pic:nvPicPr>
                  <pic:blipFill>
                    <a:blip r:embed="rId223">
                      <a:extLst>
                        <a:ext uri="{28A0092B-C50C-407E-A947-70E740481C1C}">
                          <a14:useLocalDpi xmlns:a14="http://schemas.microsoft.com/office/drawing/2010/main" val="0"/>
                        </a:ext>
                      </a:extLst>
                    </a:blip>
                    <a:stretch>
                      <a:fillRect/>
                    </a:stretch>
                  </pic:blipFill>
                  <pic:spPr>
                    <a:xfrm>
                      <a:off x="0" y="0"/>
                      <a:ext cx="3039745" cy="3917315"/>
                    </a:xfrm>
                    <a:prstGeom prst="rect">
                      <a:avLst/>
                    </a:prstGeom>
                  </pic:spPr>
                </pic:pic>
              </a:graphicData>
            </a:graphic>
          </wp:anchor>
        </w:drawing>
      </w:r>
      <w:r w:rsidR="003762B2" w:rsidRPr="003762B2">
        <w:rPr>
          <w:rFonts w:ascii="Arial" w:hAnsi="Arial"/>
          <w:sz w:val="21"/>
          <w:szCs w:val="21"/>
        </w:rPr>
        <w:t xml:space="preserve">De la información recogida por </w:t>
      </w:r>
      <w:hyperlink r:id="rId224" w:history="1">
        <w:r w:rsidR="003762B2" w:rsidRPr="003762B2">
          <w:rPr>
            <w:rStyle w:val="Hipervnculo"/>
            <w:rFonts w:ascii="Arial" w:hAnsi="Arial"/>
            <w:sz w:val="21"/>
            <w:szCs w:val="21"/>
          </w:rPr>
          <w:t>Transparencia Internacional</w:t>
        </w:r>
      </w:hyperlink>
      <w:r w:rsidR="003762B2" w:rsidRPr="003762B2">
        <w:rPr>
          <w:rFonts w:ascii="Arial" w:hAnsi="Arial"/>
          <w:sz w:val="21"/>
          <w:szCs w:val="21"/>
        </w:rPr>
        <w:t xml:space="preserve"> se observa que</w:t>
      </w:r>
      <w:r w:rsidR="0065513B">
        <w:rPr>
          <w:rFonts w:ascii="Arial" w:hAnsi="Arial"/>
          <w:sz w:val="21"/>
          <w:szCs w:val="21"/>
        </w:rPr>
        <w:t>,</w:t>
      </w:r>
      <w:r w:rsidR="003762B2" w:rsidRPr="003762B2">
        <w:rPr>
          <w:rFonts w:ascii="Arial" w:hAnsi="Arial"/>
          <w:sz w:val="21"/>
          <w:szCs w:val="21"/>
        </w:rPr>
        <w:t xml:space="preserve"> de los veintisiete Estados miembros de la Unión Europea, a fecha de redacción de esta Memoria, solo cinco países han adoptado una nueva legislación de protección de denunciantes y transposición de la Directiva: Dinamarca (en junio 2021), Suecia (en septiembre 2021), Portugal (en noviembre 2021), Malta y Lituania (en enero de 2022). </w:t>
      </w:r>
    </w:p>
    <w:p w14:paraId="30843ED5" w14:textId="77777777" w:rsidR="0065513B" w:rsidRPr="0065513B" w:rsidRDefault="0065513B" w:rsidP="0065513B">
      <w:pPr>
        <w:spacing w:after="240" w:line="276" w:lineRule="auto"/>
        <w:jc w:val="both"/>
        <w:rPr>
          <w:rFonts w:ascii="Arial" w:hAnsi="Arial"/>
          <w:sz w:val="21"/>
          <w:szCs w:val="21"/>
        </w:rPr>
      </w:pPr>
      <w:r w:rsidRPr="0065513B">
        <w:rPr>
          <w:rFonts w:ascii="Arial" w:hAnsi="Arial"/>
          <w:sz w:val="21"/>
          <w:szCs w:val="21"/>
        </w:rPr>
        <w:t>Por su parte, se encuentran en sede parlamentaria los proyectos de ley de Francia, Países Bajos y Estonia. También otros once países de la Unión tienen proyectos de ley: Bélgica (limitado al sector privado), Croacia, República Checa, Finlandia, Irlanda, Letonia, Polonia, Rumania, Eslovaquia y Eslovenia. En los nueve países restantes, los proyectos de ley aún no se han trasladado para su debate más allá de los órganos internos de gobierno.</w:t>
      </w:r>
    </w:p>
    <w:p w14:paraId="184056E7" w14:textId="77777777" w:rsidR="0065513B" w:rsidRPr="0065513B" w:rsidRDefault="0065513B" w:rsidP="0065513B">
      <w:pPr>
        <w:spacing w:after="240" w:line="276" w:lineRule="auto"/>
        <w:jc w:val="both"/>
        <w:rPr>
          <w:rFonts w:ascii="Arial" w:hAnsi="Arial"/>
          <w:sz w:val="21"/>
          <w:szCs w:val="21"/>
        </w:rPr>
      </w:pPr>
      <w:r w:rsidRPr="0065513B">
        <w:rPr>
          <w:rFonts w:ascii="Arial" w:hAnsi="Arial"/>
          <w:sz w:val="21"/>
          <w:szCs w:val="21"/>
        </w:rPr>
        <w:t xml:space="preserve">En cuanto a los trámites realizados en España en relación con la transposición de la Directiva (UE) 2019/1937, debe mencionarse la aprobación por el Gobierno del </w:t>
      </w:r>
      <w:hyperlink r:id="rId225" w:history="1">
        <w:r w:rsidRPr="0065513B">
          <w:rPr>
            <w:rStyle w:val="Hipervnculo"/>
            <w:rFonts w:ascii="Arial" w:hAnsi="Arial"/>
            <w:sz w:val="21"/>
            <w:szCs w:val="21"/>
          </w:rPr>
          <w:t>IV Plan de Gobierno Abierto de España 2020-2024</w:t>
        </w:r>
      </w:hyperlink>
      <w:r w:rsidRPr="0065513B">
        <w:rPr>
          <w:rFonts w:ascii="Arial" w:hAnsi="Arial"/>
          <w:sz w:val="21"/>
          <w:szCs w:val="21"/>
        </w:rPr>
        <w:t>, que recoge los diez compromisos que asumen las Administraciones públicas para reforzar la transparencia y la rendición de cuentas, mejorar la participación, establecer sistemas de integridad pública, y formar y sensibilizar a la ciudadanía y al personal empleado público en materia de gobierno abierto, todos ellos con el objetivo de contribuir a una sociedad más justa, pacífica e inclusiva.</w:t>
      </w:r>
    </w:p>
    <w:p w14:paraId="36175E92" w14:textId="77777777" w:rsidR="0065513B" w:rsidRPr="0065513B" w:rsidRDefault="0065513B" w:rsidP="0065513B">
      <w:pPr>
        <w:spacing w:after="240" w:line="276" w:lineRule="auto"/>
        <w:jc w:val="both"/>
        <w:rPr>
          <w:rFonts w:ascii="Arial" w:hAnsi="Arial"/>
          <w:sz w:val="21"/>
          <w:szCs w:val="21"/>
        </w:rPr>
      </w:pPr>
      <w:r w:rsidRPr="0065513B">
        <w:rPr>
          <w:rFonts w:ascii="Arial" w:hAnsi="Arial"/>
          <w:sz w:val="21"/>
          <w:szCs w:val="21"/>
        </w:rPr>
        <w:t xml:space="preserve">En concreto, dentro del </w:t>
      </w:r>
      <w:r w:rsidRPr="0065513B">
        <w:rPr>
          <w:rFonts w:ascii="Arial" w:hAnsi="Arial"/>
          <w:b/>
          <w:bCs/>
          <w:sz w:val="21"/>
          <w:szCs w:val="21"/>
        </w:rPr>
        <w:t>eje de “Integridad”</w:t>
      </w:r>
      <w:r w:rsidRPr="0065513B">
        <w:rPr>
          <w:rFonts w:ascii="Arial" w:hAnsi="Arial"/>
          <w:i/>
          <w:iCs/>
          <w:sz w:val="21"/>
          <w:szCs w:val="21"/>
        </w:rPr>
        <w:t xml:space="preserve"> </w:t>
      </w:r>
      <w:r w:rsidRPr="0065513B">
        <w:rPr>
          <w:rFonts w:ascii="Arial" w:hAnsi="Arial"/>
          <w:sz w:val="21"/>
          <w:szCs w:val="21"/>
        </w:rPr>
        <w:t xml:space="preserve">de este IV Plan de Gobierno Abierto se incluye, como compromiso número 6, el relativo a la “Protección de denunciantes”, cuya finalidad incorpora, además de la creación de la nueva Autoridad Independiente de Protección del Denunciante, lo siguiente: </w:t>
      </w:r>
    </w:p>
    <w:p w14:paraId="775AFE19" w14:textId="77777777" w:rsidR="0065513B" w:rsidRPr="002378CD" w:rsidRDefault="0065513B" w:rsidP="0065513B">
      <w:pPr>
        <w:spacing w:after="240" w:line="276" w:lineRule="auto"/>
        <w:ind w:left="567"/>
        <w:jc w:val="both"/>
        <w:rPr>
          <w:rFonts w:ascii="Arial" w:hAnsi="Arial"/>
          <w:sz w:val="20"/>
          <w:szCs w:val="20"/>
        </w:rPr>
      </w:pPr>
      <w:r w:rsidRPr="002378CD">
        <w:rPr>
          <w:rFonts w:ascii="Arial" w:hAnsi="Arial"/>
          <w:sz w:val="20"/>
          <w:szCs w:val="20"/>
        </w:rPr>
        <w:t>“Transponer al ordenamiento jurídico español la Directiva (UE) 2019/1937 de 23 de octubre de 2019, relativa a la protección de las personas que informen sobre infracciones del derecho de la UE. Aprobar un marco jurídico uniforme que garantice la protección de las personas que faciliten información para la detección de delitos o infracciones legales en el seno de una organización, ya sea pública o privada, y contribuir de ese modo a una mejor implementación de la ley.”</w:t>
      </w:r>
    </w:p>
    <w:p w14:paraId="538147A0" w14:textId="77777777" w:rsidR="0065513B" w:rsidRPr="0065513B" w:rsidRDefault="0065513B" w:rsidP="0065513B">
      <w:pPr>
        <w:spacing w:after="240" w:line="276" w:lineRule="auto"/>
        <w:jc w:val="both"/>
        <w:rPr>
          <w:rFonts w:ascii="Arial" w:hAnsi="Arial"/>
          <w:sz w:val="21"/>
          <w:szCs w:val="21"/>
        </w:rPr>
      </w:pPr>
      <w:r w:rsidRPr="0065513B">
        <w:rPr>
          <w:rFonts w:ascii="Arial" w:hAnsi="Arial"/>
          <w:sz w:val="21"/>
          <w:szCs w:val="21"/>
        </w:rPr>
        <w:t>Dicho compromiso recogía un calendario durante 2021, con indicación expresa de los trámites a seguir, por el Grupo de Trabajo constituido por el Ministerio de Justicia en el año 2020, en el seno de la Sección de Derecho Público de la Comisión General de Codificación, encargado de preparar la propuesta de texto articulado para la transposición.</w:t>
      </w:r>
    </w:p>
    <w:p w14:paraId="6CB5DA09" w14:textId="77777777" w:rsidR="0065513B" w:rsidRPr="0065513B" w:rsidRDefault="0065513B" w:rsidP="0065513B">
      <w:pPr>
        <w:spacing w:after="240" w:line="276" w:lineRule="auto"/>
        <w:jc w:val="both"/>
        <w:rPr>
          <w:rFonts w:ascii="Arial" w:hAnsi="Arial"/>
          <w:sz w:val="21"/>
          <w:szCs w:val="21"/>
        </w:rPr>
      </w:pPr>
      <w:r w:rsidRPr="0065513B">
        <w:rPr>
          <w:rFonts w:ascii="Arial" w:hAnsi="Arial"/>
          <w:sz w:val="21"/>
          <w:szCs w:val="21"/>
        </w:rPr>
        <w:t>A tales efectos, los objetivos fijados por el Ministerio de Justicia para la consecución del citado compromiso son, literalmente los siguientes:</w:t>
      </w:r>
    </w:p>
    <w:p w14:paraId="177A6F9A" w14:textId="77777777" w:rsidR="0065513B" w:rsidRPr="002378CD" w:rsidRDefault="0065513B" w:rsidP="00A307DF">
      <w:pPr>
        <w:spacing w:after="120" w:line="276" w:lineRule="auto"/>
        <w:ind w:left="567"/>
        <w:jc w:val="both"/>
        <w:rPr>
          <w:rFonts w:ascii="Arial" w:hAnsi="Arial"/>
          <w:sz w:val="20"/>
          <w:szCs w:val="20"/>
        </w:rPr>
      </w:pPr>
      <w:r w:rsidRPr="002378CD">
        <w:rPr>
          <w:rFonts w:ascii="Arial" w:hAnsi="Arial"/>
          <w:sz w:val="20"/>
          <w:szCs w:val="20"/>
        </w:rPr>
        <w:t>“Establecer una regulación para proteger a todas las personas denunciantes que informen sobre corrupción o fraudes y violaciones de las leyes de los países de la Unión Europea, mediante el establecimiento de canales protegidos de denuncias y la prohibición de represalias contra quienes denuncien irregularidades en empresas privadas y organismos públicos.</w:t>
      </w:r>
    </w:p>
    <w:p w14:paraId="4F1822D0" w14:textId="77777777" w:rsidR="0065513B" w:rsidRPr="002378CD" w:rsidRDefault="0065513B" w:rsidP="00A307DF">
      <w:pPr>
        <w:spacing w:after="120" w:line="276" w:lineRule="auto"/>
        <w:ind w:left="567"/>
        <w:jc w:val="both"/>
        <w:rPr>
          <w:rFonts w:ascii="Arial" w:hAnsi="Arial"/>
          <w:sz w:val="20"/>
          <w:szCs w:val="20"/>
        </w:rPr>
      </w:pPr>
      <w:r w:rsidRPr="002378CD">
        <w:rPr>
          <w:rFonts w:ascii="Arial" w:hAnsi="Arial"/>
          <w:sz w:val="20"/>
          <w:szCs w:val="20"/>
        </w:rPr>
        <w:t xml:space="preserve">Poder explotar el potencial de protección del que denuncia para reforzar la aplicación y el cumplimiento de la legislación en todos los ámbitos. </w:t>
      </w:r>
    </w:p>
    <w:p w14:paraId="6BFC646B" w14:textId="77777777" w:rsidR="0065513B" w:rsidRPr="002378CD" w:rsidRDefault="0065513B" w:rsidP="00A307DF">
      <w:pPr>
        <w:spacing w:after="120" w:line="276" w:lineRule="auto"/>
        <w:ind w:left="567"/>
        <w:jc w:val="both"/>
        <w:rPr>
          <w:rFonts w:ascii="Arial" w:hAnsi="Arial"/>
          <w:sz w:val="20"/>
          <w:szCs w:val="20"/>
        </w:rPr>
      </w:pPr>
      <w:r w:rsidRPr="002378CD">
        <w:rPr>
          <w:rFonts w:ascii="Arial" w:hAnsi="Arial"/>
          <w:sz w:val="20"/>
          <w:szCs w:val="20"/>
        </w:rPr>
        <w:t>Reforzar el ejercicio del derecho a la libertad de expresión e información.</w:t>
      </w:r>
    </w:p>
    <w:p w14:paraId="4CA55B6D" w14:textId="77777777" w:rsidR="0065513B" w:rsidRPr="0065513B" w:rsidRDefault="0065513B" w:rsidP="0065513B">
      <w:pPr>
        <w:spacing w:after="240" w:line="276" w:lineRule="auto"/>
        <w:ind w:left="567"/>
        <w:jc w:val="both"/>
        <w:rPr>
          <w:rFonts w:ascii="Arial" w:hAnsi="Arial"/>
          <w:sz w:val="21"/>
          <w:szCs w:val="21"/>
        </w:rPr>
      </w:pPr>
      <w:r w:rsidRPr="002378CD">
        <w:rPr>
          <w:rFonts w:ascii="Arial" w:hAnsi="Arial"/>
          <w:sz w:val="20"/>
          <w:szCs w:val="20"/>
        </w:rPr>
        <w:t>Tal y como prevé la Directiva, establecer un aparato institucional adecuado para garantizar la protección del denunciante a través de la autoridad que designe el Estado Miembro.”</w:t>
      </w:r>
    </w:p>
    <w:p w14:paraId="7EB1367E" w14:textId="77777777" w:rsidR="0065513B" w:rsidRPr="0065513B" w:rsidRDefault="0065513B" w:rsidP="0065513B">
      <w:pPr>
        <w:spacing w:after="240" w:line="276" w:lineRule="auto"/>
        <w:jc w:val="both"/>
        <w:rPr>
          <w:rFonts w:ascii="Arial" w:hAnsi="Arial"/>
          <w:sz w:val="21"/>
          <w:szCs w:val="21"/>
        </w:rPr>
      </w:pPr>
      <w:r w:rsidRPr="0065513B">
        <w:rPr>
          <w:rFonts w:ascii="Arial" w:hAnsi="Arial"/>
          <w:sz w:val="21"/>
          <w:szCs w:val="21"/>
        </w:rPr>
        <w:t>Se destaca a continuación como compromiso del Gobierno de la nación el siguiente:</w:t>
      </w:r>
    </w:p>
    <w:p w14:paraId="6F846E11" w14:textId="77777777" w:rsidR="0065513B" w:rsidRPr="002378CD" w:rsidRDefault="0065513B" w:rsidP="0065513B">
      <w:pPr>
        <w:spacing w:after="240" w:line="276" w:lineRule="auto"/>
        <w:ind w:left="567"/>
        <w:jc w:val="both"/>
        <w:rPr>
          <w:rFonts w:ascii="Arial" w:hAnsi="Arial"/>
          <w:sz w:val="20"/>
          <w:szCs w:val="20"/>
        </w:rPr>
      </w:pPr>
      <w:r w:rsidRPr="002378CD">
        <w:rPr>
          <w:rFonts w:ascii="Arial" w:hAnsi="Arial"/>
          <w:sz w:val="20"/>
          <w:szCs w:val="20"/>
        </w:rPr>
        <w:t>“La iniciativa debe ser prioritaria, ya que será un instrumento especialmente útil en la lucha integral contra la corrupción, y la protección de las personas que denuncien el incumplimiento de infracciones y violaciones de la ley, tanto en el ámbito público como en el privado”.</w:t>
      </w:r>
    </w:p>
    <w:p w14:paraId="2121BE5F" w14:textId="77777777" w:rsidR="0065513B" w:rsidRPr="0065513B" w:rsidRDefault="0065513B" w:rsidP="0065513B">
      <w:pPr>
        <w:spacing w:after="240" w:line="276" w:lineRule="auto"/>
        <w:jc w:val="both"/>
        <w:rPr>
          <w:rFonts w:ascii="Arial" w:hAnsi="Arial"/>
          <w:sz w:val="21"/>
          <w:szCs w:val="21"/>
        </w:rPr>
      </w:pPr>
      <w:r w:rsidRPr="0065513B">
        <w:rPr>
          <w:rFonts w:ascii="Arial" w:hAnsi="Arial"/>
          <w:sz w:val="21"/>
          <w:szCs w:val="21"/>
        </w:rPr>
        <w:t>El calendario para la transposición de la Directiva, tras la consulta pública previa, incluía los siguientes hitos a realizar durante el primer semestre de 2021: someter el resultado de la consulta a Consejo de Ministros, a fin de decidir los siguientes trámites y, en particular, sobre las consultas, dictámenes e informes que resulten convenientes; el trámite de audiencia e información pública; y la incorporación de informes de otros órganos, como la Oficina de Coordinación y Calidad Normativa del Ministerio de la Presidencia, Relaciones con las Cortes y Memoria Democrática, la Federación Española de Municipios y Provincias, la Dirección General de Coordinación Autonómica y Local del Ministerio de Política Territorial y Función Pública, la Agencia Española de Protección de Datos y la Secretaría General Técnica del Ministerio de Justicia.</w:t>
      </w:r>
    </w:p>
    <w:p w14:paraId="3CB8283F" w14:textId="255BB881" w:rsidR="0065513B" w:rsidRDefault="0065513B" w:rsidP="0065513B">
      <w:pPr>
        <w:spacing w:after="240" w:line="276" w:lineRule="auto"/>
        <w:jc w:val="both"/>
        <w:rPr>
          <w:rFonts w:ascii="Arial" w:hAnsi="Arial"/>
          <w:sz w:val="21"/>
          <w:szCs w:val="21"/>
        </w:rPr>
      </w:pPr>
      <w:r w:rsidRPr="0065513B">
        <w:rPr>
          <w:rFonts w:ascii="Arial" w:hAnsi="Arial"/>
          <w:sz w:val="21"/>
          <w:szCs w:val="21"/>
        </w:rPr>
        <w:t>Recordemos que según el IV Plan de Gobierno Abierto 2020-2024, las fechas estimadas ya deberían haber llegado al punto 5 de la tramitación. Sin embargo, únicamente ha finalizado el punto 1 dedicado a la “Consulta pública previa”, y ni siquiera los resultados de dicha consulta se han hecho públicos en el portal de transparencia.</w:t>
      </w:r>
    </w:p>
    <w:p w14:paraId="459093AB" w14:textId="77777777" w:rsidR="003762B2" w:rsidRDefault="003762B2" w:rsidP="003762B2">
      <w:pPr>
        <w:keepNext/>
        <w:spacing w:after="240" w:line="276" w:lineRule="auto"/>
        <w:jc w:val="center"/>
      </w:pPr>
      <w:r w:rsidRPr="003762B2">
        <w:rPr>
          <w:rFonts w:ascii="Calibri" w:eastAsia="Calibri" w:hAnsi="Calibri" w:cs="Times New Roman"/>
          <w:noProof/>
        </w:rPr>
        <w:drawing>
          <wp:inline distT="0" distB="0" distL="0" distR="0" wp14:anchorId="0AB97E9B" wp14:editId="093AC984">
            <wp:extent cx="5001905" cy="4557239"/>
            <wp:effectExtent l="0" t="0" r="8255" b="0"/>
            <wp:docPr id="23" name="Imagen 2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abla&#10;&#10;Descripción generada automáticamente"/>
                    <pic:cNvPicPr/>
                  </pic:nvPicPr>
                  <pic:blipFill>
                    <a:blip r:embed="rId226"/>
                    <a:stretch>
                      <a:fillRect/>
                    </a:stretch>
                  </pic:blipFill>
                  <pic:spPr>
                    <a:xfrm>
                      <a:off x="0" y="0"/>
                      <a:ext cx="5010065" cy="4564674"/>
                    </a:xfrm>
                    <a:prstGeom prst="rect">
                      <a:avLst/>
                    </a:prstGeom>
                  </pic:spPr>
                </pic:pic>
              </a:graphicData>
            </a:graphic>
          </wp:inline>
        </w:drawing>
      </w:r>
    </w:p>
    <w:p w14:paraId="1E34D77E" w14:textId="38BBD2D6" w:rsidR="006561A3" w:rsidRPr="00AD515B" w:rsidRDefault="003762B2" w:rsidP="003762B2">
      <w:pPr>
        <w:pStyle w:val="Descripcin"/>
        <w:jc w:val="center"/>
        <w:rPr>
          <w:rFonts w:ascii="Arial" w:hAnsi="Arial" w:cs="Arial"/>
          <w:smallCaps w:val="0"/>
          <w:sz w:val="18"/>
          <w:szCs w:val="18"/>
        </w:rPr>
      </w:pPr>
      <w:bookmarkStart w:id="74" w:name="_Toc99099128"/>
      <w:r w:rsidRPr="00AD515B">
        <w:rPr>
          <w:rFonts w:ascii="Arial" w:hAnsi="Arial" w:cs="Arial"/>
          <w:smallCaps w:val="0"/>
          <w:color w:val="9D2235" w:themeColor="accent1"/>
          <w:sz w:val="18"/>
          <w:szCs w:val="18"/>
        </w:rPr>
        <w:t xml:space="preserve">Imagen </w:t>
      </w:r>
      <w:r w:rsidRPr="00AD515B">
        <w:rPr>
          <w:rFonts w:ascii="Arial" w:hAnsi="Arial" w:cs="Arial"/>
          <w:smallCaps w:val="0"/>
          <w:color w:val="9D2235" w:themeColor="accent1"/>
          <w:sz w:val="18"/>
          <w:szCs w:val="18"/>
        </w:rPr>
        <w:fldChar w:fldCharType="begin" w:fldLock="1"/>
      </w:r>
      <w:r w:rsidRPr="00AD515B">
        <w:rPr>
          <w:rFonts w:ascii="Arial" w:hAnsi="Arial" w:cs="Arial"/>
          <w:smallCaps w:val="0"/>
          <w:color w:val="9D2235" w:themeColor="accent1"/>
          <w:sz w:val="18"/>
          <w:szCs w:val="18"/>
        </w:rPr>
        <w:instrText xml:space="preserve"> SEQ Imagen \* ARABIC </w:instrText>
      </w:r>
      <w:r w:rsidRPr="00AD515B">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4</w:t>
      </w:r>
      <w:r w:rsidRPr="00AD515B">
        <w:rPr>
          <w:rFonts w:ascii="Arial" w:hAnsi="Arial" w:cs="Arial"/>
          <w:smallCaps w:val="0"/>
          <w:color w:val="9D2235" w:themeColor="accent1"/>
          <w:sz w:val="18"/>
          <w:szCs w:val="18"/>
        </w:rPr>
        <w:fldChar w:fldCharType="end"/>
      </w:r>
      <w:r w:rsidRPr="00AD515B">
        <w:rPr>
          <w:rFonts w:ascii="Arial" w:hAnsi="Arial" w:cs="Arial"/>
          <w:smallCaps w:val="0"/>
          <w:color w:val="9D2235" w:themeColor="accent1"/>
          <w:sz w:val="18"/>
          <w:szCs w:val="18"/>
        </w:rPr>
        <w:t xml:space="preserve">. </w:t>
      </w:r>
      <w:r w:rsidRPr="00AD515B">
        <w:rPr>
          <w:rFonts w:ascii="Arial" w:hAnsi="Arial" w:cs="Arial"/>
          <w:smallCaps w:val="0"/>
          <w:sz w:val="18"/>
          <w:szCs w:val="18"/>
        </w:rPr>
        <w:t xml:space="preserve">Infografía calendario transposición de la Directiva (UE) 2019/1937 </w:t>
      </w:r>
      <w:r w:rsidR="008A11B7">
        <w:rPr>
          <w:rFonts w:ascii="Arial" w:hAnsi="Arial" w:cs="Arial"/>
          <w:smallCaps w:val="0"/>
          <w:sz w:val="18"/>
          <w:szCs w:val="18"/>
        </w:rPr>
        <w:t>según el</w:t>
      </w:r>
      <w:r w:rsidRPr="00AD515B">
        <w:rPr>
          <w:rFonts w:ascii="Arial" w:hAnsi="Arial" w:cs="Arial"/>
          <w:smallCaps w:val="0"/>
          <w:sz w:val="18"/>
          <w:szCs w:val="18"/>
        </w:rPr>
        <w:t xml:space="preserve"> IV Plan Gobier</w:t>
      </w:r>
      <w:r w:rsidR="009C4C47">
        <w:rPr>
          <w:rFonts w:ascii="Arial" w:hAnsi="Arial" w:cs="Arial"/>
          <w:smallCaps w:val="0"/>
          <w:sz w:val="18"/>
          <w:szCs w:val="18"/>
        </w:rPr>
        <w:t>n</w:t>
      </w:r>
      <w:r w:rsidRPr="00AD515B">
        <w:rPr>
          <w:rFonts w:ascii="Arial" w:hAnsi="Arial" w:cs="Arial"/>
          <w:smallCaps w:val="0"/>
          <w:sz w:val="18"/>
          <w:szCs w:val="18"/>
        </w:rPr>
        <w:t>o Abierto de España (2020 - 2024)</w:t>
      </w:r>
      <w:bookmarkEnd w:id="74"/>
    </w:p>
    <w:p w14:paraId="0B3EEEBA" w14:textId="77777777" w:rsidR="00FF1CEA" w:rsidRPr="00FF1CEA" w:rsidRDefault="00FF1CEA" w:rsidP="00FF1CEA">
      <w:pPr>
        <w:spacing w:after="240" w:line="276" w:lineRule="auto"/>
        <w:jc w:val="both"/>
        <w:rPr>
          <w:rFonts w:ascii="Arial" w:hAnsi="Arial"/>
          <w:sz w:val="21"/>
          <w:szCs w:val="21"/>
        </w:rPr>
      </w:pPr>
      <w:r w:rsidRPr="00FF1CEA">
        <w:rPr>
          <w:rFonts w:ascii="Arial" w:hAnsi="Arial"/>
          <w:sz w:val="21"/>
          <w:szCs w:val="21"/>
        </w:rPr>
        <w:t xml:space="preserve">El </w:t>
      </w:r>
      <w:hyperlink r:id="rId227" w:history="1">
        <w:r w:rsidRPr="00FF1CEA">
          <w:rPr>
            <w:rStyle w:val="Hipervnculo"/>
            <w:rFonts w:ascii="Arial" w:hAnsi="Arial"/>
            <w:sz w:val="21"/>
            <w:szCs w:val="21"/>
          </w:rPr>
          <w:t>Plan normativo del Gobierno de España para 2021</w:t>
        </w:r>
      </w:hyperlink>
      <w:r w:rsidRPr="00FF1CEA">
        <w:rPr>
          <w:rFonts w:ascii="Arial" w:hAnsi="Arial"/>
          <w:sz w:val="21"/>
          <w:szCs w:val="21"/>
        </w:rPr>
        <w:t xml:space="preserve"> recoge todos aquellos asuntos de naturaleza normativa que tenía previsto aprobar el Consejo de ministros en el segundo semestre del año, desde 31 de agosto de 2021 hasta 31 de diciembre de 2021. </w:t>
      </w:r>
    </w:p>
    <w:p w14:paraId="5AA02453" w14:textId="77777777" w:rsidR="00FF1CEA" w:rsidRPr="00FF1CEA" w:rsidRDefault="00FF1CEA" w:rsidP="00FF1CEA">
      <w:pPr>
        <w:spacing w:after="240" w:line="276" w:lineRule="auto"/>
        <w:jc w:val="both"/>
        <w:rPr>
          <w:rFonts w:ascii="Arial" w:hAnsi="Arial"/>
          <w:sz w:val="21"/>
          <w:szCs w:val="21"/>
        </w:rPr>
      </w:pPr>
      <w:r w:rsidRPr="00FF1CEA">
        <w:rPr>
          <w:rFonts w:ascii="Arial" w:hAnsi="Arial"/>
          <w:sz w:val="21"/>
          <w:szCs w:val="21"/>
        </w:rPr>
        <w:t>El citado Plan contenía ciento cuarenta y cuatro iniciativas, entre leyes orgánicas (seis), leyes ordinarias (veintiocho) y reales decretos (ciento diez). Del total de iniciativas, treinta y siete son incorporaciones necesarias a nuestro ordenamiento jurídico, procedentes de mandatos del Derecho de la Unión Europea. Dentro de las veintiocho leyes ordinarias previstas, se encuentra la relativa a la transposición de la Directiva 2019/1937 en el apartado II: “JUSTICIA”. En concreto, la transposición se incluye dentro de los nueve proyectos normativos que se adscriben al Ministerio de Justicia (cuatro leyes orgánicas, tres leyes ordinarias y dos reales decretos).</w:t>
      </w:r>
    </w:p>
    <w:p w14:paraId="72E4A6CE" w14:textId="77777777" w:rsidR="00FF1CEA" w:rsidRPr="00FF1CEA" w:rsidRDefault="00FF1CEA" w:rsidP="00FF1CEA">
      <w:pPr>
        <w:spacing w:after="240" w:line="276" w:lineRule="auto"/>
        <w:jc w:val="both"/>
        <w:rPr>
          <w:rFonts w:ascii="Arial" w:hAnsi="Arial"/>
          <w:sz w:val="21"/>
          <w:szCs w:val="21"/>
        </w:rPr>
      </w:pPr>
      <w:r w:rsidRPr="00FF1CEA">
        <w:rPr>
          <w:rFonts w:ascii="Arial" w:hAnsi="Arial"/>
          <w:sz w:val="21"/>
          <w:szCs w:val="21"/>
        </w:rPr>
        <w:t>Dicho Plan recogía dos anexos:</w:t>
      </w:r>
    </w:p>
    <w:p w14:paraId="58978820" w14:textId="77777777" w:rsidR="00FF1CEA" w:rsidRPr="00FF1CEA" w:rsidRDefault="00FF1CEA" w:rsidP="00A307DF">
      <w:pPr>
        <w:numPr>
          <w:ilvl w:val="0"/>
          <w:numId w:val="162"/>
        </w:numPr>
        <w:spacing w:after="120" w:line="276" w:lineRule="auto"/>
        <w:ind w:left="714" w:hanging="357"/>
        <w:jc w:val="both"/>
        <w:rPr>
          <w:rFonts w:ascii="Arial" w:hAnsi="Arial"/>
          <w:sz w:val="21"/>
          <w:szCs w:val="21"/>
        </w:rPr>
      </w:pPr>
      <w:r w:rsidRPr="00FF1CEA">
        <w:rPr>
          <w:rFonts w:ascii="Arial" w:hAnsi="Arial"/>
          <w:sz w:val="21"/>
          <w:szCs w:val="21"/>
        </w:rPr>
        <w:t>Anexo I, acción normativa desarrollada por el Gobierno en lo que va de año, de modo que se relacionan, ordenadas en este caso en función del Ministerio proponente, aquellas normas o proyectos normativos que han sido aprobados por el Consejo de ministros entre 1 de enero y 31 de agosto de 2021, antes de la aprobación del Plan.</w:t>
      </w:r>
    </w:p>
    <w:p w14:paraId="74B2480C" w14:textId="77777777" w:rsidR="00FF1CEA" w:rsidRPr="00FF1CEA" w:rsidRDefault="00FF1CEA" w:rsidP="00FF1CEA">
      <w:pPr>
        <w:numPr>
          <w:ilvl w:val="0"/>
          <w:numId w:val="162"/>
        </w:numPr>
        <w:spacing w:after="240" w:line="276" w:lineRule="auto"/>
        <w:jc w:val="both"/>
        <w:rPr>
          <w:rFonts w:ascii="Arial" w:hAnsi="Arial"/>
          <w:sz w:val="21"/>
          <w:szCs w:val="21"/>
        </w:rPr>
      </w:pPr>
      <w:r w:rsidRPr="00FF1CEA">
        <w:rPr>
          <w:rFonts w:ascii="Arial" w:hAnsi="Arial"/>
          <w:sz w:val="21"/>
          <w:szCs w:val="21"/>
        </w:rPr>
        <w:t>Anexo II, relacionado con el Plan de Recuperación, Transformación y Resiliencia, que recoge todos aquellos proyectos normativos del Plan anual normativo 2021 pendientes de aprobación a fecha 31 de agosto de 2021.</w:t>
      </w:r>
    </w:p>
    <w:p w14:paraId="1785BA4D" w14:textId="77777777" w:rsidR="00FF1CEA" w:rsidRPr="00FF1CEA" w:rsidRDefault="00FF1CEA" w:rsidP="00FF1CEA">
      <w:pPr>
        <w:spacing w:after="240" w:line="276" w:lineRule="auto"/>
        <w:jc w:val="both"/>
        <w:rPr>
          <w:rFonts w:ascii="Arial" w:hAnsi="Arial"/>
          <w:sz w:val="21"/>
          <w:szCs w:val="21"/>
        </w:rPr>
      </w:pPr>
      <w:r w:rsidRPr="00FF1CEA">
        <w:rPr>
          <w:rFonts w:ascii="Arial" w:hAnsi="Arial"/>
          <w:sz w:val="21"/>
          <w:szCs w:val="21"/>
        </w:rPr>
        <w:t xml:space="preserve">La referencia a la transposición de la Directiva 2019/1937 se encuentra en el mencionado Anexo II, con el número de "Componente - PRTR C.27", que trata del </w:t>
      </w:r>
      <w:hyperlink r:id="rId228" w:history="1">
        <w:r w:rsidRPr="00FF1CEA">
          <w:rPr>
            <w:rStyle w:val="Hipervnculo"/>
            <w:rFonts w:ascii="Arial" w:hAnsi="Arial"/>
            <w:sz w:val="21"/>
            <w:szCs w:val="21"/>
          </w:rPr>
          <w:t>Plan de Recuperación, Transformación y Resiliencia de la economía española</w:t>
        </w:r>
      </w:hyperlink>
      <w:r w:rsidRPr="00FF1CEA">
        <w:rPr>
          <w:rFonts w:ascii="Arial" w:hAnsi="Arial"/>
          <w:b/>
          <w:bCs/>
          <w:sz w:val="21"/>
          <w:szCs w:val="21"/>
        </w:rPr>
        <w:t xml:space="preserve"> </w:t>
      </w:r>
      <w:r w:rsidRPr="00FF1CEA">
        <w:rPr>
          <w:rFonts w:ascii="Arial" w:hAnsi="Arial"/>
          <w:sz w:val="21"/>
          <w:szCs w:val="21"/>
        </w:rPr>
        <w:t>(en adelante, PRTR). El C.27 es el componente 27, en el que se indica literalmente: "27. Medidas y actuaciones de prevención y lucha contra el fraude fiscal", donde se encuadra la transposición de la Directiva, sin referencia alguna en este caso a plazos por trámites.</w:t>
      </w:r>
    </w:p>
    <w:p w14:paraId="08C90CB9" w14:textId="77777777" w:rsidR="00FF1CEA" w:rsidRPr="00FF1CEA" w:rsidRDefault="00FF1CEA" w:rsidP="00FF1CEA">
      <w:pPr>
        <w:spacing w:after="240" w:line="276" w:lineRule="auto"/>
        <w:jc w:val="both"/>
        <w:rPr>
          <w:rFonts w:ascii="Arial" w:hAnsi="Arial"/>
          <w:sz w:val="21"/>
          <w:szCs w:val="21"/>
        </w:rPr>
      </w:pPr>
      <w:r w:rsidRPr="00FF1CEA">
        <w:rPr>
          <w:rFonts w:ascii="Arial" w:hAnsi="Arial"/>
          <w:sz w:val="21"/>
          <w:szCs w:val="21"/>
        </w:rPr>
        <w:t>El PRTR únicamente cita a la Directiva 2019/1937 haciendo referencia al IV Plan de Gobierno Abierto 2020-2024, en el que la transposición aparecía en su “Eje 6. Sistema de protección de denunciantes”, mediante la transposición de la Directiva (UE) 2019/1937 relativa a la protección de las personas que informen sobre infracciones del Derecho de la Unión Europea.</w:t>
      </w:r>
    </w:p>
    <w:p w14:paraId="40B18054" w14:textId="77777777" w:rsidR="00FF1CEA" w:rsidRPr="00FF1CEA" w:rsidRDefault="00FF1CEA" w:rsidP="00FF1CEA">
      <w:pPr>
        <w:spacing w:after="240" w:line="276" w:lineRule="auto"/>
        <w:jc w:val="both"/>
        <w:rPr>
          <w:rFonts w:ascii="Arial" w:hAnsi="Arial"/>
          <w:sz w:val="21"/>
          <w:szCs w:val="21"/>
        </w:rPr>
      </w:pPr>
      <w:r w:rsidRPr="00FF1CEA">
        <w:rPr>
          <w:rFonts w:ascii="Arial" w:hAnsi="Arial"/>
          <w:sz w:val="21"/>
          <w:szCs w:val="21"/>
        </w:rPr>
        <w:t xml:space="preserve">Por otra parte, respecto a las iniciativas legislativas, durante el año 2021, </w:t>
      </w:r>
      <w:r w:rsidRPr="00FF1CEA">
        <w:rPr>
          <w:rFonts w:ascii="Arial" w:hAnsi="Arial"/>
          <w:b/>
          <w:bCs/>
          <w:sz w:val="21"/>
          <w:szCs w:val="21"/>
        </w:rPr>
        <w:t>a nivel estatal,</w:t>
      </w:r>
      <w:r w:rsidRPr="00FF1CEA">
        <w:rPr>
          <w:rFonts w:ascii="Arial" w:hAnsi="Arial"/>
          <w:sz w:val="21"/>
          <w:szCs w:val="21"/>
        </w:rPr>
        <w:t xml:space="preserve"> el Congreso de los Diputados, a diferencia de lo que ha venido ocurriendo en ejercicios anteriores, ha recibido una única iniciativa legislativa referida a medidas de lucha contra la corrupción y protección de las personas denunciantes, presentada por un grupo político. En concreto, la iniciativa ha sido la siguiente: </w:t>
      </w:r>
    </w:p>
    <w:p w14:paraId="1315FAC4" w14:textId="77777777" w:rsidR="00FF1CEA" w:rsidRPr="00FF1CEA" w:rsidRDefault="00FF1CEA" w:rsidP="00831424">
      <w:pPr>
        <w:numPr>
          <w:ilvl w:val="0"/>
          <w:numId w:val="161"/>
        </w:numPr>
        <w:spacing w:after="120" w:line="276" w:lineRule="auto"/>
        <w:jc w:val="both"/>
        <w:rPr>
          <w:rFonts w:ascii="Arial" w:hAnsi="Arial"/>
          <w:sz w:val="21"/>
          <w:szCs w:val="21"/>
        </w:rPr>
      </w:pPr>
      <w:r w:rsidRPr="00FF1CEA">
        <w:rPr>
          <w:rFonts w:ascii="Arial" w:hAnsi="Arial"/>
          <w:sz w:val="21"/>
          <w:szCs w:val="21"/>
        </w:rPr>
        <w:t xml:space="preserve">15 de enero de 2021 </w:t>
      </w:r>
      <w:hyperlink r:id="rId229" w:anchor="page=1" w:tgtFrame="_top" w:history="1">
        <w:r w:rsidRPr="00FF1CEA">
          <w:rPr>
            <w:rStyle w:val="Hipervnculo"/>
            <w:rFonts w:ascii="Arial" w:hAnsi="Arial"/>
            <w:sz w:val="21"/>
            <w:szCs w:val="21"/>
          </w:rPr>
          <w:t>Proposición de Ley Orgánica de medidas de lucha contra la corrupción y para la protección de los alertadores, por el Grupo Parlamentario Ciudadanos</w:t>
        </w:r>
      </w:hyperlink>
      <w:r w:rsidRPr="00FF1CEA">
        <w:rPr>
          <w:rFonts w:ascii="Arial" w:hAnsi="Arial"/>
          <w:sz w:val="21"/>
          <w:szCs w:val="21"/>
          <w:u w:val="single"/>
        </w:rPr>
        <w:t>.</w:t>
      </w:r>
    </w:p>
    <w:p w14:paraId="75FFA115" w14:textId="77777777" w:rsidR="00FF1CEA" w:rsidRPr="00FF1CEA" w:rsidRDefault="00FF1CEA" w:rsidP="00831424">
      <w:pPr>
        <w:spacing w:after="120" w:line="276" w:lineRule="auto"/>
        <w:ind w:left="709"/>
        <w:contextualSpacing/>
        <w:jc w:val="both"/>
        <w:rPr>
          <w:rFonts w:ascii="Arial" w:hAnsi="Arial"/>
          <w:sz w:val="21"/>
          <w:szCs w:val="21"/>
        </w:rPr>
      </w:pPr>
      <w:r w:rsidRPr="00FF1CEA">
        <w:rPr>
          <w:rFonts w:ascii="Arial" w:hAnsi="Arial"/>
          <w:sz w:val="21"/>
          <w:szCs w:val="21"/>
        </w:rPr>
        <w:t>A fecha de redacción de esta Memoria, esta proposición de Ley Orgánica se encuentra, según la página web del Congreso de Diputados en “Pleno Toma en consideración”.</w:t>
      </w:r>
    </w:p>
    <w:p w14:paraId="6AD3AB5F" w14:textId="77777777" w:rsidR="00FF1CEA" w:rsidRPr="00FF1CEA" w:rsidRDefault="00AF48E6" w:rsidP="00FF1CEA">
      <w:pPr>
        <w:spacing w:after="240" w:line="276" w:lineRule="auto"/>
        <w:ind w:left="709"/>
        <w:jc w:val="both"/>
        <w:rPr>
          <w:rFonts w:ascii="Arial" w:hAnsi="Arial"/>
          <w:sz w:val="21"/>
          <w:szCs w:val="21"/>
        </w:rPr>
      </w:pPr>
      <w:hyperlink r:id="rId230" w:history="1">
        <w:r w:rsidR="00FF1CEA" w:rsidRPr="00FF1CEA">
          <w:rPr>
            <w:rStyle w:val="Hipervnculo"/>
            <w:rFonts w:ascii="Arial" w:hAnsi="Arial"/>
            <w:sz w:val="21"/>
            <w:szCs w:val="21"/>
          </w:rPr>
          <w:t>https://www.congreso.es/proposiciones-de-ley?p_p_id=iniciativas&amp;p_p_lifecycle=0&amp;p_p_state=normal&amp;p_p_mode=view&amp;_iniciativas_mode=mostrarDetalle&amp;_iniciativas_legislatura=XIV&amp;_iniciativas_id=122%2F000116</w:t>
        </w:r>
      </w:hyperlink>
    </w:p>
    <w:p w14:paraId="5ED12BDA" w14:textId="367FAE98" w:rsidR="006561A3" w:rsidRDefault="00FF1CEA" w:rsidP="00FF1CEA">
      <w:pPr>
        <w:spacing w:after="240" w:line="276" w:lineRule="auto"/>
        <w:jc w:val="both"/>
        <w:rPr>
          <w:rFonts w:ascii="Arial" w:hAnsi="Arial"/>
          <w:sz w:val="21"/>
          <w:szCs w:val="21"/>
        </w:rPr>
      </w:pPr>
      <w:r w:rsidRPr="00FF1CEA">
        <w:rPr>
          <w:rFonts w:ascii="Arial" w:hAnsi="Arial"/>
          <w:sz w:val="21"/>
          <w:szCs w:val="21"/>
        </w:rPr>
        <w:t>A continuación, se expone una infografía sobre las iniciativas legislativas presentadas en el Congreso de Diputados entre los años 2019 a 2021 por los distintos grupos parlamentarios, en relación con la lucha contra la corrupción y la protección de las personas denunciantes o alertadoras.</w:t>
      </w:r>
    </w:p>
    <w:p w14:paraId="249CCF49" w14:textId="77777777" w:rsidR="001E2BED" w:rsidRDefault="00AD515B" w:rsidP="001E2BED">
      <w:pPr>
        <w:keepNext/>
        <w:spacing w:after="240" w:line="276" w:lineRule="auto"/>
        <w:jc w:val="both"/>
      </w:pPr>
      <w:r w:rsidRPr="00AD515B">
        <w:rPr>
          <w:rFonts w:ascii="Arial" w:eastAsia="SimSun" w:hAnsi="Arial" w:cs="Arial"/>
          <w:noProof/>
          <w:kern w:val="2"/>
          <w:sz w:val="21"/>
          <w:szCs w:val="21"/>
          <w:lang w:eastAsia="zh-CN" w:bidi="hi-IN"/>
        </w:rPr>
        <w:drawing>
          <wp:inline distT="0" distB="0" distL="0" distR="0" wp14:anchorId="03469FE6" wp14:editId="4FDD71D1">
            <wp:extent cx="5400040" cy="2490473"/>
            <wp:effectExtent l="0" t="0" r="0" b="5080"/>
            <wp:docPr id="30" name="Imagen 30"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Escala de tiempo&#10;&#10;Descripción generada automáticamente"/>
                    <pic:cNvPicPr/>
                  </pic:nvPicPr>
                  <pic:blipFill rotWithShape="1">
                    <a:blip r:embed="rId231" cstate="print">
                      <a:extLst>
                        <a:ext uri="{28A0092B-C50C-407E-A947-70E740481C1C}">
                          <a14:useLocalDpi xmlns:a14="http://schemas.microsoft.com/office/drawing/2010/main" val="0"/>
                        </a:ext>
                      </a:extLst>
                    </a:blip>
                    <a:srcRect/>
                    <a:stretch/>
                  </pic:blipFill>
                  <pic:spPr bwMode="auto">
                    <a:xfrm>
                      <a:off x="0" y="0"/>
                      <a:ext cx="5400040" cy="2490473"/>
                    </a:xfrm>
                    <a:prstGeom prst="rect">
                      <a:avLst/>
                    </a:prstGeom>
                    <a:ln>
                      <a:noFill/>
                    </a:ln>
                    <a:extLst>
                      <a:ext uri="{53640926-AAD7-44D8-BBD7-CCE9431645EC}">
                        <a14:shadowObscured xmlns:a14="http://schemas.microsoft.com/office/drawing/2010/main"/>
                      </a:ext>
                    </a:extLst>
                  </pic:spPr>
                </pic:pic>
              </a:graphicData>
            </a:graphic>
          </wp:inline>
        </w:drawing>
      </w:r>
    </w:p>
    <w:p w14:paraId="34C74B78" w14:textId="607861B8" w:rsidR="006561A3" w:rsidRPr="001E2BED" w:rsidRDefault="001E2BED" w:rsidP="001E2BED">
      <w:pPr>
        <w:pStyle w:val="Descripcin"/>
        <w:jc w:val="center"/>
        <w:rPr>
          <w:rFonts w:ascii="Arial" w:hAnsi="Arial" w:cs="Arial"/>
          <w:smallCaps w:val="0"/>
          <w:sz w:val="18"/>
          <w:szCs w:val="18"/>
        </w:rPr>
      </w:pPr>
      <w:bookmarkStart w:id="75" w:name="_Toc99099129"/>
      <w:r w:rsidRPr="001E2BED">
        <w:rPr>
          <w:rFonts w:ascii="Arial" w:hAnsi="Arial" w:cs="Arial"/>
          <w:smallCaps w:val="0"/>
          <w:color w:val="9D2235" w:themeColor="accent1"/>
          <w:sz w:val="18"/>
          <w:szCs w:val="18"/>
        </w:rPr>
        <w:t xml:space="preserve">Imagen </w:t>
      </w:r>
      <w:r w:rsidRPr="001E2BED">
        <w:rPr>
          <w:rFonts w:ascii="Arial" w:hAnsi="Arial" w:cs="Arial"/>
          <w:smallCaps w:val="0"/>
          <w:color w:val="9D2235" w:themeColor="accent1"/>
          <w:sz w:val="18"/>
          <w:szCs w:val="18"/>
        </w:rPr>
        <w:fldChar w:fldCharType="begin" w:fldLock="1"/>
      </w:r>
      <w:r w:rsidRPr="001E2BED">
        <w:rPr>
          <w:rFonts w:ascii="Arial" w:hAnsi="Arial" w:cs="Arial"/>
          <w:smallCaps w:val="0"/>
          <w:color w:val="9D2235" w:themeColor="accent1"/>
          <w:sz w:val="18"/>
          <w:szCs w:val="18"/>
        </w:rPr>
        <w:instrText xml:space="preserve"> SEQ Imagen \* ARABIC </w:instrText>
      </w:r>
      <w:r w:rsidRPr="001E2BED">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5</w:t>
      </w:r>
      <w:r w:rsidRPr="001E2BED">
        <w:rPr>
          <w:rFonts w:ascii="Arial" w:hAnsi="Arial" w:cs="Arial"/>
          <w:smallCaps w:val="0"/>
          <w:color w:val="9D2235" w:themeColor="accent1"/>
          <w:sz w:val="18"/>
          <w:szCs w:val="18"/>
        </w:rPr>
        <w:fldChar w:fldCharType="end"/>
      </w:r>
      <w:r w:rsidRPr="001E2BED">
        <w:rPr>
          <w:rFonts w:ascii="Arial" w:hAnsi="Arial" w:cs="Arial"/>
          <w:smallCaps w:val="0"/>
          <w:color w:val="9D2235" w:themeColor="accent1"/>
          <w:sz w:val="18"/>
          <w:szCs w:val="18"/>
        </w:rPr>
        <w:t xml:space="preserve">. </w:t>
      </w:r>
      <w:r w:rsidRPr="001E2BED">
        <w:rPr>
          <w:rFonts w:ascii="Arial" w:hAnsi="Arial" w:cs="Arial"/>
          <w:smallCaps w:val="0"/>
          <w:sz w:val="18"/>
          <w:szCs w:val="18"/>
        </w:rPr>
        <w:t>Infografía iniciativas legislativas en el Congreso de los Diputados (2019 - 2023)</w:t>
      </w:r>
      <w:bookmarkEnd w:id="75"/>
    </w:p>
    <w:p w14:paraId="65F566D6" w14:textId="77777777"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Llegados a este punto, en el que hemos expuesto el retraso e incumplimiento por parte del Gobierno de España en la transposición de la Directiva 2019/1937, cabe recordar que las Directivas son instrumentos de armonización de las legislaciones internas de los países miembros de la Unión Europea, que obligan a los Estados miembros destinatarios en cuanto al resultado a conseguir, pero dejan a estos la libertad para elegir el acto jurídico de conversión de aquellas en normas de Derecho interno. Así pues, las Directivas son normas comunitarias que responden a la necesidad de implicar a las instancias nacionales en la conformación de un ordenamiento jurídico que reposa, no en un reparto de materias sino en una asignación de fines.</w:t>
      </w:r>
    </w:p>
    <w:p w14:paraId="7C93354B" w14:textId="77777777"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 xml:space="preserve">El incumplimiento por parte de los Estados miembros de la transposición de Directivas en plazo puede derivar en una sanción, conforme estipula en el artículo 260, apartado 3 del </w:t>
      </w:r>
      <w:hyperlink r:id="rId232" w:history="1">
        <w:r w:rsidRPr="00FF1CEA">
          <w:rPr>
            <w:rStyle w:val="Hipervnculo"/>
            <w:rFonts w:ascii="Arial" w:hAnsi="Arial"/>
            <w:sz w:val="21"/>
            <w:szCs w:val="21"/>
          </w:rPr>
          <w:t>Tratado de Funcionamiento de la Unión Europea</w:t>
        </w:r>
      </w:hyperlink>
      <w:r w:rsidRPr="00FF1CEA">
        <w:rPr>
          <w:rFonts w:ascii="Arial" w:hAnsi="Arial"/>
          <w:sz w:val="21"/>
          <w:szCs w:val="21"/>
        </w:rPr>
        <w:t>, cuyo contenido literal señala:</w:t>
      </w:r>
    </w:p>
    <w:p w14:paraId="13BE5E64" w14:textId="77777777" w:rsidR="00FF1CEA" w:rsidRPr="00FF1CEA" w:rsidRDefault="00FF1CEA" w:rsidP="00A307DF">
      <w:pPr>
        <w:spacing w:after="120" w:line="276" w:lineRule="auto"/>
        <w:ind w:left="567"/>
        <w:jc w:val="both"/>
        <w:rPr>
          <w:rFonts w:ascii="Arial" w:hAnsi="Arial"/>
          <w:sz w:val="21"/>
          <w:szCs w:val="21"/>
        </w:rPr>
      </w:pPr>
      <w:r w:rsidRPr="00FF1CEA">
        <w:rPr>
          <w:rFonts w:ascii="Arial" w:hAnsi="Arial"/>
          <w:sz w:val="21"/>
          <w:szCs w:val="21"/>
        </w:rPr>
        <w:t xml:space="preserve">“3. Cuando la Comisión presente un recurso ante el Tribunal de Justicia de la Unión Europea en virtud del artículo 258 </w:t>
      </w:r>
      <w:r w:rsidRPr="00FF1CEA">
        <w:rPr>
          <w:rFonts w:ascii="Arial" w:hAnsi="Arial"/>
          <w:b/>
          <w:bCs/>
          <w:sz w:val="21"/>
          <w:szCs w:val="21"/>
        </w:rPr>
        <w:t>por considerar que el Estado miembro afectado ha incumplido la obligación de informar sobre las medidas de transposición de una directiva adoptada con arreglo a un procedimiento legislativo</w:t>
      </w:r>
      <w:r w:rsidRPr="00FF1CEA">
        <w:rPr>
          <w:rFonts w:ascii="Arial" w:hAnsi="Arial"/>
          <w:sz w:val="21"/>
          <w:szCs w:val="21"/>
        </w:rPr>
        <w:t>, podrá, si lo considera oportuno, indicar el importe de la suma a tanto alzado o de la multa coercitiva que deba ser pagada por dicho Estado y que considere adaptado a las circunstancias.</w:t>
      </w:r>
    </w:p>
    <w:p w14:paraId="3F2EA4B4" w14:textId="77777777" w:rsidR="00FF1CEA" w:rsidRPr="00FF1CEA" w:rsidRDefault="00FF1CEA" w:rsidP="00A307DF">
      <w:pPr>
        <w:spacing w:after="240" w:line="276" w:lineRule="auto"/>
        <w:ind w:left="567"/>
        <w:jc w:val="both"/>
        <w:rPr>
          <w:rFonts w:ascii="Arial" w:hAnsi="Arial"/>
          <w:sz w:val="21"/>
          <w:szCs w:val="21"/>
        </w:rPr>
      </w:pPr>
      <w:r w:rsidRPr="00FF1CEA">
        <w:rPr>
          <w:rFonts w:ascii="Arial" w:hAnsi="Arial"/>
          <w:sz w:val="21"/>
          <w:szCs w:val="21"/>
        </w:rPr>
        <w:t>Si el Tribunal comprueba la existencia del incumplimiento, podrá imponer al Estado miembro afectado el pago de una suma a tanto alzado o de una multa coercitiva dentro del límite del importe indicado por la Comisión. La obligación de pago surtirá efecto en la fecha fijada por el Tribunal en la sentencia.”</w:t>
      </w:r>
    </w:p>
    <w:p w14:paraId="4A9A5CB2" w14:textId="77777777"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 xml:space="preserve">Al efecto, se subraya que, </w:t>
      </w:r>
      <w:r w:rsidRPr="00FF1CEA">
        <w:rPr>
          <w:rFonts w:ascii="Arial" w:hAnsi="Arial"/>
          <w:b/>
          <w:bCs/>
          <w:sz w:val="21"/>
          <w:szCs w:val="21"/>
        </w:rPr>
        <w:t>con fecha el 27 de enero de 2022,</w:t>
      </w:r>
      <w:r w:rsidRPr="00FF1CEA">
        <w:rPr>
          <w:rFonts w:ascii="Arial" w:hAnsi="Arial"/>
          <w:sz w:val="21"/>
          <w:szCs w:val="21"/>
        </w:rPr>
        <w:t xml:space="preserve"> </w:t>
      </w:r>
      <w:r w:rsidRPr="00FF1CEA">
        <w:rPr>
          <w:rFonts w:ascii="Arial" w:hAnsi="Arial"/>
          <w:b/>
          <w:bCs/>
          <w:sz w:val="21"/>
          <w:szCs w:val="21"/>
        </w:rPr>
        <w:t>la Comisión Europea ha iniciado el procedimiento de sanción a España por la falta de transposición de la Directiva (UE) 2019/1937</w:t>
      </w:r>
      <w:r w:rsidRPr="00FF1CEA">
        <w:rPr>
          <w:rFonts w:ascii="Arial" w:hAnsi="Arial"/>
          <w:sz w:val="21"/>
          <w:szCs w:val="21"/>
        </w:rPr>
        <w:t xml:space="preserve">. </w:t>
      </w:r>
    </w:p>
    <w:p w14:paraId="06A2EC54" w14:textId="77777777"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Así, la tramitación para la imposición de la sanción se ha incoado por medio de “Carta de emplazamiento artículo 258 TFUE - artículo 260, apartado 3, TFUE”, a los siguientes países: España, Alemania, Finlandia, Chequia, Austria, Francia, Dinamarca, Grecia, Letonia, Eslovaquia, Eslovenia, Polonia, Estonia, Italia, Irlanda, Hungría, Lituania, Luxemburgo, Chipre, Rumania, Croacia, Bélgica, Países Bajos, Bulgaria. A todos ellos se les ha concedido un plazo de dos meses para presentar alegaciones.</w:t>
      </w:r>
    </w:p>
    <w:p w14:paraId="45DB78E5" w14:textId="77777777" w:rsidR="00FF1CEA" w:rsidRPr="00FF1CEA" w:rsidRDefault="00FF1CEA" w:rsidP="00831424">
      <w:pPr>
        <w:spacing w:after="240" w:line="276" w:lineRule="auto"/>
        <w:contextualSpacing/>
        <w:jc w:val="both"/>
        <w:rPr>
          <w:rFonts w:ascii="Arial" w:hAnsi="Arial"/>
          <w:sz w:val="21"/>
          <w:szCs w:val="21"/>
        </w:rPr>
      </w:pPr>
      <w:r w:rsidRPr="00FF1CEA">
        <w:rPr>
          <w:rFonts w:ascii="Arial" w:hAnsi="Arial"/>
          <w:sz w:val="21"/>
          <w:szCs w:val="21"/>
        </w:rPr>
        <w:t xml:space="preserve">Se puede consultar dicha información en: </w:t>
      </w:r>
    </w:p>
    <w:p w14:paraId="0FB9C056" w14:textId="77777777" w:rsidR="00FF1CEA" w:rsidRPr="00FF1CEA" w:rsidRDefault="00AF48E6" w:rsidP="00831424">
      <w:pPr>
        <w:spacing w:after="240" w:line="276" w:lineRule="auto"/>
        <w:jc w:val="both"/>
        <w:rPr>
          <w:rFonts w:ascii="Arial" w:hAnsi="Arial"/>
          <w:sz w:val="21"/>
          <w:szCs w:val="21"/>
        </w:rPr>
      </w:pPr>
      <w:hyperlink r:id="rId233" w:history="1">
        <w:r w:rsidR="00FF1CEA" w:rsidRPr="00FF1CEA">
          <w:rPr>
            <w:rStyle w:val="Hipervnculo"/>
            <w:rFonts w:ascii="Arial" w:hAnsi="Arial"/>
            <w:sz w:val="21"/>
            <w:szCs w:val="21"/>
          </w:rPr>
          <w:t>https://ec.europa.eu/atwork/applying-eu-law/infringements-proceedings/infringement_decisions/index.cfm?lang_code=EN&amp;typeOfSearch=false&amp;active_only=0&amp;noncom=0&amp;r_dossier=&amp;decision_date_from=&amp;decision_date_to=&amp;DG=JUST&amp;title=32019L1937&amp;submit=Search</w:t>
        </w:r>
      </w:hyperlink>
    </w:p>
    <w:p w14:paraId="7CBCB216" w14:textId="511037FB"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 xml:space="preserve">En este orden de asuntos y como lamentablemente ha ocurrido en anteriores ocasiones, conviene recordar que España se puede enfrentar a una cuantiosa sanción económica por la falta de transposición de una Directiva. Así por ejemplo, el pasado 25 de febrero de 2021, el Tribunal de Justicia de la Unión Europea, mediante </w:t>
      </w:r>
      <w:hyperlink r:id="rId234" w:history="1">
        <w:r w:rsidRPr="00FF1CEA">
          <w:rPr>
            <w:rStyle w:val="Hipervnculo"/>
            <w:rFonts w:ascii="Arial" w:hAnsi="Arial"/>
            <w:sz w:val="21"/>
            <w:szCs w:val="21"/>
          </w:rPr>
          <w:t>comunicado de prensa núm</w:t>
        </w:r>
        <w:r w:rsidR="00E069EF">
          <w:rPr>
            <w:rStyle w:val="Hipervnculo"/>
            <w:rFonts w:ascii="Arial" w:hAnsi="Arial"/>
            <w:sz w:val="21"/>
            <w:szCs w:val="21"/>
          </w:rPr>
          <w:t>.</w:t>
        </w:r>
        <w:r w:rsidRPr="00FF1CEA">
          <w:rPr>
            <w:rStyle w:val="Hipervnculo"/>
            <w:rFonts w:ascii="Arial" w:hAnsi="Arial"/>
            <w:sz w:val="21"/>
            <w:szCs w:val="21"/>
          </w:rPr>
          <w:t xml:space="preserve"> 22/21</w:t>
        </w:r>
      </w:hyperlink>
      <w:r w:rsidRPr="00FF1CEA">
        <w:rPr>
          <w:rFonts w:ascii="Arial" w:hAnsi="Arial"/>
          <w:sz w:val="21"/>
          <w:szCs w:val="21"/>
        </w:rPr>
        <w:t>, informó de la Sentencia en el asunto C-658/19, por la que se condenaba a España a pagar una suma a tanto alzado de 15.000.000 de euros y una multa coercitiva diaria de 89.000 euros, por no haber transpuesto aún la Directiva de protección de datos personales en el marco de la prevención y detección de infracciones penales, ni haber comunicado las medidas adoptadas en relación con la transposición de esta. Dichas cuantías de sanción se computan a través de multas coercitivas diarias por cada día de retraso a las que se añaden sumas a tanto alzado.</w:t>
      </w:r>
    </w:p>
    <w:p w14:paraId="6AD676F1" w14:textId="77777777"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 xml:space="preserve">A la vista de lo anterior, se hace necesario reclamar al Estado español una ágil tramitación en la transposición de la Directiva </w:t>
      </w:r>
      <w:r w:rsidRPr="00FF1CEA">
        <w:rPr>
          <w:rFonts w:ascii="Arial" w:hAnsi="Arial"/>
          <w:b/>
          <w:bCs/>
          <w:sz w:val="21"/>
          <w:szCs w:val="21"/>
        </w:rPr>
        <w:t>(UE) 2019/1937</w:t>
      </w:r>
      <w:r w:rsidRPr="00FF1CEA">
        <w:rPr>
          <w:rFonts w:ascii="Arial" w:hAnsi="Arial"/>
          <w:sz w:val="21"/>
          <w:szCs w:val="21"/>
        </w:rPr>
        <w:t>, no únicamente para evitar la posible imposición de una sanción de cuantías muy elevadas a soportar por las arcas públicas, sino en especial, por la acuciante necesidad de aprobar una regulación estatal en materia de protección efectiva a las personas que denuncian y alertan hechos que puedan ser constitutivos de fraude o corrupción y el establecimiento de canales seguros, accesibles y confidenciales de denuncias.</w:t>
      </w:r>
    </w:p>
    <w:p w14:paraId="07AD6E6A" w14:textId="77777777"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 xml:space="preserve">Para finalizar este epígrafe, se hace referencia a las iniciativas legislativas que, </w:t>
      </w:r>
      <w:r w:rsidRPr="00FF1CEA">
        <w:rPr>
          <w:rFonts w:ascii="Arial" w:hAnsi="Arial"/>
          <w:b/>
          <w:bCs/>
          <w:sz w:val="21"/>
          <w:szCs w:val="21"/>
        </w:rPr>
        <w:t xml:space="preserve">a nivel autonómico, </w:t>
      </w:r>
      <w:r w:rsidRPr="00FF1CEA">
        <w:rPr>
          <w:rFonts w:ascii="Arial" w:hAnsi="Arial"/>
          <w:sz w:val="21"/>
          <w:szCs w:val="21"/>
        </w:rPr>
        <w:t xml:space="preserve">se han producido en esta materia durante 2021: </w:t>
      </w:r>
    </w:p>
    <w:p w14:paraId="58B795D3" w14:textId="77777777"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 xml:space="preserve">En primer lugar, debe celebrarse la aprobación de la </w:t>
      </w:r>
      <w:hyperlink r:id="rId235" w:history="1">
        <w:r w:rsidRPr="00FF1CEA">
          <w:rPr>
            <w:rStyle w:val="Hipervnculo"/>
            <w:rFonts w:ascii="Arial" w:hAnsi="Arial"/>
            <w:sz w:val="21"/>
            <w:szCs w:val="21"/>
          </w:rPr>
          <w:t>Ley 2/2021, de 18 de junio, de lucha contra el fraude y la corrupción en Andalucía y protección de la persona denunciante</w:t>
        </w:r>
      </w:hyperlink>
      <w:r w:rsidRPr="00FF1CEA">
        <w:rPr>
          <w:rFonts w:ascii="Arial" w:hAnsi="Arial"/>
          <w:sz w:val="21"/>
          <w:szCs w:val="21"/>
          <w:u w:val="single"/>
        </w:rPr>
        <w:t>,</w:t>
      </w:r>
      <w:r w:rsidRPr="00FF1CEA">
        <w:rPr>
          <w:rFonts w:ascii="Arial" w:hAnsi="Arial"/>
          <w:sz w:val="21"/>
          <w:szCs w:val="21"/>
        </w:rPr>
        <w:t xml:space="preserve"> publicada en el BOE de 9 de julio de 2021.</w:t>
      </w:r>
    </w:p>
    <w:p w14:paraId="7483772B" w14:textId="77777777"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 xml:space="preserve">En cuanto a las iniciativas legislativas autonómicas en tramitación, su estado es el siguiente: </w:t>
      </w:r>
    </w:p>
    <w:p w14:paraId="276F0877" w14:textId="77777777" w:rsidR="00FF1CEA" w:rsidRPr="00FF1CEA" w:rsidRDefault="00AF48E6" w:rsidP="00831424">
      <w:pPr>
        <w:numPr>
          <w:ilvl w:val="0"/>
          <w:numId w:val="161"/>
        </w:numPr>
        <w:spacing w:after="120" w:line="276" w:lineRule="auto"/>
        <w:ind w:left="709"/>
        <w:jc w:val="both"/>
        <w:rPr>
          <w:rFonts w:ascii="Arial" w:hAnsi="Arial"/>
          <w:sz w:val="21"/>
          <w:szCs w:val="21"/>
          <w:u w:val="single"/>
        </w:rPr>
      </w:pPr>
      <w:hyperlink r:id="rId236" w:tgtFrame="_top" w:history="1">
        <w:r w:rsidR="00FF1CEA" w:rsidRPr="00FF1CEA">
          <w:rPr>
            <w:rStyle w:val="Hipervnculo"/>
            <w:rFonts w:ascii="Arial" w:hAnsi="Arial"/>
            <w:sz w:val="21"/>
            <w:szCs w:val="21"/>
          </w:rPr>
          <w:t>P</w:t>
        </w:r>
      </w:hyperlink>
      <w:hyperlink r:id="rId237" w:tgtFrame="_top" w:history="1">
        <w:r w:rsidR="00FF1CEA" w:rsidRPr="00FF1CEA">
          <w:rPr>
            <w:rStyle w:val="Hipervnculo"/>
            <w:rFonts w:ascii="Arial" w:hAnsi="Arial"/>
            <w:sz w:val="21"/>
            <w:szCs w:val="21"/>
          </w:rPr>
          <w:t xml:space="preserve">roposición de </w:t>
        </w:r>
      </w:hyperlink>
      <w:hyperlink r:id="rId238" w:tgtFrame="_top" w:history="1">
        <w:r w:rsidR="00FF1CEA" w:rsidRPr="00FF1CEA">
          <w:rPr>
            <w:rStyle w:val="Hipervnculo"/>
            <w:rFonts w:ascii="Arial" w:hAnsi="Arial"/>
            <w:sz w:val="21"/>
            <w:szCs w:val="21"/>
          </w:rPr>
          <w:t>L</w:t>
        </w:r>
      </w:hyperlink>
      <w:hyperlink r:id="rId239" w:tgtFrame="_top" w:history="1">
        <w:r w:rsidR="00FF1CEA" w:rsidRPr="00FF1CEA">
          <w:rPr>
            <w:rStyle w:val="Hipervnculo"/>
            <w:rFonts w:ascii="Arial" w:hAnsi="Arial"/>
            <w:sz w:val="21"/>
            <w:szCs w:val="21"/>
          </w:rPr>
          <w:t xml:space="preserve">ey de protección sobre los informantes de posibles infracciones del derecho en la </w:t>
        </w:r>
      </w:hyperlink>
      <w:hyperlink r:id="rId240" w:tgtFrame="_top" w:history="1">
        <w:r w:rsidR="00FF1CEA" w:rsidRPr="00FF1CEA">
          <w:rPr>
            <w:rStyle w:val="Hipervnculo"/>
            <w:rFonts w:ascii="Arial" w:hAnsi="Arial"/>
            <w:sz w:val="21"/>
            <w:szCs w:val="21"/>
          </w:rPr>
          <w:t>C</w:t>
        </w:r>
      </w:hyperlink>
      <w:hyperlink r:id="rId241" w:tgtFrame="_top" w:history="1">
        <w:r w:rsidR="00FF1CEA" w:rsidRPr="00FF1CEA">
          <w:rPr>
            <w:rStyle w:val="Hipervnculo"/>
            <w:rFonts w:ascii="Arial" w:hAnsi="Arial"/>
            <w:sz w:val="21"/>
            <w:szCs w:val="21"/>
          </w:rPr>
          <w:t xml:space="preserve">omunidad de </w:t>
        </w:r>
      </w:hyperlink>
      <w:hyperlink r:id="rId242" w:tgtFrame="_top" w:history="1">
        <w:r w:rsidR="00FF1CEA" w:rsidRPr="00FF1CEA">
          <w:rPr>
            <w:rStyle w:val="Hipervnculo"/>
            <w:rFonts w:ascii="Arial" w:hAnsi="Arial"/>
            <w:sz w:val="21"/>
            <w:szCs w:val="21"/>
          </w:rPr>
          <w:t>M</w:t>
        </w:r>
      </w:hyperlink>
      <w:hyperlink r:id="rId243" w:tgtFrame="_top" w:history="1">
        <w:r w:rsidR="00FF1CEA" w:rsidRPr="00FF1CEA">
          <w:rPr>
            <w:rStyle w:val="Hipervnculo"/>
            <w:rFonts w:ascii="Arial" w:hAnsi="Arial"/>
            <w:sz w:val="21"/>
            <w:szCs w:val="21"/>
          </w:rPr>
          <w:t>adrid</w:t>
        </w:r>
      </w:hyperlink>
    </w:p>
    <w:p w14:paraId="6A66DDA8" w14:textId="77777777" w:rsidR="00FF1CEA" w:rsidRPr="00FF1CEA" w:rsidRDefault="00FF1CEA" w:rsidP="00831424">
      <w:pPr>
        <w:spacing w:after="120" w:line="276" w:lineRule="auto"/>
        <w:ind w:left="709"/>
        <w:jc w:val="both"/>
        <w:rPr>
          <w:rFonts w:ascii="Arial" w:hAnsi="Arial"/>
          <w:sz w:val="21"/>
          <w:szCs w:val="21"/>
        </w:rPr>
      </w:pPr>
      <w:r w:rsidRPr="00FF1CEA">
        <w:rPr>
          <w:rFonts w:ascii="Arial" w:hAnsi="Arial"/>
          <w:sz w:val="21"/>
          <w:szCs w:val="21"/>
        </w:rPr>
        <w:t xml:space="preserve">En fecha 21 de enero de 2021 se publicó en el </w:t>
      </w:r>
      <w:r w:rsidRPr="00FF1CEA">
        <w:rPr>
          <w:rFonts w:ascii="Arial" w:hAnsi="Arial"/>
          <w:i/>
          <w:iCs/>
          <w:sz w:val="21"/>
          <w:szCs w:val="21"/>
        </w:rPr>
        <w:t>Boletín Oficial de la Asamblea de Madrid</w:t>
      </w:r>
      <w:r w:rsidRPr="00FF1CEA">
        <w:rPr>
          <w:rFonts w:ascii="Arial" w:hAnsi="Arial"/>
          <w:sz w:val="21"/>
          <w:szCs w:val="21"/>
        </w:rPr>
        <w:t xml:space="preserve"> núm. 101 el Acuerdo de la Mesa de la Diputación Permanente de la Asamblea, de fecha 18 de enero de 2021, por el que se abre el plazo de presentación de enmiendas y de consideraciones ciudadanas, y el mismo se remite para su estudio y tramitación a la Comisión de Justicia, Interior y Víctima.</w:t>
      </w:r>
    </w:p>
    <w:p w14:paraId="7FD40162" w14:textId="77777777" w:rsidR="00FF1CEA" w:rsidRPr="00FF1CEA" w:rsidRDefault="00AF48E6" w:rsidP="00831424">
      <w:pPr>
        <w:numPr>
          <w:ilvl w:val="0"/>
          <w:numId w:val="161"/>
        </w:numPr>
        <w:spacing w:after="120" w:line="276" w:lineRule="auto"/>
        <w:ind w:left="709"/>
        <w:jc w:val="both"/>
        <w:rPr>
          <w:rFonts w:ascii="Arial" w:hAnsi="Arial"/>
          <w:sz w:val="21"/>
          <w:szCs w:val="21"/>
        </w:rPr>
      </w:pPr>
      <w:hyperlink r:id="rId244" w:history="1">
        <w:r w:rsidR="00FF1CEA" w:rsidRPr="00FF1CEA">
          <w:rPr>
            <w:rStyle w:val="Hipervnculo"/>
            <w:rFonts w:ascii="Arial" w:hAnsi="Arial"/>
            <w:sz w:val="21"/>
            <w:szCs w:val="21"/>
          </w:rPr>
          <w:t>Proyecto de Ley por la que se crea y regula la Oficina de Prevención y Lucha contra el Fraude y la Corrupción de la Comunidad de y León y se establece el estatuto de las personas denunciantes</w:t>
        </w:r>
      </w:hyperlink>
      <w:r w:rsidR="00FF1CEA" w:rsidRPr="00FF1CEA">
        <w:rPr>
          <w:rFonts w:ascii="Arial" w:hAnsi="Arial"/>
          <w:sz w:val="21"/>
          <w:szCs w:val="21"/>
        </w:rPr>
        <w:t>. (BOCCYL n.º 277, de 03/09/2021. Pág. 41286)</w:t>
      </w:r>
    </w:p>
    <w:p w14:paraId="2EB42B9F" w14:textId="77777777" w:rsidR="00FF1CEA" w:rsidRPr="00FF1CEA" w:rsidRDefault="00FF1CEA" w:rsidP="00831424">
      <w:pPr>
        <w:spacing w:after="240" w:line="276" w:lineRule="auto"/>
        <w:ind w:left="709"/>
        <w:jc w:val="both"/>
        <w:rPr>
          <w:rFonts w:ascii="Arial" w:hAnsi="Arial"/>
          <w:sz w:val="21"/>
          <w:szCs w:val="21"/>
        </w:rPr>
      </w:pPr>
      <w:r w:rsidRPr="00FF1CEA">
        <w:rPr>
          <w:rFonts w:ascii="Arial" w:hAnsi="Arial"/>
          <w:sz w:val="21"/>
          <w:szCs w:val="21"/>
        </w:rPr>
        <w:t>El citado proyecto se encontraba en fase de presentación de enmiendas hasta que el pasado 21 de diciembre de 2021, fecha en la que se publica el Decreto 2/2021, de 20 de diciembre, del presidente de la Junta de Castilla y León, por el que se disuelven anticipadamente las Cortes de Castilla y León y se convocan elecciones, hace decaer y caducar, lamentablemente, su tramitación.</w:t>
      </w:r>
    </w:p>
    <w:p w14:paraId="2D11BBDB" w14:textId="77777777"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 xml:space="preserve">Finalmente, cabe destacar que mediante rueda de prensa de fecha 4 de marzo de 2022 el Consejo de Ministros comunicaba la aprobación del </w:t>
      </w:r>
      <w:hyperlink r:id="rId245" w:history="1">
        <w:r w:rsidRPr="00FF1CEA">
          <w:rPr>
            <w:rStyle w:val="Hipervnculo"/>
            <w:rFonts w:ascii="Arial" w:hAnsi="Arial"/>
            <w:sz w:val="21"/>
            <w:szCs w:val="21"/>
          </w:rPr>
          <w:t>Anteproyecto de Ley reguladora de la protección de las personas que informen sobre infracciones normativas y de lucha contra la corrupción, por la que se transpone la Directiva (UE) 2019/1937 del Parlamento Europeo y del Consejo, de 23 de octubre de 2019, relativa a la protección de las personas que informen sobre infracciones del Derecho de la Unión</w:t>
        </w:r>
      </w:hyperlink>
      <w:r w:rsidRPr="00FF1CEA">
        <w:rPr>
          <w:rFonts w:ascii="Arial" w:hAnsi="Arial"/>
          <w:b/>
          <w:bCs/>
          <w:sz w:val="21"/>
          <w:szCs w:val="21"/>
        </w:rPr>
        <w:t>.</w:t>
      </w:r>
      <w:r w:rsidRPr="00FF1CEA">
        <w:rPr>
          <w:rFonts w:ascii="Arial" w:hAnsi="Arial"/>
          <w:sz w:val="21"/>
          <w:szCs w:val="21"/>
        </w:rPr>
        <w:t xml:space="preserve"> </w:t>
      </w:r>
    </w:p>
    <w:p w14:paraId="5D9F73AE" w14:textId="6CCA0B0E" w:rsidR="002A000A" w:rsidRDefault="00FF1CEA" w:rsidP="00831424">
      <w:pPr>
        <w:spacing w:after="240" w:line="276" w:lineRule="auto"/>
        <w:jc w:val="both"/>
        <w:rPr>
          <w:rFonts w:ascii="Arial" w:hAnsi="Arial"/>
          <w:sz w:val="21"/>
          <w:szCs w:val="21"/>
        </w:rPr>
      </w:pPr>
      <w:r w:rsidRPr="00FF1CEA">
        <w:rPr>
          <w:rFonts w:ascii="Arial" w:hAnsi="Arial"/>
          <w:sz w:val="21"/>
          <w:szCs w:val="21"/>
        </w:rPr>
        <w:t xml:space="preserve">El 8 de marzo de 2022 el Ministerio de Justicia publicaba el texto del citado Anteproyecto de Ley reguladora de la protección de las personas que informen sobre infracciones normativas y de lucha contra la corrupción, por la que se transpone la Directiva (UE) 2019/1937, así como la </w:t>
      </w:r>
      <w:hyperlink r:id="rId246" w:history="1">
        <w:r w:rsidRPr="00FF1CEA">
          <w:rPr>
            <w:rStyle w:val="Hipervnculo"/>
            <w:rFonts w:ascii="Arial" w:hAnsi="Arial"/>
            <w:sz w:val="21"/>
            <w:szCs w:val="21"/>
          </w:rPr>
          <w:t>Memoria del análisis de impacto normativo</w:t>
        </w:r>
      </w:hyperlink>
      <w:r w:rsidRPr="00FF1CEA">
        <w:rPr>
          <w:rFonts w:ascii="Arial" w:hAnsi="Arial"/>
          <w:sz w:val="21"/>
          <w:szCs w:val="21"/>
        </w:rPr>
        <w:t xml:space="preserve">, documentos se pueden consultar en la web del propio Ministerio de Justicia </w:t>
      </w:r>
      <w:hyperlink r:id="rId247" w:history="1">
        <w:r w:rsidR="002A000A" w:rsidRPr="002547BD">
          <w:rPr>
            <w:rStyle w:val="Hipervnculo"/>
            <w:rFonts w:ascii="Arial" w:hAnsi="Arial"/>
            <w:sz w:val="21"/>
            <w:szCs w:val="21"/>
          </w:rPr>
          <w:t>https://www.mjusticia.gob.es/eu/ciudadania/normas-tramitacion</w:t>
        </w:r>
      </w:hyperlink>
      <w:r w:rsidR="002A000A">
        <w:rPr>
          <w:rFonts w:ascii="Arial" w:hAnsi="Arial"/>
          <w:sz w:val="21"/>
          <w:szCs w:val="21"/>
        </w:rPr>
        <w:t>.</w:t>
      </w:r>
    </w:p>
    <w:p w14:paraId="30E7B532" w14:textId="7331ACE9"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En esa misma fecha, se aperturaba un plazo de siete días hábiles para la realización del trámite de audiencia e información pública para presentar alegaciones al texto proyectado; plazo correspondiente a los procedimientos de urgencia.</w:t>
      </w:r>
    </w:p>
    <w:p w14:paraId="78768860" w14:textId="77777777"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 xml:space="preserve">Conviene recordar que el 27 de enero de 2021, la AVAF presentó </w:t>
      </w:r>
      <w:hyperlink r:id="rId248" w:history="1">
        <w:r w:rsidRPr="00FF1CEA">
          <w:rPr>
            <w:rStyle w:val="Hipervnculo"/>
            <w:rFonts w:ascii="Arial" w:hAnsi="Arial"/>
            <w:sz w:val="21"/>
            <w:szCs w:val="21"/>
          </w:rPr>
          <w:t>alegaciones al trámite de consulta pública previa abierto</w:t>
        </w:r>
      </w:hyperlink>
      <w:r w:rsidRPr="00FF1CEA">
        <w:rPr>
          <w:rFonts w:ascii="Arial" w:hAnsi="Arial"/>
          <w:sz w:val="21"/>
          <w:szCs w:val="21"/>
        </w:rPr>
        <w:t xml:space="preserve"> por el Ministerio de Justicia en relación con la transposición de la citada Directiva. Sin embargo, estas alegaciones no se recogieron, ni de forma completa ni sintetizada, en el portal web del Ministerio de Justicia, dentro del </w:t>
      </w:r>
      <w:r w:rsidRPr="00FF1CEA">
        <w:rPr>
          <w:rFonts w:ascii="Arial" w:hAnsi="Arial"/>
          <w:i/>
          <w:iCs/>
          <w:sz w:val="21"/>
          <w:szCs w:val="21"/>
        </w:rPr>
        <w:t xml:space="preserve">Anexo II de la Memoria del Análisis de Impacto Normativo </w:t>
      </w:r>
      <w:r w:rsidRPr="00FF1CEA">
        <w:rPr>
          <w:rFonts w:ascii="Arial" w:hAnsi="Arial"/>
          <w:sz w:val="21"/>
          <w:szCs w:val="21"/>
        </w:rPr>
        <w:t>publicada, en el que se describían las aportaciones realizadas durante el período de consulta pública previa por diferentes entidades y particulares. Considerando que la ausencia de publicación de las alegaciones de esta Agencia podría constituir un defecto en esta fase del procedimiento, pues sustraía a las organizaciones interesadas y a la ciudadanía en general de una información que consideramos importante, la AVAF solicitó al Ministerio de Justicia la realización de las gestiones oportunas al efecto de subsanar tal extremo, lo que se constata que ha sido efectuado en fecha 14 de marzo de 2022.</w:t>
      </w:r>
    </w:p>
    <w:p w14:paraId="14DFC7FF" w14:textId="77777777"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 xml:space="preserve">A continuación, dentro del plazo habilitado de siete días para audiencia e información pública, esta Agencia remitió al Ministerio de Justicia en fecha 17 de marzo </w:t>
      </w:r>
      <w:hyperlink r:id="rId249" w:history="1">
        <w:r w:rsidRPr="00FF1CEA">
          <w:rPr>
            <w:rStyle w:val="Hipervnculo"/>
            <w:rFonts w:ascii="Arial" w:hAnsi="Arial"/>
            <w:sz w:val="21"/>
            <w:szCs w:val="21"/>
          </w:rPr>
          <w:t>escrito de alegaciones de la Agencia de Prevención y Lucha contra el Fraude y la Corrupción de la Comunitat Valenciana al Anteproyecto de Ley reguladora de la protección de las personas que informen sobre infracciones normativas y de lucha contra la corrupción por la que se transpone la Directiva (UE) 2019/1937 del Parlamento Europeo y del Consejo de 23 de octubre de 2019, relativa a la protección de las personas que informen sobre infracciones del Derecho de la Unión, en el trámite de audiencia e información pública</w:t>
        </w:r>
      </w:hyperlink>
      <w:r w:rsidRPr="00FF1CEA">
        <w:rPr>
          <w:rFonts w:ascii="Arial" w:hAnsi="Arial"/>
          <w:sz w:val="21"/>
          <w:szCs w:val="21"/>
        </w:rPr>
        <w:t>.</w:t>
      </w:r>
    </w:p>
    <w:p w14:paraId="20DB8953" w14:textId="77777777"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De conformidad con la Memoria del Análisis de Impacto Normativo, son pasos a seguir en la tramitación del citado Anteproyecto de ley, una vez integradas las alegaciones correspondientes en el texto del Anteproyecto, la emisión de informes por parte de las Secretarías Generales Técnicas del Ministerio de Justicia, del Ministerio de Asuntos, Económicos y Transformación Digital, del Ministerio de Presidencia, Relaciones con las Cortes y Memoria Democrática, del Consejo General del Poder Judicial, de la Agencia Española de Protección de Datos, del Consejo Económico y Social, y del Consejo Fiscal.</w:t>
      </w:r>
    </w:p>
    <w:p w14:paraId="4AD6024A" w14:textId="77777777" w:rsidR="00FF1CEA" w:rsidRPr="00FF1CEA" w:rsidRDefault="00FF1CEA" w:rsidP="00831424">
      <w:pPr>
        <w:spacing w:after="240" w:line="276" w:lineRule="auto"/>
        <w:jc w:val="both"/>
        <w:rPr>
          <w:rFonts w:ascii="Arial" w:hAnsi="Arial"/>
          <w:sz w:val="21"/>
          <w:szCs w:val="21"/>
        </w:rPr>
      </w:pPr>
      <w:r w:rsidRPr="00FF1CEA">
        <w:rPr>
          <w:rFonts w:ascii="Arial" w:hAnsi="Arial"/>
          <w:sz w:val="21"/>
          <w:szCs w:val="21"/>
        </w:rPr>
        <w:t>A continuación, se requerirá aprobación previa del Ministerio de Hacienda y Función Pública, y a través del Ministerio de Asuntos Económicos y Transformación Digital se solicitará informe a la Comisión Nacional de los Mercados y la Competencia (CNMC), Comisión Nacional del Mercado de Valores (CNMV), Fondo de Reestructuración Ordenada Bancaria (FROB), Banco de España. A través del Ministerio de la Presidencia, Relaciones con las Cortes y Memoria Democrática se solicitará la emisión de informe a la Oficina de Coordinación y Calidad Normativa. Igualmente se debe solicitar informe de los Ministerios competentes: Ministerio de Hacienda y Función Pública, Ministerio de Asuntos Exteriores, Unión Europea y Cooperación, Ministerio de Transportes, Movilidad y Agenda Urbana, Ministerio de Inclusión, Seguridad Social y Migraciones, Ministerio de Trabajo y Economía Social, Ministerio de Agricultura, Pesca y Alimentación, Ministerio para la Transición Ecológica y el Reto Demográfico y Ministerio de Política Territorial.</w:t>
      </w:r>
    </w:p>
    <w:p w14:paraId="44A9F21A" w14:textId="4354E657" w:rsidR="006561A3" w:rsidRDefault="00FF1CEA" w:rsidP="00831424">
      <w:pPr>
        <w:spacing w:after="240" w:line="276" w:lineRule="auto"/>
        <w:jc w:val="both"/>
        <w:rPr>
          <w:rFonts w:ascii="Arial" w:hAnsi="Arial"/>
          <w:sz w:val="21"/>
          <w:szCs w:val="21"/>
        </w:rPr>
      </w:pPr>
      <w:r w:rsidRPr="00FF1CEA">
        <w:rPr>
          <w:rFonts w:ascii="Arial" w:hAnsi="Arial"/>
          <w:sz w:val="21"/>
          <w:szCs w:val="21"/>
        </w:rPr>
        <w:t>Por último, deberá dictaminarse por el Pleno del Consejo de Estado, a tenor de lo establecido en el artículo 21.2 de la Ley 3/1980, de 22 de abril, del Consejo de Estado, para su remisión posterior, una vez aprobado el Proyecto de ley, al Congreso de los Diputados.</w:t>
      </w:r>
    </w:p>
    <w:p w14:paraId="114BF492" w14:textId="77777777" w:rsidR="00B92728" w:rsidRPr="00B92728" w:rsidRDefault="00B92728" w:rsidP="00DC1B01">
      <w:pPr>
        <w:pStyle w:val="Prrafodelista"/>
        <w:keepNext/>
        <w:numPr>
          <w:ilvl w:val="2"/>
          <w:numId w:val="16"/>
        </w:numPr>
        <w:suppressAutoHyphens/>
        <w:spacing w:before="360" w:after="240" w:line="276" w:lineRule="auto"/>
        <w:ind w:left="993" w:hanging="993"/>
        <w:jc w:val="both"/>
        <w:outlineLvl w:val="2"/>
        <w:rPr>
          <w:rFonts w:ascii="Arial" w:eastAsia="Times New Roman" w:hAnsi="Arial" w:cs="Arial"/>
          <w:b/>
          <w:color w:val="9D2235"/>
          <w:sz w:val="28"/>
          <w:szCs w:val="28"/>
        </w:rPr>
      </w:pPr>
      <w:bookmarkStart w:id="76" w:name="_Toc99106994"/>
      <w:r w:rsidRPr="00B92728">
        <w:rPr>
          <w:rFonts w:ascii="Arial" w:eastAsia="Times New Roman" w:hAnsi="Arial" w:cs="Arial"/>
          <w:b/>
          <w:color w:val="9D2235"/>
          <w:sz w:val="28"/>
          <w:szCs w:val="28"/>
        </w:rPr>
        <w:t>Declaraciones institucionales</w:t>
      </w:r>
      <w:bookmarkEnd w:id="76"/>
    </w:p>
    <w:p w14:paraId="4BEAB793" w14:textId="77777777" w:rsidR="00B92728" w:rsidRPr="00B92728" w:rsidRDefault="00B92728" w:rsidP="00B92728">
      <w:pPr>
        <w:spacing w:after="240" w:line="276" w:lineRule="auto"/>
        <w:jc w:val="both"/>
        <w:rPr>
          <w:rFonts w:ascii="Arial" w:hAnsi="Arial"/>
          <w:sz w:val="21"/>
          <w:szCs w:val="21"/>
        </w:rPr>
      </w:pPr>
      <w:r w:rsidRPr="00B92728">
        <w:rPr>
          <w:rFonts w:ascii="Arial" w:hAnsi="Arial"/>
          <w:sz w:val="21"/>
          <w:szCs w:val="21"/>
        </w:rPr>
        <w:t xml:space="preserve">Este apartado se dedica a las declaraciones institucionales, suscritas por la AVAF, durante el 2021, tanto de forma individual como junto a organismos europeos y nacionales, como son NEIWA y REDOAF. </w:t>
      </w:r>
    </w:p>
    <w:p w14:paraId="11250CDB" w14:textId="7A3ACF89" w:rsidR="00B92728" w:rsidRPr="00B92728" w:rsidRDefault="00B92728" w:rsidP="00B92728">
      <w:pPr>
        <w:spacing w:after="240" w:line="276" w:lineRule="auto"/>
        <w:jc w:val="both"/>
        <w:rPr>
          <w:rFonts w:ascii="Arial" w:hAnsi="Arial"/>
          <w:sz w:val="21"/>
          <w:szCs w:val="21"/>
        </w:rPr>
      </w:pPr>
      <w:r w:rsidRPr="00B92728">
        <w:rPr>
          <w:rFonts w:ascii="Arial" w:hAnsi="Arial"/>
          <w:sz w:val="21"/>
          <w:szCs w:val="21"/>
        </w:rPr>
        <w:t>A través de estas declaraciones, la Agencia ha puesto de manifiesto su sentir en torno a materias como la protección a las personas denunciantes, los canales internos y externos de denuncia y demás asuntos relacionados con la finalidad de denunciar retrasos en la implementación de la normativa y de medidas, así como para trasladar a la sociedad su trascendencia e importancia.</w:t>
      </w:r>
    </w:p>
    <w:p w14:paraId="7F733182" w14:textId="4C09EA7C" w:rsidR="00B92728" w:rsidRPr="002F239E" w:rsidRDefault="00B92728" w:rsidP="00DC1B01">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2F239E">
        <w:rPr>
          <w:rFonts w:ascii="Arial" w:eastAsia="Times New Roman" w:hAnsi="Arial" w:cs="Arial"/>
          <w:b/>
          <w:color w:val="9D2235"/>
          <w:sz w:val="24"/>
          <w:szCs w:val="24"/>
        </w:rPr>
        <w:t>NEIWA</w:t>
      </w:r>
    </w:p>
    <w:p w14:paraId="3FCD7E84" w14:textId="736E79D8" w:rsidR="00AD515B" w:rsidRDefault="00B92728" w:rsidP="00460454">
      <w:pPr>
        <w:spacing w:after="240" w:line="276" w:lineRule="auto"/>
        <w:jc w:val="both"/>
        <w:rPr>
          <w:rFonts w:ascii="Arial" w:hAnsi="Arial"/>
          <w:sz w:val="21"/>
          <w:szCs w:val="21"/>
        </w:rPr>
      </w:pPr>
      <w:r w:rsidRPr="00B92728">
        <w:rPr>
          <w:rFonts w:ascii="Arial" w:hAnsi="Arial"/>
          <w:sz w:val="21"/>
          <w:szCs w:val="21"/>
        </w:rPr>
        <w:t>La Red de Autoridades Europeas de Integridad y Alertadores (NEIWA) es una plataforma de cooperación e intercambio de conocimientos y experiencias en el campo de la integridad y la denuncia de irregularidades. Durante 2021, NEIWA ha visto aumentado su número de miembros, que en la actualidad asciende a veintisiete de veintidós Estados diferentes más un observador (Montenegro).</w:t>
      </w:r>
    </w:p>
    <w:p w14:paraId="796FD0BC" w14:textId="77777777" w:rsidR="00AD1EF3" w:rsidRDefault="00AD1EF3" w:rsidP="00460454">
      <w:r w:rsidRPr="00AD1EF3">
        <w:rPr>
          <w:rFonts w:ascii="Arial" w:eastAsia="Times New Roman" w:hAnsi="Arial" w:cs="Arial"/>
          <w:noProof/>
          <w:sz w:val="21"/>
          <w:szCs w:val="21"/>
          <w:lang w:eastAsia="es-ES"/>
        </w:rPr>
        <w:drawing>
          <wp:inline distT="0" distB="0" distL="0" distR="0" wp14:anchorId="48A9559F" wp14:editId="04058310">
            <wp:extent cx="5400040" cy="3935945"/>
            <wp:effectExtent l="0" t="0" r="0" b="7620"/>
            <wp:docPr id="32"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Mapa&#10;&#10;Descripción generada automáticamente"/>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00040" cy="3935945"/>
                    </a:xfrm>
                    <a:prstGeom prst="rect">
                      <a:avLst/>
                    </a:prstGeom>
                    <a:noFill/>
                    <a:ln>
                      <a:noFill/>
                    </a:ln>
                  </pic:spPr>
                </pic:pic>
              </a:graphicData>
            </a:graphic>
          </wp:inline>
        </w:drawing>
      </w:r>
    </w:p>
    <w:p w14:paraId="1F663B9E" w14:textId="51F79EEE" w:rsidR="00AD515B" w:rsidRPr="00460454" w:rsidRDefault="00AD1EF3" w:rsidP="00460454">
      <w:pPr>
        <w:jc w:val="center"/>
        <w:rPr>
          <w:rFonts w:ascii="Arial" w:hAnsi="Arial" w:cs="Arial"/>
          <w:b/>
          <w:bCs/>
          <w:sz w:val="18"/>
          <w:szCs w:val="18"/>
        </w:rPr>
      </w:pPr>
      <w:bookmarkStart w:id="77" w:name="_Toc99099130"/>
      <w:r w:rsidRPr="00460454">
        <w:rPr>
          <w:rFonts w:ascii="Arial" w:hAnsi="Arial" w:cs="Arial"/>
          <w:b/>
          <w:bCs/>
          <w:color w:val="9D2235" w:themeColor="accent1"/>
          <w:sz w:val="18"/>
          <w:szCs w:val="18"/>
        </w:rPr>
        <w:t xml:space="preserve">Imagen </w:t>
      </w:r>
      <w:r w:rsidRPr="00460454">
        <w:rPr>
          <w:rFonts w:ascii="Arial" w:hAnsi="Arial" w:cs="Arial"/>
          <w:b/>
          <w:bCs/>
          <w:color w:val="9D2235" w:themeColor="accent1"/>
          <w:sz w:val="18"/>
          <w:szCs w:val="18"/>
        </w:rPr>
        <w:fldChar w:fldCharType="begin" w:fldLock="1"/>
      </w:r>
      <w:r w:rsidRPr="00460454">
        <w:rPr>
          <w:rFonts w:ascii="Arial" w:hAnsi="Arial" w:cs="Arial"/>
          <w:b/>
          <w:bCs/>
          <w:color w:val="9D2235" w:themeColor="accent1"/>
          <w:sz w:val="18"/>
          <w:szCs w:val="18"/>
        </w:rPr>
        <w:instrText xml:space="preserve"> SEQ Imagen \* ARABIC </w:instrText>
      </w:r>
      <w:r w:rsidRPr="00460454">
        <w:rPr>
          <w:rFonts w:ascii="Arial" w:hAnsi="Arial" w:cs="Arial"/>
          <w:b/>
          <w:bCs/>
          <w:color w:val="9D2235" w:themeColor="accent1"/>
          <w:sz w:val="18"/>
          <w:szCs w:val="18"/>
        </w:rPr>
        <w:fldChar w:fldCharType="separate"/>
      </w:r>
      <w:r w:rsidR="006336E7">
        <w:rPr>
          <w:rFonts w:ascii="Arial" w:hAnsi="Arial" w:cs="Arial"/>
          <w:b/>
          <w:bCs/>
          <w:noProof/>
          <w:color w:val="9D2235" w:themeColor="accent1"/>
          <w:sz w:val="18"/>
          <w:szCs w:val="18"/>
        </w:rPr>
        <w:t>6</w:t>
      </w:r>
      <w:r w:rsidRPr="00460454">
        <w:rPr>
          <w:rFonts w:ascii="Arial" w:hAnsi="Arial" w:cs="Arial"/>
          <w:b/>
          <w:bCs/>
          <w:color w:val="9D2235" w:themeColor="accent1"/>
          <w:sz w:val="18"/>
          <w:szCs w:val="18"/>
        </w:rPr>
        <w:fldChar w:fldCharType="end"/>
      </w:r>
      <w:r w:rsidRPr="00460454">
        <w:rPr>
          <w:rFonts w:ascii="Arial" w:hAnsi="Arial" w:cs="Arial"/>
          <w:b/>
          <w:bCs/>
          <w:color w:val="9D2235" w:themeColor="accent1"/>
          <w:sz w:val="18"/>
          <w:szCs w:val="18"/>
        </w:rPr>
        <w:t xml:space="preserve">. </w:t>
      </w:r>
      <w:r w:rsidRPr="00460454">
        <w:rPr>
          <w:rFonts w:ascii="Arial" w:hAnsi="Arial" w:cs="Arial"/>
          <w:b/>
          <w:bCs/>
          <w:sz w:val="18"/>
          <w:szCs w:val="18"/>
        </w:rPr>
        <w:t>Infografía mapa de Europa con los países que integran NEIWA</w:t>
      </w:r>
      <w:bookmarkEnd w:id="77"/>
    </w:p>
    <w:p w14:paraId="0BB76E43" w14:textId="77777777" w:rsidR="00AD1EF3" w:rsidRPr="00AD1EF3" w:rsidRDefault="00AD1EF3" w:rsidP="0068362B">
      <w:pPr>
        <w:spacing w:after="240" w:line="276" w:lineRule="auto"/>
        <w:jc w:val="both"/>
        <w:rPr>
          <w:rFonts w:ascii="Arial" w:hAnsi="Arial"/>
          <w:sz w:val="21"/>
          <w:szCs w:val="21"/>
        </w:rPr>
      </w:pPr>
      <w:r w:rsidRPr="00AD1EF3">
        <w:rPr>
          <w:rFonts w:ascii="Arial" w:hAnsi="Arial"/>
          <w:sz w:val="21"/>
          <w:szCs w:val="21"/>
        </w:rPr>
        <w:t>NEIWA tiene como objetivo proveer a las autoridades competentes herramientas para:</w:t>
      </w:r>
    </w:p>
    <w:p w14:paraId="0392CC48" w14:textId="7E453488" w:rsidR="00AD1EF3" w:rsidRPr="00460454" w:rsidRDefault="00AD1EF3" w:rsidP="00F84B8B">
      <w:pPr>
        <w:pStyle w:val="Prrafodelista"/>
        <w:numPr>
          <w:ilvl w:val="0"/>
          <w:numId w:val="163"/>
        </w:numPr>
        <w:spacing w:after="120" w:line="276" w:lineRule="auto"/>
        <w:ind w:left="851" w:hanging="284"/>
        <w:contextualSpacing w:val="0"/>
        <w:jc w:val="both"/>
        <w:rPr>
          <w:rFonts w:ascii="Arial" w:hAnsi="Arial"/>
          <w:sz w:val="21"/>
          <w:szCs w:val="21"/>
        </w:rPr>
      </w:pPr>
      <w:r w:rsidRPr="00460454">
        <w:rPr>
          <w:rFonts w:ascii="Arial" w:hAnsi="Arial"/>
          <w:sz w:val="21"/>
          <w:szCs w:val="21"/>
        </w:rPr>
        <w:t>tener acceso a una red de autoridades similares de la Unión Europea</w:t>
      </w:r>
      <w:r w:rsidR="00FB30A0">
        <w:rPr>
          <w:rFonts w:ascii="Arial" w:hAnsi="Arial"/>
          <w:sz w:val="21"/>
          <w:szCs w:val="21"/>
        </w:rPr>
        <w:t>.</w:t>
      </w:r>
    </w:p>
    <w:p w14:paraId="31B3A865" w14:textId="3FFD365C" w:rsidR="00AD1EF3" w:rsidRPr="00460454" w:rsidRDefault="00AD1EF3" w:rsidP="00F84B8B">
      <w:pPr>
        <w:pStyle w:val="Prrafodelista"/>
        <w:numPr>
          <w:ilvl w:val="0"/>
          <w:numId w:val="163"/>
        </w:numPr>
        <w:spacing w:after="120" w:line="276" w:lineRule="auto"/>
        <w:ind w:left="851" w:hanging="284"/>
        <w:contextualSpacing w:val="0"/>
        <w:jc w:val="both"/>
        <w:rPr>
          <w:rFonts w:ascii="Arial" w:hAnsi="Arial"/>
          <w:sz w:val="21"/>
          <w:szCs w:val="21"/>
        </w:rPr>
      </w:pPr>
      <w:r w:rsidRPr="00460454">
        <w:rPr>
          <w:rFonts w:ascii="Arial" w:hAnsi="Arial"/>
          <w:sz w:val="21"/>
          <w:szCs w:val="21"/>
        </w:rPr>
        <w:t>intercambiar conocimientos y experiencias prácticas sobre integridad y gestión de denuncias</w:t>
      </w:r>
      <w:r w:rsidR="00FB30A0">
        <w:rPr>
          <w:rFonts w:ascii="Arial" w:hAnsi="Arial"/>
          <w:sz w:val="21"/>
          <w:szCs w:val="21"/>
        </w:rPr>
        <w:t>.</w:t>
      </w:r>
    </w:p>
    <w:p w14:paraId="544FF40C" w14:textId="701B4DB2" w:rsidR="00AD1EF3" w:rsidRPr="00460454" w:rsidRDefault="00AD1EF3" w:rsidP="00F84B8B">
      <w:pPr>
        <w:pStyle w:val="Prrafodelista"/>
        <w:numPr>
          <w:ilvl w:val="0"/>
          <w:numId w:val="163"/>
        </w:numPr>
        <w:spacing w:after="120" w:line="276" w:lineRule="auto"/>
        <w:ind w:left="851" w:hanging="284"/>
        <w:contextualSpacing w:val="0"/>
        <w:jc w:val="both"/>
        <w:rPr>
          <w:rFonts w:ascii="Arial" w:hAnsi="Arial"/>
          <w:sz w:val="21"/>
          <w:szCs w:val="21"/>
        </w:rPr>
      </w:pPr>
      <w:r w:rsidRPr="00460454">
        <w:rPr>
          <w:rFonts w:ascii="Arial" w:hAnsi="Arial"/>
          <w:sz w:val="21"/>
          <w:szCs w:val="21"/>
        </w:rPr>
        <w:t>desarrollar conjuntamente instrumentos, programas u opiniones compartidas</w:t>
      </w:r>
      <w:r w:rsidR="00FB30A0">
        <w:rPr>
          <w:rFonts w:ascii="Arial" w:hAnsi="Arial"/>
          <w:sz w:val="21"/>
          <w:szCs w:val="21"/>
        </w:rPr>
        <w:t>.</w:t>
      </w:r>
    </w:p>
    <w:p w14:paraId="1A524388" w14:textId="6280A38B" w:rsidR="00AD1EF3" w:rsidRPr="00460454" w:rsidRDefault="00AD1EF3" w:rsidP="00F84B8B">
      <w:pPr>
        <w:pStyle w:val="Prrafodelista"/>
        <w:numPr>
          <w:ilvl w:val="0"/>
          <w:numId w:val="163"/>
        </w:numPr>
        <w:spacing w:after="240" w:line="276" w:lineRule="auto"/>
        <w:ind w:left="851" w:hanging="284"/>
        <w:jc w:val="both"/>
        <w:rPr>
          <w:rFonts w:ascii="Arial" w:hAnsi="Arial"/>
          <w:sz w:val="21"/>
          <w:szCs w:val="21"/>
        </w:rPr>
      </w:pPr>
      <w:r w:rsidRPr="00460454">
        <w:rPr>
          <w:rFonts w:ascii="Arial" w:hAnsi="Arial"/>
          <w:sz w:val="21"/>
          <w:szCs w:val="21"/>
        </w:rPr>
        <w:t>encontrar socios que participen en las revisiones trienales de los otros miembros</w:t>
      </w:r>
      <w:r w:rsidR="00FB30A0">
        <w:rPr>
          <w:rFonts w:ascii="Arial" w:hAnsi="Arial"/>
          <w:sz w:val="21"/>
          <w:szCs w:val="21"/>
        </w:rPr>
        <w:t>.</w:t>
      </w:r>
    </w:p>
    <w:p w14:paraId="45CAA5A6"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Los 28 participantes que componen NEIWA (27 miembros y un observador) son “autoridades competentes”, entendiendo como tales, conforme indica la Directiva de la UE, “autoridades estatales que promueven y/o protegen la integridad en su Estado, al menos (pero no excluido), mediante la gestión y la investigación a través de denuncias realizadas externamente y/o asesorando y protegiendo a los denunciantes”.</w:t>
      </w:r>
    </w:p>
    <w:p w14:paraId="1352877F"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La Agencia forma parte de esta organización desde 2019 y a lo largo de 2021 ha participado activamente en las tres reuniones plenarias realizadas, que han tenido lugar de manera virtual, así como en los grupos de trabajo preparatorios de las mismas.</w:t>
      </w:r>
    </w:p>
    <w:p w14:paraId="006DE97C"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En las referidas reuniones, se suscribieron las siguientes declaraciones, que se pueden consultar en el apartado “Declaraciones institucionales” de la página web de la AVAF (</w:t>
      </w:r>
      <w:hyperlink r:id="rId251" w:history="1">
        <w:r w:rsidRPr="00AD1EF3">
          <w:rPr>
            <w:rStyle w:val="Hipervnculo"/>
            <w:rFonts w:ascii="Arial" w:hAnsi="Arial"/>
            <w:sz w:val="21"/>
            <w:szCs w:val="21"/>
          </w:rPr>
          <w:t>https://www.antifraucv.es/informacion-de-relevancia-juridica/</w:t>
        </w:r>
      </w:hyperlink>
      <w:r w:rsidRPr="00AD1EF3">
        <w:rPr>
          <w:rFonts w:ascii="Arial" w:hAnsi="Arial"/>
          <w:sz w:val="21"/>
          <w:szCs w:val="21"/>
        </w:rPr>
        <w:t>):</w:t>
      </w:r>
      <w:r w:rsidRPr="00AD1EF3">
        <w:rPr>
          <w:rFonts w:ascii="Arial" w:hAnsi="Arial"/>
          <w:b/>
          <w:bCs/>
          <w:sz w:val="21"/>
          <w:szCs w:val="21"/>
        </w:rPr>
        <w:t xml:space="preserve"> </w:t>
      </w:r>
      <w:r w:rsidRPr="00AD1EF3">
        <w:rPr>
          <w:rFonts w:ascii="Arial" w:hAnsi="Arial"/>
          <w:sz w:val="21"/>
          <w:szCs w:val="21"/>
        </w:rPr>
        <w:t xml:space="preserve">Declaraciones de Utrecht el 4 de junio de 2021, </w:t>
      </w:r>
      <w:hyperlink r:id="rId252" w:history="1">
        <w:r w:rsidRPr="00AD1EF3">
          <w:rPr>
            <w:rStyle w:val="Hipervnculo"/>
            <w:rFonts w:ascii="Arial" w:hAnsi="Arial"/>
            <w:sz w:val="21"/>
            <w:szCs w:val="21"/>
          </w:rPr>
          <w:t>Declaración de 17 de septiembre de 2021</w:t>
        </w:r>
      </w:hyperlink>
      <w:r w:rsidRPr="00AD1EF3">
        <w:rPr>
          <w:rFonts w:ascii="Arial" w:hAnsi="Arial"/>
          <w:sz w:val="21"/>
          <w:szCs w:val="21"/>
        </w:rPr>
        <w:t xml:space="preserve"> y Declaración de Dublín de 10 de diciembre de 2021.  </w:t>
      </w:r>
    </w:p>
    <w:p w14:paraId="6AD5927E" w14:textId="77777777" w:rsidR="00AD1EF3" w:rsidRPr="00AD1EF3" w:rsidRDefault="00AD1EF3" w:rsidP="00460454">
      <w:pPr>
        <w:spacing w:after="240" w:line="276" w:lineRule="auto"/>
        <w:jc w:val="both"/>
        <w:rPr>
          <w:rFonts w:ascii="Arial" w:hAnsi="Arial"/>
          <w:b/>
          <w:bCs/>
          <w:sz w:val="21"/>
          <w:szCs w:val="21"/>
          <w:u w:val="single"/>
        </w:rPr>
      </w:pPr>
      <w:r w:rsidRPr="00AD1EF3">
        <w:rPr>
          <w:rFonts w:ascii="Arial" w:hAnsi="Arial"/>
          <w:b/>
          <w:bCs/>
          <w:sz w:val="21"/>
          <w:szCs w:val="21"/>
          <w:u w:val="single"/>
        </w:rPr>
        <w:t>Declaraciones de Utrecht</w:t>
      </w:r>
    </w:p>
    <w:p w14:paraId="28F96D78"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 xml:space="preserve">En Utrecht se firmaron dos declaraciones con fecha de 4 de junio de 2021 que, conforme a los grupos de trabajo preparatorios de la reunión, se dedicaron a los </w:t>
      </w:r>
      <w:hyperlink r:id="rId253" w:history="1">
        <w:r w:rsidRPr="00AD1EF3">
          <w:rPr>
            <w:rStyle w:val="Hipervnculo"/>
            <w:rFonts w:ascii="Arial" w:hAnsi="Arial"/>
            <w:sz w:val="21"/>
            <w:szCs w:val="21"/>
          </w:rPr>
          <w:t>canales internos</w:t>
        </w:r>
      </w:hyperlink>
      <w:r w:rsidRPr="00AD1EF3">
        <w:rPr>
          <w:rFonts w:ascii="Arial" w:hAnsi="Arial"/>
          <w:sz w:val="21"/>
          <w:szCs w:val="21"/>
        </w:rPr>
        <w:t xml:space="preserve"> y </w:t>
      </w:r>
      <w:hyperlink r:id="rId254" w:history="1">
        <w:r w:rsidRPr="00AD1EF3">
          <w:rPr>
            <w:rStyle w:val="Hipervnculo"/>
            <w:rFonts w:ascii="Arial" w:hAnsi="Arial"/>
            <w:sz w:val="21"/>
            <w:szCs w:val="21"/>
          </w:rPr>
          <w:t>externos</w:t>
        </w:r>
      </w:hyperlink>
      <w:r w:rsidRPr="00AD1EF3">
        <w:rPr>
          <w:rFonts w:ascii="Arial" w:hAnsi="Arial"/>
          <w:sz w:val="21"/>
          <w:szCs w:val="21"/>
        </w:rPr>
        <w:t xml:space="preserve"> </w:t>
      </w:r>
      <w:r w:rsidRPr="00AD1EF3">
        <w:rPr>
          <w:rFonts w:ascii="Arial" w:hAnsi="Arial"/>
          <w:b/>
          <w:bCs/>
          <w:sz w:val="21"/>
          <w:szCs w:val="21"/>
        </w:rPr>
        <w:t>de denuncias.</w:t>
      </w:r>
      <w:r w:rsidRPr="00AD1EF3">
        <w:rPr>
          <w:rFonts w:ascii="Arial" w:hAnsi="Arial"/>
          <w:sz w:val="21"/>
          <w:szCs w:val="21"/>
        </w:rPr>
        <w:t xml:space="preserve"> </w:t>
      </w:r>
    </w:p>
    <w:p w14:paraId="2D4149DE" w14:textId="14D6D076"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 xml:space="preserve">Las aportaciones de AVAF en los grupos de trabajo se centraron especialmente en la exigencia de preservar la confidencialidad en la tramitación de expedientes de investigación, de la identidad de las personas denunciantes y de cualesquiera datos, informaciones o documentos de los que la misma se puede desprender, así como las ventajas de la admisión de la denuncia anónima y sus correlativas cautelas como fuente de información y con </w:t>
      </w:r>
      <w:r w:rsidR="00E3127D">
        <w:rPr>
          <w:rFonts w:ascii="Arial" w:hAnsi="Arial"/>
          <w:sz w:val="21"/>
          <w:szCs w:val="21"/>
        </w:rPr>
        <w:t xml:space="preserve">la </w:t>
      </w:r>
      <w:r w:rsidRPr="00AD1EF3">
        <w:rPr>
          <w:rFonts w:ascii="Arial" w:hAnsi="Arial"/>
          <w:sz w:val="21"/>
          <w:szCs w:val="21"/>
        </w:rPr>
        <w:t>posibilidad de sancionar la denuncia falsa, y la necesaria y enérgica prohibición de represalias.</w:t>
      </w:r>
    </w:p>
    <w:p w14:paraId="04CC6BFA"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Con respecto a la confidencialidad de la investigación, la Agencia destacó que se trata de una condición clave para ofrecer confianza en un sistema de denuncias, tal y como establece la Directiva 2019/1937, impidiendo que terceros tengan acceso a los documentos relacionados con la denuncia y al expediente de investigación, y evitar la posibilidad de represalias, así como en aras al buen fin de las investigaciones y el respecto a derechos constitucionales, como son el derecho a la defensa y la presunción de inocencia. De hecho, la legislación propia de la AVAF ya preveía dicha garantía, incluso tres años antes de la citada Directiva.</w:t>
      </w:r>
    </w:p>
    <w:p w14:paraId="7068F8AC" w14:textId="77777777" w:rsidR="00AD1EF3" w:rsidRPr="00AD1EF3" w:rsidRDefault="00AD1EF3" w:rsidP="00460454">
      <w:pPr>
        <w:spacing w:after="240" w:line="276" w:lineRule="auto"/>
        <w:jc w:val="both"/>
        <w:rPr>
          <w:rFonts w:ascii="Arial" w:hAnsi="Arial"/>
          <w:sz w:val="21"/>
          <w:szCs w:val="21"/>
          <w:u w:val="single"/>
        </w:rPr>
      </w:pPr>
      <w:r w:rsidRPr="00AD1EF3">
        <w:rPr>
          <w:rFonts w:ascii="Arial" w:hAnsi="Arial"/>
          <w:sz w:val="21"/>
          <w:szCs w:val="21"/>
        </w:rPr>
        <w:t>En cuanto a las denuncias anónimas y partiendo de la realidad legislativa existente en los diversos Estados miembros que componen NEIWA, en el grupo de trabajo preparatorio de las declaraciones, la AVAF propuso que se trabajara para que la denuncia anónima no se proscribiera y que se permitiera como “notitia criminis” en los distintos Estados miembros que conforman NEIWA.</w:t>
      </w:r>
    </w:p>
    <w:p w14:paraId="7EBA2A95" w14:textId="10080D05"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Todo ello, con base a que la denuncia anónima, de acuerdo con la experiencia obtenida por esta Agencia</w:t>
      </w:r>
      <w:r w:rsidR="00E3127D">
        <w:rPr>
          <w:rFonts w:ascii="Arial" w:hAnsi="Arial"/>
          <w:sz w:val="21"/>
          <w:szCs w:val="21"/>
        </w:rPr>
        <w:t>,</w:t>
      </w:r>
      <w:r w:rsidRPr="00AD1EF3">
        <w:rPr>
          <w:rFonts w:ascii="Arial" w:hAnsi="Arial"/>
          <w:sz w:val="21"/>
          <w:szCs w:val="21"/>
        </w:rPr>
        <w:t xml:space="preserve"> tras más de cuatro años de funcionamiento, es la forma más eficaz de protección a las personas que denuncian o informan sobre irregularidades, y herramienta imprescindible en la lucha contra casos de fraude y corrupción que de otro modo nunca saldrían a la luz. La regla es clara: Si se desconoce quien ha denunciado, no se puede iniciar una cruzada represaliadora frente a nadie.</w:t>
      </w:r>
    </w:p>
    <w:p w14:paraId="7A18C947"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 xml:space="preserve">En este punto cabe destacar que en España, entre muchas otras, la </w:t>
      </w:r>
      <w:hyperlink r:id="rId255" w:history="1">
        <w:r w:rsidRPr="00AD1EF3">
          <w:rPr>
            <w:rStyle w:val="Hipervnculo"/>
            <w:rFonts w:ascii="Arial" w:hAnsi="Arial"/>
            <w:sz w:val="21"/>
            <w:szCs w:val="21"/>
          </w:rPr>
          <w:t>Sentencia núm. 35/2020 de 6 de febrero de 2020, dictada por la Sala de lo Penal del Tribunal Supremo</w:t>
        </w:r>
      </w:hyperlink>
      <w:r w:rsidRPr="00AD1EF3">
        <w:rPr>
          <w:rFonts w:ascii="Arial" w:hAnsi="Arial"/>
          <w:sz w:val="21"/>
          <w:szCs w:val="21"/>
        </w:rPr>
        <w:t>, valida la denuncia anónima como origen de una investigación interna en una empresa para destapar un fraude. Dicha Sentencia ya fue resaltada en la Memoria de actividad de 2020 de esta Agencia.</w:t>
      </w:r>
    </w:p>
    <w:p w14:paraId="165D2A62" w14:textId="6633454F"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En resumen, en España la denuncia anónima es admitida desde hace mucho tiempo, tanto en determinados sectores de nuestro ordenamiento jurídico (tributario, de Seguridad Social, Inspección de Trabajo, etc.), como en el mundo de la empresa, por lo que su nega</w:t>
      </w:r>
      <w:r w:rsidR="002E3249">
        <w:rPr>
          <w:rFonts w:ascii="Arial" w:hAnsi="Arial"/>
          <w:sz w:val="21"/>
          <w:szCs w:val="21"/>
        </w:rPr>
        <w:t>c</w:t>
      </w:r>
      <w:r w:rsidRPr="00AD1EF3">
        <w:rPr>
          <w:rFonts w:ascii="Arial" w:hAnsi="Arial"/>
          <w:sz w:val="21"/>
          <w:szCs w:val="21"/>
        </w:rPr>
        <w:t>ión supondría un grave retroceso en nuestra legislación y en nuestra jurisprudencia.</w:t>
      </w:r>
    </w:p>
    <w:p w14:paraId="339A4DE5" w14:textId="77777777" w:rsidR="00AD1EF3" w:rsidRPr="00AD1EF3" w:rsidRDefault="00AF48E6" w:rsidP="00DA6F41">
      <w:pPr>
        <w:spacing w:after="120" w:line="276" w:lineRule="auto"/>
        <w:jc w:val="both"/>
        <w:rPr>
          <w:rFonts w:ascii="Arial" w:hAnsi="Arial"/>
          <w:sz w:val="21"/>
          <w:szCs w:val="21"/>
          <w:u w:val="single"/>
        </w:rPr>
      </w:pPr>
      <w:hyperlink r:id="rId256" w:history="1">
        <w:r w:rsidR="00AD1EF3" w:rsidRPr="00AD1EF3">
          <w:rPr>
            <w:rStyle w:val="Hipervnculo"/>
            <w:rFonts w:ascii="Arial" w:hAnsi="Arial"/>
            <w:sz w:val="21"/>
            <w:szCs w:val="21"/>
          </w:rPr>
          <w:t xml:space="preserve">Declaración de Utrecht de 4 de junio de 2021, sobre el establecimiento de CANALES EXTERNOS de información. </w:t>
        </w:r>
      </w:hyperlink>
    </w:p>
    <w:p w14:paraId="59C3A46B" w14:textId="77777777" w:rsidR="00AD1EF3" w:rsidRPr="00AD1EF3" w:rsidRDefault="00AD1EF3" w:rsidP="00460454">
      <w:pPr>
        <w:spacing w:after="240" w:line="276" w:lineRule="auto"/>
        <w:jc w:val="both"/>
        <w:rPr>
          <w:rFonts w:ascii="Arial" w:hAnsi="Arial"/>
          <w:b/>
          <w:bCs/>
          <w:sz w:val="21"/>
          <w:szCs w:val="21"/>
          <w:u w:val="single"/>
        </w:rPr>
      </w:pPr>
      <w:r w:rsidRPr="00AD1EF3">
        <w:rPr>
          <w:rFonts w:ascii="Arial" w:hAnsi="Arial"/>
          <w:sz w:val="21"/>
          <w:szCs w:val="21"/>
        </w:rPr>
        <w:t>En esta Declaración la Red NEIWA</w:t>
      </w:r>
      <w:r w:rsidRPr="00AD1EF3">
        <w:rPr>
          <w:rFonts w:ascii="Arial" w:hAnsi="Arial"/>
          <w:b/>
          <w:bCs/>
          <w:sz w:val="21"/>
          <w:szCs w:val="21"/>
        </w:rPr>
        <w:t xml:space="preserve"> </w:t>
      </w:r>
      <w:r w:rsidRPr="00AD1EF3">
        <w:rPr>
          <w:rFonts w:ascii="Arial" w:hAnsi="Arial"/>
          <w:sz w:val="21"/>
          <w:szCs w:val="21"/>
        </w:rPr>
        <w:t>recomienda, a todos los gobiernos, administraciones y otras partes interesadas involucradas en la implementación de la Directiva (UE) 2019/1937, la necesidad de garantizar el funcionamiento de canales externos de denuncia por autoridades competentes, el respeto frente a terceros de la confidencialidad máxima de las personas denunciantes, de las denuncias y de las investigaciones, y la dotación a las autoridades competentes de la necesaria autonomía organizativa y financiera para el correcto desempeño de sus funciones con recursos suficientes.</w:t>
      </w:r>
    </w:p>
    <w:p w14:paraId="0734FB06" w14:textId="77777777" w:rsidR="00AD1EF3" w:rsidRPr="00AD1EF3" w:rsidRDefault="00AF48E6" w:rsidP="00DA6F41">
      <w:pPr>
        <w:spacing w:after="120" w:line="276" w:lineRule="auto"/>
        <w:jc w:val="both"/>
        <w:rPr>
          <w:rFonts w:ascii="Arial" w:hAnsi="Arial"/>
          <w:sz w:val="21"/>
          <w:szCs w:val="21"/>
        </w:rPr>
      </w:pPr>
      <w:hyperlink r:id="rId257" w:history="1">
        <w:r w:rsidR="00AD1EF3" w:rsidRPr="00AD1EF3">
          <w:rPr>
            <w:rStyle w:val="Hipervnculo"/>
            <w:rFonts w:ascii="Arial" w:hAnsi="Arial"/>
            <w:sz w:val="21"/>
            <w:szCs w:val="21"/>
          </w:rPr>
          <w:t xml:space="preserve">Declaración de Utrecht de 4 de junio de 2021, sobre el establecimiento de CANALES INTERNOS de información. </w:t>
        </w:r>
      </w:hyperlink>
    </w:p>
    <w:p w14:paraId="7D479720"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Mediante esta Declaración la Red NEIWA recomienda e insta a todos los gobiernos, administraciones y otras partes interesadas involucradas en la implementación de la Directiva a cumplir con el deber de establecer procedimientos internos adecuados para recibir y llevar el seguimiento de las denuncias de irregularidades.</w:t>
      </w:r>
    </w:p>
    <w:p w14:paraId="73569D47"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Los canales internos tienen como objetivo la revelación de irregularidades en los lugares de trabajo que de otro modo permanecerían ocultas por temor a represalias. Se debe fomentar una cultura de denuncia interna y valorar esta como un acto de lealtad, así como una oportunidad para conocer las infracciones internas y corregirlas.</w:t>
      </w:r>
    </w:p>
    <w:p w14:paraId="16E8BB5A"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También la Declaración establece la necesidad de asegurar la confidencialidad para que las personas denunciantes, alertadoras o informadoras superen sus miedos y desconfianza en el sistema. Se destaca que salvaguardar la confidencialidad de la identidad de la persona denunciante y de la investigación es clave para asegurar que la interposición de una denuncia no conlleva ningún riesgo profesional o personal para quien denuncia.</w:t>
      </w:r>
    </w:p>
    <w:p w14:paraId="2C9A3479"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 xml:space="preserve">Del mismo modo, la Declaración hace hincapié en la prohibición de represalias, puesto que las personas que realicen una denuncia interna, deben estar protegidas contra cualquier forma de represalia, ya sea directa o indirecta, adoptada, alentada o tolerada por su empleador, cliente o receptor de servicios y por las personas que trabajan para este último o que actúan en su nombre, incluidos compañeros y gerentes en la misma organización o en otras organizaciones con las que la persona denunciante pueda estar en contacto en el contexto de sus actividades laborales. </w:t>
      </w:r>
    </w:p>
    <w:p w14:paraId="3795AD40" w14:textId="20421FD7" w:rsidR="00AD1EF3" w:rsidRPr="00AD1EF3" w:rsidRDefault="00AF48E6" w:rsidP="00DA6F41">
      <w:pPr>
        <w:spacing w:after="120" w:line="276" w:lineRule="auto"/>
        <w:jc w:val="both"/>
        <w:rPr>
          <w:rFonts w:ascii="Arial" w:hAnsi="Arial"/>
          <w:b/>
          <w:bCs/>
          <w:sz w:val="21"/>
          <w:szCs w:val="21"/>
        </w:rPr>
      </w:pPr>
      <w:hyperlink r:id="rId258" w:history="1">
        <w:r w:rsidR="00DA6F41">
          <w:rPr>
            <w:rStyle w:val="Hipervnculo"/>
            <w:rFonts w:ascii="Arial" w:hAnsi="Arial"/>
            <w:sz w:val="21"/>
            <w:szCs w:val="21"/>
          </w:rPr>
          <w:t>Declaración adoptada el 17 de septiembre de 2021.</w:t>
        </w:r>
      </w:hyperlink>
    </w:p>
    <w:p w14:paraId="7B8C5071"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Esta Declaración recuerda a los gobiernos los acuerdos y recomendaciones adoptados en las declaraciones anteriores. Así, se insta a los mismos a garantizar que la Directiva (UE) 2019/1937 esté transpuesta correctamente antes de su fecha límite, 17 de diciembre de 2021, en sus respectivos ordenamientos jurídicos internos.</w:t>
      </w:r>
    </w:p>
    <w:p w14:paraId="2FF2E39E" w14:textId="77777777" w:rsidR="00AD1EF3" w:rsidRPr="00AD1EF3" w:rsidRDefault="00AF48E6" w:rsidP="00DA6F41">
      <w:pPr>
        <w:spacing w:after="120" w:line="276" w:lineRule="auto"/>
        <w:jc w:val="both"/>
        <w:rPr>
          <w:rFonts w:ascii="Arial" w:hAnsi="Arial"/>
          <w:sz w:val="21"/>
          <w:szCs w:val="21"/>
          <w:u w:val="single"/>
        </w:rPr>
      </w:pPr>
      <w:hyperlink r:id="rId259" w:history="1">
        <w:r w:rsidR="00AD1EF3" w:rsidRPr="00AD1EF3">
          <w:rPr>
            <w:rStyle w:val="Hipervnculo"/>
            <w:rFonts w:ascii="Arial" w:hAnsi="Arial"/>
            <w:sz w:val="21"/>
            <w:szCs w:val="21"/>
          </w:rPr>
          <w:t>Declaración de Dublín de 10 de diciembre de 2021</w:t>
        </w:r>
      </w:hyperlink>
      <w:r w:rsidR="00AD1EF3" w:rsidRPr="00AD1EF3">
        <w:rPr>
          <w:rFonts w:ascii="Arial" w:hAnsi="Arial"/>
          <w:sz w:val="21"/>
          <w:szCs w:val="21"/>
          <w:u w:val="single"/>
        </w:rPr>
        <w:t>.</w:t>
      </w:r>
    </w:p>
    <w:p w14:paraId="374020E0"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 xml:space="preserve">De los distintos grupos de trabajo preparatorios de esta reunión plenaria de NEIWA, que tuvo lugar en diciembre de 2021, la AVAF participó en el estudio de los efectos directos de la Directiva (UE) 2019/1937 si llegado su término no es transpuesta o si realizada la transposición esta no es correcta o incompleta. </w:t>
      </w:r>
    </w:p>
    <w:p w14:paraId="78D2A2E1"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Nuestra propuesta se focalizó en el posible efecto directo contemplado en el artículo 19 de la Directiva, concluyendo que la prohibición de represalias contenida en el mismo es directa y clara, y que además dicho precepto enumera formas específicas que pueden revestir aquellas y que todas ellas se encuentran prohibidas.</w:t>
      </w:r>
    </w:p>
    <w:p w14:paraId="2887EE21"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Ello supone que en el caso que en un Estado miembro una persona denuncie, en aras al bien común, hechos o conductas constitutivos de fraude o corrupción, y como consecuencia de ello sea represaliada, esta podrá invocar ante las autoridades judiciales la propia Directiva, que se dirige a todos los poderes públicos y forma parte del Derecho comunitario.</w:t>
      </w:r>
    </w:p>
    <w:p w14:paraId="50108368"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A través de este documento, NEIWA recuerda a los Estados miembros de la Unión Europea exigen que la Directiva 2019/1937 se transponga a la legislación nacional antes de 17 de diciembre de 2021, y destaca que únicamente tres Estados miembros han cumplido con esta obligación.</w:t>
      </w:r>
    </w:p>
    <w:p w14:paraId="7B3BA0EB" w14:textId="77777777" w:rsidR="00AD1EF3" w:rsidRPr="00AD1EF3" w:rsidRDefault="00AD1EF3" w:rsidP="00460454">
      <w:pPr>
        <w:spacing w:after="240" w:line="276" w:lineRule="auto"/>
        <w:jc w:val="both"/>
        <w:rPr>
          <w:rFonts w:ascii="Arial" w:hAnsi="Arial"/>
          <w:sz w:val="21"/>
          <w:szCs w:val="21"/>
        </w:rPr>
      </w:pPr>
      <w:r w:rsidRPr="00AD1EF3">
        <w:rPr>
          <w:rFonts w:ascii="Arial" w:hAnsi="Arial"/>
          <w:sz w:val="21"/>
          <w:szCs w:val="21"/>
        </w:rPr>
        <w:t>La Declaración insiste en el hecho de que las personas denunciantes deben estar protegidas frente cualquier forma de represalia y tienen derecho a medidas de protección, y también recalca que a partir del 17 de diciembre de 2021 gran parte de su articulado, de conformidad con la jurisprudencia del Tribunal de Justicia Europeo, tendrá efecto directo en la legislación nacional de los Estados miembros.</w:t>
      </w:r>
    </w:p>
    <w:p w14:paraId="4C4E224D" w14:textId="77777777" w:rsidR="00AD1EF3" w:rsidRPr="00AD1EF3" w:rsidRDefault="00AD1EF3" w:rsidP="0068362B">
      <w:pPr>
        <w:spacing w:after="240" w:line="276" w:lineRule="auto"/>
        <w:jc w:val="both"/>
        <w:rPr>
          <w:rFonts w:ascii="Arial" w:hAnsi="Arial"/>
          <w:sz w:val="21"/>
          <w:szCs w:val="21"/>
        </w:rPr>
      </w:pPr>
      <w:r w:rsidRPr="00AD1EF3">
        <w:rPr>
          <w:rFonts w:ascii="Arial" w:hAnsi="Arial"/>
          <w:sz w:val="21"/>
          <w:szCs w:val="21"/>
        </w:rPr>
        <w:t>Asimismo, anuncia que tras el plazo de transposición de la Directiva la Red NEIWA reformulará sus principales objetivos tratando de:</w:t>
      </w:r>
    </w:p>
    <w:p w14:paraId="0A296F59" w14:textId="77777777" w:rsidR="00AD1EF3" w:rsidRPr="00DA6F41" w:rsidRDefault="00AD1EF3" w:rsidP="00F84B8B">
      <w:pPr>
        <w:pStyle w:val="Prrafodelista"/>
        <w:numPr>
          <w:ilvl w:val="0"/>
          <w:numId w:val="164"/>
        </w:numPr>
        <w:spacing w:after="120" w:line="276" w:lineRule="auto"/>
        <w:ind w:left="992" w:hanging="425"/>
        <w:contextualSpacing w:val="0"/>
        <w:jc w:val="both"/>
        <w:rPr>
          <w:rFonts w:ascii="Arial" w:hAnsi="Arial"/>
          <w:sz w:val="21"/>
          <w:szCs w:val="21"/>
        </w:rPr>
      </w:pPr>
      <w:r w:rsidRPr="00DA6F41">
        <w:rPr>
          <w:rFonts w:ascii="Arial" w:hAnsi="Arial"/>
          <w:sz w:val="21"/>
          <w:szCs w:val="21"/>
        </w:rPr>
        <w:t>Ofrecer una plataforma en las áreas de promoción de la integridad y denuncia de irregularidades para intercambiar conocimientos, documentación, iniciativas, jurisprudencia y mejores prácticas.</w:t>
      </w:r>
    </w:p>
    <w:p w14:paraId="334FC46D" w14:textId="77777777" w:rsidR="00AD1EF3" w:rsidRPr="00DA6F41" w:rsidRDefault="00AD1EF3" w:rsidP="00F84B8B">
      <w:pPr>
        <w:pStyle w:val="Prrafodelista"/>
        <w:numPr>
          <w:ilvl w:val="0"/>
          <w:numId w:val="164"/>
        </w:numPr>
        <w:spacing w:after="120" w:line="276" w:lineRule="auto"/>
        <w:ind w:left="992" w:hanging="425"/>
        <w:contextualSpacing w:val="0"/>
        <w:jc w:val="both"/>
        <w:rPr>
          <w:rFonts w:ascii="Arial" w:hAnsi="Arial"/>
          <w:sz w:val="21"/>
          <w:szCs w:val="21"/>
        </w:rPr>
      </w:pPr>
      <w:r w:rsidRPr="00DA6F41">
        <w:rPr>
          <w:rFonts w:ascii="Arial" w:hAnsi="Arial"/>
          <w:sz w:val="21"/>
          <w:szCs w:val="21"/>
        </w:rPr>
        <w:t>Recopilar información sobre la correcta transposición de la Directiva por parte de los Estados miembros y seguir su aplicación práctica en los Estados miembros.</w:t>
      </w:r>
    </w:p>
    <w:p w14:paraId="2EE4C0F4" w14:textId="77777777" w:rsidR="00AD1EF3" w:rsidRPr="00DA6F41" w:rsidRDefault="00AD1EF3" w:rsidP="00F84B8B">
      <w:pPr>
        <w:pStyle w:val="Prrafodelista"/>
        <w:numPr>
          <w:ilvl w:val="0"/>
          <w:numId w:val="164"/>
        </w:numPr>
        <w:spacing w:after="120" w:line="276" w:lineRule="auto"/>
        <w:ind w:left="992" w:hanging="425"/>
        <w:contextualSpacing w:val="0"/>
        <w:jc w:val="both"/>
        <w:rPr>
          <w:rFonts w:ascii="Arial" w:hAnsi="Arial"/>
          <w:sz w:val="21"/>
          <w:szCs w:val="21"/>
        </w:rPr>
      </w:pPr>
      <w:r w:rsidRPr="00DA6F41">
        <w:rPr>
          <w:rFonts w:ascii="Arial" w:hAnsi="Arial"/>
          <w:sz w:val="21"/>
          <w:szCs w:val="21"/>
        </w:rPr>
        <w:t>Promover una estrecha colaboración entre los miembros de NEIWA y las organizaciones públicas nacionales, europeas e internacionales para el desarrollo de actividades comunes en los ámbitos de la denuncia de irregularidades y la integridad, en particular con las instituciones de la Unión Europea.</w:t>
      </w:r>
    </w:p>
    <w:p w14:paraId="0580DEA5" w14:textId="4266622B" w:rsidR="00AD515B" w:rsidRPr="00DA6F41" w:rsidRDefault="00AD1EF3" w:rsidP="00F84B8B">
      <w:pPr>
        <w:pStyle w:val="Prrafodelista"/>
        <w:numPr>
          <w:ilvl w:val="0"/>
          <w:numId w:val="164"/>
        </w:numPr>
        <w:spacing w:after="240" w:line="276" w:lineRule="auto"/>
        <w:ind w:left="992" w:hanging="425"/>
        <w:contextualSpacing w:val="0"/>
        <w:jc w:val="both"/>
        <w:rPr>
          <w:rFonts w:ascii="Arial" w:hAnsi="Arial"/>
          <w:sz w:val="21"/>
          <w:szCs w:val="21"/>
        </w:rPr>
      </w:pPr>
      <w:r w:rsidRPr="00DA6F41">
        <w:rPr>
          <w:rFonts w:ascii="Arial" w:hAnsi="Arial"/>
          <w:sz w:val="21"/>
          <w:szCs w:val="21"/>
        </w:rPr>
        <w:t>Promover y difundir las experiencias, el conocimiento y las recomendaciones de NEIWA, y participar activamente con todas las partes interesadas, incluida la sociedad civil y los legisladores.</w:t>
      </w:r>
    </w:p>
    <w:p w14:paraId="56DAE0A9" w14:textId="77777777" w:rsidR="00DC4E57" w:rsidRPr="00DC4E57" w:rsidRDefault="00DC4E57" w:rsidP="00DC4E57">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DC4E57">
        <w:rPr>
          <w:rFonts w:ascii="Arial" w:eastAsia="Times New Roman" w:hAnsi="Arial" w:cs="Arial"/>
          <w:b/>
          <w:color w:val="9D2235"/>
          <w:sz w:val="24"/>
          <w:szCs w:val="24"/>
        </w:rPr>
        <w:t>REDOAF</w:t>
      </w:r>
    </w:p>
    <w:p w14:paraId="30F2D6B3" w14:textId="0DC7925B" w:rsidR="00B95A40" w:rsidRDefault="00DC4E57" w:rsidP="00DC4E57">
      <w:pPr>
        <w:spacing w:after="240" w:line="276" w:lineRule="auto"/>
        <w:jc w:val="both"/>
        <w:rPr>
          <w:rFonts w:ascii="Arial" w:hAnsi="Arial"/>
          <w:sz w:val="21"/>
          <w:szCs w:val="21"/>
        </w:rPr>
      </w:pPr>
      <w:r w:rsidRPr="00DC4E57">
        <w:rPr>
          <w:rFonts w:ascii="Arial" w:hAnsi="Arial"/>
          <w:sz w:val="21"/>
          <w:szCs w:val="21"/>
        </w:rPr>
        <w:t>En cumplimiento de los artículos 6 y 36 de la Convención de Naciones Unidas contra la Corrupción, en España se crean Oficinas y Agencias Antifraude como organismos públicos de carácter administrativo para la prevención y lucha contra la corrupción, con competencias en materia de prevención y promoción de la ética e integridad pública en el sector público, de recepción de denuncias e investigación de infracciones y otras irregularidades que pudieran ser constitutivas de fraude o corrupción, y de protección a personas denunciantes y alertadoras.</w:t>
      </w:r>
    </w:p>
    <w:p w14:paraId="5BD154D9" w14:textId="3CF971F9" w:rsidR="00B95A40" w:rsidRDefault="00B95A40" w:rsidP="00460454">
      <w:pPr>
        <w:spacing w:after="240" w:line="276" w:lineRule="auto"/>
        <w:jc w:val="both"/>
        <w:rPr>
          <w:rFonts w:ascii="Arial" w:hAnsi="Arial"/>
          <w:sz w:val="21"/>
          <w:szCs w:val="21"/>
        </w:rPr>
      </w:pPr>
    </w:p>
    <w:p w14:paraId="33414E4F" w14:textId="77777777" w:rsidR="00DC4E57" w:rsidRDefault="00DC4E57" w:rsidP="00DC4E57">
      <w:pPr>
        <w:keepNext/>
        <w:spacing w:after="240" w:line="276" w:lineRule="auto"/>
        <w:jc w:val="center"/>
      </w:pPr>
      <w:r w:rsidRPr="00DC4E57">
        <w:rPr>
          <w:rFonts w:ascii="Arial" w:eastAsia="SimSun" w:hAnsi="Arial" w:cs="Arial"/>
          <w:noProof/>
          <w:kern w:val="2"/>
          <w:sz w:val="21"/>
          <w:szCs w:val="21"/>
          <w:lang w:eastAsia="zh-CN" w:bidi="hi-IN"/>
        </w:rPr>
        <w:drawing>
          <wp:inline distT="0" distB="0" distL="0" distR="0" wp14:anchorId="67656488" wp14:editId="71A61AB2">
            <wp:extent cx="5400040" cy="4959969"/>
            <wp:effectExtent l="0" t="0" r="0" b="0"/>
            <wp:docPr id="33" name="Imagen 1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Mapa&#10;&#10;Descripción generada automáticamente"/>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400040" cy="4959969"/>
                    </a:xfrm>
                    <a:prstGeom prst="rect">
                      <a:avLst/>
                    </a:prstGeom>
                    <a:noFill/>
                    <a:ln>
                      <a:noFill/>
                    </a:ln>
                  </pic:spPr>
                </pic:pic>
              </a:graphicData>
            </a:graphic>
          </wp:inline>
        </w:drawing>
      </w:r>
    </w:p>
    <w:p w14:paraId="4896454F" w14:textId="44E78EAE" w:rsidR="00AD1EF3" w:rsidRPr="00DC4E57" w:rsidRDefault="00DC4E57" w:rsidP="00DC4E57">
      <w:pPr>
        <w:pStyle w:val="Descripcin"/>
        <w:jc w:val="center"/>
        <w:rPr>
          <w:rFonts w:ascii="Arial" w:hAnsi="Arial" w:cs="Arial"/>
          <w:smallCaps w:val="0"/>
          <w:sz w:val="18"/>
          <w:szCs w:val="18"/>
        </w:rPr>
      </w:pPr>
      <w:bookmarkStart w:id="78" w:name="_Toc99099131"/>
      <w:r w:rsidRPr="00DC4E57">
        <w:rPr>
          <w:rFonts w:ascii="Arial" w:hAnsi="Arial" w:cs="Arial"/>
          <w:smallCaps w:val="0"/>
          <w:color w:val="9D2235" w:themeColor="accent1"/>
          <w:sz w:val="18"/>
          <w:szCs w:val="18"/>
        </w:rPr>
        <w:t xml:space="preserve">Imagen </w:t>
      </w:r>
      <w:r w:rsidRPr="00DC4E57">
        <w:rPr>
          <w:rFonts w:ascii="Arial" w:hAnsi="Arial" w:cs="Arial"/>
          <w:smallCaps w:val="0"/>
          <w:color w:val="9D2235" w:themeColor="accent1"/>
          <w:sz w:val="18"/>
          <w:szCs w:val="18"/>
        </w:rPr>
        <w:fldChar w:fldCharType="begin" w:fldLock="1"/>
      </w:r>
      <w:r w:rsidRPr="00DC4E57">
        <w:rPr>
          <w:rFonts w:ascii="Arial" w:hAnsi="Arial" w:cs="Arial"/>
          <w:smallCaps w:val="0"/>
          <w:color w:val="9D2235" w:themeColor="accent1"/>
          <w:sz w:val="18"/>
          <w:szCs w:val="18"/>
        </w:rPr>
        <w:instrText xml:space="preserve"> SEQ Imagen \* ARABIC </w:instrText>
      </w:r>
      <w:r w:rsidRPr="00DC4E57">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7</w:t>
      </w:r>
      <w:r w:rsidRPr="00DC4E57">
        <w:rPr>
          <w:rFonts w:ascii="Arial" w:hAnsi="Arial" w:cs="Arial"/>
          <w:smallCaps w:val="0"/>
          <w:color w:val="9D2235" w:themeColor="accent1"/>
          <w:sz w:val="18"/>
          <w:szCs w:val="18"/>
        </w:rPr>
        <w:fldChar w:fldCharType="end"/>
      </w:r>
      <w:r w:rsidRPr="00DC4E57">
        <w:rPr>
          <w:rFonts w:ascii="Arial" w:hAnsi="Arial" w:cs="Arial"/>
          <w:smallCaps w:val="0"/>
          <w:color w:val="9D2235" w:themeColor="accent1"/>
          <w:sz w:val="18"/>
          <w:szCs w:val="18"/>
        </w:rPr>
        <w:t xml:space="preserve">. </w:t>
      </w:r>
      <w:r w:rsidRPr="00DC4E57">
        <w:rPr>
          <w:rFonts w:ascii="Arial" w:hAnsi="Arial" w:cs="Arial"/>
          <w:smallCaps w:val="0"/>
          <w:sz w:val="18"/>
          <w:szCs w:val="18"/>
        </w:rPr>
        <w:t>Infografía mapa de España composición REDOAF</w:t>
      </w:r>
      <w:bookmarkEnd w:id="78"/>
    </w:p>
    <w:p w14:paraId="5A827FC5" w14:textId="77777777" w:rsidR="00DC4E57" w:rsidRPr="00DC4E57" w:rsidRDefault="00DC4E57" w:rsidP="00DC4E57">
      <w:pPr>
        <w:spacing w:after="240" w:line="276" w:lineRule="auto"/>
        <w:jc w:val="both"/>
        <w:rPr>
          <w:rFonts w:ascii="Arial" w:hAnsi="Arial"/>
          <w:sz w:val="21"/>
          <w:szCs w:val="21"/>
        </w:rPr>
      </w:pPr>
      <w:r w:rsidRPr="00DC4E57">
        <w:rPr>
          <w:rFonts w:ascii="Arial" w:hAnsi="Arial"/>
          <w:sz w:val="21"/>
          <w:szCs w:val="21"/>
        </w:rPr>
        <w:t>A partir del 2018, las Oficinas y Agencias Antifraude existentes en ese momento se unen para constituir la Red de Oficinas y Agencias Antifraude del Estado español (REDOAF), a la que se han venido adhiriendo desde aquella fecha otras instituciones públicas, administraciones y entidades públicas, que se han ido creando y dotando de funciones en estas materias.</w:t>
      </w:r>
    </w:p>
    <w:p w14:paraId="7093B641" w14:textId="77777777" w:rsidR="00DC4E57" w:rsidRPr="00DC4E57" w:rsidRDefault="00DC4E57" w:rsidP="00DC4E57">
      <w:pPr>
        <w:spacing w:after="240" w:line="276" w:lineRule="auto"/>
        <w:jc w:val="both"/>
        <w:rPr>
          <w:rFonts w:ascii="Arial" w:hAnsi="Arial"/>
          <w:sz w:val="21"/>
          <w:szCs w:val="21"/>
        </w:rPr>
      </w:pPr>
      <w:r w:rsidRPr="00DC4E57">
        <w:rPr>
          <w:rFonts w:ascii="Arial" w:hAnsi="Arial"/>
          <w:sz w:val="21"/>
          <w:szCs w:val="21"/>
        </w:rPr>
        <w:t>La finalidad de dicha Red Estatal es compartir experiencias y conocimientos para mejorar el desarrollo de sus funciones y la consecución de los objetivos de interés común, así como establecer sistemas de coordinación y una plataforma para la cooperación, el intercambio de información y el desarrollo de propuestas para la realización de una lucha contra la corrupción efectiva.</w:t>
      </w:r>
    </w:p>
    <w:p w14:paraId="0E75AB6F" w14:textId="77777777" w:rsidR="00DC4E57" w:rsidRPr="00DC4E57" w:rsidRDefault="00DC4E57" w:rsidP="00DC4E57">
      <w:pPr>
        <w:spacing w:after="240" w:line="276" w:lineRule="auto"/>
        <w:jc w:val="both"/>
        <w:rPr>
          <w:rFonts w:ascii="Arial" w:hAnsi="Arial"/>
          <w:sz w:val="21"/>
          <w:szCs w:val="21"/>
        </w:rPr>
      </w:pPr>
      <w:r w:rsidRPr="00DC4E57">
        <w:rPr>
          <w:rFonts w:ascii="Arial" w:hAnsi="Arial"/>
          <w:sz w:val="21"/>
          <w:szCs w:val="21"/>
        </w:rPr>
        <w:t>Además de la función de prevención de la corrupción, muchos de los miembros de la Red cuentan ya con buzones de denuncia con posibilidad de anonimato, constituyéndose como órganos de control externo e independientes de las administraciones públicas, con competencia para la investigación de las denuncias presentadas por el buzón, así como para actuar de oficio. Algunos de ellos, tienen además funciones de asesoramiento y protección de personas que denuncian, alertan o comunican irregularidades en el sector público, y también potestad sancionadora.</w:t>
      </w:r>
    </w:p>
    <w:p w14:paraId="1EF9A3CD" w14:textId="77777777" w:rsidR="00DC4E57" w:rsidRPr="00DC4E57" w:rsidRDefault="00DC4E57" w:rsidP="00DC4E57">
      <w:pPr>
        <w:spacing w:after="240" w:line="276" w:lineRule="auto"/>
        <w:jc w:val="both"/>
        <w:rPr>
          <w:rFonts w:ascii="Arial" w:hAnsi="Arial"/>
          <w:sz w:val="21"/>
          <w:szCs w:val="21"/>
        </w:rPr>
      </w:pPr>
      <w:r w:rsidRPr="00DC4E57">
        <w:rPr>
          <w:rFonts w:ascii="Arial" w:hAnsi="Arial"/>
          <w:sz w:val="21"/>
          <w:szCs w:val="21"/>
        </w:rPr>
        <w:t>Desde sus inicios, la Red de Oficinas y Agencias Antifraude ha celebrado nueve encuentros en los que se han tratado diversas temáticas, entre ellas y especialmente, la situación de la transposición de la referida Directiva y la protección de las personas denunciantes, los canales de denuncia, el anonimato, la necesidad de la confidencialidad, el fomento de las políticas de integridad, los conflictos de interés, el fraude y la corrupción en la contratación pública, los costes de la corrupción o el análisis de las consecuencias de la situación de crisis provocada por el COVID-19.</w:t>
      </w:r>
    </w:p>
    <w:p w14:paraId="2A75BBD4" w14:textId="77777777" w:rsidR="00DC4E57" w:rsidRPr="00DC4E57" w:rsidRDefault="00DC4E57" w:rsidP="0068362B">
      <w:pPr>
        <w:spacing w:after="240" w:line="276" w:lineRule="auto"/>
        <w:jc w:val="both"/>
        <w:rPr>
          <w:rFonts w:ascii="Arial" w:hAnsi="Arial"/>
          <w:sz w:val="21"/>
          <w:szCs w:val="21"/>
        </w:rPr>
      </w:pPr>
      <w:r w:rsidRPr="00DC4E57">
        <w:rPr>
          <w:rFonts w:ascii="Arial" w:hAnsi="Arial"/>
          <w:sz w:val="21"/>
          <w:szCs w:val="21"/>
        </w:rPr>
        <w:t xml:space="preserve">En concreto, los encuentros de la Red celebrados durante 2021 han sido los siguientes: </w:t>
      </w:r>
    </w:p>
    <w:p w14:paraId="5C3F8B4E" w14:textId="77777777" w:rsidR="00DC4E57" w:rsidRPr="00DC4E57" w:rsidRDefault="00DC4E57" w:rsidP="00F84B8B">
      <w:pPr>
        <w:numPr>
          <w:ilvl w:val="0"/>
          <w:numId w:val="165"/>
        </w:numPr>
        <w:spacing w:after="120" w:line="276" w:lineRule="auto"/>
        <w:ind w:left="714" w:hanging="357"/>
        <w:jc w:val="both"/>
        <w:rPr>
          <w:rFonts w:ascii="Arial" w:hAnsi="Arial"/>
          <w:sz w:val="21"/>
          <w:szCs w:val="21"/>
        </w:rPr>
      </w:pPr>
      <w:r w:rsidRPr="00DC4E57">
        <w:rPr>
          <w:rFonts w:ascii="Arial" w:hAnsi="Arial"/>
          <w:sz w:val="21"/>
          <w:szCs w:val="21"/>
        </w:rPr>
        <w:t>VII Encuentro de la Red de Oficinas y Agencias Anticorrupción celebrado mediante reunión virtual el 28 de junio de 2021, organizado por el Servicio Nacional de Coordinación Antifraude.</w:t>
      </w:r>
    </w:p>
    <w:p w14:paraId="24812613" w14:textId="77777777" w:rsidR="00DC4E57" w:rsidRPr="00DC4E57" w:rsidRDefault="00DC4E57" w:rsidP="00F84B8B">
      <w:pPr>
        <w:numPr>
          <w:ilvl w:val="0"/>
          <w:numId w:val="165"/>
        </w:numPr>
        <w:spacing w:after="120" w:line="276" w:lineRule="auto"/>
        <w:ind w:left="714" w:hanging="357"/>
        <w:jc w:val="both"/>
        <w:rPr>
          <w:rFonts w:ascii="Arial" w:hAnsi="Arial"/>
          <w:sz w:val="21"/>
          <w:szCs w:val="21"/>
        </w:rPr>
      </w:pPr>
      <w:r w:rsidRPr="00DC4E57">
        <w:rPr>
          <w:rFonts w:ascii="Arial" w:hAnsi="Arial"/>
          <w:sz w:val="21"/>
          <w:szCs w:val="21"/>
        </w:rPr>
        <w:t>VIII Encuentro de la Red de Oficinas y Agencias Antifraude celebrada los días 28 y 29 de septiembre de 2021, en el marco del Congreso Internacional de Transparencia en Alicante, organizado por la Agencia de Prevención y Lucha contra el Fraude y la Corrupción de la Comunitat Valenciana.</w:t>
      </w:r>
    </w:p>
    <w:p w14:paraId="1FA6F73E" w14:textId="77777777" w:rsidR="00DC4E57" w:rsidRPr="00DC4E57" w:rsidRDefault="00DC4E57" w:rsidP="00F84B8B">
      <w:pPr>
        <w:numPr>
          <w:ilvl w:val="0"/>
          <w:numId w:val="165"/>
        </w:numPr>
        <w:spacing w:after="240" w:line="276" w:lineRule="auto"/>
        <w:jc w:val="both"/>
        <w:rPr>
          <w:rFonts w:ascii="Arial" w:hAnsi="Arial"/>
          <w:sz w:val="21"/>
          <w:szCs w:val="21"/>
        </w:rPr>
      </w:pPr>
      <w:r w:rsidRPr="00DC4E57">
        <w:rPr>
          <w:rFonts w:ascii="Arial" w:hAnsi="Arial"/>
          <w:sz w:val="21"/>
          <w:szCs w:val="21"/>
        </w:rPr>
        <w:t>IX Encuentro de la Red de Oficinas y Agencias Anticorrupción celebrado el 12 de noviembre de 2021, organizado por la Agencia de Transparencia del Área Metropolitana de Barcelona.</w:t>
      </w:r>
    </w:p>
    <w:p w14:paraId="1F89CBA5" w14:textId="77777777" w:rsidR="00DC4E57" w:rsidRPr="00DC4E57" w:rsidRDefault="00DC4E57" w:rsidP="0068362B">
      <w:pPr>
        <w:spacing w:after="240" w:line="276" w:lineRule="auto"/>
        <w:jc w:val="both"/>
        <w:rPr>
          <w:rFonts w:ascii="Arial" w:hAnsi="Arial"/>
          <w:sz w:val="21"/>
          <w:szCs w:val="21"/>
        </w:rPr>
      </w:pPr>
      <w:r w:rsidRPr="00DC4E57">
        <w:rPr>
          <w:rFonts w:ascii="Arial" w:hAnsi="Arial"/>
          <w:sz w:val="21"/>
          <w:szCs w:val="21"/>
        </w:rPr>
        <w:t>Los miembros actuales de la REDOAF son los siguientes órganos y autoridades públicas:</w:t>
      </w:r>
    </w:p>
    <w:p w14:paraId="7C0952FA" w14:textId="77777777" w:rsidR="00DC4E57" w:rsidRPr="00DC4E57" w:rsidRDefault="00DC4E57" w:rsidP="00F84B8B">
      <w:pPr>
        <w:numPr>
          <w:ilvl w:val="0"/>
          <w:numId w:val="166"/>
        </w:numPr>
        <w:spacing w:after="120" w:line="276" w:lineRule="auto"/>
        <w:ind w:left="714" w:hanging="357"/>
        <w:contextualSpacing/>
        <w:jc w:val="both"/>
        <w:rPr>
          <w:rFonts w:ascii="Arial" w:hAnsi="Arial"/>
          <w:sz w:val="21"/>
          <w:szCs w:val="21"/>
        </w:rPr>
      </w:pPr>
      <w:r w:rsidRPr="00DC4E57">
        <w:rPr>
          <w:rFonts w:ascii="Arial" w:hAnsi="Arial"/>
          <w:sz w:val="21"/>
          <w:szCs w:val="21"/>
        </w:rPr>
        <w:t>Oficina Antifraude de Cataluña.</w:t>
      </w:r>
    </w:p>
    <w:p w14:paraId="0CC12BD2" w14:textId="77777777" w:rsidR="00DC4E57" w:rsidRPr="00DC4E57" w:rsidRDefault="00DC4E57" w:rsidP="00F84B8B">
      <w:pPr>
        <w:numPr>
          <w:ilvl w:val="0"/>
          <w:numId w:val="166"/>
        </w:numPr>
        <w:spacing w:after="120" w:line="276" w:lineRule="auto"/>
        <w:ind w:left="714" w:hanging="357"/>
        <w:contextualSpacing/>
        <w:jc w:val="both"/>
        <w:rPr>
          <w:rFonts w:ascii="Arial" w:hAnsi="Arial"/>
          <w:sz w:val="21"/>
          <w:szCs w:val="21"/>
        </w:rPr>
      </w:pPr>
      <w:r w:rsidRPr="00DC4E57">
        <w:rPr>
          <w:rFonts w:ascii="Arial" w:hAnsi="Arial"/>
          <w:sz w:val="21"/>
          <w:szCs w:val="21"/>
        </w:rPr>
        <w:t>Servicio Nacional de Coordinación Antifraude de la Intervención General de la Administración del Estado.</w:t>
      </w:r>
    </w:p>
    <w:p w14:paraId="69BAD973" w14:textId="77777777" w:rsidR="00DC4E57" w:rsidRPr="00DC4E57" w:rsidRDefault="00DC4E57" w:rsidP="00F84B8B">
      <w:pPr>
        <w:numPr>
          <w:ilvl w:val="0"/>
          <w:numId w:val="166"/>
        </w:numPr>
        <w:spacing w:after="120" w:line="276" w:lineRule="auto"/>
        <w:ind w:left="714" w:hanging="357"/>
        <w:contextualSpacing/>
        <w:jc w:val="both"/>
        <w:rPr>
          <w:rFonts w:ascii="Arial" w:hAnsi="Arial"/>
          <w:sz w:val="21"/>
          <w:szCs w:val="21"/>
        </w:rPr>
      </w:pPr>
      <w:r w:rsidRPr="00DC4E57">
        <w:rPr>
          <w:rFonts w:ascii="Arial" w:hAnsi="Arial"/>
          <w:sz w:val="21"/>
          <w:szCs w:val="21"/>
        </w:rPr>
        <w:t>Agencia de Transparencia del Área Metropolitana de Barcelona.</w:t>
      </w:r>
    </w:p>
    <w:p w14:paraId="4034F987" w14:textId="77777777" w:rsidR="00DC4E57" w:rsidRPr="00DC4E57" w:rsidRDefault="00DC4E57" w:rsidP="00F84B8B">
      <w:pPr>
        <w:numPr>
          <w:ilvl w:val="0"/>
          <w:numId w:val="166"/>
        </w:numPr>
        <w:spacing w:after="120" w:line="276" w:lineRule="auto"/>
        <w:ind w:left="714" w:hanging="357"/>
        <w:contextualSpacing/>
        <w:jc w:val="both"/>
        <w:rPr>
          <w:rFonts w:ascii="Arial" w:hAnsi="Arial"/>
          <w:sz w:val="21"/>
          <w:szCs w:val="21"/>
        </w:rPr>
      </w:pPr>
      <w:r w:rsidRPr="00DC4E57">
        <w:rPr>
          <w:rFonts w:ascii="Arial" w:hAnsi="Arial"/>
          <w:sz w:val="21"/>
          <w:szCs w:val="21"/>
        </w:rPr>
        <w:t>Oficina para la Transparencia y las Buenas Prácticas del Ayuntamiento de Barcelona.</w:t>
      </w:r>
    </w:p>
    <w:p w14:paraId="4B558756" w14:textId="77777777" w:rsidR="00DC4E57" w:rsidRPr="00DC4E57" w:rsidRDefault="00DC4E57" w:rsidP="00F84B8B">
      <w:pPr>
        <w:numPr>
          <w:ilvl w:val="0"/>
          <w:numId w:val="166"/>
        </w:numPr>
        <w:spacing w:after="120" w:line="276" w:lineRule="auto"/>
        <w:ind w:left="714" w:hanging="357"/>
        <w:contextualSpacing/>
        <w:jc w:val="both"/>
        <w:rPr>
          <w:rFonts w:ascii="Arial" w:hAnsi="Arial"/>
          <w:sz w:val="21"/>
          <w:szCs w:val="21"/>
        </w:rPr>
      </w:pPr>
      <w:r w:rsidRPr="00DC4E57">
        <w:rPr>
          <w:rFonts w:ascii="Arial" w:hAnsi="Arial"/>
          <w:sz w:val="21"/>
          <w:szCs w:val="21"/>
        </w:rPr>
        <w:t>Agencia de Prevención y Lucha contra el Fraude y la Corrupción de la Comunitat Valenciana.</w:t>
      </w:r>
    </w:p>
    <w:p w14:paraId="2B35B92C" w14:textId="77777777" w:rsidR="00DC4E57" w:rsidRPr="00DC4E57" w:rsidRDefault="00DC4E57" w:rsidP="00F84B8B">
      <w:pPr>
        <w:numPr>
          <w:ilvl w:val="0"/>
          <w:numId w:val="166"/>
        </w:numPr>
        <w:spacing w:after="120" w:line="276" w:lineRule="auto"/>
        <w:ind w:left="714" w:hanging="357"/>
        <w:contextualSpacing/>
        <w:jc w:val="both"/>
        <w:rPr>
          <w:rFonts w:ascii="Arial" w:hAnsi="Arial"/>
          <w:sz w:val="21"/>
          <w:szCs w:val="21"/>
        </w:rPr>
      </w:pPr>
      <w:r w:rsidRPr="00DC4E57">
        <w:rPr>
          <w:rFonts w:ascii="Arial" w:hAnsi="Arial"/>
          <w:sz w:val="21"/>
          <w:szCs w:val="21"/>
        </w:rPr>
        <w:t>Oficina de Prevención y Lucha contra la Corrupción en las Islas Baleares.</w:t>
      </w:r>
    </w:p>
    <w:p w14:paraId="470D9909" w14:textId="77777777" w:rsidR="00DC4E57" w:rsidRPr="00DC4E57" w:rsidRDefault="00DC4E57" w:rsidP="00F84B8B">
      <w:pPr>
        <w:numPr>
          <w:ilvl w:val="0"/>
          <w:numId w:val="166"/>
        </w:numPr>
        <w:spacing w:after="120" w:line="276" w:lineRule="auto"/>
        <w:ind w:left="714" w:hanging="357"/>
        <w:contextualSpacing/>
        <w:jc w:val="both"/>
        <w:rPr>
          <w:rFonts w:ascii="Arial" w:hAnsi="Arial"/>
          <w:sz w:val="21"/>
          <w:szCs w:val="21"/>
        </w:rPr>
      </w:pPr>
      <w:r w:rsidRPr="00DC4E57">
        <w:rPr>
          <w:rFonts w:ascii="Arial" w:hAnsi="Arial"/>
          <w:sz w:val="21"/>
          <w:szCs w:val="21"/>
        </w:rPr>
        <w:t>Oficina Municipal contra el Fraude y la Corrupción del Ayuntamiento de Madrid.</w:t>
      </w:r>
    </w:p>
    <w:p w14:paraId="6FB4D61E" w14:textId="77777777" w:rsidR="00DC4E57" w:rsidRPr="00DC4E57" w:rsidRDefault="00DC4E57" w:rsidP="00F84B8B">
      <w:pPr>
        <w:numPr>
          <w:ilvl w:val="0"/>
          <w:numId w:val="166"/>
        </w:numPr>
        <w:spacing w:after="120" w:line="276" w:lineRule="auto"/>
        <w:ind w:left="714" w:hanging="357"/>
        <w:contextualSpacing/>
        <w:jc w:val="both"/>
        <w:rPr>
          <w:rFonts w:ascii="Arial" w:hAnsi="Arial"/>
          <w:sz w:val="21"/>
          <w:szCs w:val="21"/>
        </w:rPr>
      </w:pPr>
      <w:r w:rsidRPr="00DC4E57">
        <w:rPr>
          <w:rFonts w:ascii="Arial" w:hAnsi="Arial"/>
          <w:sz w:val="21"/>
          <w:szCs w:val="21"/>
        </w:rPr>
        <w:t>Oficina Independiente de Regulación y Supervisión de la Contratación.</w:t>
      </w:r>
    </w:p>
    <w:p w14:paraId="078733AA" w14:textId="77777777" w:rsidR="00DC4E57" w:rsidRPr="00DC4E57" w:rsidRDefault="00DC4E57" w:rsidP="00F84B8B">
      <w:pPr>
        <w:numPr>
          <w:ilvl w:val="0"/>
          <w:numId w:val="166"/>
        </w:numPr>
        <w:spacing w:after="240" w:line="276" w:lineRule="auto"/>
        <w:ind w:left="714" w:hanging="357"/>
        <w:jc w:val="both"/>
        <w:rPr>
          <w:rFonts w:ascii="Arial" w:hAnsi="Arial"/>
          <w:sz w:val="21"/>
          <w:szCs w:val="21"/>
        </w:rPr>
      </w:pPr>
      <w:r w:rsidRPr="00DC4E57">
        <w:rPr>
          <w:rFonts w:ascii="Arial" w:hAnsi="Arial"/>
          <w:sz w:val="21"/>
          <w:szCs w:val="21"/>
        </w:rPr>
        <w:t>Oficina Andaluza contra el Fraude y la Corrupción.</w:t>
      </w:r>
    </w:p>
    <w:p w14:paraId="68E079EF" w14:textId="77777777" w:rsidR="00DC4E57" w:rsidRPr="00DC4E57" w:rsidRDefault="00DC4E57" w:rsidP="00DC4E57">
      <w:pPr>
        <w:spacing w:after="240" w:line="276" w:lineRule="auto"/>
        <w:jc w:val="both"/>
        <w:rPr>
          <w:rFonts w:ascii="Arial" w:hAnsi="Arial"/>
          <w:sz w:val="21"/>
          <w:szCs w:val="21"/>
        </w:rPr>
      </w:pPr>
      <w:r w:rsidRPr="00DC4E57">
        <w:rPr>
          <w:rFonts w:ascii="Arial" w:hAnsi="Arial"/>
          <w:iCs/>
          <w:sz w:val="21"/>
          <w:szCs w:val="21"/>
        </w:rPr>
        <w:t>A ellos se suma el</w:t>
      </w:r>
      <w:r w:rsidRPr="00DC4E57">
        <w:rPr>
          <w:rFonts w:ascii="Arial" w:hAnsi="Arial"/>
          <w:i/>
          <w:sz w:val="21"/>
          <w:szCs w:val="21"/>
        </w:rPr>
        <w:t xml:space="preserve"> Consello de Contas</w:t>
      </w:r>
      <w:r w:rsidRPr="00DC4E57">
        <w:rPr>
          <w:rFonts w:ascii="Arial" w:hAnsi="Arial"/>
          <w:sz w:val="21"/>
          <w:szCs w:val="21"/>
        </w:rPr>
        <w:t xml:space="preserve"> de Galicia y la Audiencia de Cuentas de Canarias, en calidad de observadores.</w:t>
      </w:r>
    </w:p>
    <w:p w14:paraId="2563D5DF" w14:textId="0FB4F6A3" w:rsidR="00AD1EF3" w:rsidRDefault="00DC4E57" w:rsidP="00DC4E57">
      <w:pPr>
        <w:spacing w:after="240" w:line="276" w:lineRule="auto"/>
        <w:jc w:val="both"/>
        <w:rPr>
          <w:rFonts w:ascii="Arial" w:hAnsi="Arial"/>
          <w:sz w:val="21"/>
          <w:szCs w:val="21"/>
        </w:rPr>
      </w:pPr>
      <w:r w:rsidRPr="00DC4E57">
        <w:rPr>
          <w:rFonts w:ascii="Arial" w:hAnsi="Arial"/>
          <w:sz w:val="21"/>
          <w:szCs w:val="21"/>
        </w:rPr>
        <w:t xml:space="preserve">La Red de Oficinas y Agencias Antifraude, durante su VIII Encuentro, en el seno del VI Congreso Internacional de Transparencia, celebrado los días 28 y 29 de septiembre de 2021 en Alicante, adoptó </w:t>
      </w:r>
      <w:hyperlink r:id="rId261" w:history="1">
        <w:r w:rsidRPr="00DC4E57">
          <w:rPr>
            <w:rStyle w:val="Hipervnculo"/>
            <w:rFonts w:ascii="Arial" w:hAnsi="Arial"/>
            <w:sz w:val="21"/>
            <w:szCs w:val="21"/>
          </w:rPr>
          <w:t>una Declaración institucional,</w:t>
        </w:r>
      </w:hyperlink>
      <w:r w:rsidRPr="00DC4E57">
        <w:rPr>
          <w:rFonts w:ascii="Arial" w:hAnsi="Arial"/>
          <w:sz w:val="21"/>
          <w:szCs w:val="21"/>
        </w:rPr>
        <w:t xml:space="preserve"> con el fin de contribuir a la prevención y a la lucha contra la corrupción, así como a la protección de quienes la denuncian. En la Declaración, entre otras medidas, se urge a los decisores públicos a desarrollar el marco legal que transponga la Directiva (EU) 2019/1937, de protección a las personas denunciantes y alertadoras, y se recomienda fomentar la cultura de la denuncia de irregularidades, promover el establecimiento de canales de denuncia seguros, confidenciales, accesibles y eficaces, proteger de forma eficaz a las personas denunciantes, implementar acciones correctoras sobre las personas represaliadoras, así como desplegar acciones de difusión, formación y sensibilización a la ciudadanía para consolidar una cultura social de rechazo de la corrupción.</w:t>
      </w:r>
    </w:p>
    <w:p w14:paraId="0EC74FFD" w14:textId="714EA305" w:rsidR="002F239E" w:rsidRPr="002F239E" w:rsidRDefault="002F239E" w:rsidP="002F239E">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2F239E">
        <w:rPr>
          <w:rFonts w:ascii="Arial" w:eastAsia="Times New Roman" w:hAnsi="Arial" w:cs="Arial"/>
          <w:b/>
          <w:color w:val="9D2235"/>
          <w:sz w:val="24"/>
          <w:szCs w:val="24"/>
        </w:rPr>
        <w:t>AVAF</w:t>
      </w:r>
    </w:p>
    <w:p w14:paraId="31C4CA51" w14:textId="1DC6027C" w:rsidR="002F239E" w:rsidRPr="002F239E" w:rsidRDefault="002F239E" w:rsidP="002F239E">
      <w:pPr>
        <w:spacing w:after="240" w:line="276" w:lineRule="auto"/>
        <w:jc w:val="both"/>
        <w:rPr>
          <w:rFonts w:ascii="Arial" w:hAnsi="Arial"/>
          <w:sz w:val="21"/>
          <w:szCs w:val="21"/>
        </w:rPr>
      </w:pPr>
      <w:r w:rsidRPr="002F239E">
        <w:rPr>
          <w:rFonts w:ascii="Arial" w:hAnsi="Arial"/>
          <w:sz w:val="21"/>
          <w:szCs w:val="21"/>
        </w:rPr>
        <w:t xml:space="preserve">Durante el año 2021, además de participar en Declaraciones institucionales a las que se ha hecho referencia en los apartados anteriores, la AVAF ha emitido, en fechas señaladas, sus propias Declaraciones </w:t>
      </w:r>
      <w:r w:rsidR="00E3127D">
        <w:rPr>
          <w:rFonts w:ascii="Arial" w:hAnsi="Arial"/>
          <w:sz w:val="21"/>
          <w:szCs w:val="21"/>
        </w:rPr>
        <w:t xml:space="preserve">en las que </w:t>
      </w:r>
      <w:r w:rsidRPr="002F239E">
        <w:rPr>
          <w:rFonts w:ascii="Arial" w:hAnsi="Arial"/>
          <w:sz w:val="21"/>
          <w:szCs w:val="21"/>
        </w:rPr>
        <w:t>se reitera la necesidad de adoptar medidas en aras de dotar al Estado español de un marco jurídico de integridad mediante la modificación del ordenamiento jurídico.</w:t>
      </w:r>
    </w:p>
    <w:p w14:paraId="3AED6A6B" w14:textId="77777777" w:rsidR="002F239E" w:rsidRPr="002F239E" w:rsidRDefault="002F239E" w:rsidP="002F239E">
      <w:pPr>
        <w:spacing w:after="240" w:line="276" w:lineRule="auto"/>
        <w:jc w:val="both"/>
        <w:rPr>
          <w:rFonts w:ascii="Arial" w:hAnsi="Arial"/>
          <w:sz w:val="21"/>
          <w:szCs w:val="21"/>
        </w:rPr>
      </w:pPr>
      <w:r w:rsidRPr="002F239E">
        <w:rPr>
          <w:rFonts w:ascii="Arial" w:hAnsi="Arial"/>
          <w:sz w:val="21"/>
          <w:szCs w:val="21"/>
        </w:rPr>
        <w:t>En concreto, las Declaraciones de la AVAF se pronunciaron el 23 de junio de 2021, con ocasión de la celebración del Día mundial de la persona alertadora, y el 17 de diciembre de 2021, día en el que expiró el plazo para la trasposición de la Directiva (UE) 2019/1937.</w:t>
      </w:r>
    </w:p>
    <w:p w14:paraId="60E20005" w14:textId="77777777" w:rsidR="002F239E" w:rsidRPr="002F239E" w:rsidRDefault="002F239E" w:rsidP="002F239E">
      <w:pPr>
        <w:spacing w:after="240" w:line="276" w:lineRule="auto"/>
        <w:jc w:val="both"/>
        <w:rPr>
          <w:rFonts w:ascii="Arial" w:hAnsi="Arial"/>
          <w:sz w:val="21"/>
          <w:szCs w:val="21"/>
        </w:rPr>
      </w:pPr>
      <w:r w:rsidRPr="002F239E">
        <w:rPr>
          <w:rFonts w:ascii="Arial" w:hAnsi="Arial"/>
          <w:sz w:val="21"/>
          <w:szCs w:val="21"/>
        </w:rPr>
        <w:t xml:space="preserve">La primera de ellas, de fecha 23 de junio de 2021, aprobada por la AVAF con el título de </w:t>
      </w:r>
      <w:hyperlink r:id="rId262" w:history="1">
        <w:r w:rsidRPr="002F239E">
          <w:rPr>
            <w:rStyle w:val="Hipervnculo"/>
            <w:rFonts w:ascii="Arial" w:hAnsi="Arial"/>
            <w:sz w:val="21"/>
            <w:szCs w:val="21"/>
          </w:rPr>
          <w:t>Declaración Institucional Día Mundial de la Persona Alertadora</w:t>
        </w:r>
      </w:hyperlink>
      <w:r w:rsidRPr="002F239E">
        <w:rPr>
          <w:rFonts w:ascii="Arial" w:hAnsi="Arial"/>
          <w:sz w:val="21"/>
          <w:szCs w:val="21"/>
        </w:rPr>
        <w:t>, además de conmemorar este día mundial, pretendía compartir la experiencia de casi cinco años de actividad en la prevención y lucha contra la corrupción y la protección de las personas que denuncian, alertan e informan de actos contrarios a la ley, con el propósito de que dicha experiencia sea exportada a otros territorios, especialmente a nivel nacional.</w:t>
      </w:r>
    </w:p>
    <w:p w14:paraId="07D19975" w14:textId="1E3A8BF7" w:rsidR="00AD1EF3" w:rsidRDefault="002F239E" w:rsidP="002F239E">
      <w:pPr>
        <w:spacing w:after="240" w:line="276" w:lineRule="auto"/>
        <w:jc w:val="both"/>
        <w:rPr>
          <w:rFonts w:ascii="Arial" w:hAnsi="Arial"/>
          <w:sz w:val="21"/>
          <w:szCs w:val="21"/>
        </w:rPr>
      </w:pPr>
      <w:r w:rsidRPr="002F239E">
        <w:rPr>
          <w:rFonts w:ascii="Arial" w:hAnsi="Arial"/>
          <w:sz w:val="21"/>
          <w:szCs w:val="21"/>
        </w:rPr>
        <w:t xml:space="preserve">En segundo lugar, con fecha 17 de diciembre de 2021, la AVAF aprobó la </w:t>
      </w:r>
      <w:hyperlink r:id="rId263" w:history="1">
        <w:r w:rsidRPr="002F239E">
          <w:rPr>
            <w:rStyle w:val="Hipervnculo"/>
            <w:rFonts w:ascii="Arial" w:hAnsi="Arial"/>
            <w:sz w:val="21"/>
            <w:szCs w:val="21"/>
          </w:rPr>
          <w:t>Declaración Institucional sobre la expiración del plazo sin transposición de la Directiva (UE) 2019/1937 de protección a las personas denunciantes y alertadoras</w:t>
        </w:r>
      </w:hyperlink>
      <w:r w:rsidRPr="002F239E">
        <w:rPr>
          <w:rFonts w:ascii="Arial" w:hAnsi="Arial"/>
          <w:sz w:val="21"/>
          <w:szCs w:val="21"/>
        </w:rPr>
        <w:t>. Entre otros extremos, se reitera la necesidad de realizar una adecuada y completa transposición al ordenamiento jurídico español de la Directiva, se insta a la creación de una Autoridad Nacional de Prevención y Lucha contra la Corrupción, y se recuerda la doctrina consolidada del Tribunal de Justicia Europeo sobre el efecto directo de las Directivas en casos de que la transposición a la legislación nacional no se ha producido o se ha producido incorrectamente.</w:t>
      </w:r>
    </w:p>
    <w:p w14:paraId="4718384E" w14:textId="0734DD4F" w:rsidR="00EA4A2D" w:rsidRDefault="00EA4A2D" w:rsidP="002F239E">
      <w:pPr>
        <w:spacing w:after="240" w:line="276" w:lineRule="auto"/>
        <w:jc w:val="both"/>
        <w:rPr>
          <w:rFonts w:ascii="Arial" w:hAnsi="Arial"/>
          <w:sz w:val="21"/>
          <w:szCs w:val="21"/>
        </w:rPr>
      </w:pPr>
    </w:p>
    <w:p w14:paraId="389C7F23" w14:textId="77777777" w:rsidR="00EA4A2D" w:rsidRPr="00D94C1D" w:rsidRDefault="00EA4A2D" w:rsidP="005D7606">
      <w:pPr>
        <w:pStyle w:val="Prrafodelista"/>
        <w:keepNext/>
        <w:numPr>
          <w:ilvl w:val="2"/>
          <w:numId w:val="16"/>
        </w:numPr>
        <w:suppressAutoHyphens/>
        <w:spacing w:before="360" w:after="240" w:line="276" w:lineRule="auto"/>
        <w:ind w:left="992" w:hanging="992"/>
        <w:contextualSpacing w:val="0"/>
        <w:jc w:val="both"/>
        <w:outlineLvl w:val="2"/>
        <w:rPr>
          <w:rFonts w:ascii="Arial" w:eastAsia="Times New Roman" w:hAnsi="Arial" w:cs="Arial"/>
          <w:b/>
          <w:color w:val="9D2235"/>
          <w:sz w:val="28"/>
          <w:szCs w:val="28"/>
        </w:rPr>
      </w:pPr>
      <w:bookmarkStart w:id="79" w:name="_Toc99106995"/>
      <w:r w:rsidRPr="00D94C1D">
        <w:rPr>
          <w:rFonts w:ascii="Arial" w:eastAsia="Times New Roman" w:hAnsi="Arial" w:cs="Arial"/>
          <w:b/>
          <w:color w:val="9D2235"/>
          <w:sz w:val="28"/>
          <w:szCs w:val="28"/>
        </w:rPr>
        <w:t>A</w:t>
      </w:r>
      <w:r w:rsidRPr="00EA4A2D">
        <w:rPr>
          <w:rFonts w:ascii="Arial" w:eastAsia="Times New Roman" w:hAnsi="Arial" w:cs="Arial"/>
          <w:b/>
          <w:color w:val="9D2235"/>
          <w:sz w:val="28"/>
          <w:szCs w:val="28"/>
        </w:rPr>
        <w:t>legaciones y aportaciones a proyectos normativos</w:t>
      </w:r>
      <w:bookmarkEnd w:id="79"/>
    </w:p>
    <w:p w14:paraId="5A1BF3F8" w14:textId="361DC827" w:rsidR="00EA4A2D" w:rsidRPr="00D94C1D" w:rsidRDefault="00EA4A2D" w:rsidP="005D7606">
      <w:pPr>
        <w:pStyle w:val="Prrafodelista"/>
        <w:keepNext/>
        <w:numPr>
          <w:ilvl w:val="3"/>
          <w:numId w:val="16"/>
        </w:numPr>
        <w:suppressAutoHyphens/>
        <w:spacing w:before="360" w:after="240" w:line="276" w:lineRule="auto"/>
        <w:ind w:left="1134" w:hanging="1134"/>
        <w:contextualSpacing w:val="0"/>
        <w:jc w:val="both"/>
        <w:outlineLvl w:val="3"/>
        <w:rPr>
          <w:rFonts w:ascii="Arial" w:eastAsia="Calibri" w:hAnsi="Arial" w:cs="Arial"/>
          <w:b/>
          <w:bCs/>
          <w:color w:val="9D2235"/>
          <w:sz w:val="28"/>
          <w:szCs w:val="28"/>
        </w:rPr>
      </w:pPr>
      <w:r w:rsidRPr="00EA4A2D">
        <w:rPr>
          <w:rFonts w:ascii="Arial" w:eastAsia="Times New Roman" w:hAnsi="Arial" w:cs="Arial"/>
          <w:b/>
          <w:color w:val="9D2235"/>
          <w:sz w:val="24"/>
          <w:szCs w:val="24"/>
        </w:rPr>
        <w:t>Ámbito estatal</w:t>
      </w:r>
    </w:p>
    <w:p w14:paraId="19DB70D7" w14:textId="379E5949" w:rsidR="00EA4A2D" w:rsidRPr="00BB768F" w:rsidRDefault="00EA4A2D" w:rsidP="00C561B0">
      <w:pPr>
        <w:pStyle w:val="Prrafodelista"/>
        <w:keepNext/>
        <w:numPr>
          <w:ilvl w:val="4"/>
          <w:numId w:val="16"/>
        </w:numPr>
        <w:suppressAutoHyphens/>
        <w:spacing w:before="360" w:after="240" w:line="276" w:lineRule="auto"/>
        <w:ind w:left="1134" w:hanging="1134"/>
        <w:jc w:val="both"/>
        <w:outlineLvl w:val="4"/>
        <w:rPr>
          <w:rFonts w:ascii="Arial" w:eastAsia="Times New Roman" w:hAnsi="Arial" w:cs="Arial"/>
          <w:b/>
          <w:color w:val="9D2235"/>
          <w:sz w:val="23"/>
          <w:szCs w:val="23"/>
        </w:rPr>
      </w:pPr>
      <w:r w:rsidRPr="00BB768F">
        <w:rPr>
          <w:rFonts w:ascii="Arial" w:eastAsia="Times New Roman" w:hAnsi="Arial" w:cs="Arial"/>
          <w:b/>
          <w:color w:val="9D2235"/>
          <w:sz w:val="23"/>
          <w:szCs w:val="23"/>
        </w:rPr>
        <w:t>Consulta pública sobre la transposición de la Directiva (UE) 2019/1937 del Parlamento Europeo y del Consejo, de 23 de octubre de 2019</w:t>
      </w:r>
    </w:p>
    <w:p w14:paraId="121AD26E" w14:textId="0822C8D5" w:rsidR="00EA4A2D" w:rsidRDefault="00EA4A2D" w:rsidP="00BB768F">
      <w:pPr>
        <w:spacing w:after="240" w:line="276" w:lineRule="auto"/>
        <w:jc w:val="both"/>
        <w:rPr>
          <w:rFonts w:ascii="Arial" w:hAnsi="Arial"/>
          <w:sz w:val="21"/>
          <w:szCs w:val="21"/>
        </w:rPr>
      </w:pPr>
      <w:r w:rsidRPr="00D94C1D">
        <w:rPr>
          <w:rFonts w:ascii="Arial" w:eastAsia="SimSun" w:hAnsi="Arial" w:cs="Arial"/>
          <w:kern w:val="2"/>
          <w:sz w:val="21"/>
          <w:szCs w:val="21"/>
          <w:lang w:eastAsia="zh-CN" w:bidi="hi-IN"/>
        </w:rPr>
        <w:t xml:space="preserve">Con la creación de la Agencia a través de la Ley 11/2016, de 28 de noviembre, de la Generalitat, el legislador valenciano se anticipó notablemente a la </w:t>
      </w:r>
      <w:hyperlink r:id="rId264" w:history="1">
        <w:r w:rsidRPr="002378CD">
          <w:rPr>
            <w:rFonts w:ascii="Arial" w:eastAsia="SimSun" w:hAnsi="Arial" w:cs="Arial"/>
            <w:color w:val="000080"/>
            <w:kern w:val="2"/>
            <w:sz w:val="21"/>
            <w:szCs w:val="21"/>
            <w:u w:val="single"/>
            <w:lang w:eastAsia="zh-CN" w:bidi="hi-IN"/>
          </w:rPr>
          <w:t>Directiva (UE) 2019/1937</w:t>
        </w:r>
      </w:hyperlink>
      <w:r w:rsidRPr="002378CD">
        <w:rPr>
          <w:rFonts w:ascii="Arial" w:eastAsia="SimSun" w:hAnsi="Arial" w:cs="Arial"/>
          <w:color w:val="000080"/>
          <w:kern w:val="2"/>
          <w:sz w:val="21"/>
          <w:szCs w:val="21"/>
          <w:u w:val="single"/>
          <w:lang w:eastAsia="zh-CN" w:bidi="hi-IN"/>
        </w:rPr>
        <w:t>, del Parlamento Europeo y del Consejo, de 23 de octubre de 2019</w:t>
      </w:r>
      <w:r w:rsidRPr="002378CD">
        <w:rPr>
          <w:rFonts w:ascii="Arial" w:eastAsia="SimSun" w:hAnsi="Arial" w:cs="Arial"/>
          <w:color w:val="000080"/>
          <w:kern w:val="2"/>
          <w:sz w:val="21"/>
          <w:szCs w:val="21"/>
          <w:lang w:eastAsia="zh-CN" w:bidi="hi-IN"/>
        </w:rPr>
        <w:t>.</w:t>
      </w:r>
    </w:p>
    <w:p w14:paraId="06603552" w14:textId="77777777" w:rsidR="00BB768F" w:rsidRPr="00BB768F" w:rsidRDefault="00BB768F" w:rsidP="00BB768F">
      <w:pPr>
        <w:spacing w:after="240" w:line="276" w:lineRule="auto"/>
        <w:jc w:val="both"/>
        <w:rPr>
          <w:rFonts w:ascii="Arial" w:hAnsi="Arial"/>
          <w:sz w:val="21"/>
          <w:szCs w:val="21"/>
        </w:rPr>
      </w:pPr>
      <w:r w:rsidRPr="00BB768F">
        <w:rPr>
          <w:rFonts w:ascii="Arial" w:hAnsi="Arial"/>
          <w:sz w:val="21"/>
          <w:szCs w:val="21"/>
        </w:rPr>
        <w:t xml:space="preserve">Así las cosas, la AVAF se acerca ya a los cinco años de experiencia en la prevención y la lucha contra el fraude y la corrupción y, además, es la única autoridad en estos momentos en España que ofrece protección a las personas que denuncian fraude, corrupción o irregularidades que pueden dar lugar a responsabilidades legales. </w:t>
      </w:r>
    </w:p>
    <w:p w14:paraId="3E35336D" w14:textId="77777777" w:rsidR="00BB768F" w:rsidRPr="00BB768F" w:rsidRDefault="00BB768F" w:rsidP="00BB768F">
      <w:pPr>
        <w:spacing w:after="240" w:line="276" w:lineRule="auto"/>
        <w:jc w:val="both"/>
        <w:rPr>
          <w:rFonts w:ascii="Arial" w:hAnsi="Arial"/>
          <w:sz w:val="21"/>
          <w:szCs w:val="21"/>
        </w:rPr>
      </w:pPr>
      <w:r w:rsidRPr="00BB768F">
        <w:rPr>
          <w:rFonts w:ascii="Arial" w:hAnsi="Arial"/>
          <w:sz w:val="21"/>
          <w:szCs w:val="21"/>
        </w:rPr>
        <w:t xml:space="preserve">Es por ello que se consideró conveniente realizar aportaciones en el trámite aperturado por el Ministerio de Justicia en el mes de enero de 2021 de “Consulta pública sobre la transposición de la Directiva (UE) 2019/1937 del Parlamento Europeo y del Consejo, de 23 de octubre de 2019, relativa a la protección de las personas que informan sobre infracciones del Derecho de la Unión”. </w:t>
      </w:r>
    </w:p>
    <w:p w14:paraId="1A02A68E" w14:textId="77777777" w:rsidR="00BB768F" w:rsidRPr="00BB768F" w:rsidRDefault="00BB768F" w:rsidP="00BB768F">
      <w:pPr>
        <w:spacing w:after="240" w:line="276" w:lineRule="auto"/>
        <w:jc w:val="both"/>
        <w:rPr>
          <w:rFonts w:ascii="Arial" w:hAnsi="Arial"/>
          <w:sz w:val="21"/>
          <w:szCs w:val="21"/>
        </w:rPr>
      </w:pPr>
      <w:r w:rsidRPr="00BB768F">
        <w:rPr>
          <w:rFonts w:ascii="Arial" w:hAnsi="Arial"/>
          <w:sz w:val="21"/>
          <w:szCs w:val="21"/>
        </w:rPr>
        <w:t xml:space="preserve">Al efecto, la AVAF remitió, con fecha 27 de enero de 2021, </w:t>
      </w:r>
      <w:hyperlink r:id="rId265" w:history="1">
        <w:r w:rsidRPr="00BB768F">
          <w:rPr>
            <w:rStyle w:val="Hipervnculo"/>
            <w:rFonts w:ascii="Arial" w:hAnsi="Arial"/>
            <w:sz w:val="21"/>
            <w:szCs w:val="21"/>
          </w:rPr>
          <w:t>escrito de alegaciones a la citada consulta pública,</w:t>
        </w:r>
      </w:hyperlink>
      <w:r w:rsidRPr="00BB768F">
        <w:rPr>
          <w:rFonts w:ascii="Arial" w:hAnsi="Arial"/>
          <w:sz w:val="21"/>
          <w:szCs w:val="21"/>
        </w:rPr>
        <w:t xml:space="preserve"> que se encuentra disponible en nuestra página web, con el que se pretendió trasladar la experiencia acumulada y realizar aportaciones que se estimaron pudieran ser de interés para la elaboración del correspondiente Anteproyecto de Ley.</w:t>
      </w:r>
    </w:p>
    <w:p w14:paraId="72BC53C6" w14:textId="77777777" w:rsidR="00BB768F" w:rsidRPr="00BB768F" w:rsidRDefault="00BB768F" w:rsidP="00BB768F">
      <w:pPr>
        <w:spacing w:after="240" w:line="276" w:lineRule="auto"/>
        <w:jc w:val="both"/>
        <w:rPr>
          <w:rFonts w:ascii="Arial" w:hAnsi="Arial"/>
          <w:sz w:val="21"/>
          <w:szCs w:val="21"/>
        </w:rPr>
      </w:pPr>
      <w:r w:rsidRPr="00BB768F">
        <w:rPr>
          <w:rFonts w:ascii="Arial" w:hAnsi="Arial"/>
          <w:sz w:val="21"/>
          <w:szCs w:val="21"/>
        </w:rPr>
        <w:t xml:space="preserve">Entre las </w:t>
      </w:r>
      <w:r w:rsidRPr="00BB768F">
        <w:rPr>
          <w:rFonts w:ascii="Arial" w:hAnsi="Arial"/>
          <w:b/>
          <w:bCs/>
          <w:sz w:val="21"/>
          <w:szCs w:val="21"/>
        </w:rPr>
        <w:t xml:space="preserve">líneas básicas para efectuar una adecuada transposición de la Directiva </w:t>
      </w:r>
      <w:r w:rsidRPr="00BB768F">
        <w:rPr>
          <w:rFonts w:ascii="Arial" w:hAnsi="Arial"/>
          <w:sz w:val="21"/>
          <w:szCs w:val="21"/>
        </w:rPr>
        <w:t>(UE) 2019/1937 en España, desde la AVAF se propusieron, literalmente, las siguientes:</w:t>
      </w:r>
    </w:p>
    <w:p w14:paraId="3DE6C9FE" w14:textId="77777777" w:rsidR="00BB768F" w:rsidRPr="00BB768F" w:rsidRDefault="00BB768F" w:rsidP="00F84B8B">
      <w:pPr>
        <w:numPr>
          <w:ilvl w:val="0"/>
          <w:numId w:val="169"/>
        </w:numPr>
        <w:spacing w:after="120" w:line="276" w:lineRule="auto"/>
        <w:ind w:left="714" w:hanging="357"/>
        <w:jc w:val="both"/>
        <w:rPr>
          <w:rFonts w:ascii="Arial" w:hAnsi="Arial"/>
          <w:sz w:val="21"/>
          <w:szCs w:val="21"/>
        </w:rPr>
      </w:pPr>
      <w:r w:rsidRPr="00BB768F">
        <w:rPr>
          <w:rFonts w:ascii="Arial" w:hAnsi="Arial"/>
          <w:sz w:val="21"/>
          <w:szCs w:val="21"/>
        </w:rPr>
        <w:t xml:space="preserve">La </w:t>
      </w:r>
      <w:r w:rsidRPr="00BB768F">
        <w:rPr>
          <w:rFonts w:ascii="Arial" w:hAnsi="Arial"/>
          <w:b/>
          <w:bCs/>
          <w:sz w:val="21"/>
          <w:szCs w:val="21"/>
        </w:rPr>
        <w:t>nueva regulación ha de ser integral</w:t>
      </w:r>
      <w:r w:rsidRPr="00BB768F">
        <w:rPr>
          <w:rFonts w:ascii="Arial" w:hAnsi="Arial"/>
          <w:sz w:val="21"/>
          <w:szCs w:val="21"/>
        </w:rPr>
        <w:t>, pues la Directiva presenta como objetivo combatir las actividades ilegales y los abusos que se producen tanto en el sector público como en el sector privado, y luchar contra el fraude, la corrupción y las infracciones en todas las materias a que se refiere el artículo 2 de aquella, así como cualquier otra que pueda perjudicar a los intereses generales.</w:t>
      </w:r>
    </w:p>
    <w:p w14:paraId="59DFE0E0"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sz w:val="21"/>
          <w:szCs w:val="21"/>
        </w:rPr>
        <w:t xml:space="preserve">Al igual que ya ha hecho Italia o Francia, debe crearse una </w:t>
      </w:r>
      <w:r w:rsidRPr="00BB768F">
        <w:rPr>
          <w:rFonts w:ascii="Arial" w:hAnsi="Arial"/>
          <w:b/>
          <w:bCs/>
          <w:sz w:val="21"/>
          <w:szCs w:val="21"/>
        </w:rPr>
        <w:t>Autoridad Nacional de Lucha contra la Corrupción</w:t>
      </w:r>
      <w:r w:rsidRPr="00BB768F">
        <w:rPr>
          <w:rFonts w:ascii="Arial" w:hAnsi="Arial"/>
          <w:sz w:val="21"/>
          <w:szCs w:val="21"/>
        </w:rPr>
        <w:t xml:space="preserve">, con personalidad jurídica propia y plena capacidad de obrar para el cumplimiento de sus fines, </w:t>
      </w:r>
      <w:r w:rsidRPr="00BB768F">
        <w:rPr>
          <w:rFonts w:ascii="Arial" w:hAnsi="Arial"/>
          <w:b/>
          <w:bCs/>
          <w:sz w:val="21"/>
          <w:szCs w:val="21"/>
        </w:rPr>
        <w:t>independiente de las administraciones públicas y de su sector público, y adscrita al Congreso de los Diputados</w:t>
      </w:r>
      <w:r w:rsidRPr="00BB768F">
        <w:rPr>
          <w:rFonts w:ascii="Arial" w:hAnsi="Arial"/>
          <w:sz w:val="21"/>
          <w:szCs w:val="21"/>
        </w:rPr>
        <w:t>, debiendo rendir cuentas tanto al órgano de poder legislativo como a la ciudadanía.</w:t>
      </w:r>
    </w:p>
    <w:p w14:paraId="7CC2D5C7"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sz w:val="21"/>
          <w:szCs w:val="21"/>
        </w:rPr>
        <w:t xml:space="preserve">Esta autoridad independiente debe tener </w:t>
      </w:r>
      <w:r w:rsidRPr="00BB768F">
        <w:rPr>
          <w:rFonts w:ascii="Arial" w:hAnsi="Arial"/>
          <w:b/>
          <w:bCs/>
          <w:sz w:val="21"/>
          <w:szCs w:val="21"/>
        </w:rPr>
        <w:t>conocimiento, experiencia y solvencia</w:t>
      </w:r>
      <w:r w:rsidRPr="00BB768F">
        <w:rPr>
          <w:rFonts w:ascii="Arial" w:hAnsi="Arial"/>
          <w:sz w:val="21"/>
          <w:szCs w:val="21"/>
        </w:rPr>
        <w:t xml:space="preserve">, y ser </w:t>
      </w:r>
      <w:r w:rsidRPr="00BB768F">
        <w:rPr>
          <w:rFonts w:ascii="Arial" w:hAnsi="Arial"/>
          <w:b/>
          <w:bCs/>
          <w:sz w:val="21"/>
          <w:szCs w:val="21"/>
        </w:rPr>
        <w:t>neutral</w:t>
      </w:r>
      <w:r w:rsidRPr="00BB768F">
        <w:rPr>
          <w:rFonts w:ascii="Arial" w:hAnsi="Arial"/>
          <w:sz w:val="21"/>
          <w:szCs w:val="21"/>
        </w:rPr>
        <w:t xml:space="preserve"> desde el punto de vista político.</w:t>
      </w:r>
    </w:p>
    <w:p w14:paraId="59901C6B"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sz w:val="21"/>
          <w:szCs w:val="21"/>
        </w:rPr>
        <w:t xml:space="preserve">Es necesario </w:t>
      </w:r>
      <w:r w:rsidRPr="00BB768F">
        <w:rPr>
          <w:rFonts w:ascii="Arial" w:hAnsi="Arial"/>
          <w:b/>
          <w:bCs/>
          <w:sz w:val="21"/>
          <w:szCs w:val="21"/>
        </w:rPr>
        <w:t>delimitar el ámbito de actuación</w:t>
      </w:r>
      <w:r w:rsidRPr="00BB768F">
        <w:rPr>
          <w:rFonts w:ascii="Arial" w:hAnsi="Arial"/>
          <w:sz w:val="21"/>
          <w:szCs w:val="21"/>
        </w:rPr>
        <w:t xml:space="preserve"> de dicha Autoridad: el ámbito material, precisando conceptos como fraude, corrupción u otro tipo de irregularidades de los que debe conocer; el ámbito subjetivo, o relación de aquellos sujetos sobre los que la Autoridad debe desplegar sus funciones; y el ámbito territorial, con respeto a la organización territorial del Estado y a las competencias de las Comunidades Autónomas. </w:t>
      </w:r>
    </w:p>
    <w:p w14:paraId="089F08B8"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sz w:val="21"/>
          <w:szCs w:val="21"/>
        </w:rPr>
        <w:t xml:space="preserve">Han de </w:t>
      </w:r>
      <w:r w:rsidRPr="00BB768F">
        <w:rPr>
          <w:rFonts w:ascii="Arial" w:hAnsi="Arial"/>
          <w:b/>
          <w:bCs/>
          <w:sz w:val="21"/>
          <w:szCs w:val="21"/>
        </w:rPr>
        <w:t>especificarse sus funciones</w:t>
      </w:r>
      <w:r w:rsidRPr="00BB768F">
        <w:rPr>
          <w:rFonts w:ascii="Arial" w:hAnsi="Arial"/>
          <w:sz w:val="21"/>
          <w:szCs w:val="21"/>
        </w:rPr>
        <w:t>: protección a las personas que denuncian, informan o alertan, potestad sancionadora, investigación de denuncias y actuaciones de oficio, prevención, formación y sensibilización, realización de informes y recomendaciones, elaboración de planes nacionales y de una memoria anual, entre otras.</w:t>
      </w:r>
    </w:p>
    <w:p w14:paraId="581E3822"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sz w:val="21"/>
          <w:szCs w:val="21"/>
        </w:rPr>
        <w:t xml:space="preserve">En virtud de dichas funciones, deberá valorarse la </w:t>
      </w:r>
      <w:r w:rsidRPr="00BB768F">
        <w:rPr>
          <w:rFonts w:ascii="Arial" w:hAnsi="Arial"/>
          <w:b/>
          <w:bCs/>
          <w:sz w:val="21"/>
          <w:szCs w:val="21"/>
        </w:rPr>
        <w:t xml:space="preserve">integración </w:t>
      </w:r>
      <w:r w:rsidRPr="00BB768F">
        <w:rPr>
          <w:rFonts w:ascii="Arial" w:hAnsi="Arial"/>
          <w:sz w:val="21"/>
          <w:szCs w:val="21"/>
        </w:rPr>
        <w:t xml:space="preserve">en la Autoridad Nacional de Lucha contra la Corrupción de </w:t>
      </w:r>
      <w:r w:rsidRPr="00BB768F">
        <w:rPr>
          <w:rFonts w:ascii="Arial" w:hAnsi="Arial"/>
          <w:b/>
          <w:bCs/>
          <w:sz w:val="21"/>
          <w:szCs w:val="21"/>
        </w:rPr>
        <w:t>algunas estructuras estatales ya existentes</w:t>
      </w:r>
      <w:r w:rsidRPr="00BB768F">
        <w:rPr>
          <w:rFonts w:ascii="Arial" w:hAnsi="Arial"/>
          <w:sz w:val="21"/>
          <w:szCs w:val="21"/>
        </w:rPr>
        <w:t xml:space="preserve"> cuyas funciones pueden resituarse bajo el mismo paraguas: la regulación, supervisión y evaluación de la contratación pública, la coordinación de las acciones encaminadas a proteger los intereses financieros de la Unión Europea o el control de los conflictos de intereses de altos cargos.</w:t>
      </w:r>
    </w:p>
    <w:p w14:paraId="1A5C6086"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sz w:val="21"/>
          <w:szCs w:val="21"/>
        </w:rPr>
        <w:t xml:space="preserve">Se implantarán </w:t>
      </w:r>
      <w:r w:rsidRPr="00BB768F">
        <w:rPr>
          <w:rFonts w:ascii="Arial" w:hAnsi="Arial"/>
          <w:b/>
          <w:bCs/>
          <w:sz w:val="21"/>
          <w:szCs w:val="21"/>
        </w:rPr>
        <w:t>canales obligatorios de denuncias</w:t>
      </w:r>
      <w:r w:rsidRPr="00BB768F">
        <w:rPr>
          <w:rFonts w:ascii="Arial" w:hAnsi="Arial"/>
          <w:sz w:val="21"/>
          <w:szCs w:val="21"/>
        </w:rPr>
        <w:t>, internos y externos, en el sector público y en el privado, con exigencia para su establecimiento por debajo de los mínimos planteados en la Directiva, dada la configuración de nuestros ayuntamientos y municipios, y pequeñas y medianas empresas.</w:t>
      </w:r>
    </w:p>
    <w:p w14:paraId="64EFA4EE"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sz w:val="21"/>
          <w:szCs w:val="21"/>
        </w:rPr>
        <w:t xml:space="preserve">Será imprescindible determinar y asegurar la </w:t>
      </w:r>
      <w:r w:rsidRPr="00BB768F">
        <w:rPr>
          <w:rFonts w:ascii="Arial" w:hAnsi="Arial"/>
          <w:b/>
          <w:bCs/>
          <w:sz w:val="21"/>
          <w:szCs w:val="21"/>
        </w:rPr>
        <w:t>confidencialidad</w:t>
      </w:r>
      <w:r w:rsidRPr="00BB768F">
        <w:rPr>
          <w:rFonts w:ascii="Arial" w:hAnsi="Arial"/>
          <w:sz w:val="21"/>
          <w:szCs w:val="21"/>
        </w:rPr>
        <w:t xml:space="preserve"> de todos los datos, documentos e informaciones que se manejen.</w:t>
      </w:r>
    </w:p>
    <w:p w14:paraId="58973DC3"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sz w:val="21"/>
          <w:szCs w:val="21"/>
        </w:rPr>
        <w:t>Debe permitirse la</w:t>
      </w:r>
      <w:r w:rsidRPr="00BB768F">
        <w:rPr>
          <w:rFonts w:ascii="Arial" w:hAnsi="Arial"/>
          <w:b/>
          <w:bCs/>
          <w:sz w:val="21"/>
          <w:szCs w:val="21"/>
        </w:rPr>
        <w:t xml:space="preserve"> denuncia anónima</w:t>
      </w:r>
      <w:r w:rsidRPr="00BB768F">
        <w:rPr>
          <w:rFonts w:ascii="Arial" w:hAnsi="Arial"/>
          <w:sz w:val="21"/>
          <w:szCs w:val="21"/>
        </w:rPr>
        <w:t xml:space="preserve"> como fuente de información, lo cual es admitido de forma clara y contundente en nuestra jurisprudencia. El anonimato es la mejor forma de proteger a un denunciante.</w:t>
      </w:r>
    </w:p>
    <w:p w14:paraId="3D2952FB"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b/>
          <w:bCs/>
          <w:sz w:val="21"/>
          <w:szCs w:val="21"/>
        </w:rPr>
        <w:t>En ningún caso</w:t>
      </w:r>
      <w:r w:rsidRPr="00BB768F">
        <w:rPr>
          <w:rFonts w:ascii="Arial" w:hAnsi="Arial"/>
          <w:sz w:val="21"/>
          <w:szCs w:val="21"/>
        </w:rPr>
        <w:t xml:space="preserve">, la denuncia de estos hechos o conductas supondrá una </w:t>
      </w:r>
      <w:r w:rsidRPr="00BB768F">
        <w:rPr>
          <w:rFonts w:ascii="Arial" w:hAnsi="Arial"/>
          <w:b/>
          <w:bCs/>
          <w:sz w:val="21"/>
          <w:szCs w:val="21"/>
        </w:rPr>
        <w:t xml:space="preserve">infracción del deber de sigilo </w:t>
      </w:r>
      <w:r w:rsidRPr="00BB768F">
        <w:rPr>
          <w:rFonts w:ascii="Arial" w:hAnsi="Arial"/>
          <w:sz w:val="21"/>
          <w:szCs w:val="21"/>
        </w:rPr>
        <w:t xml:space="preserve">impuesto al personal empleado respecto de los asuntos que conozca por razón de sus funciones, </w:t>
      </w:r>
      <w:r w:rsidRPr="00BB768F">
        <w:rPr>
          <w:rFonts w:ascii="Arial" w:hAnsi="Arial"/>
          <w:b/>
          <w:bCs/>
          <w:sz w:val="21"/>
          <w:szCs w:val="21"/>
        </w:rPr>
        <w:t>ni tampoco responsabilidad</w:t>
      </w:r>
      <w:r w:rsidRPr="00BB768F">
        <w:rPr>
          <w:rFonts w:ascii="Arial" w:hAnsi="Arial"/>
          <w:sz w:val="21"/>
          <w:szCs w:val="21"/>
        </w:rPr>
        <w:t xml:space="preserve"> de ningún tipo en relación con dicha revelación.</w:t>
      </w:r>
    </w:p>
    <w:p w14:paraId="75614BA9"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sz w:val="21"/>
          <w:szCs w:val="21"/>
        </w:rPr>
        <w:t xml:space="preserve">Se </w:t>
      </w:r>
      <w:r w:rsidRPr="00BB768F">
        <w:rPr>
          <w:rFonts w:ascii="Arial" w:hAnsi="Arial"/>
          <w:b/>
          <w:bCs/>
          <w:sz w:val="21"/>
          <w:szCs w:val="21"/>
        </w:rPr>
        <w:t>prohibirán las represalias</w:t>
      </w:r>
      <w:r w:rsidRPr="00BB768F">
        <w:rPr>
          <w:rFonts w:ascii="Arial" w:hAnsi="Arial"/>
          <w:sz w:val="21"/>
          <w:szCs w:val="21"/>
        </w:rPr>
        <w:t xml:space="preserve"> como consecuencia de haber presentado una denuncia, y </w:t>
      </w:r>
      <w:r w:rsidRPr="00BB768F">
        <w:rPr>
          <w:rFonts w:ascii="Arial" w:hAnsi="Arial"/>
          <w:b/>
          <w:bCs/>
          <w:sz w:val="21"/>
          <w:szCs w:val="21"/>
        </w:rPr>
        <w:t>se asegurará la reparación integral del daño</w:t>
      </w:r>
      <w:r w:rsidRPr="00BB768F">
        <w:rPr>
          <w:rFonts w:ascii="Arial" w:hAnsi="Arial"/>
          <w:sz w:val="21"/>
          <w:szCs w:val="21"/>
        </w:rPr>
        <w:t xml:space="preserve"> y el reconocimiento a la ejemplaridad de quienes denuncian en aras al bien común.</w:t>
      </w:r>
    </w:p>
    <w:p w14:paraId="30A0827D"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sz w:val="21"/>
          <w:szCs w:val="21"/>
        </w:rPr>
        <w:t xml:space="preserve">Debe corresponder al presunto represaliador probar que el perjuicio causado al denunciante no fue consecuencia de la denuncia interpuesta; esto es, deberá establecerse en estos casos la </w:t>
      </w:r>
      <w:r w:rsidRPr="00BB768F">
        <w:rPr>
          <w:rFonts w:ascii="Arial" w:hAnsi="Arial"/>
          <w:b/>
          <w:bCs/>
          <w:sz w:val="21"/>
          <w:szCs w:val="21"/>
        </w:rPr>
        <w:t>inversión de la carga de la prueba</w:t>
      </w:r>
      <w:r w:rsidRPr="00BB768F">
        <w:rPr>
          <w:rFonts w:ascii="Arial" w:hAnsi="Arial"/>
          <w:sz w:val="21"/>
          <w:szCs w:val="21"/>
        </w:rPr>
        <w:t>.</w:t>
      </w:r>
    </w:p>
    <w:p w14:paraId="18BAC510"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sz w:val="21"/>
          <w:szCs w:val="21"/>
        </w:rPr>
        <w:t xml:space="preserve">En relación con las </w:t>
      </w:r>
      <w:r w:rsidRPr="00BB768F">
        <w:rPr>
          <w:rFonts w:ascii="Arial" w:hAnsi="Arial"/>
          <w:b/>
          <w:bCs/>
          <w:sz w:val="21"/>
          <w:szCs w:val="21"/>
        </w:rPr>
        <w:t>personas denunciantes</w:t>
      </w:r>
      <w:r w:rsidRPr="00BB768F">
        <w:rPr>
          <w:rFonts w:ascii="Arial" w:hAnsi="Arial"/>
          <w:sz w:val="21"/>
          <w:szCs w:val="21"/>
        </w:rPr>
        <w:t xml:space="preserve">, deberán especificarse sus </w:t>
      </w:r>
      <w:r w:rsidRPr="00BB768F">
        <w:rPr>
          <w:rFonts w:ascii="Arial" w:hAnsi="Arial"/>
          <w:b/>
          <w:bCs/>
          <w:sz w:val="21"/>
          <w:szCs w:val="21"/>
        </w:rPr>
        <w:t>derechos y deberes</w:t>
      </w:r>
      <w:r w:rsidRPr="00BB768F">
        <w:rPr>
          <w:rFonts w:ascii="Arial" w:hAnsi="Arial"/>
          <w:sz w:val="21"/>
          <w:szCs w:val="21"/>
        </w:rPr>
        <w:t xml:space="preserve"> (estatuto de protección), y el concepto de denunciante de buena fe.</w:t>
      </w:r>
    </w:p>
    <w:p w14:paraId="5026AD82"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sz w:val="21"/>
          <w:szCs w:val="21"/>
        </w:rPr>
        <w:t xml:space="preserve">Será necesario articular la </w:t>
      </w:r>
      <w:r w:rsidRPr="00BB768F">
        <w:rPr>
          <w:rFonts w:ascii="Arial" w:hAnsi="Arial"/>
          <w:b/>
          <w:bCs/>
          <w:sz w:val="21"/>
          <w:szCs w:val="21"/>
        </w:rPr>
        <w:t>coordinación entre los controles e investigaciones administrativos y penales,</w:t>
      </w:r>
      <w:r w:rsidRPr="00BB768F">
        <w:rPr>
          <w:rFonts w:ascii="Arial" w:hAnsi="Arial"/>
          <w:sz w:val="21"/>
          <w:szCs w:val="21"/>
        </w:rPr>
        <w:t xml:space="preserve"> e integrar en el sistema de control la información procedente de medios de comunicación y de los denunciantes.</w:t>
      </w:r>
    </w:p>
    <w:p w14:paraId="76DB44FE"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sz w:val="21"/>
          <w:szCs w:val="21"/>
        </w:rPr>
        <w:t xml:space="preserve">La corrupción es perseguible no solo desde el </w:t>
      </w:r>
      <w:r w:rsidRPr="00BB768F">
        <w:rPr>
          <w:rFonts w:ascii="Arial" w:hAnsi="Arial"/>
          <w:b/>
          <w:bCs/>
          <w:sz w:val="21"/>
          <w:szCs w:val="21"/>
        </w:rPr>
        <w:t>ámbito penal</w:t>
      </w:r>
      <w:r w:rsidRPr="00BB768F">
        <w:rPr>
          <w:rFonts w:ascii="Arial" w:hAnsi="Arial"/>
          <w:sz w:val="21"/>
          <w:szCs w:val="21"/>
        </w:rPr>
        <w:t>, sino también desde el</w:t>
      </w:r>
      <w:r w:rsidRPr="00BB768F">
        <w:rPr>
          <w:rFonts w:ascii="Arial" w:hAnsi="Arial"/>
          <w:b/>
          <w:bCs/>
          <w:sz w:val="21"/>
          <w:szCs w:val="21"/>
        </w:rPr>
        <w:t xml:space="preserve"> ámbito administrativo</w:t>
      </w:r>
      <w:r w:rsidRPr="00BB768F">
        <w:rPr>
          <w:rFonts w:ascii="Arial" w:hAnsi="Arial"/>
          <w:sz w:val="21"/>
          <w:szCs w:val="21"/>
        </w:rPr>
        <w:t xml:space="preserve"> (sancionador y disciplinario), y a tal efecto, deben ponerse en valor principios como la objetividad, la imparcialidad, la integridad y ética pública, la honestidad y la rendición de cuentas.</w:t>
      </w:r>
    </w:p>
    <w:p w14:paraId="54F2AC46" w14:textId="77777777" w:rsidR="00BB768F" w:rsidRPr="00BB768F" w:rsidRDefault="00BB768F" w:rsidP="00F84B8B">
      <w:pPr>
        <w:numPr>
          <w:ilvl w:val="0"/>
          <w:numId w:val="169"/>
        </w:numPr>
        <w:spacing w:after="120" w:line="276" w:lineRule="auto"/>
        <w:jc w:val="both"/>
        <w:rPr>
          <w:rFonts w:ascii="Arial" w:hAnsi="Arial"/>
          <w:sz w:val="21"/>
          <w:szCs w:val="21"/>
        </w:rPr>
      </w:pPr>
      <w:r w:rsidRPr="00BB768F">
        <w:rPr>
          <w:rFonts w:ascii="Arial" w:hAnsi="Arial"/>
          <w:sz w:val="21"/>
          <w:szCs w:val="21"/>
        </w:rPr>
        <w:t xml:space="preserve">Se implementará un enfoque basado en el </w:t>
      </w:r>
      <w:r w:rsidRPr="00BB768F">
        <w:rPr>
          <w:rFonts w:ascii="Arial" w:hAnsi="Arial"/>
          <w:b/>
          <w:bCs/>
          <w:sz w:val="21"/>
          <w:szCs w:val="21"/>
        </w:rPr>
        <w:t>análisis de riesgos para detectar las irregularidades y el fraude,</w:t>
      </w:r>
      <w:r w:rsidRPr="00BB768F">
        <w:rPr>
          <w:rFonts w:ascii="Arial" w:hAnsi="Arial"/>
          <w:sz w:val="21"/>
          <w:szCs w:val="21"/>
        </w:rPr>
        <w:t xml:space="preserve"> incluido el uso de herramientas informáticas.</w:t>
      </w:r>
    </w:p>
    <w:p w14:paraId="7CC7D7C3" w14:textId="1FF2B937" w:rsidR="00BB768F" w:rsidRDefault="00BB768F" w:rsidP="00F84B8B">
      <w:pPr>
        <w:numPr>
          <w:ilvl w:val="0"/>
          <w:numId w:val="169"/>
        </w:numPr>
        <w:spacing w:after="120" w:line="276" w:lineRule="auto"/>
        <w:ind w:left="714" w:hanging="357"/>
        <w:jc w:val="both"/>
        <w:rPr>
          <w:rFonts w:ascii="Arial" w:hAnsi="Arial"/>
          <w:sz w:val="21"/>
          <w:szCs w:val="21"/>
        </w:rPr>
      </w:pPr>
      <w:r w:rsidRPr="00BB768F">
        <w:rPr>
          <w:rFonts w:ascii="Arial" w:hAnsi="Arial"/>
          <w:sz w:val="21"/>
          <w:szCs w:val="21"/>
        </w:rPr>
        <w:t xml:space="preserve">La nueva autoridad estatal de lucha contra la corrupción y protección del denunciante debe </w:t>
      </w:r>
      <w:r w:rsidRPr="00BB768F">
        <w:rPr>
          <w:rFonts w:ascii="Arial" w:hAnsi="Arial"/>
          <w:b/>
          <w:bCs/>
          <w:sz w:val="21"/>
          <w:szCs w:val="21"/>
        </w:rPr>
        <w:t>coordinarse con las Comunidades Autónomas y las oficinas y agencias ya existentes</w:t>
      </w:r>
      <w:r w:rsidRPr="00BB768F">
        <w:rPr>
          <w:rFonts w:ascii="Arial" w:hAnsi="Arial"/>
          <w:sz w:val="21"/>
          <w:szCs w:val="21"/>
        </w:rPr>
        <w:t>. Deberán armonizarse las legislaciones y contemplar determinadas normas básicas y exigencias mínimas. Además, la autoridad nacional asumirá funciones en aquellos territorios en los que no existan dichas entidades.</w:t>
      </w:r>
    </w:p>
    <w:p w14:paraId="3DB82FBF" w14:textId="65A90459" w:rsidR="0073473E" w:rsidRPr="00BB768F" w:rsidRDefault="0073473E" w:rsidP="00F84B8B">
      <w:pPr>
        <w:numPr>
          <w:ilvl w:val="0"/>
          <w:numId w:val="169"/>
        </w:numPr>
        <w:spacing w:after="240" w:line="276" w:lineRule="auto"/>
        <w:jc w:val="both"/>
        <w:rPr>
          <w:rFonts w:ascii="Arial" w:hAnsi="Arial"/>
          <w:sz w:val="21"/>
          <w:szCs w:val="21"/>
        </w:rPr>
      </w:pPr>
      <w:r w:rsidRPr="0073473E">
        <w:rPr>
          <w:rFonts w:ascii="Arial" w:hAnsi="Arial"/>
          <w:sz w:val="21"/>
          <w:szCs w:val="21"/>
        </w:rPr>
        <w:t xml:space="preserve">En el procedimiento de transposición de la Directiva deberá revisarse la </w:t>
      </w:r>
      <w:r w:rsidRPr="00FB5C54">
        <w:rPr>
          <w:rFonts w:ascii="Arial" w:hAnsi="Arial"/>
          <w:b/>
          <w:bCs/>
          <w:sz w:val="21"/>
          <w:szCs w:val="21"/>
        </w:rPr>
        <w:t>incorporación a nuestro ordenamiento jurídico de la Convención de Naciones Unidas</w:t>
      </w:r>
      <w:r w:rsidRPr="0073473E">
        <w:rPr>
          <w:rFonts w:ascii="Arial" w:hAnsi="Arial"/>
          <w:sz w:val="21"/>
          <w:szCs w:val="21"/>
        </w:rPr>
        <w:t xml:space="preserve"> contra la corrupción, de modo que la reforma debe abarcar también la </w:t>
      </w:r>
      <w:r w:rsidRPr="00FB5C54">
        <w:rPr>
          <w:rFonts w:ascii="Arial" w:hAnsi="Arial"/>
          <w:b/>
          <w:bCs/>
          <w:sz w:val="21"/>
          <w:szCs w:val="21"/>
        </w:rPr>
        <w:t>modificación</w:t>
      </w:r>
      <w:r w:rsidRPr="0073473E">
        <w:rPr>
          <w:rFonts w:ascii="Arial" w:hAnsi="Arial"/>
          <w:sz w:val="21"/>
          <w:szCs w:val="21"/>
        </w:rPr>
        <w:t xml:space="preserve"> adicional de otras normas, en los ámbitos administrativo, laboral, procesal y penal. Así, las </w:t>
      </w:r>
      <w:r w:rsidRPr="00FB5C54">
        <w:rPr>
          <w:rFonts w:ascii="Arial" w:hAnsi="Arial"/>
          <w:b/>
          <w:bCs/>
          <w:sz w:val="21"/>
          <w:szCs w:val="21"/>
        </w:rPr>
        <w:t>Leyes de Procedimiento Administrativo, el Estatuto Básico del Empleado Público, el Estatuto de los Trabajadores, la Ley orgánica de Protección de Testigos y Peritos, la Ley de Enjuiciamiento Criminal y el Código Penal</w:t>
      </w:r>
      <w:r w:rsidRPr="0073473E">
        <w:rPr>
          <w:rFonts w:ascii="Arial" w:hAnsi="Arial"/>
          <w:sz w:val="21"/>
          <w:szCs w:val="21"/>
        </w:rPr>
        <w:t>.</w:t>
      </w:r>
    </w:p>
    <w:p w14:paraId="6A9D9794" w14:textId="77777777" w:rsidR="00C6190C" w:rsidRPr="00C6190C" w:rsidRDefault="00C6190C" w:rsidP="00C6190C">
      <w:pPr>
        <w:pStyle w:val="Prrafodelista"/>
        <w:keepNext/>
        <w:numPr>
          <w:ilvl w:val="4"/>
          <w:numId w:val="16"/>
        </w:numPr>
        <w:suppressAutoHyphens/>
        <w:spacing w:before="360" w:after="240" w:line="276" w:lineRule="auto"/>
        <w:ind w:left="1134" w:hanging="1134"/>
        <w:jc w:val="both"/>
        <w:outlineLvl w:val="4"/>
        <w:rPr>
          <w:rFonts w:ascii="Arial" w:eastAsia="Times New Roman" w:hAnsi="Arial" w:cs="Arial"/>
          <w:b/>
          <w:color w:val="9D2235"/>
          <w:sz w:val="23"/>
          <w:szCs w:val="23"/>
        </w:rPr>
      </w:pPr>
      <w:r w:rsidRPr="00C6190C">
        <w:rPr>
          <w:rFonts w:ascii="Arial" w:eastAsia="Times New Roman" w:hAnsi="Arial" w:cs="Arial"/>
          <w:b/>
          <w:color w:val="9D2235"/>
          <w:sz w:val="23"/>
          <w:szCs w:val="23"/>
        </w:rPr>
        <w:t>Anteproyecto de Ley reguladora de la protección de las personas que informen sobre infracciones normativas y de lucha contra la corrupción por la que se transpone la Directiva (UE) 2019/1937</w:t>
      </w:r>
    </w:p>
    <w:p w14:paraId="1DC1D825"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Como se ha expuesto en el anterior apartado 3.2.3, el pasado 4 de marzo de 2022 el Consejo de Ministros aprobó el </w:t>
      </w:r>
      <w:hyperlink r:id="rId266" w:history="1">
        <w:r w:rsidRPr="00C6190C">
          <w:rPr>
            <w:rStyle w:val="Hipervnculo"/>
            <w:rFonts w:ascii="Arial" w:eastAsia="Times New Roman" w:hAnsi="Arial" w:cs="Arial"/>
            <w:bCs/>
            <w:sz w:val="21"/>
            <w:szCs w:val="21"/>
          </w:rPr>
          <w:t>Anteproyecto de Ley reguladora de la protección de las personas que informen sobre infracciones normativas y de lucha contra la corrupción, por la que se transpone la Directiva (UE) 2019/1937 del Parlamento Europeo y del Consejo, de 23 de octubre de 2019, relativa a la protección de las personas que informen sobre infracciones del Derecho de la Unión</w:t>
        </w:r>
      </w:hyperlink>
      <w:r w:rsidRPr="00C6190C">
        <w:rPr>
          <w:rFonts w:ascii="Arial" w:eastAsia="Times New Roman" w:hAnsi="Arial" w:cs="Arial"/>
          <w:bCs/>
          <w:sz w:val="21"/>
          <w:szCs w:val="21"/>
          <w:u w:val="single"/>
        </w:rPr>
        <w:t>.</w:t>
      </w:r>
      <w:r w:rsidRPr="00C6190C">
        <w:rPr>
          <w:rFonts w:ascii="Arial" w:eastAsia="Times New Roman" w:hAnsi="Arial" w:cs="Arial"/>
          <w:bCs/>
          <w:sz w:val="21"/>
          <w:szCs w:val="21"/>
        </w:rPr>
        <w:t xml:space="preserve"> Así, el texto del Anteproyecto y su </w:t>
      </w:r>
      <w:hyperlink r:id="rId267" w:history="1">
        <w:r w:rsidRPr="00C6190C">
          <w:rPr>
            <w:rStyle w:val="Hipervnculo"/>
            <w:rFonts w:ascii="Arial" w:eastAsia="Times New Roman" w:hAnsi="Arial" w:cs="Arial"/>
            <w:bCs/>
            <w:sz w:val="21"/>
            <w:szCs w:val="21"/>
          </w:rPr>
          <w:t>Memoria del Análisis de Impacto Normativo</w:t>
        </w:r>
      </w:hyperlink>
      <w:r w:rsidRPr="00C6190C">
        <w:rPr>
          <w:rFonts w:ascii="Arial" w:eastAsia="Times New Roman" w:hAnsi="Arial" w:cs="Arial"/>
          <w:bCs/>
          <w:sz w:val="21"/>
          <w:szCs w:val="21"/>
        </w:rPr>
        <w:t xml:space="preserve"> se publicaron con fecha 8 de marzo de 2022 en la web del Ministerio de Justicia: https://www.mjusticia.gob.es/es/areas-tematicas/actividad-legislativa/normativa/normas-tramitacion/anteproyectos-informados.</w:t>
      </w:r>
    </w:p>
    <w:p w14:paraId="4938F553"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En esa misma fecha, se apertura el plazo de siete días hábiles de audiencia e información pública para </w:t>
      </w:r>
      <w:r w:rsidRPr="00C6190C">
        <w:rPr>
          <w:rFonts w:ascii="Arial" w:eastAsia="Times New Roman" w:hAnsi="Arial" w:cs="Arial"/>
          <w:b/>
          <w:bCs/>
          <w:sz w:val="21"/>
          <w:szCs w:val="21"/>
        </w:rPr>
        <w:t>presentar alegaciones</w:t>
      </w:r>
      <w:r w:rsidRPr="00C6190C">
        <w:rPr>
          <w:rFonts w:ascii="Arial" w:eastAsia="Times New Roman" w:hAnsi="Arial" w:cs="Arial"/>
          <w:bCs/>
          <w:sz w:val="21"/>
          <w:szCs w:val="21"/>
        </w:rPr>
        <w:t xml:space="preserve"> al texto proyectado, por el trámite de urgencia.</w:t>
      </w:r>
    </w:p>
    <w:p w14:paraId="0B6151F9"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La AVAF, pese a ser una entidad pública joven, tiene una importante e intensa experiencia en la protección de las personas denunciantes y en la realización de funciones similares a las planteadas en el Anteproyecto en relación con el sector público valenciano, habiéndose anticipado a la citada Directiva (UE) 2019/1937 mediante la aprobación por las Corts Valencianes de la</w:t>
      </w:r>
      <w:r w:rsidRPr="00C6190C">
        <w:rPr>
          <w:rFonts w:ascii="Arial" w:eastAsia="Times New Roman" w:hAnsi="Arial" w:cs="Arial"/>
          <w:b/>
          <w:bCs/>
          <w:sz w:val="21"/>
          <w:szCs w:val="21"/>
        </w:rPr>
        <w:t xml:space="preserve"> </w:t>
      </w:r>
      <w:hyperlink r:id="rId268" w:history="1">
        <w:r w:rsidRPr="00C6190C">
          <w:rPr>
            <w:rStyle w:val="Hipervnculo"/>
            <w:rFonts w:ascii="Arial" w:eastAsia="Times New Roman" w:hAnsi="Arial" w:cs="Arial"/>
            <w:bCs/>
            <w:sz w:val="21"/>
            <w:szCs w:val="21"/>
          </w:rPr>
          <w:t>Ley 11/2016, de 28 de noviembre, de la Generalitat, que creó la Agencia de Prevención y Lucha contra el Fraude y la Corrupción de la Comunitat Valenciana</w:t>
        </w:r>
      </w:hyperlink>
      <w:r w:rsidRPr="00C6190C">
        <w:rPr>
          <w:rFonts w:ascii="Arial" w:eastAsia="Times New Roman" w:hAnsi="Arial" w:cs="Arial"/>
          <w:bCs/>
          <w:sz w:val="21"/>
          <w:szCs w:val="21"/>
        </w:rPr>
        <w:t xml:space="preserve">. </w:t>
      </w:r>
    </w:p>
    <w:p w14:paraId="2056AEBF" w14:textId="77777777" w:rsidR="00C6190C" w:rsidRPr="00C6190C" w:rsidRDefault="00C6190C" w:rsidP="00C6190C">
      <w:pPr>
        <w:spacing w:after="240" w:line="276" w:lineRule="auto"/>
        <w:jc w:val="both"/>
        <w:rPr>
          <w:rFonts w:ascii="Arial" w:eastAsia="Times New Roman" w:hAnsi="Arial" w:cs="Arial"/>
          <w:b/>
          <w:bCs/>
          <w:sz w:val="21"/>
          <w:szCs w:val="21"/>
        </w:rPr>
      </w:pPr>
      <w:r w:rsidRPr="00C6190C">
        <w:rPr>
          <w:rFonts w:ascii="Arial" w:eastAsia="Times New Roman" w:hAnsi="Arial" w:cs="Arial"/>
          <w:bCs/>
          <w:sz w:val="21"/>
          <w:szCs w:val="21"/>
        </w:rPr>
        <w:t xml:space="preserve">Así, esta Agencia remitió, en fecha 17 de marzo de 2022, </w:t>
      </w:r>
      <w:hyperlink r:id="rId269" w:history="1">
        <w:r w:rsidRPr="00C6190C">
          <w:rPr>
            <w:rStyle w:val="Hipervnculo"/>
            <w:rFonts w:ascii="Arial" w:eastAsia="Times New Roman" w:hAnsi="Arial" w:cs="Arial"/>
            <w:bCs/>
            <w:sz w:val="21"/>
            <w:szCs w:val="21"/>
          </w:rPr>
          <w:t>escrito de alegaciones de la Agencia de Prevención y Lucha contra el Fraude y la Corrupción de la Comunitat Valenciana al Anteproyecto de Ley reguladora de la protección de las personas que informen sobre infracciones normativas y de lucha contra la corrupción por la que se transpone la Directiva (UE) 2019/1937 del Parlamento Europeo y del Consejo de 23 de octubre de 2019, relativa a la protección de las personas que informen sobre infracciones del Derecho de la Unión, en el trámite de audiencia e información pública</w:t>
        </w:r>
      </w:hyperlink>
      <w:r w:rsidRPr="00C6190C">
        <w:rPr>
          <w:rFonts w:ascii="Arial" w:eastAsia="Times New Roman" w:hAnsi="Arial" w:cs="Arial"/>
          <w:b/>
          <w:bCs/>
          <w:sz w:val="21"/>
          <w:szCs w:val="21"/>
        </w:rPr>
        <w:t>.</w:t>
      </w:r>
    </w:p>
    <w:p w14:paraId="54E63E26"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En el referido escrito de alegaciones se distinguió entre unas de carácter general y otras de carácter particular. En cuanto a las primeras, denominadas “</w:t>
      </w:r>
      <w:r w:rsidRPr="00C6190C">
        <w:rPr>
          <w:rFonts w:ascii="Arial" w:eastAsia="Times New Roman" w:hAnsi="Arial" w:cs="Arial"/>
          <w:b/>
          <w:bCs/>
          <w:sz w:val="21"/>
          <w:szCs w:val="21"/>
        </w:rPr>
        <w:t>Observaciones de carácter general</w:t>
      </w:r>
      <w:r w:rsidRPr="00C6190C">
        <w:rPr>
          <w:rFonts w:ascii="Arial" w:eastAsia="Times New Roman" w:hAnsi="Arial" w:cs="Arial"/>
          <w:bCs/>
          <w:sz w:val="21"/>
          <w:szCs w:val="21"/>
        </w:rPr>
        <w:t>”, de forma resumida refieren:</w:t>
      </w:r>
    </w:p>
    <w:p w14:paraId="17E59A8E"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
          <w:bCs/>
          <w:color w:val="9D2235" w:themeColor="accent1"/>
          <w:sz w:val="21"/>
          <w:szCs w:val="21"/>
        </w:rPr>
        <w:t>Sobre la Exposición de Motivos</w:t>
      </w:r>
      <w:r w:rsidRPr="00C6190C">
        <w:rPr>
          <w:rFonts w:ascii="Arial" w:eastAsia="Times New Roman" w:hAnsi="Arial" w:cs="Arial"/>
          <w:bCs/>
          <w:sz w:val="21"/>
          <w:szCs w:val="21"/>
        </w:rPr>
        <w:t xml:space="preserve">, se subraya que no se encuentra referencia expresa a la existencia de autoridades y órganos, creados y en funcionamiento, tanto en el ámbito autonómico como en el ámbito local, que vienen realizando funciones dentro del campo de la prevención y la lucha contra el fraude y la corrupción y el fomento de las buenas prácticas, a través del establecimiento de canales de denuncias y de programas de protección de personas que denuncian, informan o comunican irregularidades que pueden dar lugar a responsabilidades y que dañan los intereses generales; creadas en cumplimiento del artículo 6 de la </w:t>
      </w:r>
      <w:hyperlink r:id="rId270" w:history="1">
        <w:r w:rsidRPr="00C6190C">
          <w:rPr>
            <w:rStyle w:val="Hipervnculo"/>
            <w:rFonts w:ascii="Arial" w:eastAsia="Times New Roman" w:hAnsi="Arial" w:cs="Arial"/>
            <w:bCs/>
            <w:sz w:val="21"/>
            <w:szCs w:val="21"/>
          </w:rPr>
          <w:t>Convención de las Naciones Unidas contra la corrupción, hecha en Nueva York el 31 de octubre de 2003</w:t>
        </w:r>
      </w:hyperlink>
      <w:r w:rsidRPr="00C6190C">
        <w:rPr>
          <w:rFonts w:ascii="Arial" w:eastAsia="Times New Roman" w:hAnsi="Arial" w:cs="Arial"/>
          <w:bCs/>
          <w:sz w:val="21"/>
          <w:szCs w:val="21"/>
        </w:rPr>
        <w:t>, que obliga a los Estados parte a crear en sus respectos territorios órganos encargados de prevenir la corrupción, dotados de la independencia necesaria para que puedan desempeñar sus funciones de manera eficaz y sin ninguna influencia indebida, con recursos materiales y personal especializado y capacitado para el desempeño de sus funciones.</w:t>
      </w:r>
    </w:p>
    <w:p w14:paraId="5E670410"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A destacar además que la AVAF incluye, entre sus funciones, no solo la protección de las personas denunciantes, de forma pionera en España, sino también y entre otras, como autoridad independiente de las administraciones públicas, adscrita a las Corts Valencianes y con personalidad jurídica propia, la prevención e investigación de posibles casos de uso o destino irregular de fondos públicos y de conductas opuestas a la integridad o contrarias al principio de objetividad, a la ley y al derecho, así como el fomento de una cultura de buenas prácticas y de rechazo del fraude y la corrupción.</w:t>
      </w:r>
    </w:p>
    <w:p w14:paraId="5F0A7ADE"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
          <w:bCs/>
          <w:color w:val="9D2235" w:themeColor="accent1"/>
          <w:sz w:val="21"/>
          <w:szCs w:val="21"/>
        </w:rPr>
        <w:t>Sobre la oportunidad y finalidad de la ley</w:t>
      </w:r>
      <w:r w:rsidRPr="00C6190C">
        <w:rPr>
          <w:rFonts w:ascii="Arial" w:eastAsia="Times New Roman" w:hAnsi="Arial" w:cs="Arial"/>
          <w:bCs/>
          <w:sz w:val="21"/>
          <w:szCs w:val="21"/>
        </w:rPr>
        <w:t>, se destaca que la correcta transposición de la Directiva exige una modificación conjunta de la normativa interna, singularmente del Código Penal, de la Ley de Enjuiciamiento Criminal y otras normas procesales, de la Ley Orgánica de Protección de Testigos y Peritos, del Estatuto de los Trabajadores, del Estatuto Básico del Empleado Público y de normas administrativas, así como por la necesaria dotación de medios a la Fiscalía y a la Administración de Justicia, y desde nuestro punto de vista por la creación de juzgados especializados en esta materia.</w:t>
      </w:r>
    </w:p>
    <w:p w14:paraId="389F8F0B"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
          <w:bCs/>
          <w:color w:val="9D2235" w:themeColor="accent1"/>
          <w:sz w:val="21"/>
          <w:szCs w:val="21"/>
        </w:rPr>
        <w:t xml:space="preserve">Sobre los términos </w:t>
      </w:r>
      <w:r w:rsidRPr="00C6190C">
        <w:rPr>
          <w:rFonts w:ascii="Arial" w:eastAsia="Times New Roman" w:hAnsi="Arial" w:cs="Arial"/>
          <w:b/>
          <w:bCs/>
          <w:i/>
          <w:iCs/>
          <w:color w:val="9D2235" w:themeColor="accent1"/>
          <w:sz w:val="21"/>
          <w:szCs w:val="21"/>
        </w:rPr>
        <w:t xml:space="preserve">Informante </w:t>
      </w:r>
      <w:r w:rsidRPr="00C6190C">
        <w:rPr>
          <w:rFonts w:ascii="Arial" w:eastAsia="Times New Roman" w:hAnsi="Arial" w:cs="Arial"/>
          <w:b/>
          <w:bCs/>
          <w:color w:val="9D2235" w:themeColor="accent1"/>
          <w:sz w:val="21"/>
          <w:szCs w:val="21"/>
        </w:rPr>
        <w:t xml:space="preserve">y </w:t>
      </w:r>
      <w:r w:rsidRPr="00C6190C">
        <w:rPr>
          <w:rFonts w:ascii="Arial" w:eastAsia="Times New Roman" w:hAnsi="Arial" w:cs="Arial"/>
          <w:b/>
          <w:bCs/>
          <w:i/>
          <w:iCs/>
          <w:color w:val="9D2235" w:themeColor="accent1"/>
          <w:sz w:val="21"/>
          <w:szCs w:val="21"/>
        </w:rPr>
        <w:t>Sistemas de Información</w:t>
      </w:r>
      <w:r w:rsidRPr="00C6190C">
        <w:rPr>
          <w:rFonts w:ascii="Arial" w:eastAsia="Times New Roman" w:hAnsi="Arial" w:cs="Arial"/>
          <w:bCs/>
          <w:i/>
          <w:iCs/>
          <w:sz w:val="21"/>
          <w:szCs w:val="21"/>
        </w:rPr>
        <w:t xml:space="preserve">, </w:t>
      </w:r>
      <w:r w:rsidRPr="00C6190C">
        <w:rPr>
          <w:rFonts w:ascii="Arial" w:eastAsia="Times New Roman" w:hAnsi="Arial" w:cs="Arial"/>
          <w:bCs/>
          <w:sz w:val="21"/>
          <w:szCs w:val="21"/>
        </w:rPr>
        <w:t>se considera que estos deberían ser sustituidos, respectivamente, por los de “denunciante” y “canales (o buzones) de denuncias”, por las razones que a continuación se exponen resumidamente.</w:t>
      </w:r>
    </w:p>
    <w:p w14:paraId="07AF9E3B" w14:textId="77777777" w:rsidR="00C6190C" w:rsidRPr="00C6190C" w:rsidRDefault="00C6190C" w:rsidP="00C6190C">
      <w:pPr>
        <w:numPr>
          <w:ilvl w:val="0"/>
          <w:numId w:val="181"/>
        </w:numPr>
        <w:spacing w:after="120" w:line="276" w:lineRule="auto"/>
        <w:ind w:left="714" w:hanging="357"/>
        <w:jc w:val="both"/>
        <w:rPr>
          <w:rFonts w:ascii="Arial" w:eastAsia="Times New Roman" w:hAnsi="Arial" w:cs="Arial"/>
          <w:bCs/>
          <w:sz w:val="21"/>
          <w:szCs w:val="21"/>
        </w:rPr>
      </w:pPr>
      <w:r w:rsidRPr="00C6190C">
        <w:rPr>
          <w:rFonts w:ascii="Arial" w:eastAsia="Times New Roman" w:hAnsi="Arial" w:cs="Arial"/>
          <w:bCs/>
          <w:sz w:val="21"/>
          <w:szCs w:val="21"/>
        </w:rPr>
        <w:t xml:space="preserve">La </w:t>
      </w:r>
      <w:hyperlink r:id="rId271" w:history="1">
        <w:r w:rsidRPr="00C6190C">
          <w:rPr>
            <w:rStyle w:val="Hipervnculo"/>
            <w:rFonts w:ascii="Arial" w:eastAsia="Times New Roman" w:hAnsi="Arial" w:cs="Arial"/>
            <w:bCs/>
            <w:sz w:val="21"/>
            <w:szCs w:val="21"/>
          </w:rPr>
          <w:t>propia Directiva (UE) 2019/1937</w:t>
        </w:r>
      </w:hyperlink>
      <w:r w:rsidRPr="00C6190C">
        <w:rPr>
          <w:rFonts w:ascii="Arial" w:eastAsia="Times New Roman" w:hAnsi="Arial" w:cs="Arial"/>
          <w:bCs/>
          <w:sz w:val="21"/>
          <w:szCs w:val="21"/>
        </w:rPr>
        <w:t xml:space="preserve"> emplea, a lo largo de todo su texto, en su traducción oficial al español, las palabras “denunciante” y “canales de denuncia”. En concreto, el término “denunciante” aparece en 189 ocasiones y “canales de denuncia” 44 veces.</w:t>
      </w:r>
    </w:p>
    <w:p w14:paraId="36C2EF6C" w14:textId="77777777" w:rsidR="00C6190C" w:rsidRPr="00C6190C" w:rsidRDefault="00C6190C" w:rsidP="00C6190C">
      <w:pPr>
        <w:numPr>
          <w:ilvl w:val="0"/>
          <w:numId w:val="181"/>
        </w:numPr>
        <w:spacing w:after="120" w:line="276" w:lineRule="auto"/>
        <w:ind w:left="714" w:hanging="357"/>
        <w:jc w:val="both"/>
        <w:rPr>
          <w:rFonts w:ascii="Arial" w:eastAsia="Times New Roman" w:hAnsi="Arial" w:cs="Arial"/>
          <w:bCs/>
          <w:sz w:val="21"/>
          <w:szCs w:val="21"/>
        </w:rPr>
      </w:pPr>
      <w:r w:rsidRPr="00C6190C">
        <w:rPr>
          <w:rFonts w:ascii="Arial" w:eastAsia="Times New Roman" w:hAnsi="Arial" w:cs="Arial"/>
          <w:bCs/>
          <w:sz w:val="21"/>
          <w:szCs w:val="21"/>
        </w:rPr>
        <w:t xml:space="preserve">De igual forma se usan estos términos en el </w:t>
      </w:r>
      <w:hyperlink r:id="rId272" w:history="1">
        <w:r w:rsidRPr="00C6190C">
          <w:rPr>
            <w:rStyle w:val="Hipervnculo"/>
            <w:rFonts w:ascii="Arial" w:eastAsia="Times New Roman" w:hAnsi="Arial" w:cs="Arial"/>
            <w:bCs/>
            <w:sz w:val="21"/>
            <w:szCs w:val="21"/>
          </w:rPr>
          <w:t>IV Plan de Gobierno Abierto 2020-2024</w:t>
        </w:r>
      </w:hyperlink>
      <w:r w:rsidRPr="00C6190C">
        <w:rPr>
          <w:rFonts w:ascii="Arial" w:eastAsia="Times New Roman" w:hAnsi="Arial" w:cs="Arial"/>
          <w:bCs/>
          <w:sz w:val="21"/>
          <w:szCs w:val="21"/>
        </w:rPr>
        <w:t xml:space="preserve">, los </w:t>
      </w:r>
      <w:hyperlink r:id="rId273" w:history="1">
        <w:r w:rsidRPr="00C6190C">
          <w:rPr>
            <w:rStyle w:val="Hipervnculo"/>
            <w:rFonts w:ascii="Arial" w:eastAsia="Times New Roman" w:hAnsi="Arial" w:cs="Arial"/>
            <w:bCs/>
            <w:sz w:val="21"/>
            <w:szCs w:val="21"/>
          </w:rPr>
          <w:t>Planes Normativos Anuales 2021</w:t>
        </w:r>
      </w:hyperlink>
      <w:r w:rsidRPr="00C6190C">
        <w:rPr>
          <w:rFonts w:ascii="Arial" w:eastAsia="Times New Roman" w:hAnsi="Arial" w:cs="Arial"/>
          <w:bCs/>
          <w:sz w:val="21"/>
          <w:szCs w:val="21"/>
        </w:rPr>
        <w:t xml:space="preserve"> y </w:t>
      </w:r>
      <w:hyperlink r:id="rId274" w:history="1">
        <w:r w:rsidRPr="00C6190C">
          <w:rPr>
            <w:rStyle w:val="Hipervnculo"/>
            <w:rFonts w:ascii="Arial" w:eastAsia="Times New Roman" w:hAnsi="Arial" w:cs="Arial"/>
            <w:bCs/>
            <w:sz w:val="21"/>
            <w:szCs w:val="21"/>
          </w:rPr>
          <w:t>2022 del Gobierno</w:t>
        </w:r>
      </w:hyperlink>
      <w:r w:rsidRPr="00C6190C">
        <w:rPr>
          <w:rFonts w:ascii="Arial" w:eastAsia="Times New Roman" w:hAnsi="Arial" w:cs="Arial"/>
          <w:b/>
          <w:bCs/>
          <w:sz w:val="21"/>
          <w:szCs w:val="21"/>
        </w:rPr>
        <w:t>,</w:t>
      </w:r>
      <w:r w:rsidRPr="00C6190C">
        <w:rPr>
          <w:rFonts w:ascii="Arial" w:eastAsia="Times New Roman" w:hAnsi="Arial" w:cs="Arial"/>
          <w:bCs/>
          <w:sz w:val="21"/>
          <w:szCs w:val="21"/>
        </w:rPr>
        <w:t xml:space="preserve"> y se incluyeron en las preguntas realizadas por el propio Ministerio de Justicia en la </w:t>
      </w:r>
      <w:hyperlink r:id="rId275" w:history="1">
        <w:r w:rsidRPr="00C6190C">
          <w:rPr>
            <w:rStyle w:val="Hipervnculo"/>
            <w:rFonts w:ascii="Arial" w:eastAsia="Times New Roman" w:hAnsi="Arial" w:cs="Arial"/>
            <w:bCs/>
            <w:sz w:val="21"/>
            <w:szCs w:val="21"/>
          </w:rPr>
          <w:t>consulta pública previa</w:t>
        </w:r>
      </w:hyperlink>
      <w:r w:rsidRPr="00C6190C">
        <w:rPr>
          <w:rFonts w:ascii="Arial" w:eastAsia="Times New Roman" w:hAnsi="Arial" w:cs="Arial"/>
          <w:bCs/>
          <w:sz w:val="21"/>
          <w:szCs w:val="21"/>
        </w:rPr>
        <w:t xml:space="preserve"> a la elaboración del texto del Anteproyecto de Ley.</w:t>
      </w:r>
    </w:p>
    <w:p w14:paraId="7BFA3306" w14:textId="77777777" w:rsidR="00C6190C" w:rsidRPr="00C6190C" w:rsidRDefault="00C6190C" w:rsidP="00C6190C">
      <w:pPr>
        <w:numPr>
          <w:ilvl w:val="0"/>
          <w:numId w:val="181"/>
        </w:numPr>
        <w:spacing w:after="120" w:line="276" w:lineRule="auto"/>
        <w:ind w:left="714" w:hanging="357"/>
        <w:jc w:val="both"/>
        <w:rPr>
          <w:rFonts w:ascii="Arial" w:eastAsia="Times New Roman" w:hAnsi="Arial" w:cs="Arial"/>
          <w:bCs/>
          <w:sz w:val="21"/>
          <w:szCs w:val="21"/>
        </w:rPr>
      </w:pPr>
      <w:r w:rsidRPr="00C6190C">
        <w:rPr>
          <w:rFonts w:ascii="Arial" w:eastAsia="Times New Roman" w:hAnsi="Arial" w:cs="Arial"/>
          <w:bCs/>
          <w:sz w:val="21"/>
          <w:szCs w:val="21"/>
        </w:rPr>
        <w:t xml:space="preserve">La tradición administrativa y penal española habla de “denuncia”. Así se recoge en los </w:t>
      </w:r>
      <w:hyperlink r:id="rId276" w:history="1">
        <w:r w:rsidRPr="00C6190C">
          <w:rPr>
            <w:rStyle w:val="Hipervnculo"/>
            <w:rFonts w:ascii="Arial" w:eastAsia="Times New Roman" w:hAnsi="Arial" w:cs="Arial"/>
            <w:bCs/>
            <w:sz w:val="21"/>
            <w:szCs w:val="21"/>
          </w:rPr>
          <w:t>artículos 58, 62 y 64 de la Ley 39/2015</w:t>
        </w:r>
      </w:hyperlink>
      <w:r w:rsidRPr="00C6190C">
        <w:rPr>
          <w:rFonts w:ascii="Arial" w:eastAsia="Times New Roman" w:hAnsi="Arial" w:cs="Arial"/>
          <w:bCs/>
          <w:sz w:val="21"/>
          <w:szCs w:val="21"/>
        </w:rPr>
        <w:t xml:space="preserve">, de 1 de octubre, del Procedimiento Administrativo Común de las Administraciones Públicas, y en una multitud de normas administrativas, y también en la </w:t>
      </w:r>
      <w:hyperlink r:id="rId277" w:history="1">
        <w:r w:rsidRPr="00C6190C">
          <w:rPr>
            <w:rStyle w:val="Hipervnculo"/>
            <w:rFonts w:ascii="Arial" w:eastAsia="Times New Roman" w:hAnsi="Arial" w:cs="Arial"/>
            <w:bCs/>
            <w:sz w:val="21"/>
            <w:szCs w:val="21"/>
          </w:rPr>
          <w:t>Ley de Enjuiciamiento Criminal (artículos 105, 118, 119, 229, 261, 262, 264 a 269, etc.)</w:t>
        </w:r>
      </w:hyperlink>
      <w:r w:rsidRPr="00C6190C">
        <w:rPr>
          <w:rFonts w:ascii="Arial" w:eastAsia="Times New Roman" w:hAnsi="Arial" w:cs="Arial"/>
          <w:bCs/>
          <w:sz w:val="21"/>
          <w:szCs w:val="21"/>
        </w:rPr>
        <w:t>.</w:t>
      </w:r>
    </w:p>
    <w:p w14:paraId="193D332E" w14:textId="77777777" w:rsidR="00C6190C" w:rsidRPr="00C6190C" w:rsidRDefault="00C6190C" w:rsidP="00C6190C">
      <w:pPr>
        <w:numPr>
          <w:ilvl w:val="0"/>
          <w:numId w:val="181"/>
        </w:num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Igualmente, todas las Leyes autonómicas que han creado oficinas o agencias autonómicas de prevención y lucha contra el fraude y la corrupción utilizan el término denunciante. El propio </w:t>
      </w:r>
      <w:hyperlink r:id="rId278" w:history="1">
        <w:r w:rsidRPr="00C6190C">
          <w:rPr>
            <w:rStyle w:val="Hipervnculo"/>
            <w:rFonts w:ascii="Arial" w:eastAsia="Times New Roman" w:hAnsi="Arial" w:cs="Arial"/>
            <w:bCs/>
            <w:sz w:val="21"/>
            <w:szCs w:val="21"/>
          </w:rPr>
          <w:t>Reglamento de funcionamiento y régimen interior de la AVAF de 27 de junio de 2019 (DOGV núm. 8582, de 2.07.2019)</w:t>
        </w:r>
      </w:hyperlink>
      <w:r w:rsidRPr="00C6190C">
        <w:rPr>
          <w:rFonts w:ascii="Arial" w:eastAsia="Times New Roman" w:hAnsi="Arial" w:cs="Arial"/>
          <w:bCs/>
          <w:sz w:val="21"/>
          <w:szCs w:val="21"/>
        </w:rPr>
        <w:t xml:space="preserve"> incluye los vocablos “denuncia” y “persona que comunica, informa o alerta”.</w:t>
      </w:r>
    </w:p>
    <w:p w14:paraId="6B083179"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En síntesis, se hace necesario resaltar que el empleo de un término distinto al de denunciante, en este caso “informante” -parecería un eufemismo pues no encontramos ni una sola mención en el Anteproyecto a la palabra “denunciante”- puede provocar que aquellas personas que, precisamente, de acuerdo con las normas administrativas y penales contempladas en nuestro ordenamiento jurídico, efectúan “denuncias” se vean fuera de la protección que el Anteproyecto de Ley establece, lo que sería contrario a la Directiva, que no distingue entre informantes y denunciantes, además de opuesto al más elemental principio de igualdad de trato.</w:t>
      </w:r>
    </w:p>
    <w:p w14:paraId="34D3DA11"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Tampoco distingue, en cuanto a la necesidad de protección, como es obvio, la </w:t>
      </w:r>
      <w:hyperlink r:id="rId279" w:history="1">
        <w:r w:rsidRPr="00C6190C">
          <w:rPr>
            <w:rStyle w:val="Hipervnculo"/>
            <w:rFonts w:ascii="Arial" w:eastAsia="Times New Roman" w:hAnsi="Arial" w:cs="Arial"/>
            <w:bCs/>
            <w:sz w:val="21"/>
            <w:szCs w:val="21"/>
          </w:rPr>
          <w:t>Convención de Naciones Unidas contra la corrupción</w:t>
        </w:r>
      </w:hyperlink>
      <w:r w:rsidRPr="00C6190C">
        <w:rPr>
          <w:rFonts w:ascii="Arial" w:eastAsia="Times New Roman" w:hAnsi="Arial" w:cs="Arial"/>
          <w:bCs/>
          <w:sz w:val="21"/>
          <w:szCs w:val="21"/>
        </w:rPr>
        <w:t>, que exige a los Estados parte que proporcionen protección contra todo trato injustificado a las personas que denuncien ante las autoridades competentes, de buena fe y con motivos razonables, cualesquiera hechos relacionados con delitos de corrupción (artículo 33), y que adopten medidas apropiadas para proteger de manera eficaz contra eventuales actos de represalia o identificación a los testigos, peritos y víctimas que presten declaración sobre delitos de corrupción, así como cuando proceda a sus familiares y demás personas cercanas (artículo 32).</w:t>
      </w:r>
    </w:p>
    <w:p w14:paraId="3CE1735D"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La citada cuestión no es baladí, pues podría traer como consecuencia adicional que quienes denuncian ante la autoridad judicial o el Ministerio Fiscal no gocen de idéntica protección. Defiende esta Agencia, encarecidamente, que también la protección de estas personas, en el contexto laboral y a la que se refiere la Directiva (UE) 2019/1937, debe realizarse por la Autoridad administrativa, estatal o autonómica. Del mismo modo, si la denuncia se efectuó ante la Autoridad y esta se traslada al Ministerio Fiscal o a la autoridad judicial por revestir elementos que pueden ser constitutivos de delito, la protección de la Autoridad debe proseguir y simultanearse con la establecida en la Ley Orgánica 19/1994, de 23 de diciembre, de protección a testigos y peritos en causas criminales, pues dichas protecciones tienen objetos y finalidades distintos y complementarios.</w:t>
      </w:r>
    </w:p>
    <w:p w14:paraId="79F3780B"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
          <w:bCs/>
          <w:color w:val="9D2235" w:themeColor="accent1"/>
          <w:sz w:val="21"/>
          <w:szCs w:val="21"/>
        </w:rPr>
        <w:t>Sobre el ámbito de aplicación</w:t>
      </w:r>
      <w:r w:rsidRPr="00C6190C">
        <w:rPr>
          <w:rFonts w:ascii="Arial" w:eastAsia="Times New Roman" w:hAnsi="Arial" w:cs="Arial"/>
          <w:bCs/>
          <w:sz w:val="21"/>
          <w:szCs w:val="21"/>
        </w:rPr>
        <w:t>, se pone de manifiesto que resulta imprescindible delimitar de forma precisa el ámbito de aplicación de la futura Ley. Del ámbito material de aplicación se ocupa el artículo 2 del Anteproyecto de Ley, resultando ser su redacción, desde nuestro punto de vista, complicada y ambigua y, por tanto, contraria al principio de seguridad jurídica.</w:t>
      </w:r>
    </w:p>
    <w:p w14:paraId="0C513955"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En concreto, al apartado 1 letra b) del artículo 2, que enuncia una contradicción en sí mismo cuando se refiere a “Acciones u omisiones que puedan ser constitutivas de infracción penal o administrativa grave o muy grave o cualquier vulneración del resto del ordenamiento jurídico siempre que, en cualquiera de los casos, afecten o menoscaben directamente el interés general, y no cuenten con una regulación específica”. </w:t>
      </w:r>
    </w:p>
    <w:p w14:paraId="231124C2"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Por ello se traen a colación las definiciones que delimitan el ámbito de actuación material de la AVAF en la </w:t>
      </w:r>
      <w:hyperlink r:id="rId280" w:history="1">
        <w:r w:rsidRPr="00C6190C">
          <w:rPr>
            <w:rStyle w:val="Hipervnculo"/>
            <w:rFonts w:ascii="Arial" w:eastAsia="Times New Roman" w:hAnsi="Arial" w:cs="Arial"/>
            <w:bCs/>
            <w:sz w:val="21"/>
            <w:szCs w:val="21"/>
          </w:rPr>
          <w:t>Resolución de 5 de octubre de 2020 concreta el ámbito de actuación material de la AVAF</w:t>
        </w:r>
      </w:hyperlink>
      <w:r w:rsidRPr="00C6190C">
        <w:rPr>
          <w:rFonts w:ascii="Arial" w:eastAsia="Times New Roman" w:hAnsi="Arial" w:cs="Arial"/>
          <w:bCs/>
          <w:sz w:val="21"/>
          <w:szCs w:val="21"/>
        </w:rPr>
        <w:t xml:space="preserve"> y en la </w:t>
      </w:r>
      <w:hyperlink r:id="rId281" w:history="1">
        <w:r w:rsidRPr="00C6190C">
          <w:rPr>
            <w:rStyle w:val="Hipervnculo"/>
            <w:rFonts w:ascii="Arial" w:eastAsia="Times New Roman" w:hAnsi="Arial" w:cs="Arial"/>
            <w:bCs/>
            <w:sz w:val="21"/>
            <w:szCs w:val="21"/>
          </w:rPr>
          <w:t>Ley 2/2021, de 18 de junio, de lucha contra el fraude y la corrupción en Andalucía y protección de la persona denunciante</w:t>
        </w:r>
      </w:hyperlink>
      <w:r w:rsidRPr="00C6190C">
        <w:rPr>
          <w:rFonts w:ascii="Arial" w:eastAsia="Times New Roman" w:hAnsi="Arial" w:cs="Arial"/>
          <w:b/>
          <w:bCs/>
          <w:sz w:val="21"/>
          <w:szCs w:val="21"/>
        </w:rPr>
        <w:t>.</w:t>
      </w:r>
    </w:p>
    <w:p w14:paraId="3A90C133"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Igualmente, se deberá clarificar el apartado 4 de este artículo 2, cuya redacción actual puede conducir a confusión, cuando señala que “Esta protección no excluirá la aplicación de las normas relativas al proceso penal, incluyendo las diligencias de investigación”. Al respecto, se propone realizar una redacción similar a la contemplada en algunos apartados recogidos en el </w:t>
      </w:r>
      <w:hyperlink r:id="rId282" w:history="1">
        <w:r w:rsidRPr="00C6190C">
          <w:rPr>
            <w:rStyle w:val="Hipervnculo"/>
            <w:rFonts w:ascii="Arial" w:eastAsia="Times New Roman" w:hAnsi="Arial" w:cs="Arial"/>
            <w:bCs/>
            <w:sz w:val="21"/>
            <w:szCs w:val="21"/>
          </w:rPr>
          <w:t>artículo 14 de la citada Ley 11/2016, de 28 de noviembre, reguladora de esta Agencia</w:t>
        </w:r>
      </w:hyperlink>
      <w:r w:rsidRPr="00C6190C">
        <w:rPr>
          <w:rFonts w:ascii="Arial" w:eastAsia="Times New Roman" w:hAnsi="Arial" w:cs="Arial"/>
          <w:b/>
          <w:bCs/>
          <w:sz w:val="21"/>
          <w:szCs w:val="21"/>
        </w:rPr>
        <w:t>,</w:t>
      </w:r>
      <w:r w:rsidRPr="00C6190C">
        <w:rPr>
          <w:rFonts w:ascii="Arial" w:eastAsia="Times New Roman" w:hAnsi="Arial" w:cs="Arial"/>
          <w:bCs/>
          <w:sz w:val="21"/>
          <w:szCs w:val="21"/>
        </w:rPr>
        <w:t xml:space="preserve"> si la intención de la regla establecida en el Anteproyecto de Ley fuese esta:</w:t>
      </w:r>
    </w:p>
    <w:p w14:paraId="5E508CC1" w14:textId="77777777" w:rsidR="00C6190C" w:rsidRPr="00C6190C" w:rsidRDefault="00C6190C" w:rsidP="00C6190C">
      <w:pPr>
        <w:numPr>
          <w:ilvl w:val="0"/>
          <w:numId w:val="180"/>
        </w:numPr>
        <w:spacing w:after="120" w:line="276" w:lineRule="auto"/>
        <w:ind w:left="714" w:hanging="357"/>
        <w:jc w:val="both"/>
        <w:rPr>
          <w:rFonts w:ascii="Arial" w:eastAsia="Times New Roman" w:hAnsi="Arial" w:cs="Arial"/>
          <w:bCs/>
          <w:sz w:val="21"/>
          <w:szCs w:val="21"/>
        </w:rPr>
      </w:pPr>
      <w:r w:rsidRPr="00C6190C">
        <w:rPr>
          <w:rFonts w:ascii="Arial" w:eastAsia="Times New Roman" w:hAnsi="Arial" w:cs="Arial"/>
          <w:bCs/>
          <w:sz w:val="21"/>
          <w:szCs w:val="21"/>
        </w:rPr>
        <w:t>No será aplicable la protección establecida en esta Ley a la persona denunciante cuando la denuncia se formule y proporcione información falsa, tergiversada u obtenida de manera ilícita, debiendo ello dar lugar a las responsabilidades legales.</w:t>
      </w:r>
    </w:p>
    <w:p w14:paraId="5334B00A" w14:textId="77777777" w:rsidR="00C6190C" w:rsidRPr="00C6190C" w:rsidRDefault="00C6190C" w:rsidP="00C6190C">
      <w:pPr>
        <w:numPr>
          <w:ilvl w:val="0"/>
          <w:numId w:val="180"/>
        </w:num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En ningún caso la protección derivada de esta Ley eximirá a la persona denunciante de las responsabilidades en que haya podido incurrir por hechos diferentes de los que constituyan el objeto de la denuncia.</w:t>
      </w:r>
    </w:p>
    <w:p w14:paraId="1A7A9CE6"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
          <w:bCs/>
          <w:color w:val="9D2235" w:themeColor="accent1"/>
          <w:sz w:val="21"/>
          <w:szCs w:val="21"/>
        </w:rPr>
        <w:t>Sobre la naturaleza jurídica de la Autoridad Independiente de Protección del Informante</w:t>
      </w:r>
      <w:r w:rsidRPr="00C6190C">
        <w:rPr>
          <w:rFonts w:ascii="Arial" w:eastAsia="Times New Roman" w:hAnsi="Arial" w:cs="Arial"/>
          <w:bCs/>
          <w:sz w:val="21"/>
          <w:szCs w:val="21"/>
        </w:rPr>
        <w:t xml:space="preserve">, se expone que la </w:t>
      </w:r>
      <w:hyperlink r:id="rId283" w:history="1">
        <w:r w:rsidRPr="00C6190C">
          <w:rPr>
            <w:rStyle w:val="Hipervnculo"/>
            <w:rFonts w:ascii="Arial" w:eastAsia="Times New Roman" w:hAnsi="Arial" w:cs="Arial"/>
            <w:bCs/>
            <w:sz w:val="21"/>
            <w:szCs w:val="21"/>
          </w:rPr>
          <w:t>Convención de Naciones Unidas contra la Corrupción</w:t>
        </w:r>
      </w:hyperlink>
      <w:r w:rsidRPr="00C6190C">
        <w:rPr>
          <w:rFonts w:ascii="Arial" w:eastAsia="Times New Roman" w:hAnsi="Arial" w:cs="Arial"/>
          <w:bCs/>
          <w:sz w:val="21"/>
          <w:szCs w:val="21"/>
        </w:rPr>
        <w:t>, en vigor en España desde 2006, recoge la conveniencia de que cada Estado parte se cerciore de disponer de uno o más órganos o personas especializadas en la lucha contra la corrupción mediante la aplicación coercitiva de la ley. Añade la Convención que este órgano u órganos y personas especializadas deben de gozar de la independencia necesaria para desempeñar sus funciones con eficacia y sin presiones indebidas, con la formación adecuada y recursos suficientes.</w:t>
      </w:r>
    </w:p>
    <w:p w14:paraId="3213DC46"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Igualmente, el artículo 19 de la Directiva </w:t>
      </w:r>
      <w:r w:rsidRPr="00C6190C">
        <w:rPr>
          <w:rFonts w:ascii="Arial" w:eastAsia="Times New Roman" w:hAnsi="Arial" w:cs="Arial"/>
          <w:bCs/>
          <w:iCs/>
          <w:sz w:val="21"/>
          <w:szCs w:val="21"/>
        </w:rPr>
        <w:t xml:space="preserve">(UE) 2019/1937 </w:t>
      </w:r>
      <w:r w:rsidRPr="00C6190C">
        <w:rPr>
          <w:rFonts w:ascii="Arial" w:eastAsia="Times New Roman" w:hAnsi="Arial" w:cs="Arial"/>
          <w:bCs/>
          <w:sz w:val="21"/>
          <w:szCs w:val="21"/>
        </w:rPr>
        <w:t>señala que los Estados miembros velarán por que las autoridades competentes establezcan canales de denuncia externa, independientes y autónomos, para la recepción y el tratamiento de la información sobre infracciones.</w:t>
      </w:r>
    </w:p>
    <w:p w14:paraId="069115FC"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Sin embargo, a través de la creación de estas Autoridades Administrativas Independientes de ámbito estatal, conforme disponen los artículos 109 y 110 de la Ley 40/2015, de 1 de octubre, de Régimen Jurídico del Sector Público, el legislador pretende reforzar la neutralidad de sus actuaciones y evitar injerencias y controles por parte del Gobierno o la Administración en atención a las funciones que realizan. </w:t>
      </w:r>
    </w:p>
    <w:p w14:paraId="6C239112"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Así, el modelo de la AVAF, que es común al resto de oficinas antifraude autonómicas que se encuentran en funcionamiento (Cataluña, Baleares y Andalucía) son entidades públicas adscritas a los parlamentos, con personalidad jurídica propia y plena capacidad de obrar para el cumplimiento de sus funciones, que actúan con independencia de las administraciones públicas que están sometidas a su ámbito de actuación.</w:t>
      </w:r>
    </w:p>
    <w:p w14:paraId="19EFF40E"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En todas ellas, sus rasgos característicos son los siguientes:</w:t>
      </w:r>
    </w:p>
    <w:p w14:paraId="3224382F" w14:textId="77777777" w:rsidR="00C6190C" w:rsidRPr="00C6190C" w:rsidRDefault="00C6190C" w:rsidP="00C6190C">
      <w:pPr>
        <w:numPr>
          <w:ilvl w:val="0"/>
          <w:numId w:val="182"/>
        </w:numPr>
        <w:spacing w:after="120" w:line="276" w:lineRule="auto"/>
        <w:ind w:left="714" w:hanging="357"/>
        <w:jc w:val="both"/>
        <w:rPr>
          <w:rFonts w:ascii="Arial" w:eastAsia="Times New Roman" w:hAnsi="Arial" w:cs="Arial"/>
          <w:bCs/>
          <w:sz w:val="21"/>
          <w:szCs w:val="21"/>
        </w:rPr>
      </w:pPr>
      <w:r w:rsidRPr="00C6190C">
        <w:rPr>
          <w:rFonts w:ascii="Arial" w:eastAsia="Times New Roman" w:hAnsi="Arial" w:cs="Arial"/>
          <w:bCs/>
          <w:sz w:val="21"/>
          <w:szCs w:val="21"/>
        </w:rPr>
        <w:t>Se trata de un órgano unipersonal, presidido por la figura de un director o directora quien debe contar con los recursos humanos y materiales necesarios, organizados bajo una estructura diseñada por la propia dirección.</w:t>
      </w:r>
    </w:p>
    <w:p w14:paraId="47F89AF7" w14:textId="77777777" w:rsidR="00C6190C" w:rsidRPr="00C6190C" w:rsidRDefault="00C6190C" w:rsidP="00C6190C">
      <w:pPr>
        <w:numPr>
          <w:ilvl w:val="0"/>
          <w:numId w:val="182"/>
        </w:numPr>
        <w:spacing w:after="120" w:line="276" w:lineRule="auto"/>
        <w:ind w:left="714" w:hanging="357"/>
        <w:jc w:val="both"/>
        <w:rPr>
          <w:rFonts w:ascii="Arial" w:eastAsia="Times New Roman" w:hAnsi="Arial" w:cs="Arial"/>
          <w:bCs/>
          <w:sz w:val="21"/>
          <w:szCs w:val="21"/>
        </w:rPr>
      </w:pPr>
      <w:r w:rsidRPr="00C6190C">
        <w:rPr>
          <w:rFonts w:ascii="Arial" w:eastAsia="Times New Roman" w:hAnsi="Arial" w:cs="Arial"/>
          <w:bCs/>
          <w:sz w:val="21"/>
          <w:szCs w:val="21"/>
        </w:rPr>
        <w:t>Son entidades dotadas de independencia funcional y con autonomía institucional. Solo desde su posición de independencia, garantizada legalmente, pueden cumplir eficazmente las funciones que tienen asignadas.</w:t>
      </w:r>
    </w:p>
    <w:p w14:paraId="560D78E8" w14:textId="77777777" w:rsidR="00C6190C" w:rsidRPr="00C6190C" w:rsidRDefault="00C6190C" w:rsidP="00C6190C">
      <w:pPr>
        <w:numPr>
          <w:ilvl w:val="0"/>
          <w:numId w:val="182"/>
        </w:numPr>
        <w:spacing w:after="120" w:line="276" w:lineRule="auto"/>
        <w:ind w:left="714" w:hanging="357"/>
        <w:jc w:val="both"/>
        <w:rPr>
          <w:rFonts w:ascii="Arial" w:eastAsia="Times New Roman" w:hAnsi="Arial" w:cs="Arial"/>
          <w:bCs/>
          <w:sz w:val="21"/>
          <w:szCs w:val="21"/>
        </w:rPr>
      </w:pPr>
      <w:r w:rsidRPr="00C6190C">
        <w:rPr>
          <w:rFonts w:ascii="Arial" w:eastAsia="Times New Roman" w:hAnsi="Arial" w:cs="Arial"/>
          <w:bCs/>
          <w:sz w:val="21"/>
          <w:szCs w:val="21"/>
        </w:rPr>
        <w:t xml:space="preserve">Son órganos de prevención y también de control externo. El fomento de la ética y la integridad pública, la prevención de los conflictos de interés y la investigación del fraude, la corrupción y otras irregularidades, integran de forma destacada su núcleo de atribuciones. </w:t>
      </w:r>
    </w:p>
    <w:p w14:paraId="19055D87" w14:textId="77777777" w:rsidR="00C6190C" w:rsidRPr="00C6190C" w:rsidRDefault="00C6190C" w:rsidP="00C6190C">
      <w:pPr>
        <w:numPr>
          <w:ilvl w:val="0"/>
          <w:numId w:val="182"/>
        </w:numPr>
        <w:spacing w:after="120" w:line="276" w:lineRule="auto"/>
        <w:ind w:left="714" w:hanging="357"/>
        <w:jc w:val="both"/>
        <w:rPr>
          <w:rFonts w:ascii="Arial" w:eastAsia="Times New Roman" w:hAnsi="Arial" w:cs="Arial"/>
          <w:bCs/>
          <w:sz w:val="21"/>
          <w:szCs w:val="21"/>
        </w:rPr>
      </w:pPr>
      <w:r w:rsidRPr="00C6190C">
        <w:rPr>
          <w:rFonts w:ascii="Arial" w:eastAsia="Times New Roman" w:hAnsi="Arial" w:cs="Arial"/>
          <w:bCs/>
          <w:sz w:val="21"/>
          <w:szCs w:val="21"/>
        </w:rPr>
        <w:t>Se trata de órganos especializados, siendo esta especialización en prevención y lucha contra la corrupción uno de los rasgos diferenciales respecto de otros organismos que también tienen atribuciones de control interno o externo.</w:t>
      </w:r>
    </w:p>
    <w:p w14:paraId="5A6C36E8" w14:textId="7271CA62" w:rsidR="00C6190C" w:rsidRPr="00C6190C" w:rsidRDefault="00C6190C" w:rsidP="00C6190C">
      <w:pPr>
        <w:numPr>
          <w:ilvl w:val="0"/>
          <w:numId w:val="182"/>
        </w:num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Tanto el director como su personal con funciones inspectoras ostentan la condición de autoridad</w:t>
      </w:r>
      <w:r w:rsidR="00A1142B">
        <w:rPr>
          <w:rFonts w:ascii="Arial" w:eastAsia="Times New Roman" w:hAnsi="Arial" w:cs="Arial"/>
          <w:bCs/>
          <w:sz w:val="21"/>
          <w:szCs w:val="21"/>
        </w:rPr>
        <w:t xml:space="preserve"> </w:t>
      </w:r>
      <w:r w:rsidRPr="00C6190C">
        <w:rPr>
          <w:rFonts w:ascii="Arial" w:eastAsia="Times New Roman" w:hAnsi="Arial" w:cs="Arial"/>
          <w:bCs/>
          <w:sz w:val="21"/>
          <w:szCs w:val="21"/>
        </w:rPr>
        <w:t>pública, lo que se complementa en todos los casos (excepto en Cataluña) con la potestad sancionadora prevista en sus normas fundacionales.</w:t>
      </w:r>
    </w:p>
    <w:p w14:paraId="39C301A4"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En consecuencia, debería valorarse la integración en esta Autoridad Nacional de Lucha contra la Corrupción de algunas estructuras estatales ya existentes, cuyas funciones pueden resituarse bajo el mismo paraguas: la regulación, supervisión y evaluación de la contratación pública, la coordinación de las acciones encaminadas a proteger los intereses financieros de la Unión Europea o el control de los conflictos de intereses de altos cargos. </w:t>
      </w:r>
    </w:p>
    <w:p w14:paraId="163DC23C"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
          <w:bCs/>
          <w:color w:val="9D2235" w:themeColor="accent1"/>
          <w:sz w:val="21"/>
          <w:szCs w:val="21"/>
        </w:rPr>
        <w:t>Sobre la persona al frente de la Autoridad Independiente de Protección del Informante</w:t>
      </w:r>
      <w:r w:rsidRPr="00C6190C">
        <w:rPr>
          <w:rFonts w:ascii="Arial" w:eastAsia="Times New Roman" w:hAnsi="Arial" w:cs="Arial"/>
          <w:bCs/>
          <w:sz w:val="21"/>
          <w:szCs w:val="21"/>
        </w:rPr>
        <w:t xml:space="preserve">, se propone que pueda tomarse como referencia la regulación establecida en el </w:t>
      </w:r>
      <w:hyperlink r:id="rId284" w:history="1">
        <w:r w:rsidRPr="00C6190C">
          <w:rPr>
            <w:rStyle w:val="Hipervnculo"/>
            <w:rFonts w:ascii="Arial" w:eastAsia="Times New Roman" w:hAnsi="Arial" w:cs="Arial"/>
            <w:bCs/>
            <w:sz w:val="21"/>
            <w:szCs w:val="21"/>
          </w:rPr>
          <w:t>artículo 26 de la Ley 11/2016, de 28 de noviembre, de la Agencia de Prevención y Lucha contra el Fraude y la Corrupción de la Comunitat Valenciana,</w:t>
        </w:r>
      </w:hyperlink>
      <w:r w:rsidRPr="00C6190C">
        <w:rPr>
          <w:rFonts w:ascii="Arial" w:eastAsia="Times New Roman" w:hAnsi="Arial" w:cs="Arial"/>
          <w:bCs/>
          <w:sz w:val="21"/>
          <w:szCs w:val="21"/>
        </w:rPr>
        <w:t xml:space="preserve"> rubricado “el estatuto personal de la dirección de la Agencia”. </w:t>
      </w:r>
    </w:p>
    <w:p w14:paraId="7B11FEC4"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Conforme a dicho precepto, la persona titular de la AVAF se elige por el parlamento valenciano, entre personas candidatas propuestas por organizaciones sociales que trabajan contra el fraude y la corrupción y por los grupos parlamentarios, debiendo en el marco de una convocatoria pública realizada al efecto comparecer ante la Comisión correspondiente a fin de ser evaluadas con relación a las condiciones requeridas para el cargo: idoneidad, probidad y profesionalidad y contar con más de diez años de actividad laboral o profesional relacionada con el ámbito funcional. El acuerdo alcanzado en esta Comisión es trasladado al Pleno de las Corts Valencianes, debiendo obtener la persona elegida a su favor una mayoría reforzada, en este caso de tres quintas partes. </w:t>
      </w:r>
    </w:p>
    <w:p w14:paraId="2D5E6E42"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Así, la sociedad civil, organizada y especializada dentro de este ámbito, participa de forma activa en la presentación de las personas candidatas. La persona elegida deberá rendir cuentas de su gestión, no solo ante el órgano de poder legislativo, por medio de la presentación de una Memoria de actividad anual, otros informes y posibles comparecencias, sino también ante la ciudadanía (</w:t>
      </w:r>
      <w:hyperlink r:id="rId285" w:history="1">
        <w:r w:rsidRPr="00C6190C">
          <w:rPr>
            <w:rStyle w:val="Hipervnculo"/>
            <w:rFonts w:ascii="Arial" w:eastAsia="Times New Roman" w:hAnsi="Arial" w:cs="Arial"/>
            <w:bCs/>
            <w:sz w:val="21"/>
            <w:szCs w:val="21"/>
          </w:rPr>
          <w:t>artículos 22 a 25 de la Ley 11/2016, de la Generalitat</w:t>
        </w:r>
      </w:hyperlink>
      <w:r w:rsidRPr="00C6190C">
        <w:rPr>
          <w:rFonts w:ascii="Arial" w:eastAsia="Times New Roman" w:hAnsi="Arial" w:cs="Arial"/>
          <w:bCs/>
          <w:sz w:val="21"/>
          <w:szCs w:val="21"/>
        </w:rPr>
        <w:t>).</w:t>
      </w:r>
    </w:p>
    <w:p w14:paraId="36595E54"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En este sentido, el </w:t>
      </w:r>
      <w:hyperlink r:id="rId286" w:history="1">
        <w:r w:rsidRPr="00C6190C">
          <w:rPr>
            <w:rStyle w:val="Hipervnculo"/>
            <w:rFonts w:ascii="Arial" w:eastAsia="Times New Roman" w:hAnsi="Arial" w:cs="Arial"/>
            <w:bCs/>
            <w:sz w:val="21"/>
            <w:szCs w:val="21"/>
          </w:rPr>
          <w:t>Reglamento de funcionamiento y régimen interior de la Agencia Valenciana Antifraude, en sus artículos 24 a 26</w:t>
        </w:r>
      </w:hyperlink>
      <w:r w:rsidRPr="00C6190C">
        <w:rPr>
          <w:rFonts w:ascii="Arial" w:eastAsia="Times New Roman" w:hAnsi="Arial" w:cs="Arial"/>
          <w:bCs/>
          <w:sz w:val="21"/>
          <w:szCs w:val="21"/>
        </w:rPr>
        <w:t xml:space="preserve"> crea y regula el Consejo de Participación, que se compone de más de doce organizaciones civiles y personas expertas y se configura como órgano asesor y de consulta de la AVAF y cauce para la participación de la sociedad civil, dentro del ámbito de la prevención y lucha contra el fraude y la corrupción, la transparencia en la actividad pública y la calidad democrática, en aras al mejor cumplimiento de sus funciones y fines. Su finalidad es impulsar la vinculación de la Agencia con la sociedad civil y la ciudadanía facilitando su comunicación y relación.</w:t>
      </w:r>
    </w:p>
    <w:p w14:paraId="0249B594"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En cuanto a las segundas, las </w:t>
      </w:r>
      <w:hyperlink r:id="rId287" w:history="1">
        <w:r w:rsidRPr="004E1F04">
          <w:rPr>
            <w:rStyle w:val="Hipervnculo"/>
            <w:rFonts w:ascii="Arial" w:eastAsia="Times New Roman" w:hAnsi="Arial" w:cs="Arial"/>
            <w:sz w:val="21"/>
            <w:szCs w:val="21"/>
          </w:rPr>
          <w:t>“Observaciones de carácter particular en relación con algunos preceptos del Anteproyecto de Ley”</w:t>
        </w:r>
      </w:hyperlink>
      <w:r w:rsidRPr="00C6190C">
        <w:rPr>
          <w:rFonts w:ascii="Arial" w:eastAsia="Times New Roman" w:hAnsi="Arial" w:cs="Arial"/>
          <w:bCs/>
          <w:sz w:val="21"/>
          <w:szCs w:val="21"/>
        </w:rPr>
        <w:t xml:space="preserve"> se refieren, en concreto, a los siguientes artículos del texto:</w:t>
      </w:r>
    </w:p>
    <w:p w14:paraId="67AD5EEB" w14:textId="77777777" w:rsidR="00C6190C" w:rsidRPr="0086198F" w:rsidRDefault="00C6190C" w:rsidP="00E7339A">
      <w:pPr>
        <w:numPr>
          <w:ilvl w:val="0"/>
          <w:numId w:val="179"/>
        </w:numPr>
        <w:spacing w:after="120" w:line="276" w:lineRule="auto"/>
        <w:ind w:left="714" w:hanging="357"/>
        <w:jc w:val="both"/>
        <w:rPr>
          <w:rFonts w:ascii="Arial" w:eastAsia="Times New Roman" w:hAnsi="Arial" w:cs="Arial"/>
          <w:bCs/>
          <w:sz w:val="20"/>
          <w:szCs w:val="20"/>
        </w:rPr>
      </w:pPr>
      <w:r w:rsidRPr="0086198F">
        <w:rPr>
          <w:rFonts w:ascii="Arial" w:eastAsia="Times New Roman" w:hAnsi="Arial" w:cs="Arial"/>
          <w:bCs/>
          <w:sz w:val="20"/>
          <w:szCs w:val="20"/>
        </w:rPr>
        <w:t>Artículo 7. Canales internos de información</w:t>
      </w:r>
    </w:p>
    <w:p w14:paraId="011F40E1" w14:textId="77777777" w:rsidR="00C6190C" w:rsidRPr="0086198F" w:rsidRDefault="00C6190C" w:rsidP="00E7339A">
      <w:pPr>
        <w:numPr>
          <w:ilvl w:val="0"/>
          <w:numId w:val="179"/>
        </w:numPr>
        <w:spacing w:after="120" w:line="276" w:lineRule="auto"/>
        <w:ind w:left="714" w:hanging="357"/>
        <w:jc w:val="both"/>
        <w:rPr>
          <w:rFonts w:ascii="Arial" w:eastAsia="Times New Roman" w:hAnsi="Arial" w:cs="Arial"/>
          <w:bCs/>
          <w:sz w:val="20"/>
          <w:szCs w:val="20"/>
        </w:rPr>
      </w:pPr>
      <w:r w:rsidRPr="0086198F">
        <w:rPr>
          <w:rFonts w:ascii="Arial" w:eastAsia="Times New Roman" w:hAnsi="Arial" w:cs="Arial"/>
          <w:bCs/>
          <w:sz w:val="20"/>
          <w:szCs w:val="20"/>
        </w:rPr>
        <w:t>Artículo 9. Responsable del sistema interno de información</w:t>
      </w:r>
    </w:p>
    <w:p w14:paraId="2708B39C" w14:textId="77777777" w:rsidR="00C6190C" w:rsidRPr="0086198F" w:rsidRDefault="00C6190C" w:rsidP="00E7339A">
      <w:pPr>
        <w:numPr>
          <w:ilvl w:val="0"/>
          <w:numId w:val="179"/>
        </w:numPr>
        <w:spacing w:after="120" w:line="276" w:lineRule="auto"/>
        <w:ind w:left="714" w:hanging="357"/>
        <w:jc w:val="both"/>
        <w:rPr>
          <w:rFonts w:ascii="Arial" w:eastAsia="Times New Roman" w:hAnsi="Arial" w:cs="Arial"/>
          <w:bCs/>
          <w:sz w:val="20"/>
          <w:szCs w:val="20"/>
        </w:rPr>
      </w:pPr>
      <w:r w:rsidRPr="0086198F">
        <w:rPr>
          <w:rFonts w:ascii="Arial" w:eastAsia="Times New Roman" w:hAnsi="Arial" w:cs="Arial"/>
          <w:bCs/>
          <w:sz w:val="20"/>
          <w:szCs w:val="20"/>
        </w:rPr>
        <w:t>Artículo 13.5. Entidades obligadas en el sector público</w:t>
      </w:r>
    </w:p>
    <w:p w14:paraId="13DF202C" w14:textId="77777777" w:rsidR="00C6190C" w:rsidRPr="0086198F" w:rsidRDefault="00C6190C" w:rsidP="00E7339A">
      <w:pPr>
        <w:numPr>
          <w:ilvl w:val="0"/>
          <w:numId w:val="179"/>
        </w:numPr>
        <w:spacing w:after="120" w:line="276" w:lineRule="auto"/>
        <w:ind w:left="714" w:hanging="357"/>
        <w:jc w:val="both"/>
        <w:rPr>
          <w:rFonts w:ascii="Arial" w:eastAsia="Times New Roman" w:hAnsi="Arial" w:cs="Arial"/>
          <w:bCs/>
          <w:sz w:val="20"/>
          <w:szCs w:val="20"/>
        </w:rPr>
      </w:pPr>
      <w:r w:rsidRPr="0086198F">
        <w:rPr>
          <w:rFonts w:ascii="Arial" w:eastAsia="Times New Roman" w:hAnsi="Arial" w:cs="Arial"/>
          <w:bCs/>
          <w:sz w:val="20"/>
          <w:szCs w:val="20"/>
        </w:rPr>
        <w:t>Artículo 20. Terminación de las actuaciones</w:t>
      </w:r>
    </w:p>
    <w:p w14:paraId="71E1F54F" w14:textId="77777777" w:rsidR="00C6190C" w:rsidRPr="0086198F" w:rsidRDefault="00C6190C" w:rsidP="00E7339A">
      <w:pPr>
        <w:numPr>
          <w:ilvl w:val="0"/>
          <w:numId w:val="179"/>
        </w:numPr>
        <w:spacing w:after="120" w:line="276" w:lineRule="auto"/>
        <w:ind w:left="714" w:hanging="357"/>
        <w:jc w:val="both"/>
        <w:rPr>
          <w:rFonts w:ascii="Arial" w:eastAsia="Times New Roman" w:hAnsi="Arial" w:cs="Arial"/>
          <w:bCs/>
          <w:sz w:val="20"/>
          <w:szCs w:val="20"/>
        </w:rPr>
      </w:pPr>
      <w:r w:rsidRPr="0086198F">
        <w:rPr>
          <w:rFonts w:ascii="Arial" w:eastAsia="Times New Roman" w:hAnsi="Arial" w:cs="Arial"/>
          <w:bCs/>
          <w:sz w:val="20"/>
          <w:szCs w:val="20"/>
        </w:rPr>
        <w:t>Artículo 21. Derechos y garantías del informante ante la Autoridad Independiente de Protección del Informante</w:t>
      </w:r>
    </w:p>
    <w:p w14:paraId="048CDE89" w14:textId="77777777" w:rsidR="00C6190C" w:rsidRPr="0086198F" w:rsidRDefault="00C6190C" w:rsidP="00E7339A">
      <w:pPr>
        <w:numPr>
          <w:ilvl w:val="0"/>
          <w:numId w:val="179"/>
        </w:numPr>
        <w:spacing w:after="120" w:line="276" w:lineRule="auto"/>
        <w:ind w:left="714" w:hanging="357"/>
        <w:jc w:val="both"/>
        <w:rPr>
          <w:rFonts w:ascii="Arial" w:eastAsia="Times New Roman" w:hAnsi="Arial" w:cs="Arial"/>
          <w:bCs/>
          <w:sz w:val="20"/>
          <w:szCs w:val="20"/>
        </w:rPr>
      </w:pPr>
      <w:r w:rsidRPr="0086198F">
        <w:rPr>
          <w:rFonts w:ascii="Arial" w:eastAsia="Times New Roman" w:hAnsi="Arial" w:cs="Arial"/>
          <w:bCs/>
          <w:sz w:val="20"/>
          <w:szCs w:val="20"/>
        </w:rPr>
        <w:t>Artículo 28. Condiciones de protección (revelación pública)</w:t>
      </w:r>
    </w:p>
    <w:p w14:paraId="2B41EF2F" w14:textId="77777777" w:rsidR="00C6190C" w:rsidRPr="0086198F" w:rsidRDefault="00C6190C" w:rsidP="00E7339A">
      <w:pPr>
        <w:numPr>
          <w:ilvl w:val="0"/>
          <w:numId w:val="179"/>
        </w:numPr>
        <w:spacing w:after="120" w:line="276" w:lineRule="auto"/>
        <w:ind w:left="714" w:hanging="357"/>
        <w:jc w:val="both"/>
        <w:rPr>
          <w:rFonts w:ascii="Arial" w:eastAsia="Times New Roman" w:hAnsi="Arial" w:cs="Arial"/>
          <w:bCs/>
          <w:sz w:val="20"/>
          <w:szCs w:val="20"/>
        </w:rPr>
      </w:pPr>
      <w:r w:rsidRPr="0086198F">
        <w:rPr>
          <w:rFonts w:ascii="Arial" w:eastAsia="Times New Roman" w:hAnsi="Arial" w:cs="Arial"/>
          <w:bCs/>
          <w:sz w:val="20"/>
          <w:szCs w:val="20"/>
        </w:rPr>
        <w:t>Artículo 35. Condiciones de protección</w:t>
      </w:r>
    </w:p>
    <w:p w14:paraId="1B81A782" w14:textId="77777777" w:rsidR="00C6190C" w:rsidRPr="0086198F" w:rsidRDefault="00C6190C" w:rsidP="00E7339A">
      <w:pPr>
        <w:numPr>
          <w:ilvl w:val="0"/>
          <w:numId w:val="179"/>
        </w:numPr>
        <w:spacing w:after="120" w:line="276" w:lineRule="auto"/>
        <w:ind w:left="714" w:hanging="357"/>
        <w:jc w:val="both"/>
        <w:rPr>
          <w:rFonts w:ascii="Arial" w:eastAsia="Times New Roman" w:hAnsi="Arial" w:cs="Arial"/>
          <w:bCs/>
          <w:sz w:val="20"/>
          <w:szCs w:val="20"/>
        </w:rPr>
      </w:pPr>
      <w:r w:rsidRPr="0086198F">
        <w:rPr>
          <w:rFonts w:ascii="Arial" w:eastAsia="Times New Roman" w:hAnsi="Arial" w:cs="Arial"/>
          <w:bCs/>
          <w:sz w:val="20"/>
          <w:szCs w:val="20"/>
        </w:rPr>
        <w:t>Artículos 36 a 38. Prohibición de represalias, Medidas de apoyo y Medidas de protección frente a represalias.</w:t>
      </w:r>
    </w:p>
    <w:p w14:paraId="5803DA00" w14:textId="77777777" w:rsidR="00C6190C" w:rsidRPr="0086198F" w:rsidRDefault="00C6190C" w:rsidP="00E7339A">
      <w:pPr>
        <w:numPr>
          <w:ilvl w:val="0"/>
          <w:numId w:val="179"/>
        </w:numPr>
        <w:spacing w:after="120" w:line="276" w:lineRule="auto"/>
        <w:ind w:left="714" w:hanging="357"/>
        <w:jc w:val="both"/>
        <w:rPr>
          <w:rFonts w:ascii="Arial" w:eastAsia="Times New Roman" w:hAnsi="Arial" w:cs="Arial"/>
          <w:bCs/>
          <w:sz w:val="20"/>
          <w:szCs w:val="20"/>
        </w:rPr>
      </w:pPr>
      <w:r w:rsidRPr="0086198F">
        <w:rPr>
          <w:rFonts w:ascii="Arial" w:eastAsia="Times New Roman" w:hAnsi="Arial" w:cs="Arial"/>
          <w:bCs/>
          <w:sz w:val="20"/>
          <w:szCs w:val="20"/>
        </w:rPr>
        <w:t>Artículo 39. Medidas para la protección de las personas investigadas</w:t>
      </w:r>
    </w:p>
    <w:p w14:paraId="26CF1F8C" w14:textId="77777777" w:rsidR="00C6190C" w:rsidRPr="0086198F" w:rsidRDefault="00C6190C" w:rsidP="00E7339A">
      <w:pPr>
        <w:numPr>
          <w:ilvl w:val="0"/>
          <w:numId w:val="179"/>
        </w:numPr>
        <w:spacing w:after="120" w:line="276" w:lineRule="auto"/>
        <w:ind w:left="714" w:hanging="357"/>
        <w:jc w:val="both"/>
        <w:rPr>
          <w:rFonts w:ascii="Arial" w:eastAsia="Times New Roman" w:hAnsi="Arial" w:cs="Arial"/>
          <w:bCs/>
          <w:sz w:val="20"/>
          <w:szCs w:val="20"/>
        </w:rPr>
      </w:pPr>
      <w:r w:rsidRPr="0086198F">
        <w:rPr>
          <w:rFonts w:ascii="Arial" w:eastAsia="Times New Roman" w:hAnsi="Arial" w:cs="Arial"/>
          <w:bCs/>
          <w:sz w:val="20"/>
          <w:szCs w:val="20"/>
        </w:rPr>
        <w:t>Artículo 40. Programas de clemencia</w:t>
      </w:r>
    </w:p>
    <w:p w14:paraId="72FA06C3" w14:textId="77777777" w:rsidR="00C6190C" w:rsidRPr="0086198F" w:rsidRDefault="00C6190C" w:rsidP="00E7339A">
      <w:pPr>
        <w:numPr>
          <w:ilvl w:val="0"/>
          <w:numId w:val="179"/>
        </w:numPr>
        <w:spacing w:after="120" w:line="276" w:lineRule="auto"/>
        <w:ind w:left="714" w:hanging="357"/>
        <w:jc w:val="both"/>
        <w:rPr>
          <w:rFonts w:ascii="Arial" w:eastAsia="Times New Roman" w:hAnsi="Arial" w:cs="Arial"/>
          <w:bCs/>
          <w:sz w:val="20"/>
          <w:szCs w:val="20"/>
        </w:rPr>
      </w:pPr>
      <w:r w:rsidRPr="0086198F">
        <w:rPr>
          <w:rFonts w:ascii="Arial" w:eastAsia="Times New Roman" w:hAnsi="Arial" w:cs="Arial"/>
          <w:bCs/>
          <w:sz w:val="20"/>
          <w:szCs w:val="20"/>
        </w:rPr>
        <w:t>Artículo 41. Autoridades competentes</w:t>
      </w:r>
    </w:p>
    <w:p w14:paraId="7CE25CEC" w14:textId="77777777" w:rsidR="00C6190C" w:rsidRPr="0086198F" w:rsidRDefault="00C6190C" w:rsidP="00E7339A">
      <w:pPr>
        <w:numPr>
          <w:ilvl w:val="0"/>
          <w:numId w:val="179"/>
        </w:numPr>
        <w:spacing w:after="120" w:line="276" w:lineRule="auto"/>
        <w:ind w:left="714" w:hanging="357"/>
        <w:jc w:val="both"/>
        <w:rPr>
          <w:rFonts w:ascii="Arial" w:eastAsia="Times New Roman" w:hAnsi="Arial" w:cs="Arial"/>
          <w:bCs/>
          <w:sz w:val="20"/>
          <w:szCs w:val="20"/>
        </w:rPr>
      </w:pPr>
      <w:r w:rsidRPr="0086198F">
        <w:rPr>
          <w:rFonts w:ascii="Arial" w:eastAsia="Times New Roman" w:hAnsi="Arial" w:cs="Arial"/>
          <w:bCs/>
          <w:sz w:val="20"/>
          <w:szCs w:val="20"/>
        </w:rPr>
        <w:t>Artículo 44. Régimen jurídico</w:t>
      </w:r>
    </w:p>
    <w:p w14:paraId="1313D421" w14:textId="77777777" w:rsidR="00C6190C" w:rsidRPr="0086198F" w:rsidRDefault="00C6190C" w:rsidP="00E7339A">
      <w:pPr>
        <w:numPr>
          <w:ilvl w:val="0"/>
          <w:numId w:val="179"/>
        </w:numPr>
        <w:spacing w:after="120" w:line="276" w:lineRule="auto"/>
        <w:ind w:left="714" w:hanging="357"/>
        <w:jc w:val="both"/>
        <w:rPr>
          <w:rFonts w:ascii="Arial" w:eastAsia="Times New Roman" w:hAnsi="Arial" w:cs="Arial"/>
          <w:bCs/>
          <w:sz w:val="20"/>
          <w:szCs w:val="20"/>
        </w:rPr>
      </w:pPr>
      <w:r w:rsidRPr="0086198F">
        <w:rPr>
          <w:rFonts w:ascii="Arial" w:eastAsia="Times New Roman" w:hAnsi="Arial" w:cs="Arial"/>
          <w:bCs/>
          <w:sz w:val="20"/>
          <w:szCs w:val="20"/>
        </w:rPr>
        <w:t>Artículo 45. Régimen de personal</w:t>
      </w:r>
    </w:p>
    <w:p w14:paraId="7ABDBC58" w14:textId="77777777" w:rsidR="00C6190C" w:rsidRPr="0086198F" w:rsidRDefault="00C6190C" w:rsidP="00E7339A">
      <w:pPr>
        <w:numPr>
          <w:ilvl w:val="0"/>
          <w:numId w:val="179"/>
        </w:numPr>
        <w:spacing w:after="120" w:line="276" w:lineRule="auto"/>
        <w:ind w:left="714" w:hanging="357"/>
        <w:jc w:val="both"/>
        <w:rPr>
          <w:rFonts w:ascii="Arial" w:eastAsia="Times New Roman" w:hAnsi="Arial" w:cs="Arial"/>
          <w:bCs/>
          <w:sz w:val="20"/>
          <w:szCs w:val="20"/>
        </w:rPr>
      </w:pPr>
      <w:r w:rsidRPr="0086198F">
        <w:rPr>
          <w:rFonts w:ascii="Arial" w:eastAsia="Times New Roman" w:hAnsi="Arial" w:cs="Arial"/>
          <w:bCs/>
          <w:sz w:val="20"/>
          <w:szCs w:val="20"/>
        </w:rPr>
        <w:t>Artículo 62. Sujetos responsables (sanciones)</w:t>
      </w:r>
    </w:p>
    <w:p w14:paraId="5BEF6B50" w14:textId="77777777" w:rsidR="00C6190C" w:rsidRPr="00C6190C" w:rsidRDefault="00C6190C" w:rsidP="00C6190C">
      <w:pPr>
        <w:numPr>
          <w:ilvl w:val="0"/>
          <w:numId w:val="179"/>
        </w:numPr>
        <w:spacing w:after="240" w:line="276" w:lineRule="auto"/>
        <w:jc w:val="both"/>
        <w:rPr>
          <w:rFonts w:ascii="Arial" w:eastAsia="Times New Roman" w:hAnsi="Arial" w:cs="Arial"/>
          <w:bCs/>
          <w:sz w:val="21"/>
          <w:szCs w:val="21"/>
        </w:rPr>
      </w:pPr>
      <w:r w:rsidRPr="0086198F">
        <w:rPr>
          <w:rFonts w:ascii="Arial" w:eastAsia="Times New Roman" w:hAnsi="Arial" w:cs="Arial"/>
          <w:bCs/>
          <w:sz w:val="20"/>
          <w:szCs w:val="20"/>
        </w:rPr>
        <w:t>Disposición final sexta. Títulos competenciales</w:t>
      </w:r>
    </w:p>
    <w:p w14:paraId="688035C3"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De gran interés resulta, a nuestro juicio, la lectura en el documento enlazado de las observaciones que realiza esta Agencia a cada uno de los anteriores preceptos. </w:t>
      </w:r>
    </w:p>
    <w:p w14:paraId="7889B900" w14:textId="77777777" w:rsidR="00C6190C" w:rsidRPr="00C6190C" w:rsidRDefault="00C6190C" w:rsidP="00C6190C">
      <w:pPr>
        <w:spacing w:after="240" w:line="276" w:lineRule="auto"/>
        <w:jc w:val="both"/>
        <w:rPr>
          <w:rFonts w:ascii="Arial" w:eastAsia="Times New Roman" w:hAnsi="Arial" w:cs="Arial"/>
          <w:bCs/>
          <w:sz w:val="21"/>
          <w:szCs w:val="21"/>
        </w:rPr>
      </w:pPr>
      <w:r w:rsidRPr="00C6190C">
        <w:rPr>
          <w:rFonts w:ascii="Arial" w:eastAsia="Times New Roman" w:hAnsi="Arial" w:cs="Arial"/>
          <w:bCs/>
          <w:sz w:val="21"/>
          <w:szCs w:val="21"/>
        </w:rPr>
        <w:t xml:space="preserve">No obstante, a continuación, reproducimos en esta Memoria de actividad, por su gran relevancia y para conocimiento de los diputados y diputadas de las Cortes Valencianas, el contenido literal de la alegación que con relación a la </w:t>
      </w:r>
      <w:r w:rsidRPr="00E3127D">
        <w:rPr>
          <w:rFonts w:ascii="Arial" w:eastAsia="Times New Roman" w:hAnsi="Arial" w:cs="Arial"/>
          <w:b/>
          <w:sz w:val="21"/>
          <w:szCs w:val="21"/>
        </w:rPr>
        <w:t>disposición final sexta del citado Anteproyecto de ley</w:t>
      </w:r>
      <w:r w:rsidRPr="00C6190C">
        <w:rPr>
          <w:rFonts w:ascii="Arial" w:eastAsia="Times New Roman" w:hAnsi="Arial" w:cs="Arial"/>
          <w:bCs/>
          <w:sz w:val="21"/>
          <w:szCs w:val="21"/>
        </w:rPr>
        <w:t xml:space="preserve"> realiza esta AVAF y ha dirigido al Ministerio de Justicia el 17 de marzo de 2022:</w:t>
      </w:r>
    </w:p>
    <w:p w14:paraId="31858BAE" w14:textId="77777777" w:rsidR="00C6190C" w:rsidRPr="0086198F" w:rsidRDefault="00C6190C" w:rsidP="00E7339A">
      <w:pPr>
        <w:spacing w:after="120" w:line="276" w:lineRule="auto"/>
        <w:ind w:left="567"/>
        <w:jc w:val="both"/>
        <w:rPr>
          <w:rFonts w:ascii="Arial" w:eastAsia="Times New Roman" w:hAnsi="Arial" w:cs="Arial"/>
          <w:bCs/>
          <w:sz w:val="20"/>
          <w:szCs w:val="20"/>
        </w:rPr>
      </w:pPr>
      <w:r w:rsidRPr="0086198F">
        <w:rPr>
          <w:rFonts w:ascii="Arial" w:eastAsia="Times New Roman" w:hAnsi="Arial" w:cs="Arial"/>
          <w:b/>
          <w:bCs/>
          <w:sz w:val="20"/>
          <w:szCs w:val="20"/>
        </w:rPr>
        <w:t>“</w:t>
      </w:r>
      <w:r w:rsidRPr="0086198F">
        <w:rPr>
          <w:rFonts w:ascii="Arial" w:eastAsia="Times New Roman" w:hAnsi="Arial" w:cs="Arial"/>
          <w:bCs/>
          <w:sz w:val="20"/>
          <w:szCs w:val="20"/>
        </w:rPr>
        <w:t>Se hace necesario realizar un análisis detallado y profundo del contenido de la disposición final sexta del Anteproyecto de Ley, “títulos competenciales”, habida cuenta que algunas Comunidades Autónomas ya cuentan en su ordenamiento jurídico, como se ha venido exponiendo, con leyes aprobadas conforme a sus propias competencias, que han creado instituciones públicas que funcionan y articulan, con más o menos extensión e intensidad, y cumplen con mandatos contenidos en la Directiva (UE) 2019/1937; leyes que son anteriores a esta, e incluso más favorables y avanzadas que este Anteproyecto de Ley y respetan el orden constitucional de competencias.</w:t>
      </w:r>
    </w:p>
    <w:p w14:paraId="6A78C752" w14:textId="77777777" w:rsidR="00C6190C" w:rsidRPr="0086198F" w:rsidRDefault="00C6190C" w:rsidP="00E7339A">
      <w:pPr>
        <w:spacing w:after="120" w:line="276" w:lineRule="auto"/>
        <w:ind w:left="567"/>
        <w:jc w:val="both"/>
        <w:rPr>
          <w:rFonts w:ascii="Arial" w:eastAsia="Times New Roman" w:hAnsi="Arial" w:cs="Arial"/>
          <w:bCs/>
          <w:sz w:val="20"/>
          <w:szCs w:val="20"/>
        </w:rPr>
      </w:pPr>
      <w:r w:rsidRPr="0086198F">
        <w:rPr>
          <w:rFonts w:ascii="Arial" w:eastAsia="Times New Roman" w:hAnsi="Arial" w:cs="Arial"/>
          <w:bCs/>
          <w:sz w:val="20"/>
          <w:szCs w:val="20"/>
        </w:rPr>
        <w:t>Las agencias y oficinas antifraude autonómicas, con funciones de prevención y lucha contra la corrupción, en su territorio y respecto de su sector público, entre las que se incluye la AVAF, han sido creadas mediante ley por su propio poder legislativo en aplicación de lo dispuesto en el artículo 148.1.1ª de la Constitución Española y desarrollo de sus respectivos Estatutos de Autonomía.</w:t>
      </w:r>
    </w:p>
    <w:p w14:paraId="6D1512B1" w14:textId="77777777" w:rsidR="00C6190C" w:rsidRPr="0086198F" w:rsidRDefault="00C6190C" w:rsidP="00E7339A">
      <w:pPr>
        <w:spacing w:after="120" w:line="276" w:lineRule="auto"/>
        <w:ind w:left="567"/>
        <w:jc w:val="both"/>
        <w:rPr>
          <w:rFonts w:ascii="Arial" w:eastAsia="Times New Roman" w:hAnsi="Arial" w:cs="Arial"/>
          <w:bCs/>
          <w:sz w:val="20"/>
          <w:szCs w:val="20"/>
        </w:rPr>
      </w:pPr>
      <w:r w:rsidRPr="0086198F">
        <w:rPr>
          <w:rFonts w:ascii="Arial" w:eastAsia="Times New Roman" w:hAnsi="Arial" w:cs="Arial"/>
          <w:bCs/>
          <w:sz w:val="20"/>
          <w:szCs w:val="20"/>
        </w:rPr>
        <w:t>Así, dispone el Preámbulo de la Ley 11/2016, de 28 de noviembre, de la Generalitat, de la Agencia de Prevención y Lucha contra el Fraude y la Corrupción de la Comunitat Valenciana, que la creación de esta se realiza al amparo del artículo 49.1.1ª del Estatuto de Autonomía, que otorga competencia exclusiva a la Generalitat Valenciana en la organización de sus instituciones de autogobierno.</w:t>
      </w:r>
    </w:p>
    <w:p w14:paraId="735B2E7A" w14:textId="77777777" w:rsidR="00C6190C" w:rsidRPr="0086198F" w:rsidRDefault="00C6190C" w:rsidP="00E7339A">
      <w:pPr>
        <w:spacing w:after="120" w:line="276" w:lineRule="auto"/>
        <w:ind w:left="567"/>
        <w:jc w:val="both"/>
        <w:rPr>
          <w:rFonts w:ascii="Arial" w:eastAsia="Times New Roman" w:hAnsi="Arial" w:cs="Arial"/>
          <w:bCs/>
          <w:sz w:val="20"/>
          <w:szCs w:val="20"/>
        </w:rPr>
      </w:pPr>
      <w:r w:rsidRPr="0086198F">
        <w:rPr>
          <w:rFonts w:ascii="Arial" w:eastAsia="Times New Roman" w:hAnsi="Arial" w:cs="Arial"/>
          <w:bCs/>
          <w:sz w:val="20"/>
          <w:szCs w:val="20"/>
        </w:rPr>
        <w:t>Asimismo, debe tenerse presente que con arreglo a lo previsto en la cláusula contenida en el artículo 25 de la Directiva (UE) 2019/1937, bajo el título “trato más favorable y cláusula de no regresión”, se dispone que los Estados miembros podrán introducir o mantener disposiciones más favorables para los derechos de los denunciantes que los establecidos en la presente Directiva, y que la aplicación de la misma no constituirá en ninguna circunstancia motivo para reducir el nivel de protección ya garantizado por los Estados miembros en los ámbitos regulados por ella.</w:t>
      </w:r>
    </w:p>
    <w:p w14:paraId="0C12EE44" w14:textId="77777777" w:rsidR="00C6190C" w:rsidRPr="0086198F" w:rsidRDefault="00C6190C" w:rsidP="00E7339A">
      <w:pPr>
        <w:spacing w:after="120" w:line="276" w:lineRule="auto"/>
        <w:ind w:left="567"/>
        <w:jc w:val="both"/>
        <w:rPr>
          <w:rFonts w:ascii="Arial" w:eastAsia="Times New Roman" w:hAnsi="Arial" w:cs="Arial"/>
          <w:bCs/>
          <w:sz w:val="20"/>
          <w:szCs w:val="20"/>
        </w:rPr>
      </w:pPr>
      <w:r w:rsidRPr="0086198F">
        <w:rPr>
          <w:rFonts w:ascii="Arial" w:eastAsia="Times New Roman" w:hAnsi="Arial" w:cs="Arial"/>
          <w:bCs/>
          <w:sz w:val="20"/>
          <w:szCs w:val="20"/>
        </w:rPr>
        <w:t>No podemos compartir, pues, en modo alguno, que se predique de la futura Ley estatal un hipotético carácter básico, exceptuando del mismo únicamente el título VIII, referido a la Autoridad Independiente estatal.</w:t>
      </w:r>
    </w:p>
    <w:p w14:paraId="60F74F8D" w14:textId="77777777" w:rsidR="00C6190C" w:rsidRPr="00C6190C" w:rsidRDefault="00C6190C" w:rsidP="00E7339A">
      <w:pPr>
        <w:spacing w:after="240" w:line="276" w:lineRule="auto"/>
        <w:ind w:left="567"/>
        <w:jc w:val="both"/>
        <w:rPr>
          <w:rFonts w:ascii="Arial" w:eastAsia="Times New Roman" w:hAnsi="Arial" w:cs="Arial"/>
          <w:bCs/>
          <w:sz w:val="21"/>
          <w:szCs w:val="21"/>
        </w:rPr>
      </w:pPr>
      <w:r w:rsidRPr="0086198F">
        <w:rPr>
          <w:rFonts w:ascii="Arial" w:eastAsia="Times New Roman" w:hAnsi="Arial" w:cs="Arial"/>
          <w:bCs/>
          <w:sz w:val="20"/>
          <w:szCs w:val="20"/>
        </w:rPr>
        <w:t>Las agencias y oficinas antifraude autonómicas, con esta denominación o denominaciones similares, no solo las cuatro que ya se encuentran en funcionamiento (Cataluña, Comunitat Valenciana, Islas Baleares y Andalucía), sino también otras que ya han sido creadas y están pendientes de constitución (Aragón, Navarra, Asturias), cuentan con normas específicas que no pueden verse derogadas como consecuencia de la consideración como básica de esta Ley estatal. La Ley estatal podrá ser subsidiaria respecto de lo no contemplado en los ordenamientos autonómicos y también podrá armonizar las legislaciones existentes, pero no podrá derogar las normas que de acuerdo con el principio de descentralización de competencias y proximidad de la ciudadanía a sus instituciones se establece.”</w:t>
      </w:r>
    </w:p>
    <w:p w14:paraId="5E2E0AA6" w14:textId="3CFC1B7F" w:rsidR="00CD3E94" w:rsidRPr="00CD3E94" w:rsidRDefault="00CD3E94" w:rsidP="00CD3E94">
      <w:pPr>
        <w:pStyle w:val="Prrafodelista"/>
        <w:keepNext/>
        <w:numPr>
          <w:ilvl w:val="4"/>
          <w:numId w:val="16"/>
        </w:numPr>
        <w:suppressAutoHyphens/>
        <w:spacing w:before="360" w:after="240" w:line="276" w:lineRule="auto"/>
        <w:ind w:left="1134" w:hanging="1134"/>
        <w:jc w:val="both"/>
        <w:outlineLvl w:val="4"/>
        <w:rPr>
          <w:rFonts w:ascii="Arial" w:eastAsia="Times New Roman" w:hAnsi="Arial" w:cs="Arial"/>
          <w:b/>
          <w:color w:val="9D2235"/>
          <w:sz w:val="23"/>
          <w:szCs w:val="23"/>
        </w:rPr>
      </w:pPr>
      <w:r w:rsidRPr="00CD3E94">
        <w:rPr>
          <w:rFonts w:ascii="Arial" w:eastAsia="Times New Roman" w:hAnsi="Arial" w:cs="Arial"/>
          <w:b/>
          <w:color w:val="9D2235"/>
          <w:sz w:val="23"/>
          <w:szCs w:val="23"/>
        </w:rPr>
        <w:t>Anteproyecto de la Ley de Enjuiciamiento Criminal</w:t>
      </w:r>
    </w:p>
    <w:p w14:paraId="7A2F437A" w14:textId="77777777" w:rsidR="00CD3E94" w:rsidRPr="00CD3E94" w:rsidRDefault="00CD3E94" w:rsidP="00CD3E94">
      <w:pPr>
        <w:spacing w:after="240" w:line="276" w:lineRule="auto"/>
        <w:jc w:val="both"/>
        <w:rPr>
          <w:rFonts w:ascii="Arial" w:hAnsi="Arial"/>
          <w:sz w:val="21"/>
          <w:szCs w:val="21"/>
        </w:rPr>
      </w:pPr>
      <w:r w:rsidRPr="00CD3E94">
        <w:rPr>
          <w:rFonts w:ascii="Arial" w:hAnsi="Arial"/>
          <w:sz w:val="21"/>
          <w:szCs w:val="21"/>
        </w:rPr>
        <w:t>De igual forma, la AVAF consideró conveniente realizar aportaciones en el trámite público de alegaciones del</w:t>
      </w:r>
      <w:r w:rsidRPr="00CD3E94">
        <w:rPr>
          <w:rFonts w:ascii="Arial" w:hAnsi="Arial"/>
          <w:b/>
          <w:bCs/>
          <w:sz w:val="21"/>
          <w:szCs w:val="21"/>
        </w:rPr>
        <w:t xml:space="preserve"> </w:t>
      </w:r>
      <w:hyperlink r:id="rId288" w:history="1">
        <w:r w:rsidRPr="00CD3E94">
          <w:rPr>
            <w:rStyle w:val="Hipervnculo"/>
            <w:rFonts w:ascii="Arial" w:hAnsi="Arial"/>
            <w:sz w:val="21"/>
            <w:szCs w:val="21"/>
          </w:rPr>
          <w:t>Anteproyecto de la Ley de Enjuiciamiento Criminal</w:t>
        </w:r>
      </w:hyperlink>
      <w:r w:rsidRPr="00CD3E94">
        <w:rPr>
          <w:rFonts w:ascii="Arial" w:hAnsi="Arial"/>
          <w:sz w:val="21"/>
          <w:szCs w:val="21"/>
        </w:rPr>
        <w:t>, y ello sin perjuicio de quedar a la entera disposición, tanto del Ministerio de Justicia como de los grupos parlamentarios y de la Comisión de Codificación, para efectuar todas las aportaciones que fueran precisas y que conduzcan a la creación de una norma procesal penal vanguardista e integrada en el derecho de la Unión, a la par que ajustada a los estándares internacionales de lucha contra la corrupción y el fraude.</w:t>
      </w:r>
    </w:p>
    <w:p w14:paraId="69311B53" w14:textId="77777777" w:rsidR="00CD3E94" w:rsidRPr="00CD3E94" w:rsidRDefault="00CD3E94" w:rsidP="00CD3E94">
      <w:pPr>
        <w:spacing w:after="240" w:line="276" w:lineRule="auto"/>
        <w:jc w:val="both"/>
        <w:rPr>
          <w:rFonts w:ascii="Arial" w:hAnsi="Arial"/>
          <w:sz w:val="21"/>
          <w:szCs w:val="21"/>
        </w:rPr>
      </w:pPr>
      <w:r w:rsidRPr="00CD3E94">
        <w:rPr>
          <w:rFonts w:ascii="Arial" w:hAnsi="Arial"/>
          <w:sz w:val="21"/>
          <w:szCs w:val="21"/>
        </w:rPr>
        <w:t xml:space="preserve">En concreto, el pasado 1 de marzo de 2021, la AVAF remitió </w:t>
      </w:r>
      <w:hyperlink r:id="rId289" w:history="1">
        <w:r w:rsidRPr="00CD3E94">
          <w:rPr>
            <w:rStyle w:val="Hipervnculo"/>
            <w:rFonts w:ascii="Arial" w:hAnsi="Arial"/>
            <w:sz w:val="21"/>
            <w:szCs w:val="21"/>
          </w:rPr>
          <w:t>escrito de alegaciones de la Agencia de Prevención y Lucha contra el Fraude y la Corrupción de la Comunitat Valenciana en el trámite de audiencia e información pública del Anteproyecto de Ley de Enjuiciamiento Criminal</w:t>
        </w:r>
      </w:hyperlink>
      <w:r w:rsidRPr="00CD3E94">
        <w:rPr>
          <w:rFonts w:ascii="Arial" w:hAnsi="Arial"/>
          <w:sz w:val="21"/>
          <w:szCs w:val="21"/>
        </w:rPr>
        <w:t>.</w:t>
      </w:r>
    </w:p>
    <w:p w14:paraId="36FF9409" w14:textId="77777777" w:rsidR="00CD3E94" w:rsidRPr="00CD3E94" w:rsidRDefault="00CD3E94" w:rsidP="00CD3E94">
      <w:pPr>
        <w:spacing w:after="240" w:line="276" w:lineRule="auto"/>
        <w:jc w:val="both"/>
        <w:rPr>
          <w:rFonts w:ascii="Arial" w:hAnsi="Arial"/>
          <w:sz w:val="21"/>
          <w:szCs w:val="21"/>
        </w:rPr>
      </w:pPr>
      <w:r w:rsidRPr="00CD3E94">
        <w:rPr>
          <w:rFonts w:ascii="Arial" w:hAnsi="Arial"/>
          <w:sz w:val="21"/>
          <w:szCs w:val="21"/>
        </w:rPr>
        <w:t xml:space="preserve">De las referidas alegaciones cabe destacar, sucintamente, los siguientes puntos: </w:t>
      </w:r>
    </w:p>
    <w:p w14:paraId="56A0B47F" w14:textId="77777777" w:rsidR="00CD3E94" w:rsidRPr="00CD3E94" w:rsidRDefault="00CD3E94" w:rsidP="00F84B8B">
      <w:pPr>
        <w:numPr>
          <w:ilvl w:val="0"/>
          <w:numId w:val="170"/>
        </w:numPr>
        <w:spacing w:after="120" w:line="276" w:lineRule="auto"/>
        <w:ind w:left="714" w:hanging="357"/>
        <w:jc w:val="both"/>
        <w:rPr>
          <w:rFonts w:ascii="Arial" w:hAnsi="Arial"/>
          <w:b/>
          <w:bCs/>
          <w:color w:val="9D2235" w:themeColor="accent1"/>
          <w:sz w:val="21"/>
          <w:szCs w:val="21"/>
        </w:rPr>
      </w:pPr>
      <w:r w:rsidRPr="00CD3E94">
        <w:rPr>
          <w:rFonts w:ascii="Arial" w:hAnsi="Arial"/>
          <w:b/>
          <w:bCs/>
          <w:color w:val="9D2235" w:themeColor="accent1"/>
          <w:sz w:val="21"/>
          <w:szCs w:val="21"/>
        </w:rPr>
        <w:t>La vertebración de la norma procesal penal en base a un enfoque integral y global: la Directiva 2019/1937 y la Convención de las Naciones Unidas contra la Corrupción como ejes.</w:t>
      </w:r>
    </w:p>
    <w:p w14:paraId="2882FF5F" w14:textId="48F5F1E5" w:rsidR="00CD3E94" w:rsidRPr="00CD3E94" w:rsidRDefault="00CD3E94" w:rsidP="00F84B8B">
      <w:pPr>
        <w:spacing w:after="120" w:line="276" w:lineRule="auto"/>
        <w:ind w:left="709"/>
        <w:jc w:val="both"/>
        <w:rPr>
          <w:rFonts w:ascii="Arial" w:hAnsi="Arial"/>
          <w:sz w:val="21"/>
          <w:szCs w:val="21"/>
        </w:rPr>
      </w:pPr>
      <w:r w:rsidRPr="00CD3E94">
        <w:rPr>
          <w:rFonts w:ascii="Arial" w:hAnsi="Arial"/>
          <w:sz w:val="21"/>
          <w:szCs w:val="21"/>
        </w:rPr>
        <w:t xml:space="preserve">Conforme a la </w:t>
      </w:r>
      <w:hyperlink r:id="rId290" w:history="1">
        <w:r w:rsidRPr="00CD3E94">
          <w:rPr>
            <w:rStyle w:val="Hipervnculo"/>
            <w:rFonts w:ascii="Arial" w:hAnsi="Arial"/>
            <w:sz w:val="21"/>
            <w:szCs w:val="21"/>
          </w:rPr>
          <w:t>Convención de las Naciones Unidas contra la corrupción</w:t>
        </w:r>
      </w:hyperlink>
      <w:r w:rsidRPr="00CD3E94">
        <w:rPr>
          <w:rFonts w:ascii="Arial" w:hAnsi="Arial"/>
          <w:sz w:val="21"/>
          <w:szCs w:val="21"/>
        </w:rPr>
        <w:t xml:space="preserve">, ratificada por España en 2006, a nivel procesal, se recuerda la necesidad de efectuar una protección integral a los testigos, peritos y víctimas (artículo 32), del mismo modo se subraya que la Convención dedica muy singularmente todo un artículo independiente a la protección de los denunciantes (artículo 33) y, por último, que no puede desconocerse la valoración que del arrepentido se realiza en la misma (artículo 37). </w:t>
      </w:r>
    </w:p>
    <w:p w14:paraId="3B3C3271" w14:textId="3716CFDC" w:rsidR="00CD3E94" w:rsidRDefault="00CD3E94" w:rsidP="00F84B8B">
      <w:pPr>
        <w:spacing w:after="120" w:line="276" w:lineRule="auto"/>
        <w:ind w:left="709"/>
        <w:jc w:val="both"/>
        <w:rPr>
          <w:rFonts w:ascii="Arial" w:hAnsi="Arial"/>
          <w:sz w:val="21"/>
          <w:szCs w:val="21"/>
        </w:rPr>
      </w:pPr>
      <w:r w:rsidRPr="00CD3E94">
        <w:rPr>
          <w:rFonts w:ascii="Arial" w:hAnsi="Arial"/>
          <w:sz w:val="21"/>
          <w:szCs w:val="21"/>
        </w:rPr>
        <w:t xml:space="preserve">Con esta alegación la AVAF reclama un enfoque integral contra la corrupción que históricamente no ha sido atendido en nuestro ordenamiento jurídico y tampoco parece ser abordado en el Anteproyecto de Ley de Enjuiciamiento Criminal. </w:t>
      </w:r>
    </w:p>
    <w:p w14:paraId="2262208E" w14:textId="77777777" w:rsidR="00CD3E94" w:rsidRPr="00CD3E94" w:rsidRDefault="00CD3E94" w:rsidP="00F84B8B">
      <w:pPr>
        <w:numPr>
          <w:ilvl w:val="0"/>
          <w:numId w:val="170"/>
        </w:numPr>
        <w:spacing w:after="120" w:line="276" w:lineRule="auto"/>
        <w:jc w:val="both"/>
        <w:rPr>
          <w:rFonts w:ascii="Arial" w:hAnsi="Arial"/>
          <w:color w:val="9D2235" w:themeColor="accent1"/>
          <w:sz w:val="21"/>
          <w:szCs w:val="21"/>
        </w:rPr>
      </w:pPr>
      <w:r w:rsidRPr="00CD3E94">
        <w:rPr>
          <w:rFonts w:ascii="Arial" w:hAnsi="Arial"/>
          <w:b/>
          <w:bCs/>
          <w:color w:val="9D2235" w:themeColor="accent1"/>
          <w:sz w:val="21"/>
          <w:szCs w:val="21"/>
        </w:rPr>
        <w:t>La necesaria denuncia anónima en la regulación de la Ley de Enjuiciamiento Criminal</w:t>
      </w:r>
      <w:r w:rsidRPr="00CD3E94">
        <w:rPr>
          <w:rFonts w:ascii="Arial" w:hAnsi="Arial"/>
          <w:color w:val="9D2235" w:themeColor="accent1"/>
          <w:sz w:val="21"/>
          <w:szCs w:val="21"/>
        </w:rPr>
        <w:t>.</w:t>
      </w:r>
    </w:p>
    <w:p w14:paraId="52998361" w14:textId="77777777" w:rsidR="00CD3E94" w:rsidRPr="00CD3E94" w:rsidRDefault="00CD3E94" w:rsidP="00F84B8B">
      <w:pPr>
        <w:spacing w:after="120" w:line="276" w:lineRule="auto"/>
        <w:ind w:left="709"/>
        <w:jc w:val="both"/>
        <w:rPr>
          <w:rFonts w:ascii="Arial" w:hAnsi="Arial"/>
          <w:b/>
          <w:bCs/>
          <w:sz w:val="21"/>
          <w:szCs w:val="21"/>
          <w:u w:val="single"/>
        </w:rPr>
      </w:pPr>
      <w:r w:rsidRPr="00CD3E94">
        <w:rPr>
          <w:rFonts w:ascii="Arial" w:hAnsi="Arial"/>
          <w:sz w:val="21"/>
          <w:szCs w:val="21"/>
        </w:rPr>
        <w:t xml:space="preserve">Una vez establecida la conformidad a nuestro Derecho de la denuncia anónima (doctrina pacífica y consolidada del Tribunal Supremo, entre otras, </w:t>
      </w:r>
      <w:hyperlink r:id="rId291" w:history="1">
        <w:r w:rsidRPr="00CD3E94">
          <w:rPr>
            <w:rStyle w:val="Hipervnculo"/>
            <w:rFonts w:ascii="Arial" w:hAnsi="Arial"/>
            <w:sz w:val="21"/>
            <w:szCs w:val="21"/>
          </w:rPr>
          <w:t>Sentencia del Tribunal Supremo núm. 676/2019 de 23 de enero de 2020</w:t>
        </w:r>
      </w:hyperlink>
      <w:r w:rsidRPr="00CD3E94">
        <w:rPr>
          <w:rFonts w:ascii="Arial" w:hAnsi="Arial"/>
          <w:sz w:val="21"/>
          <w:szCs w:val="21"/>
          <w:u w:val="single"/>
        </w:rPr>
        <w:t>,</w:t>
      </w:r>
      <w:r w:rsidRPr="00CD3E94">
        <w:rPr>
          <w:rFonts w:ascii="Arial" w:hAnsi="Arial"/>
          <w:sz w:val="21"/>
          <w:szCs w:val="21"/>
        </w:rPr>
        <w:t xml:space="preserve"> y </w:t>
      </w:r>
      <w:hyperlink r:id="rId292" w:history="1">
        <w:r w:rsidRPr="00CD3E94">
          <w:rPr>
            <w:rStyle w:val="Hipervnculo"/>
            <w:rFonts w:ascii="Arial" w:hAnsi="Arial"/>
            <w:sz w:val="21"/>
            <w:szCs w:val="21"/>
          </w:rPr>
          <w:t>Sentencia del Tribunal Supremo núm. 35/2020 de 6 de febrero de 2020</w:t>
        </w:r>
      </w:hyperlink>
      <w:r w:rsidRPr="00CD3E94">
        <w:rPr>
          <w:rFonts w:ascii="Arial" w:hAnsi="Arial"/>
          <w:sz w:val="21"/>
          <w:szCs w:val="21"/>
          <w:u w:val="single"/>
        </w:rPr>
        <w:t>)</w:t>
      </w:r>
      <w:r w:rsidRPr="00CD3E94">
        <w:rPr>
          <w:rFonts w:ascii="Arial" w:hAnsi="Arial"/>
          <w:sz w:val="21"/>
          <w:szCs w:val="21"/>
        </w:rPr>
        <w:t xml:space="preserve">, debe recordarse que esta figura resulta de una singular utilidad en la lucha contra el fraude y la corrupción. Es por ello que el legislador debería prever un sistema de denuncias anónimas para este tipo de actuaciones fraudulentas y corruptas, máxime cuando el estado actual de la tecnología lo permite con facilidad, pudiendo citarse como ejemplo el </w:t>
      </w:r>
      <w:hyperlink r:id="rId293" w:history="1">
        <w:r w:rsidRPr="00CD3E94">
          <w:rPr>
            <w:rStyle w:val="Hipervnculo"/>
            <w:rFonts w:ascii="Arial" w:hAnsi="Arial"/>
            <w:sz w:val="21"/>
            <w:szCs w:val="21"/>
          </w:rPr>
          <w:t>Buzón de Denuncias de la AVAF.</w:t>
        </w:r>
      </w:hyperlink>
      <w:r w:rsidRPr="00CD3E94">
        <w:rPr>
          <w:rFonts w:ascii="Arial" w:hAnsi="Arial"/>
          <w:b/>
          <w:bCs/>
          <w:sz w:val="21"/>
          <w:szCs w:val="21"/>
          <w:u w:val="single"/>
        </w:rPr>
        <w:t xml:space="preserve"> </w:t>
      </w:r>
    </w:p>
    <w:p w14:paraId="744F47C7" w14:textId="77777777" w:rsidR="00CD3E94" w:rsidRPr="00CD3E94" w:rsidRDefault="00CD3E94" w:rsidP="00F84B8B">
      <w:pPr>
        <w:spacing w:after="120" w:line="276" w:lineRule="auto"/>
        <w:ind w:left="709"/>
        <w:jc w:val="both"/>
        <w:rPr>
          <w:rFonts w:ascii="Arial" w:hAnsi="Arial"/>
          <w:sz w:val="21"/>
          <w:szCs w:val="21"/>
        </w:rPr>
      </w:pPr>
      <w:r w:rsidRPr="00CD3E94">
        <w:rPr>
          <w:rFonts w:ascii="Arial" w:hAnsi="Arial"/>
          <w:sz w:val="21"/>
          <w:szCs w:val="21"/>
        </w:rPr>
        <w:t>De acuerdo con la experiencia de esta Agencia, la denuncia anónima es la mejor herramienta de lucha contra la corrupción en el sector público.</w:t>
      </w:r>
    </w:p>
    <w:p w14:paraId="243C88A6" w14:textId="77777777" w:rsidR="00CD3E94" w:rsidRPr="00CD3E94" w:rsidRDefault="00CD3E94" w:rsidP="00F84B8B">
      <w:pPr>
        <w:numPr>
          <w:ilvl w:val="0"/>
          <w:numId w:val="170"/>
        </w:numPr>
        <w:spacing w:after="120" w:line="276" w:lineRule="auto"/>
        <w:jc w:val="both"/>
        <w:rPr>
          <w:rFonts w:ascii="Arial" w:hAnsi="Arial"/>
          <w:b/>
          <w:bCs/>
          <w:color w:val="9D2235" w:themeColor="accent1"/>
          <w:sz w:val="21"/>
          <w:szCs w:val="21"/>
        </w:rPr>
      </w:pPr>
      <w:r w:rsidRPr="00CD3E94">
        <w:rPr>
          <w:rFonts w:ascii="Arial" w:hAnsi="Arial"/>
          <w:b/>
          <w:bCs/>
          <w:color w:val="9D2235" w:themeColor="accent1"/>
          <w:sz w:val="21"/>
          <w:szCs w:val="21"/>
        </w:rPr>
        <w:t>La inclusión del canal externo en el ámbito de protección del denunciante del apartado 6 del artículo 528 del Anteproyecto.</w:t>
      </w:r>
    </w:p>
    <w:p w14:paraId="2AA875C4" w14:textId="77777777" w:rsidR="00CD3E94" w:rsidRPr="00CD3E94" w:rsidRDefault="00CD3E94" w:rsidP="00F84B8B">
      <w:pPr>
        <w:spacing w:after="120" w:line="276" w:lineRule="auto"/>
        <w:ind w:left="709"/>
        <w:jc w:val="both"/>
        <w:rPr>
          <w:rFonts w:ascii="Arial" w:hAnsi="Arial"/>
          <w:sz w:val="21"/>
          <w:szCs w:val="21"/>
        </w:rPr>
      </w:pPr>
      <w:r w:rsidRPr="00CD3E94">
        <w:rPr>
          <w:rFonts w:ascii="Arial" w:hAnsi="Arial"/>
          <w:sz w:val="21"/>
          <w:szCs w:val="21"/>
        </w:rPr>
        <w:t xml:space="preserve">La </w:t>
      </w:r>
      <w:hyperlink r:id="rId294" w:history="1">
        <w:r w:rsidRPr="00CD3E94">
          <w:rPr>
            <w:rStyle w:val="Hipervnculo"/>
            <w:rFonts w:ascii="Arial" w:hAnsi="Arial"/>
            <w:sz w:val="21"/>
            <w:szCs w:val="21"/>
          </w:rPr>
          <w:t>Directiva (UE) 2019/1937</w:t>
        </w:r>
      </w:hyperlink>
      <w:r w:rsidRPr="00CD3E94">
        <w:rPr>
          <w:rFonts w:ascii="Arial" w:hAnsi="Arial"/>
          <w:sz w:val="21"/>
          <w:szCs w:val="21"/>
        </w:rPr>
        <w:t xml:space="preserve"> establece una protección a la identidad del denunciante de forma global, y no limitada exclusivamente a las personas que denuncien a través de canales internos.</w:t>
      </w:r>
    </w:p>
    <w:p w14:paraId="62528E44" w14:textId="77777777" w:rsidR="00CD3E94" w:rsidRPr="00CD3E94" w:rsidRDefault="00CD3E94" w:rsidP="00F84B8B">
      <w:pPr>
        <w:spacing w:after="120" w:line="276" w:lineRule="auto"/>
        <w:ind w:left="709"/>
        <w:jc w:val="both"/>
        <w:rPr>
          <w:rFonts w:ascii="Arial" w:hAnsi="Arial"/>
          <w:sz w:val="21"/>
          <w:szCs w:val="21"/>
        </w:rPr>
      </w:pPr>
      <w:r w:rsidRPr="00CD3E94">
        <w:rPr>
          <w:rFonts w:ascii="Arial" w:hAnsi="Arial"/>
          <w:sz w:val="21"/>
          <w:szCs w:val="21"/>
        </w:rPr>
        <w:t xml:space="preserve">Es por ello por lo que la previsión del artículo 528.6, que limita el alcance de la protección del apartado a la noticia dada por un canal “interno”, deberá ampliarse en todo caso también a los canales externos y, en general, al ámbito de protección de la Directiva. </w:t>
      </w:r>
    </w:p>
    <w:p w14:paraId="77DFCC6E" w14:textId="7630BA52" w:rsidR="00CD3E94" w:rsidRDefault="00CD3E94" w:rsidP="00F84B8B">
      <w:pPr>
        <w:spacing w:after="120" w:line="276" w:lineRule="auto"/>
        <w:ind w:left="709"/>
        <w:jc w:val="both"/>
        <w:rPr>
          <w:rFonts w:ascii="Arial" w:hAnsi="Arial"/>
          <w:sz w:val="21"/>
          <w:szCs w:val="21"/>
        </w:rPr>
      </w:pPr>
      <w:r w:rsidRPr="00CD3E94">
        <w:rPr>
          <w:rFonts w:ascii="Arial" w:hAnsi="Arial"/>
          <w:sz w:val="21"/>
          <w:szCs w:val="21"/>
        </w:rPr>
        <w:t>La cuestión deberá ser corregida en orden a adecuar el proceso penal a la Directiva de la Unión Europea de protección a los denunciantes de corrupción.</w:t>
      </w:r>
    </w:p>
    <w:p w14:paraId="5F484EAA" w14:textId="77777777" w:rsidR="00CD3E94" w:rsidRPr="00CD3E94" w:rsidRDefault="00CD3E94" w:rsidP="00F84B8B">
      <w:pPr>
        <w:numPr>
          <w:ilvl w:val="0"/>
          <w:numId w:val="170"/>
        </w:numPr>
        <w:spacing w:after="120" w:line="276" w:lineRule="auto"/>
        <w:jc w:val="both"/>
        <w:rPr>
          <w:rFonts w:ascii="Arial" w:hAnsi="Arial"/>
          <w:color w:val="9D2235" w:themeColor="accent1"/>
          <w:sz w:val="21"/>
          <w:szCs w:val="21"/>
        </w:rPr>
      </w:pPr>
      <w:r w:rsidRPr="00CD3E94">
        <w:rPr>
          <w:rFonts w:ascii="Arial" w:hAnsi="Arial"/>
          <w:b/>
          <w:bCs/>
          <w:color w:val="9D2235" w:themeColor="accent1"/>
          <w:sz w:val="21"/>
          <w:szCs w:val="21"/>
        </w:rPr>
        <w:t>La regulación del testigo protegido en el artículo 471 del Anteproyecto</w:t>
      </w:r>
      <w:r w:rsidRPr="00CD3E94">
        <w:rPr>
          <w:rFonts w:ascii="Arial" w:hAnsi="Arial"/>
          <w:color w:val="9D2235" w:themeColor="accent1"/>
          <w:sz w:val="21"/>
          <w:szCs w:val="21"/>
        </w:rPr>
        <w:t>.</w:t>
      </w:r>
    </w:p>
    <w:p w14:paraId="0DD6AC13" w14:textId="77777777" w:rsidR="00CD3E94" w:rsidRPr="00CD3E94" w:rsidRDefault="00CD3E94" w:rsidP="00F84B8B">
      <w:pPr>
        <w:spacing w:after="120" w:line="276" w:lineRule="auto"/>
        <w:ind w:left="709"/>
        <w:jc w:val="both"/>
        <w:rPr>
          <w:rFonts w:ascii="Arial" w:hAnsi="Arial"/>
          <w:sz w:val="21"/>
          <w:szCs w:val="21"/>
        </w:rPr>
      </w:pPr>
      <w:r w:rsidRPr="00CD3E94">
        <w:rPr>
          <w:rFonts w:ascii="Arial" w:hAnsi="Arial"/>
          <w:sz w:val="21"/>
          <w:szCs w:val="21"/>
        </w:rPr>
        <w:t xml:space="preserve">La nueva regulación no solamente debería ser más extensa y ambiciosa que la regulación actual contenida en la </w:t>
      </w:r>
      <w:hyperlink r:id="rId295" w:history="1">
        <w:r w:rsidRPr="00CD3E94">
          <w:rPr>
            <w:rStyle w:val="Hipervnculo"/>
            <w:rFonts w:ascii="Arial" w:hAnsi="Arial"/>
            <w:sz w:val="21"/>
            <w:szCs w:val="21"/>
          </w:rPr>
          <w:t>Ley Orgánica 19/1994, de 23 de diciembre, de protección a testigos y peritos en causas criminales.</w:t>
        </w:r>
      </w:hyperlink>
      <w:r w:rsidRPr="00CD3E94">
        <w:rPr>
          <w:rFonts w:ascii="Arial" w:hAnsi="Arial"/>
          <w:sz w:val="21"/>
          <w:szCs w:val="21"/>
        </w:rPr>
        <w:t xml:space="preserve">, sino que debería contemplar expresamente la posibilidad de otorgar la condición de testigo protegido en aquellos supuestos de dependencia o vulnerabilidad dentro del contexto laboral, en los que frecuentemente se producen las represalias, como consecuencia de la denuncia interpuesta por aquellos que van a ser o están siendo investigados o por personas de su entorno. </w:t>
      </w:r>
    </w:p>
    <w:p w14:paraId="6C828960" w14:textId="77777777" w:rsidR="00CD3E94" w:rsidRPr="00CD3E94" w:rsidRDefault="00CD3E94" w:rsidP="00F84B8B">
      <w:pPr>
        <w:numPr>
          <w:ilvl w:val="0"/>
          <w:numId w:val="170"/>
        </w:numPr>
        <w:spacing w:after="120" w:line="276" w:lineRule="auto"/>
        <w:jc w:val="both"/>
        <w:rPr>
          <w:rFonts w:ascii="Arial" w:hAnsi="Arial"/>
          <w:b/>
          <w:bCs/>
          <w:color w:val="9D2235" w:themeColor="accent1"/>
          <w:sz w:val="21"/>
          <w:szCs w:val="21"/>
        </w:rPr>
      </w:pPr>
      <w:r w:rsidRPr="00CD3E94">
        <w:rPr>
          <w:rFonts w:ascii="Arial" w:hAnsi="Arial"/>
          <w:b/>
          <w:bCs/>
          <w:color w:val="9D2235" w:themeColor="accent1"/>
          <w:sz w:val="21"/>
          <w:szCs w:val="21"/>
        </w:rPr>
        <w:t>La regulación de la colaboración activa con la justicia. La necesaria extensión de la institución del arrepentido en los delitos de corrupción y fraude.</w:t>
      </w:r>
    </w:p>
    <w:p w14:paraId="49A8836E" w14:textId="77777777" w:rsidR="00CD3E94" w:rsidRPr="00CD3E94" w:rsidRDefault="00CD3E94" w:rsidP="00F84B8B">
      <w:pPr>
        <w:spacing w:after="120" w:line="276" w:lineRule="auto"/>
        <w:ind w:left="709"/>
        <w:jc w:val="both"/>
        <w:rPr>
          <w:rFonts w:ascii="Arial" w:hAnsi="Arial"/>
          <w:sz w:val="21"/>
          <w:szCs w:val="21"/>
        </w:rPr>
      </w:pPr>
      <w:r w:rsidRPr="00CD3E94">
        <w:rPr>
          <w:rFonts w:ascii="Arial" w:hAnsi="Arial"/>
          <w:sz w:val="21"/>
          <w:szCs w:val="21"/>
        </w:rPr>
        <w:t>En opinión de la AVAF no existiría dificultad técnica alguna en la inclusión del arrepentido en los delitos de corrupción y fraude en nuestro ordenamiento jurídico, aunque no se reúnan todos los requisitos para su consideración como organización criminal, al que lo limita el artículo 179 del Anteproyecto. Con esta precisión, se permitiría adecuar nuestro ordenamiento jurídico a la previsión contemplada en la Convención de las Naciones Unidas de lucha contra la Corrupción (artículo 37 apartados 2 y 3), respondiendo al propio tiempo a una demanda social.</w:t>
      </w:r>
    </w:p>
    <w:p w14:paraId="4CCA4B60" w14:textId="77777777" w:rsidR="00CD3E94" w:rsidRPr="00CD3E94" w:rsidRDefault="00CD3E94" w:rsidP="00F84B8B">
      <w:pPr>
        <w:numPr>
          <w:ilvl w:val="0"/>
          <w:numId w:val="170"/>
        </w:numPr>
        <w:spacing w:after="120" w:line="276" w:lineRule="auto"/>
        <w:jc w:val="both"/>
        <w:rPr>
          <w:rFonts w:ascii="Arial" w:hAnsi="Arial"/>
          <w:color w:val="9D2235" w:themeColor="accent1"/>
          <w:sz w:val="21"/>
          <w:szCs w:val="21"/>
        </w:rPr>
      </w:pPr>
      <w:r w:rsidRPr="00CD3E94">
        <w:rPr>
          <w:rFonts w:ascii="Arial" w:hAnsi="Arial"/>
          <w:b/>
          <w:bCs/>
          <w:color w:val="9D2235" w:themeColor="accent1"/>
          <w:sz w:val="21"/>
          <w:szCs w:val="21"/>
        </w:rPr>
        <w:t>El Estatuto de Protección del Alertador de Corrupción. De la ocultación de los datos de la persona denunciante/testigo</w:t>
      </w:r>
      <w:r w:rsidRPr="00CD3E94">
        <w:rPr>
          <w:rFonts w:ascii="Arial" w:hAnsi="Arial"/>
          <w:color w:val="9D2235" w:themeColor="accent1"/>
          <w:sz w:val="21"/>
          <w:szCs w:val="21"/>
        </w:rPr>
        <w:t>.</w:t>
      </w:r>
    </w:p>
    <w:p w14:paraId="16BBDD94" w14:textId="77777777" w:rsidR="00CD3E94" w:rsidRPr="00CD3E94" w:rsidRDefault="00CD3E94" w:rsidP="00F84B8B">
      <w:pPr>
        <w:spacing w:after="120" w:line="276" w:lineRule="auto"/>
        <w:ind w:left="709"/>
        <w:jc w:val="both"/>
        <w:rPr>
          <w:rFonts w:ascii="Arial" w:hAnsi="Arial"/>
          <w:sz w:val="21"/>
          <w:szCs w:val="21"/>
        </w:rPr>
      </w:pPr>
      <w:r w:rsidRPr="00CD3E94">
        <w:rPr>
          <w:rFonts w:ascii="Arial" w:hAnsi="Arial"/>
          <w:sz w:val="21"/>
          <w:szCs w:val="21"/>
        </w:rPr>
        <w:t xml:space="preserve">Este Estatuto debería comprender, además de todas las medidas de protección que se otorgan a la víctima aplicadas con las correspondientes particularidades, la automática ocultación de los datos de la persona denunciante o testigo cuando el proceso verse sobre presuntos hechos o conductas relacionados con la corrupción o el fraude. La confidencialidad y protección de la identidad deberá extremarse especialmente en la fase de instrucción penal.  </w:t>
      </w:r>
    </w:p>
    <w:p w14:paraId="21841745" w14:textId="1671D46D" w:rsidR="00C561B0" w:rsidRDefault="00CD3E94" w:rsidP="00464F09">
      <w:pPr>
        <w:spacing w:after="240" w:line="276" w:lineRule="auto"/>
        <w:ind w:left="709"/>
        <w:jc w:val="both"/>
        <w:rPr>
          <w:rFonts w:ascii="Arial" w:hAnsi="Arial"/>
          <w:sz w:val="21"/>
          <w:szCs w:val="21"/>
        </w:rPr>
      </w:pPr>
      <w:r w:rsidRPr="00CD3E94">
        <w:rPr>
          <w:rFonts w:ascii="Arial" w:hAnsi="Arial"/>
          <w:sz w:val="21"/>
          <w:szCs w:val="21"/>
        </w:rPr>
        <w:t xml:space="preserve">La protección de la persona denunciante a través de este Estatuto deberá prever una tutela integral, a la que se refiere con detalle la mencionada </w:t>
      </w:r>
      <w:hyperlink r:id="rId296" w:history="1">
        <w:r w:rsidRPr="00CD3E94">
          <w:rPr>
            <w:rStyle w:val="Hipervnculo"/>
            <w:rFonts w:ascii="Arial" w:hAnsi="Arial"/>
            <w:sz w:val="21"/>
            <w:szCs w:val="21"/>
          </w:rPr>
          <w:t>Directiva (UE) 2019/1037</w:t>
        </w:r>
      </w:hyperlink>
      <w:r w:rsidRPr="00CD3E94">
        <w:rPr>
          <w:rFonts w:ascii="Arial" w:hAnsi="Arial"/>
          <w:sz w:val="21"/>
          <w:szCs w:val="21"/>
        </w:rPr>
        <w:t>, articulándose como una medida de persecución criminal que permita favorecer que trabajadores, empresas y ciudadanos en general se involucren en mayor medida en la lucha contra la corrupción y el fraude, en beneficio del interés general y con garantías en caso de hacerlo de activación de sistemas públicos de protección. Ello permitirá que el ordenamiento jurídico se dote de más y mejores instrumentos para la real y efectiva persecución de este tipo de ilícitos penales que merecen el máximo reproche social del que el Estado debe hacerse eco.</w:t>
      </w:r>
    </w:p>
    <w:p w14:paraId="1B9C9124" w14:textId="77777777" w:rsidR="000C13D5" w:rsidRPr="000C13D5" w:rsidRDefault="000C13D5" w:rsidP="000C13D5">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0C13D5">
        <w:rPr>
          <w:rFonts w:ascii="Arial" w:eastAsia="Times New Roman" w:hAnsi="Arial" w:cs="Arial"/>
          <w:b/>
          <w:color w:val="9D2235"/>
          <w:sz w:val="24"/>
          <w:szCs w:val="24"/>
        </w:rPr>
        <w:t>Ámbito autonómico</w:t>
      </w:r>
    </w:p>
    <w:p w14:paraId="16A6CE96" w14:textId="1D9B4C49" w:rsidR="000C13D5" w:rsidRPr="000C13D5" w:rsidRDefault="000C13D5" w:rsidP="000C13D5">
      <w:pPr>
        <w:spacing w:after="240" w:line="276" w:lineRule="auto"/>
        <w:jc w:val="both"/>
        <w:rPr>
          <w:rFonts w:ascii="Arial" w:hAnsi="Arial"/>
          <w:sz w:val="21"/>
          <w:szCs w:val="21"/>
        </w:rPr>
      </w:pPr>
      <w:r w:rsidRPr="000C13D5">
        <w:rPr>
          <w:rFonts w:ascii="Arial" w:hAnsi="Arial"/>
          <w:sz w:val="21"/>
          <w:szCs w:val="21"/>
        </w:rPr>
        <w:t>Dispone el artículo 1 de la Ley 11/2016, de 28 de noviembre, de la Generalitat, de la Agencia de Prevención y Lucha contra el Fraude y la Corrupción de la Comunitat Valenciana, que la misma se crea para prevenir y erradicar el fraude y la corrupción de las instituciones públicas valencianas y para el impulso de la integridad y la ética pública, así como el fomento de una cultura de buenas prácticas y de rechazo del fraude y la corrupción en el diseño, ejecución y evaluación de políticas públicas y en la gestión de recursos públicos.</w:t>
      </w:r>
    </w:p>
    <w:p w14:paraId="50B512C4" w14:textId="755D46EF" w:rsidR="000C13D5" w:rsidRPr="000C13D5" w:rsidRDefault="000C13D5" w:rsidP="000C13D5">
      <w:pPr>
        <w:spacing w:after="240" w:line="276" w:lineRule="auto"/>
        <w:jc w:val="both"/>
        <w:rPr>
          <w:rFonts w:ascii="Arial" w:hAnsi="Arial"/>
          <w:sz w:val="21"/>
          <w:szCs w:val="21"/>
        </w:rPr>
      </w:pPr>
      <w:r w:rsidRPr="000C13D5">
        <w:rPr>
          <w:rFonts w:ascii="Arial" w:hAnsi="Arial"/>
          <w:sz w:val="21"/>
          <w:szCs w:val="21"/>
        </w:rPr>
        <w:t>Entre sus funciones y fines, conforme al artículo 4.f) de dicha Ley, se encuentra el asesoramiento y la formulación de propuestas y recomendaciones a l</w:t>
      </w:r>
      <w:r w:rsidR="00CC7691">
        <w:rPr>
          <w:rFonts w:ascii="Arial" w:hAnsi="Arial"/>
          <w:sz w:val="21"/>
          <w:szCs w:val="21"/>
        </w:rPr>
        <w:t>a</w:t>
      </w:r>
      <w:r w:rsidRPr="000C13D5">
        <w:rPr>
          <w:rFonts w:ascii="Arial" w:hAnsi="Arial"/>
          <w:sz w:val="21"/>
          <w:szCs w:val="21"/>
        </w:rPr>
        <w:t>s Corts, al Consell de la Generalitat y a las entidades incluidas en el ámbito de actuación en materia de integridad, ética pública y prevención y lucha contra la corrupción.</w:t>
      </w:r>
    </w:p>
    <w:p w14:paraId="383F0F72" w14:textId="00BC8EB0" w:rsidR="000C13D5" w:rsidRDefault="000C13D5" w:rsidP="000C13D5">
      <w:pPr>
        <w:spacing w:after="240" w:line="276" w:lineRule="auto"/>
        <w:jc w:val="both"/>
        <w:rPr>
          <w:rFonts w:ascii="Arial" w:hAnsi="Arial"/>
          <w:sz w:val="21"/>
          <w:szCs w:val="21"/>
        </w:rPr>
      </w:pPr>
      <w:r w:rsidRPr="000C13D5">
        <w:rPr>
          <w:rFonts w:ascii="Arial" w:hAnsi="Arial"/>
          <w:sz w:val="21"/>
          <w:szCs w:val="21"/>
        </w:rPr>
        <w:t xml:space="preserve">Como en ejercicios anteriores, durante 2021, la AVAF ha presentado aportaciones a proyectos normativos autonómicos con el fin de mejorar su contenido y adaptarlo al marco jurídico en materia de prevención y lucha contra la corrupción, así como adecuarlo, especialmente, al contenido de la </w:t>
      </w:r>
      <w:hyperlink r:id="rId297" w:history="1">
        <w:r w:rsidRPr="000C13D5">
          <w:rPr>
            <w:rStyle w:val="Hipervnculo"/>
            <w:rFonts w:ascii="Arial" w:hAnsi="Arial"/>
            <w:sz w:val="21"/>
            <w:szCs w:val="21"/>
          </w:rPr>
          <w:t>Directiva (UE) 2019/1937</w:t>
        </w:r>
      </w:hyperlink>
      <w:r w:rsidRPr="000C13D5">
        <w:rPr>
          <w:rFonts w:ascii="Arial" w:hAnsi="Arial"/>
          <w:sz w:val="21"/>
          <w:szCs w:val="21"/>
        </w:rPr>
        <w:t>.</w:t>
      </w:r>
    </w:p>
    <w:p w14:paraId="2A84637E" w14:textId="77777777" w:rsidR="000C13D5" w:rsidRPr="000C13D5" w:rsidRDefault="000C13D5" w:rsidP="0006698A">
      <w:pPr>
        <w:pStyle w:val="Prrafodelista"/>
        <w:keepNext/>
        <w:numPr>
          <w:ilvl w:val="4"/>
          <w:numId w:val="16"/>
        </w:numPr>
        <w:suppressAutoHyphens/>
        <w:spacing w:before="360" w:after="240" w:line="276" w:lineRule="auto"/>
        <w:ind w:left="1134" w:hanging="1134"/>
        <w:jc w:val="both"/>
        <w:outlineLvl w:val="4"/>
        <w:rPr>
          <w:rFonts w:ascii="Arial" w:eastAsia="Times New Roman" w:hAnsi="Arial" w:cs="Arial"/>
          <w:b/>
          <w:color w:val="9D2235"/>
          <w:sz w:val="23"/>
          <w:szCs w:val="23"/>
        </w:rPr>
      </w:pPr>
      <w:r w:rsidRPr="000C13D5">
        <w:rPr>
          <w:rFonts w:ascii="Arial" w:eastAsia="Times New Roman" w:hAnsi="Arial" w:cs="Arial"/>
          <w:b/>
          <w:color w:val="9D2235"/>
          <w:sz w:val="23"/>
          <w:szCs w:val="23"/>
        </w:rPr>
        <w:t>Ley 4/2021, de 16 de abril, de la Generalitat, de la Función Pública Valenciana</w:t>
      </w:r>
    </w:p>
    <w:p w14:paraId="2357122C" w14:textId="77777777" w:rsidR="000C13D5" w:rsidRPr="000C13D5" w:rsidRDefault="000C13D5" w:rsidP="000C13D5">
      <w:pPr>
        <w:spacing w:after="240" w:line="276" w:lineRule="auto"/>
        <w:jc w:val="both"/>
        <w:rPr>
          <w:rFonts w:ascii="Arial" w:hAnsi="Arial"/>
          <w:sz w:val="21"/>
          <w:szCs w:val="21"/>
        </w:rPr>
      </w:pPr>
      <w:r w:rsidRPr="000C13D5">
        <w:rPr>
          <w:rFonts w:ascii="Arial" w:hAnsi="Arial"/>
          <w:sz w:val="21"/>
          <w:szCs w:val="21"/>
        </w:rPr>
        <w:t xml:space="preserve">En nuestra </w:t>
      </w:r>
      <w:hyperlink r:id="rId298" w:history="1">
        <w:r w:rsidRPr="000C13D5">
          <w:rPr>
            <w:rStyle w:val="Hipervnculo"/>
            <w:rFonts w:ascii="Arial" w:hAnsi="Arial"/>
            <w:sz w:val="21"/>
            <w:szCs w:val="21"/>
          </w:rPr>
          <w:t>Memoria de actividad 2020</w:t>
        </w:r>
      </w:hyperlink>
      <w:r w:rsidRPr="000C13D5">
        <w:rPr>
          <w:rFonts w:ascii="Arial" w:hAnsi="Arial"/>
          <w:sz w:val="21"/>
          <w:szCs w:val="21"/>
        </w:rPr>
        <w:t xml:space="preserve">, el apartado </w:t>
      </w:r>
      <w:r w:rsidRPr="000C13D5">
        <w:rPr>
          <w:rFonts w:ascii="Arial" w:hAnsi="Arial"/>
          <w:i/>
          <w:iCs/>
          <w:sz w:val="21"/>
          <w:szCs w:val="21"/>
        </w:rPr>
        <w:t xml:space="preserve">4.3. Actualización del Proyecto de Ley de la Generalitat, de la Función Pública Valenciana. Propuesta de enmiendas, </w:t>
      </w:r>
      <w:r w:rsidRPr="000C13D5">
        <w:rPr>
          <w:rFonts w:ascii="Arial" w:hAnsi="Arial"/>
          <w:sz w:val="21"/>
          <w:szCs w:val="21"/>
        </w:rPr>
        <w:t>recogía de forma exhaustiva las enmiendas realizadas por esta Agencia y trasladadas a todos los Grupos Parlamentarios de las Corts Valencianes.</w:t>
      </w:r>
    </w:p>
    <w:p w14:paraId="46486640" w14:textId="77777777" w:rsidR="000C13D5" w:rsidRPr="000C13D5" w:rsidRDefault="000C13D5" w:rsidP="000C13D5">
      <w:pPr>
        <w:spacing w:after="240" w:line="276" w:lineRule="auto"/>
        <w:jc w:val="both"/>
        <w:rPr>
          <w:rFonts w:ascii="Arial" w:hAnsi="Arial"/>
          <w:sz w:val="21"/>
          <w:szCs w:val="21"/>
        </w:rPr>
      </w:pPr>
      <w:r w:rsidRPr="000C13D5">
        <w:rPr>
          <w:rFonts w:ascii="Arial" w:hAnsi="Arial"/>
          <w:sz w:val="21"/>
          <w:szCs w:val="21"/>
        </w:rPr>
        <w:t xml:space="preserve">Una vez publicada la </w:t>
      </w:r>
      <w:hyperlink r:id="rId299" w:history="1">
        <w:r w:rsidRPr="000C13D5">
          <w:rPr>
            <w:rStyle w:val="Hipervnculo"/>
            <w:rFonts w:ascii="Arial" w:hAnsi="Arial"/>
            <w:sz w:val="21"/>
            <w:szCs w:val="21"/>
          </w:rPr>
          <w:t>Ley 4/2021, de 16 de abril, de la Generalitat, de la Función Pública Valenciana</w:t>
        </w:r>
      </w:hyperlink>
      <w:r w:rsidRPr="000C13D5">
        <w:rPr>
          <w:rFonts w:ascii="Arial" w:hAnsi="Arial"/>
          <w:sz w:val="21"/>
          <w:szCs w:val="21"/>
        </w:rPr>
        <w:t xml:space="preserve"> (DOGV núm. 9065, de 20.04.2021), su texto no incorporó ninguna de las enmiendas realizadas por la AVAF, pese a que algunos grupos parlamentarios sí que se hicieron eco de las mismas.</w:t>
      </w:r>
    </w:p>
    <w:p w14:paraId="04FDB1B1" w14:textId="77777777" w:rsidR="000C13D5" w:rsidRPr="000C13D5" w:rsidRDefault="000C13D5" w:rsidP="000C13D5">
      <w:pPr>
        <w:spacing w:after="240" w:line="276" w:lineRule="auto"/>
        <w:jc w:val="both"/>
        <w:rPr>
          <w:rFonts w:ascii="Arial" w:hAnsi="Arial"/>
          <w:sz w:val="21"/>
          <w:szCs w:val="21"/>
        </w:rPr>
      </w:pPr>
      <w:r w:rsidRPr="000C13D5">
        <w:rPr>
          <w:rFonts w:ascii="Arial" w:hAnsi="Arial"/>
          <w:sz w:val="21"/>
          <w:szCs w:val="21"/>
        </w:rPr>
        <w:t xml:space="preserve">Posteriormente, con motivo de la tramitación del Anteproyecto de Ley de Medidas Fiscales, de Gestión Administrativa y Financiera, y de Organización de la Generalitat, en la que se incluía, entre otras, la modificación de la Ley 4/2021, de 16 de abril, de Función Pública Valencina, la Agencia trasladó, con fecha 20 de julio de 2021, </w:t>
      </w:r>
      <w:hyperlink r:id="rId300" w:history="1">
        <w:r w:rsidRPr="000C13D5">
          <w:rPr>
            <w:rStyle w:val="Hipervnculo"/>
            <w:rFonts w:ascii="Arial" w:hAnsi="Arial"/>
            <w:sz w:val="21"/>
            <w:szCs w:val="21"/>
          </w:rPr>
          <w:t>nueva Propuesta de modificación de la Ley 4/2021, de 16 de abril, de la Generalitat, de la Función Pública Valenciana</w:t>
        </w:r>
      </w:hyperlink>
      <w:r w:rsidRPr="000C13D5">
        <w:rPr>
          <w:rFonts w:ascii="Arial" w:hAnsi="Arial"/>
          <w:sz w:val="21"/>
          <w:szCs w:val="21"/>
        </w:rPr>
        <w:t xml:space="preserve">. </w:t>
      </w:r>
    </w:p>
    <w:p w14:paraId="12416082" w14:textId="77777777" w:rsidR="000C13D5" w:rsidRPr="000C13D5" w:rsidRDefault="000C13D5" w:rsidP="000C13D5">
      <w:pPr>
        <w:spacing w:after="240" w:line="276" w:lineRule="auto"/>
        <w:jc w:val="both"/>
        <w:rPr>
          <w:rFonts w:ascii="Arial" w:hAnsi="Arial"/>
          <w:sz w:val="21"/>
          <w:szCs w:val="21"/>
        </w:rPr>
      </w:pPr>
      <w:r w:rsidRPr="000C13D5">
        <w:rPr>
          <w:rFonts w:ascii="Arial" w:hAnsi="Arial"/>
          <w:sz w:val="21"/>
          <w:szCs w:val="21"/>
        </w:rPr>
        <w:t>El objetivo del traslado de nuevo de esta propuesta no era otro que la mejora del articulado de la referida Ley</w:t>
      </w:r>
      <w:r w:rsidRPr="000C13D5">
        <w:rPr>
          <w:rFonts w:ascii="Arial" w:hAnsi="Arial"/>
          <w:i/>
          <w:iCs/>
          <w:sz w:val="21"/>
          <w:szCs w:val="21"/>
        </w:rPr>
        <w:t xml:space="preserve">, </w:t>
      </w:r>
      <w:r w:rsidRPr="000C13D5">
        <w:rPr>
          <w:rFonts w:ascii="Arial" w:hAnsi="Arial"/>
          <w:sz w:val="21"/>
          <w:szCs w:val="21"/>
        </w:rPr>
        <w:t>dentro del engranaje normativo europeo y estatal, y también autonómico, colaborando en la obtención de una mejor y más avanzada Ley de función pública valenciana, lo que lamentablemente tampoco ha sido atendido en esta ocasión.</w:t>
      </w:r>
    </w:p>
    <w:p w14:paraId="78ACA0DB" w14:textId="77777777" w:rsidR="000C13D5" w:rsidRPr="000C13D5" w:rsidRDefault="000C13D5" w:rsidP="000C13D5">
      <w:pPr>
        <w:spacing w:after="240" w:line="276" w:lineRule="auto"/>
        <w:jc w:val="both"/>
        <w:rPr>
          <w:rFonts w:ascii="Arial" w:hAnsi="Arial"/>
          <w:sz w:val="21"/>
          <w:szCs w:val="21"/>
        </w:rPr>
      </w:pPr>
      <w:r w:rsidRPr="000C13D5">
        <w:rPr>
          <w:rFonts w:ascii="Arial" w:hAnsi="Arial"/>
          <w:sz w:val="21"/>
          <w:szCs w:val="21"/>
        </w:rPr>
        <w:t>De forma resumida, cabe destacar que la propuesta de enmiendas contenía mejoras en la regulación del derecho a la protección del personal empleado público que denuncia irregularidades, que no puede quedar al margen de los mandatos internacionales (</w:t>
      </w:r>
      <w:hyperlink r:id="rId301" w:history="1">
        <w:r w:rsidRPr="000C13D5">
          <w:rPr>
            <w:rStyle w:val="Hipervnculo"/>
            <w:rFonts w:ascii="Arial" w:hAnsi="Arial"/>
            <w:sz w:val="21"/>
            <w:szCs w:val="21"/>
          </w:rPr>
          <w:t>Convención de Naciones Unidas contra la Corrupción</w:t>
        </w:r>
      </w:hyperlink>
      <w:r w:rsidRPr="000C13D5">
        <w:rPr>
          <w:rFonts w:ascii="Arial" w:hAnsi="Arial"/>
          <w:b/>
          <w:bCs/>
          <w:sz w:val="21"/>
          <w:szCs w:val="21"/>
        </w:rPr>
        <w:t>)</w:t>
      </w:r>
      <w:r w:rsidRPr="000C13D5">
        <w:rPr>
          <w:rFonts w:ascii="Arial" w:hAnsi="Arial"/>
          <w:sz w:val="21"/>
          <w:szCs w:val="21"/>
        </w:rPr>
        <w:t xml:space="preserve"> y europeos </w:t>
      </w:r>
      <w:r w:rsidRPr="000C13D5">
        <w:rPr>
          <w:rFonts w:ascii="Arial" w:hAnsi="Arial"/>
          <w:b/>
          <w:bCs/>
          <w:sz w:val="21"/>
          <w:szCs w:val="21"/>
        </w:rPr>
        <w:t>(</w:t>
      </w:r>
      <w:hyperlink r:id="rId302" w:history="1">
        <w:r w:rsidRPr="000C13D5">
          <w:rPr>
            <w:rStyle w:val="Hipervnculo"/>
            <w:rFonts w:ascii="Arial" w:hAnsi="Arial"/>
            <w:sz w:val="21"/>
            <w:szCs w:val="21"/>
          </w:rPr>
          <w:t>Directiva UE 2019/1937</w:t>
        </w:r>
      </w:hyperlink>
      <w:r w:rsidRPr="000C13D5">
        <w:rPr>
          <w:rFonts w:ascii="Arial" w:hAnsi="Arial"/>
          <w:b/>
          <w:bCs/>
          <w:sz w:val="21"/>
          <w:szCs w:val="21"/>
        </w:rPr>
        <w:t>)</w:t>
      </w:r>
      <w:r w:rsidRPr="000C13D5">
        <w:rPr>
          <w:rFonts w:ascii="Arial" w:hAnsi="Arial"/>
          <w:sz w:val="21"/>
          <w:szCs w:val="21"/>
        </w:rPr>
        <w:t>, así como de la legislación autonómica ya vigente (</w:t>
      </w:r>
      <w:hyperlink r:id="rId303" w:history="1">
        <w:r w:rsidRPr="000C13D5">
          <w:rPr>
            <w:rStyle w:val="Hipervnculo"/>
            <w:rFonts w:ascii="Arial" w:hAnsi="Arial"/>
            <w:sz w:val="21"/>
            <w:szCs w:val="21"/>
          </w:rPr>
          <w:t>Ley 11/2016</w:t>
        </w:r>
      </w:hyperlink>
      <w:hyperlink r:id="rId304" w:history="1">
        <w:r w:rsidRPr="000C13D5">
          <w:rPr>
            <w:rStyle w:val="Hipervnculo"/>
            <w:rFonts w:ascii="Arial" w:hAnsi="Arial"/>
            <w:sz w:val="21"/>
            <w:szCs w:val="21"/>
          </w:rPr>
          <w:t>, Ley 22/2018</w:t>
        </w:r>
      </w:hyperlink>
      <w:r w:rsidRPr="000C13D5">
        <w:rPr>
          <w:rFonts w:ascii="Arial" w:hAnsi="Arial"/>
          <w:b/>
          <w:bCs/>
          <w:sz w:val="21"/>
          <w:szCs w:val="21"/>
        </w:rPr>
        <w:t xml:space="preserve">, </w:t>
      </w:r>
      <w:hyperlink r:id="rId305" w:history="1">
        <w:r w:rsidRPr="000C13D5">
          <w:rPr>
            <w:rStyle w:val="Hipervnculo"/>
            <w:rFonts w:ascii="Arial" w:hAnsi="Arial"/>
            <w:sz w:val="21"/>
            <w:szCs w:val="21"/>
          </w:rPr>
          <w:t>Resolución de 4 de febrero de 2020 que aprueba el Plan de actuación de la Inspección General de Servicios 2020-2021</w:t>
        </w:r>
      </w:hyperlink>
      <w:r w:rsidRPr="000C13D5">
        <w:rPr>
          <w:rFonts w:ascii="Arial" w:hAnsi="Arial"/>
          <w:sz w:val="21"/>
          <w:szCs w:val="21"/>
        </w:rPr>
        <w:t xml:space="preserve">) y la jurisprudencia del Tribunal Supremo, entre otras </w:t>
      </w:r>
      <w:hyperlink r:id="rId306" w:history="1">
        <w:r w:rsidRPr="000C13D5">
          <w:rPr>
            <w:rStyle w:val="Hipervnculo"/>
            <w:rFonts w:ascii="Arial" w:hAnsi="Arial"/>
            <w:sz w:val="21"/>
            <w:szCs w:val="21"/>
          </w:rPr>
          <w:t>Sentencias núm. 35/2020 de 6 de febrero de 2020</w:t>
        </w:r>
      </w:hyperlink>
      <w:r w:rsidRPr="000C13D5">
        <w:rPr>
          <w:rFonts w:ascii="Arial" w:hAnsi="Arial"/>
          <w:b/>
          <w:bCs/>
          <w:sz w:val="21"/>
          <w:szCs w:val="21"/>
        </w:rPr>
        <w:t xml:space="preserve"> </w:t>
      </w:r>
      <w:r w:rsidRPr="000C13D5">
        <w:rPr>
          <w:rFonts w:ascii="Arial" w:hAnsi="Arial"/>
          <w:sz w:val="21"/>
          <w:szCs w:val="21"/>
        </w:rPr>
        <w:t>y</w:t>
      </w:r>
      <w:r w:rsidRPr="000C13D5">
        <w:rPr>
          <w:rFonts w:ascii="Arial" w:hAnsi="Arial"/>
          <w:b/>
          <w:bCs/>
          <w:sz w:val="21"/>
          <w:szCs w:val="21"/>
        </w:rPr>
        <w:t xml:space="preserve"> </w:t>
      </w:r>
      <w:hyperlink r:id="rId307" w:history="1">
        <w:r w:rsidRPr="000C13D5">
          <w:rPr>
            <w:rStyle w:val="Hipervnculo"/>
            <w:rFonts w:ascii="Arial" w:hAnsi="Arial"/>
            <w:sz w:val="21"/>
            <w:szCs w:val="21"/>
          </w:rPr>
          <w:t>núm. 54/2019 de 6 de febrero de 2019</w:t>
        </w:r>
      </w:hyperlink>
      <w:r w:rsidRPr="000C13D5">
        <w:rPr>
          <w:rFonts w:ascii="Arial" w:hAnsi="Arial"/>
          <w:b/>
          <w:bCs/>
          <w:sz w:val="21"/>
          <w:szCs w:val="21"/>
        </w:rPr>
        <w:t>,</w:t>
      </w:r>
      <w:r w:rsidRPr="000C13D5">
        <w:rPr>
          <w:rFonts w:ascii="Arial" w:hAnsi="Arial"/>
          <w:sz w:val="21"/>
          <w:szCs w:val="21"/>
        </w:rPr>
        <w:t xml:space="preserve"> ambas de la Sala de lo Penal del Tribunal Supremo.</w:t>
      </w:r>
    </w:p>
    <w:p w14:paraId="5EDDDDF3" w14:textId="775805AF" w:rsidR="00C561B0" w:rsidRDefault="000C13D5" w:rsidP="000C13D5">
      <w:pPr>
        <w:spacing w:after="240" w:line="276" w:lineRule="auto"/>
        <w:jc w:val="both"/>
        <w:rPr>
          <w:rFonts w:ascii="Arial" w:hAnsi="Arial"/>
          <w:sz w:val="21"/>
          <w:szCs w:val="21"/>
        </w:rPr>
      </w:pPr>
      <w:r w:rsidRPr="000C13D5">
        <w:rPr>
          <w:rFonts w:ascii="Arial" w:hAnsi="Arial"/>
          <w:sz w:val="21"/>
          <w:szCs w:val="21"/>
        </w:rPr>
        <w:t>Además, se proponía la necesaria homogeneización, con la normativa estatal contenida en el Estatuto Básico del Empleado Público, de varias cuestiones relacionadas con los derechos y deberes del personal funcionario y los principios éticos y de conducta que deben regir sus actuaciones, así como la cita expresa, por motivos de seguridad jurídica y transparencia, en la Ley de función pública valenciana, de la legislación aplicable al personal funcionario que presta servicios en la AVAF, como entidad vinculada a l</w:t>
      </w:r>
      <w:r w:rsidR="00CC7691">
        <w:rPr>
          <w:rFonts w:ascii="Arial" w:hAnsi="Arial"/>
          <w:sz w:val="21"/>
          <w:szCs w:val="21"/>
        </w:rPr>
        <w:t>a</w:t>
      </w:r>
      <w:r w:rsidRPr="000C13D5">
        <w:rPr>
          <w:rFonts w:ascii="Arial" w:hAnsi="Arial"/>
          <w:sz w:val="21"/>
          <w:szCs w:val="21"/>
        </w:rPr>
        <w:t>s Corts Valencianes, y acorde con sus funciones y fines y a las previsiones contempladas en su ley especial reguladora (Ley 11/2016), al igual que el texto de la Ley de la función pública valenciana ya realiza lo propio respecto del resto de instituciones externas al Consell o dependientes de las Corts.</w:t>
      </w:r>
    </w:p>
    <w:p w14:paraId="41800ACB" w14:textId="1986B331" w:rsidR="0006698A" w:rsidRPr="0006698A" w:rsidRDefault="0006698A" w:rsidP="0006698A">
      <w:pPr>
        <w:pStyle w:val="Prrafodelista"/>
        <w:keepNext/>
        <w:numPr>
          <w:ilvl w:val="4"/>
          <w:numId w:val="16"/>
        </w:numPr>
        <w:suppressAutoHyphens/>
        <w:spacing w:before="360" w:after="240" w:line="276" w:lineRule="auto"/>
        <w:ind w:left="1134" w:hanging="1134"/>
        <w:jc w:val="both"/>
        <w:outlineLvl w:val="4"/>
        <w:rPr>
          <w:rFonts w:ascii="Arial" w:eastAsia="Times New Roman" w:hAnsi="Arial" w:cs="Arial"/>
          <w:b/>
          <w:color w:val="9D2235"/>
          <w:sz w:val="23"/>
          <w:szCs w:val="23"/>
        </w:rPr>
      </w:pPr>
      <w:bookmarkStart w:id="80" w:name="_Hlk95214870"/>
      <w:r w:rsidRPr="0006698A">
        <w:rPr>
          <w:rFonts w:ascii="Arial" w:eastAsia="Times New Roman" w:hAnsi="Arial" w:cs="Arial"/>
          <w:b/>
          <w:color w:val="9D2235"/>
          <w:sz w:val="23"/>
          <w:szCs w:val="23"/>
        </w:rPr>
        <w:t>Proposición de Ley de transparencia y buen gobierno de la Comunitat Valenciana</w:t>
      </w:r>
    </w:p>
    <w:bookmarkEnd w:id="80"/>
    <w:p w14:paraId="52BB0360" w14:textId="77777777" w:rsidR="0006698A" w:rsidRPr="0006698A" w:rsidRDefault="0006698A" w:rsidP="0006698A">
      <w:pPr>
        <w:spacing w:after="240" w:line="276" w:lineRule="auto"/>
        <w:jc w:val="both"/>
        <w:rPr>
          <w:rFonts w:ascii="Arial" w:hAnsi="Arial"/>
          <w:sz w:val="21"/>
          <w:szCs w:val="21"/>
        </w:rPr>
      </w:pPr>
      <w:r w:rsidRPr="0006698A">
        <w:rPr>
          <w:rFonts w:ascii="Arial" w:hAnsi="Arial"/>
          <w:sz w:val="21"/>
          <w:szCs w:val="21"/>
        </w:rPr>
        <w:t xml:space="preserve">En fecha 21 de octubre de 2020, se publicó en el </w:t>
      </w:r>
      <w:r w:rsidRPr="0006698A">
        <w:rPr>
          <w:rFonts w:ascii="Arial" w:hAnsi="Arial"/>
          <w:i/>
          <w:iCs/>
          <w:sz w:val="21"/>
          <w:szCs w:val="21"/>
        </w:rPr>
        <w:t>Butlletí Oficial de las Corts Valencianes</w:t>
      </w:r>
      <w:r w:rsidRPr="0006698A">
        <w:rPr>
          <w:rFonts w:ascii="Arial" w:hAnsi="Arial"/>
          <w:sz w:val="21"/>
          <w:szCs w:val="21"/>
        </w:rPr>
        <w:t xml:space="preserve"> núm. 110 la </w:t>
      </w:r>
      <w:hyperlink r:id="rId308" w:history="1">
        <w:r w:rsidRPr="0006698A">
          <w:rPr>
            <w:rStyle w:val="Hipervnculo"/>
            <w:rFonts w:ascii="Arial" w:hAnsi="Arial"/>
            <w:sz w:val="21"/>
            <w:szCs w:val="21"/>
          </w:rPr>
          <w:t>Proposición de Ley de transparencia y buen gobierno de la Comunitat Valenciana</w:t>
        </w:r>
      </w:hyperlink>
      <w:r w:rsidRPr="0006698A">
        <w:rPr>
          <w:rFonts w:ascii="Arial" w:hAnsi="Arial"/>
          <w:sz w:val="21"/>
          <w:szCs w:val="21"/>
        </w:rPr>
        <w:t>.</w:t>
      </w:r>
    </w:p>
    <w:p w14:paraId="452EE08E" w14:textId="77777777" w:rsidR="0006698A" w:rsidRPr="0006698A" w:rsidRDefault="0006698A" w:rsidP="0006698A">
      <w:pPr>
        <w:spacing w:after="240" w:line="276" w:lineRule="auto"/>
        <w:jc w:val="both"/>
        <w:rPr>
          <w:rFonts w:ascii="Arial" w:hAnsi="Arial"/>
          <w:sz w:val="21"/>
          <w:szCs w:val="21"/>
        </w:rPr>
      </w:pPr>
      <w:r w:rsidRPr="0006698A">
        <w:rPr>
          <w:rFonts w:ascii="Arial" w:hAnsi="Arial"/>
          <w:sz w:val="21"/>
          <w:szCs w:val="21"/>
        </w:rPr>
        <w:t xml:space="preserve">Con fecha 4 de marzo de 2021, se presentó por la AVAF escrito de enmiendas a la </w:t>
      </w:r>
      <w:hyperlink r:id="rId309" w:history="1">
        <w:r w:rsidRPr="0006698A">
          <w:rPr>
            <w:rStyle w:val="Hipervnculo"/>
            <w:rFonts w:ascii="Arial" w:hAnsi="Arial"/>
            <w:sz w:val="21"/>
            <w:szCs w:val="21"/>
          </w:rPr>
          <w:t>Proposición de Ley de transparencia y buen gobierno de la Comunitat Valenciana</w:t>
        </w:r>
      </w:hyperlink>
      <w:r w:rsidRPr="0006698A">
        <w:rPr>
          <w:rFonts w:ascii="Arial" w:hAnsi="Arial"/>
          <w:sz w:val="21"/>
          <w:szCs w:val="21"/>
        </w:rPr>
        <w:t>,</w:t>
      </w:r>
      <w:r w:rsidRPr="0006698A">
        <w:rPr>
          <w:rFonts w:ascii="Arial" w:hAnsi="Arial"/>
          <w:b/>
          <w:bCs/>
          <w:sz w:val="21"/>
          <w:szCs w:val="21"/>
        </w:rPr>
        <w:t xml:space="preserve"> </w:t>
      </w:r>
      <w:r w:rsidRPr="0006698A">
        <w:rPr>
          <w:rFonts w:ascii="Arial" w:hAnsi="Arial"/>
          <w:sz w:val="21"/>
          <w:szCs w:val="21"/>
        </w:rPr>
        <w:t xml:space="preserve">las cuales, desde el ámbito de la función de prevención y la construcción de un sistema de integridad pública, son objeto de análisis y desarrollo en el apartado 5.2.4. </w:t>
      </w:r>
      <w:r w:rsidRPr="0006698A">
        <w:rPr>
          <w:rFonts w:ascii="Arial" w:hAnsi="Arial"/>
          <w:i/>
          <w:iCs/>
          <w:sz w:val="21"/>
          <w:szCs w:val="21"/>
        </w:rPr>
        <w:t>Propuestas sobre disposiciones normativas</w:t>
      </w:r>
      <w:r w:rsidRPr="0006698A">
        <w:rPr>
          <w:rFonts w:ascii="Arial" w:hAnsi="Arial"/>
          <w:sz w:val="21"/>
          <w:szCs w:val="21"/>
        </w:rPr>
        <w:t xml:space="preserve"> de esta Memoria de actividades.</w:t>
      </w:r>
    </w:p>
    <w:p w14:paraId="123B5F6E" w14:textId="34A7B1BC" w:rsidR="0006698A" w:rsidRPr="0006698A" w:rsidRDefault="0006698A" w:rsidP="0006698A">
      <w:pPr>
        <w:spacing w:after="240" w:line="276" w:lineRule="auto"/>
        <w:jc w:val="both"/>
        <w:rPr>
          <w:rFonts w:ascii="Arial" w:hAnsi="Arial"/>
          <w:sz w:val="21"/>
          <w:szCs w:val="21"/>
        </w:rPr>
      </w:pPr>
      <w:r w:rsidRPr="0006698A">
        <w:rPr>
          <w:rFonts w:ascii="Arial" w:hAnsi="Arial"/>
          <w:sz w:val="21"/>
          <w:szCs w:val="21"/>
        </w:rPr>
        <w:t xml:space="preserve">Asimismo, con fecha 12 de mayo de 2021, con ocasión de la comparecencia del director de la Agencia ante la Comisión de Coordinación, Organización y Régimen de las Instituciones de la Generalitat, se trasladaron al secretario y al presidente de dicha Comisión </w:t>
      </w:r>
      <w:hyperlink r:id="rId310" w:history="1">
        <w:r w:rsidRPr="0006698A">
          <w:rPr>
            <w:rStyle w:val="Hipervnculo"/>
            <w:rFonts w:ascii="Arial" w:hAnsi="Arial"/>
            <w:sz w:val="21"/>
            <w:szCs w:val="21"/>
          </w:rPr>
          <w:t>dos enmiendas adicionales a la Proposición de la Ley de Transparencia y Buen Gobierno de la Comunitat Valenciana</w:t>
        </w:r>
      </w:hyperlink>
      <w:r w:rsidRPr="0006698A">
        <w:rPr>
          <w:rFonts w:ascii="Arial" w:hAnsi="Arial"/>
          <w:sz w:val="21"/>
          <w:szCs w:val="21"/>
        </w:rPr>
        <w:t>, sobre modificación de su artículo 3.1.c) para la aplicación a la AVAF, de forma coherente dada su naturaleza de órgano de control externo y adscripción a l</w:t>
      </w:r>
      <w:r w:rsidR="00CC7691">
        <w:rPr>
          <w:rFonts w:ascii="Arial" w:hAnsi="Arial"/>
          <w:sz w:val="21"/>
          <w:szCs w:val="21"/>
        </w:rPr>
        <w:t>a</w:t>
      </w:r>
      <w:r w:rsidRPr="0006698A">
        <w:rPr>
          <w:rFonts w:ascii="Arial" w:hAnsi="Arial"/>
          <w:sz w:val="21"/>
          <w:szCs w:val="21"/>
        </w:rPr>
        <w:t>s Corts, del mismo sistema de transparencia que las Corts y las instituciones, y sobre la adición de un párrafo en la disposición adicional primera, respecto a la aplicación preferente en materia de acceso a la información de la ley especial, reguladora de la AVAF.</w:t>
      </w:r>
    </w:p>
    <w:p w14:paraId="53972026" w14:textId="77777777" w:rsidR="0006698A" w:rsidRPr="0006698A" w:rsidRDefault="0006698A" w:rsidP="0006698A">
      <w:pPr>
        <w:spacing w:after="240" w:line="276" w:lineRule="auto"/>
        <w:jc w:val="both"/>
        <w:rPr>
          <w:rFonts w:ascii="Arial" w:hAnsi="Arial"/>
          <w:sz w:val="21"/>
          <w:szCs w:val="21"/>
        </w:rPr>
      </w:pPr>
      <w:r w:rsidRPr="0006698A">
        <w:rPr>
          <w:rFonts w:ascii="Arial" w:hAnsi="Arial"/>
          <w:sz w:val="21"/>
          <w:szCs w:val="21"/>
        </w:rPr>
        <w:t xml:space="preserve">Las citadas enmiendas adicionales también fueron remitidas por esta Agencia, con fecha 31 de mayo de 2021, a la Conselleria de Participación, Transparencia, Cooperación y Calidad Democrática. </w:t>
      </w:r>
    </w:p>
    <w:p w14:paraId="4547F090" w14:textId="51890D04" w:rsidR="0006698A" w:rsidRPr="0006698A" w:rsidRDefault="0006698A" w:rsidP="0006698A">
      <w:pPr>
        <w:spacing w:after="240" w:line="276" w:lineRule="auto"/>
        <w:jc w:val="both"/>
        <w:rPr>
          <w:rFonts w:ascii="Arial" w:hAnsi="Arial"/>
          <w:sz w:val="21"/>
          <w:szCs w:val="21"/>
        </w:rPr>
      </w:pPr>
      <w:r w:rsidRPr="0006698A">
        <w:rPr>
          <w:rFonts w:ascii="Arial" w:hAnsi="Arial"/>
          <w:sz w:val="21"/>
          <w:szCs w:val="21"/>
        </w:rPr>
        <w:t xml:space="preserve">Finalmente, con fecha 1 de octubre de 2021, el </w:t>
      </w:r>
      <w:r w:rsidRPr="0006698A">
        <w:rPr>
          <w:rFonts w:ascii="Arial" w:hAnsi="Arial"/>
          <w:i/>
          <w:iCs/>
          <w:sz w:val="21"/>
          <w:szCs w:val="21"/>
        </w:rPr>
        <w:t>Butlletí Oficial de</w:t>
      </w:r>
      <w:r w:rsidR="00CC7691">
        <w:rPr>
          <w:rFonts w:ascii="Arial" w:hAnsi="Arial"/>
          <w:i/>
          <w:iCs/>
          <w:sz w:val="21"/>
          <w:szCs w:val="21"/>
        </w:rPr>
        <w:t xml:space="preserve"> las</w:t>
      </w:r>
      <w:r w:rsidRPr="0006698A">
        <w:rPr>
          <w:rFonts w:ascii="Arial" w:hAnsi="Arial"/>
          <w:i/>
          <w:iCs/>
          <w:sz w:val="21"/>
          <w:szCs w:val="21"/>
        </w:rPr>
        <w:t xml:space="preserve"> Corts Valencian</w:t>
      </w:r>
      <w:r w:rsidR="00CC7691">
        <w:rPr>
          <w:rFonts w:ascii="Arial" w:hAnsi="Arial"/>
          <w:i/>
          <w:iCs/>
          <w:sz w:val="21"/>
          <w:szCs w:val="21"/>
        </w:rPr>
        <w:t>e</w:t>
      </w:r>
      <w:r w:rsidRPr="0006698A">
        <w:rPr>
          <w:rFonts w:ascii="Arial" w:hAnsi="Arial"/>
          <w:i/>
          <w:iCs/>
          <w:sz w:val="21"/>
          <w:szCs w:val="21"/>
        </w:rPr>
        <w:t>s</w:t>
      </w:r>
      <w:r w:rsidRPr="0006698A">
        <w:rPr>
          <w:rFonts w:ascii="Arial" w:hAnsi="Arial"/>
          <w:sz w:val="21"/>
          <w:szCs w:val="21"/>
        </w:rPr>
        <w:t xml:space="preserve"> núm. 192, publicó la ordenación de </w:t>
      </w:r>
      <w:hyperlink r:id="rId311" w:anchor="boc/iniciativa/clau/190566387639602" w:history="1">
        <w:r w:rsidRPr="0006698A">
          <w:rPr>
            <w:rStyle w:val="Hipervnculo"/>
            <w:rFonts w:ascii="Arial" w:hAnsi="Arial"/>
            <w:sz w:val="21"/>
            <w:szCs w:val="21"/>
          </w:rPr>
          <w:t>enmiendas a la Proposición de ley de transparencia y buen gobierno de la Comunitat Valenciana</w:t>
        </w:r>
      </w:hyperlink>
      <w:r w:rsidRPr="0006698A">
        <w:rPr>
          <w:rFonts w:ascii="Arial" w:hAnsi="Arial"/>
          <w:sz w:val="21"/>
          <w:szCs w:val="21"/>
        </w:rPr>
        <w:t xml:space="preserve">, en la que ningún grupo parlamentario recoge estas propuestas de la AVAF. </w:t>
      </w:r>
    </w:p>
    <w:p w14:paraId="27B2BCDB" w14:textId="2605CBAD" w:rsidR="0006698A" w:rsidRPr="0006698A" w:rsidRDefault="0006698A" w:rsidP="0006698A">
      <w:pPr>
        <w:pStyle w:val="Prrafodelista"/>
        <w:keepNext/>
        <w:numPr>
          <w:ilvl w:val="4"/>
          <w:numId w:val="16"/>
        </w:numPr>
        <w:suppressAutoHyphens/>
        <w:spacing w:before="360" w:after="240" w:line="276" w:lineRule="auto"/>
        <w:ind w:left="1134" w:hanging="1134"/>
        <w:jc w:val="both"/>
        <w:outlineLvl w:val="4"/>
        <w:rPr>
          <w:rFonts w:ascii="Arial" w:eastAsia="Times New Roman" w:hAnsi="Arial" w:cs="Arial"/>
          <w:b/>
          <w:color w:val="9D2235"/>
          <w:sz w:val="23"/>
          <w:szCs w:val="23"/>
        </w:rPr>
      </w:pPr>
      <w:r w:rsidRPr="0006698A">
        <w:rPr>
          <w:rFonts w:ascii="Arial" w:eastAsia="Times New Roman" w:hAnsi="Arial" w:cs="Arial"/>
          <w:b/>
          <w:color w:val="9D2235"/>
          <w:sz w:val="23"/>
          <w:szCs w:val="23"/>
        </w:rPr>
        <w:t>Estatuto del Denunciante del Principado de Asturias</w:t>
      </w:r>
    </w:p>
    <w:p w14:paraId="234E5739" w14:textId="77777777" w:rsidR="0006698A" w:rsidRPr="0006698A" w:rsidRDefault="0006698A" w:rsidP="0006698A">
      <w:pPr>
        <w:spacing w:after="240" w:line="276" w:lineRule="auto"/>
        <w:jc w:val="both"/>
        <w:rPr>
          <w:rFonts w:ascii="Arial" w:hAnsi="Arial"/>
          <w:sz w:val="21"/>
          <w:szCs w:val="21"/>
        </w:rPr>
      </w:pPr>
      <w:r w:rsidRPr="0006698A">
        <w:rPr>
          <w:rFonts w:ascii="Arial" w:hAnsi="Arial"/>
          <w:sz w:val="21"/>
          <w:szCs w:val="21"/>
        </w:rPr>
        <w:t>Desde el Principado de Asturias se aperturó consulta pública previa</w:t>
      </w:r>
      <w:r w:rsidRPr="0006698A">
        <w:rPr>
          <w:rFonts w:ascii="Arial" w:hAnsi="Arial"/>
          <w:b/>
          <w:bCs/>
          <w:sz w:val="21"/>
          <w:szCs w:val="21"/>
        </w:rPr>
        <w:t xml:space="preserve">, </w:t>
      </w:r>
      <w:r w:rsidRPr="0006698A">
        <w:rPr>
          <w:rFonts w:ascii="Arial" w:hAnsi="Arial"/>
          <w:sz w:val="21"/>
          <w:szCs w:val="21"/>
        </w:rPr>
        <w:t xml:space="preserve">antes de la elaboración del borrador de la norma, con objeto de recabar la opinión de la ciudadanía y de las organizaciones más representativas y potencialmente afectadas por el futuro </w:t>
      </w:r>
      <w:hyperlink r:id="rId312" w:history="1">
        <w:r w:rsidRPr="0006698A">
          <w:rPr>
            <w:rStyle w:val="Hipervnculo"/>
            <w:rFonts w:ascii="Arial" w:hAnsi="Arial"/>
            <w:sz w:val="21"/>
            <w:szCs w:val="21"/>
          </w:rPr>
          <w:t>Estatuto del Denunciante del Principado de Asturias</w:t>
        </w:r>
      </w:hyperlink>
      <w:r w:rsidRPr="0006698A">
        <w:rPr>
          <w:rFonts w:ascii="Arial" w:hAnsi="Arial"/>
          <w:sz w:val="21"/>
          <w:szCs w:val="21"/>
        </w:rPr>
        <w:t xml:space="preserve">. Con ello se pretende fijar el marco jurídico donde se desarrollarán los derechos del denunciante, definidos y regulados en el Título IV la </w:t>
      </w:r>
      <w:hyperlink r:id="rId313" w:history="1">
        <w:r w:rsidRPr="0006698A">
          <w:rPr>
            <w:rStyle w:val="Hipervnculo"/>
            <w:rFonts w:ascii="Arial" w:hAnsi="Arial"/>
            <w:sz w:val="21"/>
            <w:szCs w:val="21"/>
          </w:rPr>
          <w:t>Ley del Principado de Asturias 8/2018, de 14 de septiembre, de Transparencia, Buen Gobierno y Grupos de Interés</w:t>
        </w:r>
      </w:hyperlink>
      <w:r w:rsidRPr="0006698A">
        <w:rPr>
          <w:rFonts w:ascii="Arial" w:hAnsi="Arial"/>
          <w:sz w:val="21"/>
          <w:szCs w:val="21"/>
        </w:rPr>
        <w:t>, así como la presentación de denuncias ante el Canal de Lucha contra la Corrupción y su tramitación.</w:t>
      </w:r>
    </w:p>
    <w:p w14:paraId="15659C14" w14:textId="77777777" w:rsidR="0006698A" w:rsidRPr="0006698A" w:rsidRDefault="0006698A" w:rsidP="0006698A">
      <w:pPr>
        <w:spacing w:after="240" w:line="276" w:lineRule="auto"/>
        <w:jc w:val="both"/>
        <w:rPr>
          <w:rFonts w:ascii="Arial" w:hAnsi="Arial"/>
          <w:sz w:val="21"/>
          <w:szCs w:val="21"/>
        </w:rPr>
      </w:pPr>
      <w:r w:rsidRPr="0006698A">
        <w:rPr>
          <w:rFonts w:ascii="Arial" w:hAnsi="Arial"/>
          <w:sz w:val="21"/>
          <w:szCs w:val="21"/>
        </w:rPr>
        <w:t xml:space="preserve">En el referido trámite y con fecha 4 de junio de 2021, la Agencia presentó </w:t>
      </w:r>
      <w:hyperlink r:id="rId314" w:history="1">
        <w:r w:rsidRPr="0006698A">
          <w:rPr>
            <w:rStyle w:val="Hipervnculo"/>
            <w:rFonts w:ascii="Arial" w:hAnsi="Arial"/>
            <w:sz w:val="21"/>
            <w:szCs w:val="21"/>
          </w:rPr>
          <w:t>escrito de alegaciones en el trámite de audiencia e información pública del proyecto de Decreto por el que se regula el Estatuto del Denunciante del Principado de Asturias</w:t>
        </w:r>
      </w:hyperlink>
      <w:r w:rsidRPr="0006698A">
        <w:rPr>
          <w:rFonts w:ascii="Arial" w:hAnsi="Arial"/>
          <w:sz w:val="21"/>
          <w:szCs w:val="21"/>
        </w:rPr>
        <w:t>,</w:t>
      </w:r>
      <w:r w:rsidRPr="0006698A">
        <w:rPr>
          <w:rFonts w:ascii="Arial" w:hAnsi="Arial"/>
          <w:b/>
          <w:bCs/>
          <w:sz w:val="21"/>
          <w:szCs w:val="21"/>
        </w:rPr>
        <w:t xml:space="preserve"> </w:t>
      </w:r>
      <w:r w:rsidRPr="0006698A">
        <w:rPr>
          <w:rFonts w:ascii="Arial" w:hAnsi="Arial"/>
          <w:sz w:val="21"/>
          <w:szCs w:val="21"/>
        </w:rPr>
        <w:t>realizando aportaciones con base a nuestra experiencia de la AVAF en línea de posibilitar, desde el ámbito autonómico las exigencias contemplados en la Convención de Naciones Unidas contra la corrupción, así como de recomendar, desde nuestro punto de vista, cuál debe ser la naturaleza jurídica de la autoridad competente a tal efecto, su ámbito competencial y funcional, la delimitación del ámbito material y la protección de las personas denunciantes. Igualmente, la Agencia ofrece su disposición para establecer una relación de colaboración y leal cooperación con su homóloga asturiana. Además, durante el mes de marzo de 2021 se ha celebrado una reunión a tal efecto.</w:t>
      </w:r>
    </w:p>
    <w:p w14:paraId="18100DE9" w14:textId="77777777" w:rsidR="005D7606" w:rsidRPr="005D7606" w:rsidRDefault="005D7606" w:rsidP="005D7606">
      <w:pPr>
        <w:pStyle w:val="Prrafodelista"/>
        <w:keepNext/>
        <w:numPr>
          <w:ilvl w:val="2"/>
          <w:numId w:val="16"/>
        </w:numPr>
        <w:suppressAutoHyphens/>
        <w:spacing w:before="360" w:after="240" w:line="276" w:lineRule="auto"/>
        <w:ind w:left="992" w:hanging="992"/>
        <w:contextualSpacing w:val="0"/>
        <w:jc w:val="both"/>
        <w:outlineLvl w:val="2"/>
        <w:rPr>
          <w:rFonts w:ascii="Arial" w:eastAsia="Times New Roman" w:hAnsi="Arial" w:cs="Arial"/>
          <w:b/>
          <w:color w:val="9D2235"/>
          <w:sz w:val="28"/>
          <w:szCs w:val="28"/>
        </w:rPr>
      </w:pPr>
      <w:bookmarkStart w:id="81" w:name="_Toc99106996"/>
      <w:r w:rsidRPr="005D7606">
        <w:rPr>
          <w:rFonts w:ascii="Arial" w:eastAsia="Times New Roman" w:hAnsi="Arial" w:cs="Arial"/>
          <w:b/>
          <w:color w:val="9D2235"/>
          <w:sz w:val="28"/>
          <w:szCs w:val="28"/>
        </w:rPr>
        <w:t>Otras referencias destacadas</w:t>
      </w:r>
      <w:bookmarkEnd w:id="81"/>
    </w:p>
    <w:p w14:paraId="3AF25399" w14:textId="7EC51C8D" w:rsidR="005D7606" w:rsidRPr="005D7606" w:rsidRDefault="005D7606" w:rsidP="005D7606">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5D7606">
        <w:rPr>
          <w:rFonts w:ascii="Arial" w:eastAsia="Times New Roman" w:hAnsi="Arial" w:cs="Arial"/>
          <w:b/>
          <w:color w:val="9D2235"/>
          <w:sz w:val="24"/>
          <w:szCs w:val="24"/>
        </w:rPr>
        <w:t>Declaración de la Conferencia de los Estados Parte de la Convención de las Naciones Unidas contra la corrupción</w:t>
      </w:r>
    </w:p>
    <w:p w14:paraId="64A0665A"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 xml:space="preserve">En el seno de la Conferencia de los Estados Parte de la Convención de las Naciones Unidas contra la corrupción, entre los que se encuentra España, celebrada en el periodo extraordinario de sesiones del 2 al 4 de junio de 2021, se aprobó por la Asamblea General de la ONU la </w:t>
      </w:r>
      <w:hyperlink r:id="rId315" w:history="1">
        <w:r w:rsidRPr="005D7606">
          <w:rPr>
            <w:rStyle w:val="Hipervnculo"/>
            <w:rFonts w:ascii="Arial" w:hAnsi="Arial"/>
            <w:sz w:val="21"/>
            <w:szCs w:val="21"/>
          </w:rPr>
          <w:t>Declaración política</w:t>
        </w:r>
      </w:hyperlink>
      <w:r w:rsidRPr="005D7606">
        <w:rPr>
          <w:rFonts w:ascii="Arial" w:hAnsi="Arial"/>
          <w:sz w:val="21"/>
          <w:szCs w:val="21"/>
        </w:rPr>
        <w:t xml:space="preserve"> titulada </w:t>
      </w:r>
      <w:r w:rsidRPr="005D7606">
        <w:rPr>
          <w:rFonts w:ascii="Arial" w:hAnsi="Arial"/>
          <w:b/>
          <w:bCs/>
          <w:sz w:val="21"/>
          <w:szCs w:val="21"/>
        </w:rPr>
        <w:t>“Nuestro compromiso común con abordar de manera efectiva los desafíos e implementar medidas para prevenir y combatir corrupción y fortalecer la cooperación internacional”.</w:t>
      </w:r>
    </w:p>
    <w:p w14:paraId="65191D67"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 xml:space="preserve">La citada </w:t>
      </w:r>
      <w:hyperlink r:id="rId316" w:history="1">
        <w:r w:rsidRPr="005D7606">
          <w:rPr>
            <w:rStyle w:val="Hipervnculo"/>
            <w:rFonts w:ascii="Arial" w:hAnsi="Arial"/>
            <w:sz w:val="21"/>
            <w:szCs w:val="21"/>
          </w:rPr>
          <w:t>Declaración política</w:t>
        </w:r>
      </w:hyperlink>
      <w:r w:rsidRPr="005D7606">
        <w:rPr>
          <w:rFonts w:ascii="Arial" w:hAnsi="Arial"/>
          <w:sz w:val="21"/>
          <w:szCs w:val="21"/>
        </w:rPr>
        <w:t xml:space="preserve"> pone de relieve su preocupación por la “gravedad de los problemas y amenazas que plantea la corrupción para la estabilidad y seguridad de las sociedades, al menoscabar las instituciones y los valores de la democracia, nuestros valores éticos y la justicia, y poner en peligro el desarrollo sostenible y el estado de derecho”. </w:t>
      </w:r>
    </w:p>
    <w:p w14:paraId="3930D329"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 xml:space="preserve">Entre las medidas preventivas de la Declaración, se destaca: </w:t>
      </w:r>
    </w:p>
    <w:p w14:paraId="2313ACA5" w14:textId="77777777" w:rsidR="005D7606" w:rsidRPr="002378CD" w:rsidRDefault="005D7606" w:rsidP="005D7606">
      <w:pPr>
        <w:spacing w:after="240" w:line="276" w:lineRule="auto"/>
        <w:ind w:left="709"/>
        <w:jc w:val="both"/>
        <w:rPr>
          <w:rFonts w:ascii="Arial" w:hAnsi="Arial"/>
          <w:b/>
          <w:bCs/>
          <w:sz w:val="20"/>
          <w:szCs w:val="20"/>
        </w:rPr>
      </w:pPr>
      <w:r w:rsidRPr="002378CD">
        <w:rPr>
          <w:rFonts w:ascii="Arial" w:hAnsi="Arial"/>
          <w:b/>
          <w:bCs/>
          <w:sz w:val="20"/>
          <w:szCs w:val="20"/>
        </w:rPr>
        <w:t>“4. Reconocemos el papel de los órganos de lucha contra la corrupción y las autoridades especializadas en la aplicación y el seguimiento de estas políticas y prácticas, y les concederemos la independencia necesaria, de conformidad con los principios fundamentales del derecho interno, para que puedan desempeñar sus funciones de manera eficaz y libre de toda influencia indebida y con integridad y responsabilidad. Nos comprometemos a reforzar su capacidad y a proporcionarles los recursos necesarios para que desempeñen sus funciones de supervisión y a facilitar una estrecha cooperación entre ellos en todos los niveles.”</w:t>
      </w:r>
    </w:p>
    <w:p w14:paraId="6AA1FBEB"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 xml:space="preserve">Como en las Memorias de actividad de años anteriores, debemos hacer hincapié en que las advertencias, tanto de organismos internacionales como europeos, en materia de lucha contra la prevención, no se están cumpliendo, generando lagunas interpretativas que se verían, en buena medida solventadas, si España implantase una estrategia específica de prevención y lucha contra la corrupción y una adaptación de su ordenamiento jurídico a los mandatos internacionales previstos en la </w:t>
      </w:r>
      <w:hyperlink r:id="rId317" w:history="1">
        <w:r w:rsidRPr="005D7606">
          <w:rPr>
            <w:rStyle w:val="Hipervnculo"/>
            <w:rFonts w:ascii="Arial" w:hAnsi="Arial"/>
            <w:sz w:val="21"/>
            <w:szCs w:val="21"/>
          </w:rPr>
          <w:t>Convención de Naciones Unidas contra la corrupción</w:t>
        </w:r>
      </w:hyperlink>
      <w:r w:rsidRPr="005D7606">
        <w:rPr>
          <w:rFonts w:ascii="Arial" w:hAnsi="Arial"/>
          <w:sz w:val="21"/>
          <w:szCs w:val="21"/>
        </w:rPr>
        <w:t>, vigente en España desde su ratificación en 2006.</w:t>
      </w:r>
    </w:p>
    <w:p w14:paraId="2C0BB06A" w14:textId="77777777" w:rsidR="005D7606" w:rsidRPr="005D7606" w:rsidRDefault="005D7606" w:rsidP="005D7606">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5D7606">
        <w:rPr>
          <w:rFonts w:ascii="Arial" w:eastAsia="Times New Roman" w:hAnsi="Arial" w:cs="Arial"/>
          <w:b/>
          <w:color w:val="9D2235"/>
          <w:sz w:val="24"/>
          <w:szCs w:val="24"/>
        </w:rPr>
        <w:t>Informe Comisión Europa sobre el Estado Derecho en los países de la Unión</w:t>
      </w:r>
    </w:p>
    <w:p w14:paraId="3F085E93"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 xml:space="preserve">La propia Comisión Europea define su </w:t>
      </w:r>
      <w:r w:rsidRPr="005D7606">
        <w:rPr>
          <w:rFonts w:ascii="Arial" w:hAnsi="Arial"/>
          <w:i/>
          <w:iCs/>
          <w:sz w:val="21"/>
          <w:szCs w:val="21"/>
        </w:rPr>
        <w:t>Informe sobre el Estado de Derecho</w:t>
      </w:r>
      <w:r w:rsidRPr="005D7606">
        <w:rPr>
          <w:rFonts w:ascii="Arial" w:hAnsi="Arial"/>
          <w:sz w:val="21"/>
          <w:szCs w:val="21"/>
        </w:rPr>
        <w:t xml:space="preserve"> como “un instrumento preventivo que forma parte del mecanismo anual europeo del Estado de Derecho”, cuya misión es, en palabras de la Comisión, “analizar los principales hechos positivos y negativos acaecidos en toda la Unión Europea, así como la situación específica del Estado de Derecho en cada Estado miembro. El objetivo del Informe es fomentar el Estado de Derecho y evitar que surjan problemas, que se agraven los existentes y buscar soluciones, además de señalar las mejores prácticas. No se trata de un mecanismo sancionador.”</w:t>
      </w:r>
    </w:p>
    <w:p w14:paraId="6E1D49DA"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 xml:space="preserve">Este Informe abarca cuatro ámbitos clave para el Estado de Derecho, a saber, los sistemas judiciales, el marco de la lucha contra la corrupción, la libertad y el pluralismo de los medios de comunicación, y otras cuestiones institucionales en relación con los controles y equilibrios, prestando además especial atención a las repercusiones de la pandemia de COVID-19. </w:t>
      </w:r>
    </w:p>
    <w:p w14:paraId="4BB0D98B"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 xml:space="preserve">Para su elaboración se realiza una </w:t>
      </w:r>
      <w:hyperlink r:id="rId318" w:history="1">
        <w:r w:rsidRPr="005D7606">
          <w:rPr>
            <w:rStyle w:val="Hipervnculo"/>
            <w:rFonts w:ascii="Arial" w:hAnsi="Arial"/>
            <w:sz w:val="21"/>
            <w:szCs w:val="21"/>
          </w:rPr>
          <w:t>consulta dirigida a las partes interesadas</w:t>
        </w:r>
      </w:hyperlink>
      <w:r w:rsidRPr="005D7606">
        <w:rPr>
          <w:rFonts w:ascii="Arial" w:hAnsi="Arial"/>
          <w:sz w:val="21"/>
          <w:szCs w:val="21"/>
        </w:rPr>
        <w:t xml:space="preserve">, a fin de recabar en cada país valiosas contribuciones, tanto generales como específicas o sectoriales, procedentes de agencias de la Unión Europea, de redes y agentes europeos e internacionales, de organizaciones de la sociedad civil europeas y nacionales y de asociaciones profesionales. Entre ellas, la </w:t>
      </w:r>
      <w:hyperlink r:id="rId319" w:history="1">
        <w:r w:rsidRPr="005D7606">
          <w:rPr>
            <w:rStyle w:val="Hipervnculo"/>
            <w:rFonts w:ascii="Arial" w:hAnsi="Arial"/>
            <w:sz w:val="21"/>
            <w:szCs w:val="21"/>
          </w:rPr>
          <w:t>Agencia de los Derechos Fundamentales</w:t>
        </w:r>
      </w:hyperlink>
      <w:r w:rsidRPr="005D7606">
        <w:rPr>
          <w:rFonts w:ascii="Arial" w:hAnsi="Arial"/>
          <w:sz w:val="21"/>
          <w:szCs w:val="21"/>
        </w:rPr>
        <w:t xml:space="preserve">, la </w:t>
      </w:r>
      <w:hyperlink r:id="rId320" w:history="1">
        <w:r w:rsidRPr="005D7606">
          <w:rPr>
            <w:rStyle w:val="Hipervnculo"/>
            <w:rFonts w:ascii="Arial" w:hAnsi="Arial"/>
            <w:sz w:val="21"/>
            <w:szCs w:val="21"/>
          </w:rPr>
          <w:t>Red Europea de Consejos del Poder Judicial</w:t>
        </w:r>
      </w:hyperlink>
      <w:r w:rsidRPr="005D7606">
        <w:rPr>
          <w:rFonts w:ascii="Arial" w:hAnsi="Arial"/>
          <w:sz w:val="21"/>
          <w:szCs w:val="21"/>
        </w:rPr>
        <w:t xml:space="preserve">, </w:t>
      </w:r>
      <w:hyperlink r:id="rId321" w:history="1">
        <w:r w:rsidRPr="005D7606">
          <w:rPr>
            <w:rStyle w:val="Hipervnculo"/>
            <w:rFonts w:ascii="Arial" w:hAnsi="Arial"/>
            <w:sz w:val="21"/>
            <w:szCs w:val="21"/>
          </w:rPr>
          <w:t>la Red Europea de Instituciones Nacionales de Derechos Humanos</w:t>
        </w:r>
      </w:hyperlink>
      <w:r w:rsidRPr="005D7606">
        <w:rPr>
          <w:rFonts w:ascii="Arial" w:hAnsi="Arial"/>
          <w:sz w:val="21"/>
          <w:szCs w:val="21"/>
        </w:rPr>
        <w:t xml:space="preserve"> (ENNHRI), el </w:t>
      </w:r>
      <w:hyperlink r:id="rId322" w:history="1">
        <w:r w:rsidRPr="005D7606">
          <w:rPr>
            <w:rStyle w:val="Hipervnculo"/>
            <w:rFonts w:ascii="Arial" w:hAnsi="Arial"/>
            <w:sz w:val="21"/>
            <w:szCs w:val="21"/>
          </w:rPr>
          <w:t>Consejo de la Abogacía Europea</w:t>
        </w:r>
      </w:hyperlink>
      <w:r w:rsidRPr="005D7606">
        <w:rPr>
          <w:rFonts w:ascii="Arial" w:hAnsi="Arial"/>
          <w:sz w:val="21"/>
          <w:szCs w:val="21"/>
        </w:rPr>
        <w:t xml:space="preserve"> (CCBE), el </w:t>
      </w:r>
      <w:hyperlink r:id="rId323" w:history="1">
        <w:r w:rsidRPr="005D7606">
          <w:rPr>
            <w:rStyle w:val="Hipervnculo"/>
            <w:rFonts w:ascii="Arial" w:hAnsi="Arial"/>
            <w:sz w:val="21"/>
            <w:szCs w:val="21"/>
          </w:rPr>
          <w:t>Consejo de Europa</w:t>
        </w:r>
      </w:hyperlink>
      <w:r w:rsidRPr="005D7606">
        <w:rPr>
          <w:rFonts w:ascii="Arial" w:hAnsi="Arial"/>
          <w:sz w:val="21"/>
          <w:szCs w:val="21"/>
        </w:rPr>
        <w:t xml:space="preserve"> y la </w:t>
      </w:r>
      <w:hyperlink r:id="rId324" w:history="1">
        <w:r w:rsidRPr="005D7606">
          <w:rPr>
            <w:rStyle w:val="Hipervnculo"/>
            <w:rFonts w:ascii="Arial" w:hAnsi="Arial"/>
            <w:sz w:val="21"/>
            <w:szCs w:val="21"/>
          </w:rPr>
          <w:t>Organización de Cooperación y Desarrollo Económicos</w:t>
        </w:r>
      </w:hyperlink>
      <w:r w:rsidRPr="005D7606">
        <w:rPr>
          <w:rFonts w:ascii="Arial" w:hAnsi="Arial"/>
          <w:sz w:val="21"/>
          <w:szCs w:val="21"/>
        </w:rPr>
        <w:t xml:space="preserve"> (OCDE), así como organizaciones nacionales e internacionales de la sociedad civil y de periodistas, y también otras instituciones reconocidas, como la </w:t>
      </w:r>
      <w:hyperlink r:id="rId325" w:history="1">
        <w:r w:rsidRPr="005D7606">
          <w:rPr>
            <w:rStyle w:val="Hipervnculo"/>
            <w:rFonts w:ascii="Arial" w:hAnsi="Arial"/>
            <w:sz w:val="21"/>
            <w:szCs w:val="21"/>
          </w:rPr>
          <w:t>Oficina Europea de Lucha contra la Corrupción</w:t>
        </w:r>
      </w:hyperlink>
      <w:r w:rsidRPr="005D7606">
        <w:rPr>
          <w:rFonts w:ascii="Arial" w:hAnsi="Arial"/>
          <w:sz w:val="21"/>
          <w:szCs w:val="21"/>
        </w:rPr>
        <w:t xml:space="preserve"> (OLAF), la </w:t>
      </w:r>
      <w:hyperlink r:id="rId326" w:history="1">
        <w:r w:rsidRPr="005D7606">
          <w:rPr>
            <w:rStyle w:val="Hipervnculo"/>
            <w:rFonts w:ascii="Arial" w:hAnsi="Arial"/>
            <w:sz w:val="21"/>
            <w:szCs w:val="21"/>
          </w:rPr>
          <w:t>Fiscalía Europea</w:t>
        </w:r>
      </w:hyperlink>
      <w:r w:rsidRPr="005D7606">
        <w:rPr>
          <w:rFonts w:ascii="Arial" w:hAnsi="Arial"/>
          <w:sz w:val="21"/>
          <w:szCs w:val="21"/>
        </w:rPr>
        <w:t xml:space="preserve"> o el </w:t>
      </w:r>
      <w:hyperlink r:id="rId327" w:history="1">
        <w:r w:rsidRPr="005D7606">
          <w:rPr>
            <w:rStyle w:val="Hipervnculo"/>
            <w:rFonts w:ascii="Arial" w:hAnsi="Arial"/>
            <w:sz w:val="21"/>
            <w:szCs w:val="21"/>
          </w:rPr>
          <w:t>Tribunal de Cuentas Europeo</w:t>
        </w:r>
      </w:hyperlink>
      <w:r w:rsidRPr="005D7606">
        <w:rPr>
          <w:rFonts w:ascii="Arial" w:hAnsi="Arial"/>
          <w:sz w:val="21"/>
          <w:szCs w:val="21"/>
        </w:rPr>
        <w:t xml:space="preserve"> a la hora de constatar y valorar las vulneraciones de los principios del Estado de Derecho que afectan a intereses financieros de la Unión.</w:t>
      </w:r>
    </w:p>
    <w:p w14:paraId="5DA0703D"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 xml:space="preserve">Respecto al ejercicio 2021, la Comisión Europea publicó, el 27 de julio, el </w:t>
      </w:r>
      <w:hyperlink r:id="rId328" w:history="1">
        <w:r w:rsidRPr="005D7606">
          <w:rPr>
            <w:rStyle w:val="Hipervnculo"/>
            <w:rFonts w:ascii="Arial" w:hAnsi="Arial"/>
            <w:sz w:val="21"/>
            <w:szCs w:val="21"/>
          </w:rPr>
          <w:t>Informe sobre el Estado de Derecho en 2021, Capítulo sobre la situación del Estado de Derecho en España</w:t>
        </w:r>
      </w:hyperlink>
      <w:r w:rsidRPr="005D7606">
        <w:rPr>
          <w:rFonts w:ascii="Arial" w:hAnsi="Arial"/>
          <w:sz w:val="21"/>
          <w:szCs w:val="21"/>
          <w:u w:val="single"/>
        </w:rPr>
        <w:t xml:space="preserve">, </w:t>
      </w:r>
      <w:r w:rsidRPr="005D7606">
        <w:rPr>
          <w:rFonts w:ascii="Arial" w:hAnsi="Arial"/>
          <w:sz w:val="21"/>
          <w:szCs w:val="21"/>
        </w:rPr>
        <w:t xml:space="preserve">en cuyo apartado </w:t>
      </w:r>
      <w:r w:rsidRPr="005D7606">
        <w:rPr>
          <w:rFonts w:ascii="Arial" w:hAnsi="Arial"/>
          <w:i/>
          <w:iCs/>
          <w:sz w:val="21"/>
          <w:szCs w:val="21"/>
        </w:rPr>
        <w:t>II. Marco de Lucha contra la Corrupción</w:t>
      </w:r>
      <w:r w:rsidRPr="005D7606">
        <w:rPr>
          <w:rFonts w:ascii="Arial" w:hAnsi="Arial"/>
          <w:sz w:val="21"/>
          <w:szCs w:val="21"/>
        </w:rPr>
        <w:t>, menciona expresamente a la AVAF entre los organismos para combatir el fraude en el territorio autonómico, junto al resto de agencias y oficinas, autonómicas y locales que conforman la REDOAF, y el Servicio Nacional de Coordinación Antifraude a nivel estatal.</w:t>
      </w:r>
    </w:p>
    <w:p w14:paraId="3B6607AC"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 xml:space="preserve">En primer lugar, destaca el informe que en España la lucha contra la corrupción </w:t>
      </w:r>
      <w:r w:rsidRPr="005D7606">
        <w:rPr>
          <w:rFonts w:ascii="Arial" w:hAnsi="Arial"/>
          <w:b/>
          <w:bCs/>
          <w:sz w:val="21"/>
          <w:szCs w:val="21"/>
        </w:rPr>
        <w:t>carece de una estrategia anticorrupción específica</w:t>
      </w:r>
      <w:r w:rsidRPr="005D7606">
        <w:rPr>
          <w:rFonts w:ascii="Arial" w:hAnsi="Arial"/>
          <w:sz w:val="21"/>
          <w:szCs w:val="21"/>
        </w:rPr>
        <w:t xml:space="preserve">. Textualmente indica que “a pesar de que el Gobierno ha desarrollado varias iniciativas para reforzar la integridad del sector público, </w:t>
      </w:r>
      <w:r w:rsidRPr="005D7606">
        <w:rPr>
          <w:rFonts w:ascii="Arial" w:hAnsi="Arial"/>
          <w:b/>
          <w:bCs/>
          <w:sz w:val="21"/>
          <w:szCs w:val="21"/>
        </w:rPr>
        <w:t>no existe una política integral para prevenir y reducir la corrupción</w:t>
      </w:r>
      <w:r w:rsidRPr="005D7606">
        <w:rPr>
          <w:rFonts w:ascii="Arial" w:hAnsi="Arial"/>
          <w:sz w:val="21"/>
          <w:szCs w:val="21"/>
        </w:rPr>
        <w:t xml:space="preserve">. El GRECO ha recomendado el desarrollo de una estrategia que reúna las medidas preventivas para detectar y reducir las áreas de riesgo de los conflictos de intereses, junto con un plan de acción para su aplicación”. </w:t>
      </w:r>
    </w:p>
    <w:p w14:paraId="631C6157"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 xml:space="preserve">En cuanto al marco de protección de las personas denunciantes, el informe reitera lo ya expuesto en el año anterior, destacando que </w:t>
      </w:r>
      <w:r w:rsidRPr="005D7606">
        <w:rPr>
          <w:rFonts w:ascii="Arial" w:hAnsi="Arial"/>
          <w:b/>
          <w:bCs/>
          <w:sz w:val="21"/>
          <w:szCs w:val="21"/>
        </w:rPr>
        <w:t xml:space="preserve">España carece de un marco de protección de las personas denunciantes adecuado, pese a que existe cierta regulación sectorial. </w:t>
      </w:r>
      <w:r w:rsidRPr="005D7606">
        <w:rPr>
          <w:rFonts w:ascii="Arial" w:hAnsi="Arial"/>
          <w:sz w:val="21"/>
          <w:szCs w:val="21"/>
        </w:rPr>
        <w:t>Puntualiza que en</w:t>
      </w:r>
      <w:r w:rsidRPr="005D7606">
        <w:rPr>
          <w:rFonts w:ascii="Arial" w:hAnsi="Arial"/>
          <w:b/>
          <w:bCs/>
          <w:sz w:val="21"/>
          <w:szCs w:val="21"/>
        </w:rPr>
        <w:t xml:space="preserve"> </w:t>
      </w:r>
      <w:r w:rsidRPr="005D7606">
        <w:rPr>
          <w:rFonts w:ascii="Arial" w:hAnsi="Arial"/>
          <w:sz w:val="21"/>
          <w:szCs w:val="21"/>
        </w:rPr>
        <w:t xml:space="preserve">junio de 2020 se creó un grupo de trabajo en la Comisión General de Codificación para la transposición de la Directiva (UE) 2019/1937, y que la consulta pública, que permaneció abierta hasta el 27 de enero de 2021, recopiló más de cuarenta opiniones de la sociedad civil y de particulares sobre distintas cuestiones reglamentarias, que se tomarán en consideración para redactar el proyecto de ley. </w:t>
      </w:r>
    </w:p>
    <w:p w14:paraId="53FD9BCB" w14:textId="743EF299" w:rsidR="005D7606" w:rsidRPr="005D7606" w:rsidRDefault="005D7606" w:rsidP="005D7606">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5D7606">
        <w:rPr>
          <w:rFonts w:ascii="Arial" w:eastAsia="Times New Roman" w:hAnsi="Arial" w:cs="Arial"/>
          <w:b/>
          <w:color w:val="9D2235"/>
          <w:sz w:val="24"/>
          <w:szCs w:val="24"/>
        </w:rPr>
        <w:t>Proyecto: Una estrategia nacional de lucha contra el fraude</w:t>
      </w:r>
    </w:p>
    <w:p w14:paraId="3BC62C36" w14:textId="77777777" w:rsidR="005D7606" w:rsidRPr="005D7606" w:rsidRDefault="005D7606" w:rsidP="005D7606">
      <w:pPr>
        <w:spacing w:after="240" w:line="276" w:lineRule="auto"/>
        <w:jc w:val="both"/>
        <w:rPr>
          <w:rFonts w:ascii="Arial" w:hAnsi="Arial"/>
          <w:sz w:val="21"/>
          <w:szCs w:val="21"/>
          <w:u w:val="single"/>
        </w:rPr>
      </w:pPr>
      <w:r w:rsidRPr="005D7606">
        <w:rPr>
          <w:rFonts w:ascii="Arial" w:hAnsi="Arial"/>
          <w:sz w:val="21"/>
          <w:szCs w:val="21"/>
        </w:rPr>
        <w:t xml:space="preserve">El </w:t>
      </w:r>
      <w:hyperlink r:id="rId329" w:history="1">
        <w:r w:rsidRPr="005D7606">
          <w:rPr>
            <w:rStyle w:val="Hipervnculo"/>
            <w:rFonts w:ascii="Arial" w:hAnsi="Arial"/>
            <w:sz w:val="21"/>
            <w:szCs w:val="21"/>
          </w:rPr>
          <w:t>Servicio de Coordinación de Lucha contra el Fraude Nacional (SNAC)</w:t>
        </w:r>
      </w:hyperlink>
      <w:r w:rsidRPr="005D7606">
        <w:rPr>
          <w:rFonts w:ascii="Arial" w:hAnsi="Arial"/>
          <w:sz w:val="21"/>
          <w:szCs w:val="21"/>
          <w:u w:val="single"/>
        </w:rPr>
        <w:t>, integrado en la Intervención General del Estado</w:t>
      </w:r>
      <w:r w:rsidRPr="005D7606">
        <w:rPr>
          <w:rFonts w:ascii="Arial" w:hAnsi="Arial"/>
          <w:sz w:val="21"/>
          <w:szCs w:val="21"/>
        </w:rPr>
        <w:t xml:space="preserve">, se encuentra regulado en la disposición adicional vigesimoquinta de la </w:t>
      </w:r>
      <w:hyperlink r:id="rId330" w:history="1">
        <w:r w:rsidRPr="005D7606">
          <w:rPr>
            <w:rStyle w:val="Hipervnculo"/>
            <w:rFonts w:ascii="Arial" w:hAnsi="Arial"/>
            <w:sz w:val="21"/>
            <w:szCs w:val="21"/>
          </w:rPr>
          <w:t>Ley 38/2003, de 17 de noviembre, General de Subvenciones</w:t>
        </w:r>
      </w:hyperlink>
      <w:r w:rsidRPr="005D7606">
        <w:rPr>
          <w:rFonts w:ascii="Arial" w:hAnsi="Arial"/>
          <w:sz w:val="21"/>
          <w:szCs w:val="21"/>
          <w:u w:val="single"/>
        </w:rPr>
        <w:t xml:space="preserve">. </w:t>
      </w:r>
    </w:p>
    <w:p w14:paraId="1F4C6AE7"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 xml:space="preserve">Al mismo se refiere el artículo 21.3 del </w:t>
      </w:r>
      <w:hyperlink r:id="rId331" w:history="1">
        <w:r w:rsidRPr="005D7606">
          <w:rPr>
            <w:rStyle w:val="Hipervnculo"/>
            <w:rFonts w:ascii="Arial" w:hAnsi="Arial"/>
            <w:sz w:val="21"/>
            <w:szCs w:val="21"/>
          </w:rPr>
          <w:t>Real Decreto-Ley 36/2020, de 30 de diciembre, por el que se aprueban medidas urgentes para la modernización de la Administración Pública y para la ejecución del Plan de Recuperación, Transformación y Resiliencia</w:t>
        </w:r>
      </w:hyperlink>
      <w:r w:rsidRPr="005D7606">
        <w:rPr>
          <w:rFonts w:ascii="Arial" w:hAnsi="Arial"/>
          <w:sz w:val="21"/>
          <w:szCs w:val="21"/>
        </w:rPr>
        <w:t xml:space="preserve">, que dispone literalmente: </w:t>
      </w:r>
    </w:p>
    <w:p w14:paraId="153A53DE" w14:textId="77777777" w:rsidR="005D7606" w:rsidRPr="002378CD" w:rsidRDefault="005D7606" w:rsidP="002378CD">
      <w:pPr>
        <w:spacing w:after="240" w:line="276" w:lineRule="auto"/>
        <w:ind w:left="567"/>
        <w:jc w:val="both"/>
        <w:rPr>
          <w:rFonts w:ascii="Arial" w:hAnsi="Arial"/>
          <w:sz w:val="20"/>
          <w:szCs w:val="20"/>
        </w:rPr>
      </w:pPr>
      <w:r w:rsidRPr="002378CD">
        <w:rPr>
          <w:rFonts w:ascii="Arial" w:hAnsi="Arial"/>
          <w:sz w:val="20"/>
          <w:szCs w:val="20"/>
        </w:rPr>
        <w:t xml:space="preserve">“3. (…) el </w:t>
      </w:r>
      <w:r w:rsidRPr="002378CD">
        <w:rPr>
          <w:rFonts w:ascii="Arial" w:hAnsi="Arial"/>
          <w:b/>
          <w:bCs/>
          <w:sz w:val="20"/>
          <w:szCs w:val="20"/>
        </w:rPr>
        <w:t>Servicio Nacional de Coordinación Antifraude</w:t>
      </w:r>
      <w:r w:rsidRPr="002378CD">
        <w:rPr>
          <w:rFonts w:ascii="Arial" w:hAnsi="Arial"/>
          <w:sz w:val="20"/>
          <w:szCs w:val="20"/>
        </w:rPr>
        <w:t>, en el ejercicio de sus funciones para la protección de los intereses financieros de la Unión Europea frente al fraude, la corrupción o cualquier otra actividad ilegal, promoverá las labores de prevención, detección e investigación</w:t>
      </w:r>
      <w:r w:rsidRPr="002378CD">
        <w:rPr>
          <w:rFonts w:ascii="Arial" w:hAnsi="Arial"/>
          <w:sz w:val="20"/>
          <w:szCs w:val="20"/>
          <w:u w:val="single"/>
        </w:rPr>
        <w:t xml:space="preserve"> </w:t>
      </w:r>
      <w:r w:rsidRPr="002378CD">
        <w:rPr>
          <w:rFonts w:ascii="Arial" w:hAnsi="Arial"/>
          <w:sz w:val="20"/>
          <w:szCs w:val="20"/>
        </w:rPr>
        <w:t>del fraude que sean precisas, manteniendo a estos efectos las relaciones necesarias con los órganos de gestión y control”.</w:t>
      </w:r>
    </w:p>
    <w:p w14:paraId="73427055"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 xml:space="preserve">Durante este ejercicio 2021, hemos asistido a la aprobación del </w:t>
      </w:r>
      <w:hyperlink r:id="rId332" w:history="1">
        <w:r w:rsidRPr="005D7606">
          <w:rPr>
            <w:rStyle w:val="Hipervnculo"/>
            <w:rFonts w:ascii="Arial" w:hAnsi="Arial"/>
            <w:sz w:val="21"/>
            <w:szCs w:val="21"/>
          </w:rPr>
          <w:t>Reglamento (UE) 2021/241 del Parlamento Europeo y del Consejo de 12 de febrero de 2021 por el que se establece el Mecanismo de Recuperación y Resiliencia</w:t>
        </w:r>
      </w:hyperlink>
      <w:r w:rsidRPr="005D7606">
        <w:rPr>
          <w:rFonts w:ascii="Arial" w:hAnsi="Arial"/>
          <w:sz w:val="21"/>
          <w:szCs w:val="21"/>
        </w:rPr>
        <w:t xml:space="preserve">, que establece los objetivos del Mecanismo, su financiación, las modalidades de la financiación de la Unión en el marco del Mecanismo y las normas para la concesión de dicha financiación. En concreto, su artículo 22 destaca </w:t>
      </w:r>
      <w:r w:rsidRPr="005D7606">
        <w:rPr>
          <w:rFonts w:ascii="Arial" w:hAnsi="Arial"/>
          <w:b/>
          <w:bCs/>
          <w:sz w:val="21"/>
          <w:szCs w:val="21"/>
        </w:rPr>
        <w:t xml:space="preserve">cuatro riesgos específicos </w:t>
      </w:r>
      <w:r w:rsidRPr="005D7606">
        <w:rPr>
          <w:rFonts w:ascii="Arial" w:hAnsi="Arial"/>
          <w:sz w:val="21"/>
          <w:szCs w:val="21"/>
        </w:rPr>
        <w:t xml:space="preserve">contra los que los Estados miembros deben tomar las medidas adecuadas: Fraude, Corrupción, Conflictos de interés y Doble financiación. </w:t>
      </w:r>
    </w:p>
    <w:p w14:paraId="5D5DBDE6"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 xml:space="preserve">Por su parte, de conformidad con el artículo 13.1 del citado Real Decreto-Ley 36/2020, el Consejo de Ministros a propuesta del Ministerio de Asuntos Económicos y Transformación Digital, con fecha de 30 de abril de 2021, aprobó el </w:t>
      </w:r>
      <w:hyperlink r:id="rId333" w:history="1">
        <w:r w:rsidRPr="005D7606">
          <w:rPr>
            <w:rStyle w:val="Hipervnculo"/>
            <w:rFonts w:ascii="Arial" w:hAnsi="Arial"/>
            <w:sz w:val="21"/>
            <w:szCs w:val="21"/>
          </w:rPr>
          <w:t>Plan Nacional de Recuperación, Transformación y Resiliencia (PNRTR)</w:t>
        </w:r>
      </w:hyperlink>
      <w:r w:rsidRPr="005D7606">
        <w:rPr>
          <w:rFonts w:ascii="Arial" w:hAnsi="Arial"/>
          <w:sz w:val="21"/>
          <w:szCs w:val="21"/>
        </w:rPr>
        <w:t>, que fue remitido en esa misma fecha a la Comisión Europea para su evaluación.</w:t>
      </w:r>
    </w:p>
    <w:p w14:paraId="075AE788"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No obstante lo expuesto, con fecha 31 de octubre de 2020, el SNAC, por medio de la Intervención General de la Administración del Estado, elaboró y presentó a la Comisión Europea para su financiación en el marco del</w:t>
      </w:r>
      <w:r w:rsidRPr="005D7606">
        <w:rPr>
          <w:rFonts w:ascii="Arial" w:hAnsi="Arial"/>
          <w:b/>
          <w:bCs/>
          <w:sz w:val="21"/>
          <w:szCs w:val="21"/>
        </w:rPr>
        <w:t xml:space="preserve"> </w:t>
      </w:r>
      <w:hyperlink r:id="rId334" w:history="1">
        <w:r w:rsidRPr="005D7606">
          <w:rPr>
            <w:rStyle w:val="Hipervnculo"/>
            <w:rFonts w:ascii="Arial" w:hAnsi="Arial"/>
            <w:sz w:val="21"/>
            <w:szCs w:val="21"/>
          </w:rPr>
          <w:t>Programa de Apoyo a las Reformas Estructurales de la Unión Europea (SRSP)</w:t>
        </w:r>
      </w:hyperlink>
      <w:r w:rsidRPr="005D7606">
        <w:rPr>
          <w:rFonts w:ascii="Arial" w:hAnsi="Arial"/>
          <w:sz w:val="21"/>
          <w:szCs w:val="21"/>
        </w:rPr>
        <w:t>, Technical Support Instrument (TSI), el proyecto “A National Anti-Fraud Strategy for Spain”, que tiene por objeto la elaboración de una estrategia nacional antifraude que comprenda de manera integral las cuatro fases del ciclo antifraude (prevención, detección, investigación y recuperación/sanción).</w:t>
      </w:r>
    </w:p>
    <w:p w14:paraId="1AD6159F"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Con fecha de 4 de enero de 2021, el citado proyecto resultó preseleccionado por la Dirección General de Reformas Estructurales, adscrita a la Comisión Europea, y susceptible de ser financiado, siendo aprobado el 2 de marzo de 2021 a través de la Decisión de Implementación Financiera del Programa del TSI para 2021.</w:t>
      </w:r>
    </w:p>
    <w:p w14:paraId="3001E68E"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Concretamente, este proyecto, bajo el título, “</w:t>
      </w:r>
      <w:hyperlink r:id="rId335" w:history="1">
        <w:r w:rsidRPr="005D7606">
          <w:rPr>
            <w:rStyle w:val="Hipervnculo"/>
            <w:rFonts w:ascii="Arial" w:hAnsi="Arial"/>
            <w:sz w:val="21"/>
            <w:szCs w:val="21"/>
          </w:rPr>
          <w:t>Fortalecimiento de la Estrategia Nacional de Lucha contra el Fraude en España, Acuerdo Marco de Reforma, Delegación de la OCDE</w:t>
        </w:r>
      </w:hyperlink>
      <w:r w:rsidRPr="005D7606">
        <w:rPr>
          <w:rFonts w:ascii="Arial" w:hAnsi="Arial"/>
          <w:b/>
          <w:bCs/>
          <w:sz w:val="21"/>
          <w:szCs w:val="21"/>
        </w:rPr>
        <w:t>”</w:t>
      </w:r>
      <w:r w:rsidRPr="005D7606">
        <w:rPr>
          <w:rFonts w:ascii="Arial" w:hAnsi="Arial"/>
          <w:sz w:val="21"/>
          <w:szCs w:val="21"/>
        </w:rPr>
        <w:t>, tiene como objetivo general apoyar a España en sus esfuerzos por fortalecer la capacidad institucional y administrativa, incluso a nivel regional y local, para facilitar transiciones socialmente inclusivas, verdes y digitales, para abordar de manera efectiva los desafíos identificados en las recomendaciones específicas y para aplicar el Derecho de la Unión. El objetivo específico es apoyar a España en el diseño, desarrollo e implementación de reformas.</w:t>
      </w:r>
    </w:p>
    <w:p w14:paraId="37B5114A"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El proyecto es relevante para hacer realidad las prioridades nacionales, regionales e internacionales para combatir la corrupción, el fraude, el despilfarro y el abuso relacionados con el gasto público. Estos esfuerzos no solo son una respuesta a la legislación nacional que exige medidas eficaces de lucha contra el fraude, sino que también reflejan las prioridades a escala de la Unión Europea para salvaguardar los gastos relacionados con los planes de recuperación. España está muy descentralizada y el proyecto tiene implicaciones para las entidades de lucha contra el fraude a nivel regional, dada la necesidad de enfoques coherentes y coordinados.</w:t>
      </w:r>
    </w:p>
    <w:p w14:paraId="1AD30CA4"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El proyecto afectará a una amplia gama de actores a nivel estatal, autonómico y local, entre los que se incluye la AVAF y el resto de las autoridades y órganos integrantes de la Red Estatal de Oficinas y Agencias contra el Fraude (REDOAF).</w:t>
      </w:r>
    </w:p>
    <w:p w14:paraId="538BE391"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En concreto, se persigue la mejora de la prevención del fraude, la detección y la lucha contra las irregularidades y el fraude en España, el fomento de la cooperación entre las instituciones implicadas en la lucha contra el fraude y una mayor transparencia y responsabilidad de las instituciones que participan en ella.</w:t>
      </w:r>
    </w:p>
    <w:p w14:paraId="57E8F809"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Para la ejecución del proyecto, se prevé una duración de 19 meses, una financiación que asciende a 480.000 euros, y su realización a cargo de la OCDE, siendo responsabilidad del Estado español la implementación del mismo.</w:t>
      </w:r>
    </w:p>
    <w:p w14:paraId="59203F06" w14:textId="77777777" w:rsidR="00FA0724" w:rsidRDefault="00FA0724" w:rsidP="005D7606">
      <w:pPr>
        <w:spacing w:after="240" w:line="276" w:lineRule="auto"/>
        <w:jc w:val="both"/>
        <w:rPr>
          <w:rFonts w:ascii="Arial" w:hAnsi="Arial"/>
          <w:sz w:val="21"/>
          <w:szCs w:val="21"/>
        </w:rPr>
      </w:pPr>
    </w:p>
    <w:p w14:paraId="44973A85" w14:textId="77777777" w:rsidR="00FA0724" w:rsidRDefault="00FA0724" w:rsidP="005D7606">
      <w:pPr>
        <w:spacing w:after="240" w:line="276" w:lineRule="auto"/>
        <w:jc w:val="both"/>
        <w:rPr>
          <w:rFonts w:ascii="Arial" w:hAnsi="Arial"/>
          <w:sz w:val="21"/>
          <w:szCs w:val="21"/>
        </w:rPr>
      </w:pPr>
    </w:p>
    <w:p w14:paraId="17558847" w14:textId="451EAB1C"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Los trabajos a realizar por la OCDE son los siguientes:</w:t>
      </w:r>
    </w:p>
    <w:p w14:paraId="5BEB6AA1" w14:textId="77777777" w:rsidR="005D7606" w:rsidRPr="005D7606" w:rsidRDefault="005D7606" w:rsidP="00F84B8B">
      <w:pPr>
        <w:numPr>
          <w:ilvl w:val="0"/>
          <w:numId w:val="172"/>
        </w:numPr>
        <w:spacing w:after="120" w:line="276" w:lineRule="auto"/>
        <w:ind w:hanging="357"/>
        <w:contextualSpacing/>
        <w:jc w:val="both"/>
        <w:rPr>
          <w:rFonts w:ascii="Arial" w:hAnsi="Arial"/>
          <w:sz w:val="20"/>
          <w:szCs w:val="20"/>
        </w:rPr>
      </w:pPr>
      <w:r w:rsidRPr="005D7606">
        <w:rPr>
          <w:rFonts w:ascii="Arial" w:hAnsi="Arial"/>
          <w:sz w:val="20"/>
          <w:szCs w:val="20"/>
        </w:rPr>
        <w:t>Producto 1: Estudio con análisis y recomendaciones sobre el canal de denuncias.</w:t>
      </w:r>
    </w:p>
    <w:p w14:paraId="71668F0F" w14:textId="77777777" w:rsidR="005D7606" w:rsidRPr="005D7606" w:rsidRDefault="005D7606" w:rsidP="00F84B8B">
      <w:pPr>
        <w:numPr>
          <w:ilvl w:val="1"/>
          <w:numId w:val="172"/>
        </w:numPr>
        <w:spacing w:after="120" w:line="276" w:lineRule="auto"/>
        <w:ind w:hanging="357"/>
        <w:contextualSpacing/>
        <w:jc w:val="both"/>
        <w:rPr>
          <w:rFonts w:ascii="Arial" w:hAnsi="Arial"/>
          <w:i/>
          <w:iCs/>
          <w:sz w:val="20"/>
          <w:szCs w:val="20"/>
        </w:rPr>
      </w:pPr>
      <w:r w:rsidRPr="005D7606">
        <w:rPr>
          <w:rFonts w:ascii="Arial" w:hAnsi="Arial"/>
          <w:i/>
          <w:iCs/>
          <w:sz w:val="20"/>
          <w:szCs w:val="20"/>
        </w:rPr>
        <w:t>Actividad 1.1 Revisión de los mecanismos de denuncia de irregularidades en España.</w:t>
      </w:r>
    </w:p>
    <w:p w14:paraId="068B13DC" w14:textId="77777777" w:rsidR="005D7606" w:rsidRPr="005D7606" w:rsidRDefault="005D7606" w:rsidP="00C41108">
      <w:pPr>
        <w:numPr>
          <w:ilvl w:val="1"/>
          <w:numId w:val="172"/>
        </w:numPr>
        <w:spacing w:after="240" w:line="276" w:lineRule="auto"/>
        <w:ind w:hanging="357"/>
        <w:jc w:val="both"/>
        <w:rPr>
          <w:rFonts w:ascii="Arial" w:hAnsi="Arial"/>
          <w:i/>
          <w:iCs/>
          <w:sz w:val="20"/>
          <w:szCs w:val="20"/>
        </w:rPr>
      </w:pPr>
      <w:r w:rsidRPr="005D7606">
        <w:rPr>
          <w:rFonts w:ascii="Arial" w:hAnsi="Arial"/>
          <w:i/>
          <w:iCs/>
          <w:sz w:val="20"/>
          <w:szCs w:val="20"/>
        </w:rPr>
        <w:t>Actividad 1.2 Identificación de prácticas líderes.</w:t>
      </w:r>
    </w:p>
    <w:p w14:paraId="2085977F" w14:textId="77777777" w:rsidR="005D7606" w:rsidRPr="005D7606" w:rsidRDefault="005D7606" w:rsidP="00F84B8B">
      <w:pPr>
        <w:numPr>
          <w:ilvl w:val="0"/>
          <w:numId w:val="172"/>
        </w:numPr>
        <w:spacing w:after="240" w:line="276" w:lineRule="auto"/>
        <w:ind w:hanging="357"/>
        <w:contextualSpacing/>
        <w:jc w:val="both"/>
        <w:rPr>
          <w:rFonts w:ascii="Arial" w:hAnsi="Arial"/>
          <w:sz w:val="20"/>
          <w:szCs w:val="20"/>
        </w:rPr>
      </w:pPr>
      <w:r w:rsidRPr="005D7606">
        <w:rPr>
          <w:rFonts w:ascii="Arial" w:hAnsi="Arial"/>
          <w:sz w:val="20"/>
          <w:szCs w:val="20"/>
        </w:rPr>
        <w:t xml:space="preserve">Producto 2: Estudio de diagnóstico y plan de participación </w:t>
      </w:r>
      <w:r w:rsidRPr="005D7606">
        <w:rPr>
          <w:rFonts w:ascii="Arial" w:hAnsi="Arial"/>
          <w:sz w:val="20"/>
          <w:szCs w:val="20"/>
          <w:lang w:bidi="hi-IN"/>
        </w:rPr>
        <w:t>de las partes interesadas.</w:t>
      </w:r>
    </w:p>
    <w:p w14:paraId="40119BEF" w14:textId="77777777" w:rsidR="005D7606" w:rsidRPr="005D7606" w:rsidRDefault="005D7606" w:rsidP="00F84B8B">
      <w:pPr>
        <w:numPr>
          <w:ilvl w:val="1"/>
          <w:numId w:val="172"/>
        </w:numPr>
        <w:spacing w:after="240" w:line="276" w:lineRule="auto"/>
        <w:ind w:hanging="357"/>
        <w:contextualSpacing/>
        <w:jc w:val="both"/>
        <w:rPr>
          <w:rFonts w:ascii="Arial" w:hAnsi="Arial"/>
          <w:i/>
          <w:iCs/>
          <w:sz w:val="20"/>
          <w:szCs w:val="20"/>
        </w:rPr>
      </w:pPr>
      <w:r w:rsidRPr="005D7606">
        <w:rPr>
          <w:rFonts w:ascii="Arial" w:hAnsi="Arial"/>
          <w:i/>
          <w:iCs/>
          <w:sz w:val="20"/>
          <w:szCs w:val="20"/>
        </w:rPr>
        <w:t>Actividad 2.1 Organización de un evento de lanzamiento de múltiples partes interesadas.</w:t>
      </w:r>
    </w:p>
    <w:p w14:paraId="7E97ED85" w14:textId="77777777" w:rsidR="005D7606" w:rsidRPr="005D7606" w:rsidRDefault="005D7606" w:rsidP="00F84B8B">
      <w:pPr>
        <w:numPr>
          <w:ilvl w:val="1"/>
          <w:numId w:val="172"/>
        </w:numPr>
        <w:spacing w:after="240" w:line="276" w:lineRule="auto"/>
        <w:ind w:left="1434" w:hanging="357"/>
        <w:contextualSpacing/>
        <w:jc w:val="both"/>
        <w:rPr>
          <w:rFonts w:ascii="Arial" w:hAnsi="Arial"/>
          <w:i/>
          <w:iCs/>
          <w:sz w:val="20"/>
          <w:szCs w:val="20"/>
        </w:rPr>
      </w:pPr>
      <w:r w:rsidRPr="005D7606">
        <w:rPr>
          <w:rFonts w:ascii="Arial" w:hAnsi="Arial"/>
          <w:i/>
          <w:iCs/>
          <w:sz w:val="20"/>
          <w:szCs w:val="20"/>
        </w:rPr>
        <w:t>Actividad 2.2 Análisis de la situación actual.</w:t>
      </w:r>
    </w:p>
    <w:p w14:paraId="25801562" w14:textId="77777777" w:rsidR="005D7606" w:rsidRPr="005D7606" w:rsidRDefault="005D7606" w:rsidP="00F84B8B">
      <w:pPr>
        <w:numPr>
          <w:ilvl w:val="1"/>
          <w:numId w:val="172"/>
        </w:numPr>
        <w:spacing w:after="240" w:line="276" w:lineRule="auto"/>
        <w:jc w:val="both"/>
        <w:rPr>
          <w:rFonts w:ascii="Arial" w:hAnsi="Arial"/>
          <w:sz w:val="20"/>
          <w:szCs w:val="20"/>
        </w:rPr>
      </w:pPr>
      <w:r w:rsidRPr="005D7606">
        <w:rPr>
          <w:rFonts w:ascii="Arial" w:hAnsi="Arial"/>
          <w:i/>
          <w:iCs/>
          <w:sz w:val="20"/>
          <w:szCs w:val="20"/>
        </w:rPr>
        <w:t>Actividad 2.3 Plan de coordinación y participación de las partes interesadas.</w:t>
      </w:r>
    </w:p>
    <w:p w14:paraId="3DC11310" w14:textId="77777777" w:rsidR="005D7606" w:rsidRPr="005D7606" w:rsidRDefault="005D7606" w:rsidP="00F84B8B">
      <w:pPr>
        <w:numPr>
          <w:ilvl w:val="0"/>
          <w:numId w:val="172"/>
        </w:numPr>
        <w:spacing w:after="240" w:line="276" w:lineRule="auto"/>
        <w:ind w:hanging="357"/>
        <w:contextualSpacing/>
        <w:jc w:val="both"/>
        <w:rPr>
          <w:rFonts w:ascii="Arial" w:hAnsi="Arial"/>
          <w:sz w:val="20"/>
          <w:szCs w:val="20"/>
        </w:rPr>
      </w:pPr>
      <w:r w:rsidRPr="005D7606">
        <w:rPr>
          <w:rFonts w:ascii="Arial" w:hAnsi="Arial"/>
          <w:sz w:val="20"/>
          <w:szCs w:val="20"/>
        </w:rPr>
        <w:t>Producto 3: Evaluación de riesgos.</w:t>
      </w:r>
    </w:p>
    <w:p w14:paraId="33052B13" w14:textId="77777777" w:rsidR="005D7606" w:rsidRPr="005D7606" w:rsidRDefault="005D7606" w:rsidP="00F84B8B">
      <w:pPr>
        <w:numPr>
          <w:ilvl w:val="1"/>
          <w:numId w:val="172"/>
        </w:numPr>
        <w:spacing w:after="240" w:line="276" w:lineRule="auto"/>
        <w:ind w:hanging="357"/>
        <w:contextualSpacing/>
        <w:jc w:val="both"/>
        <w:rPr>
          <w:rFonts w:ascii="Arial" w:hAnsi="Arial"/>
          <w:i/>
          <w:iCs/>
          <w:sz w:val="20"/>
          <w:szCs w:val="20"/>
        </w:rPr>
      </w:pPr>
      <w:r w:rsidRPr="005D7606">
        <w:rPr>
          <w:rFonts w:ascii="Arial" w:hAnsi="Arial"/>
          <w:i/>
          <w:iCs/>
          <w:sz w:val="20"/>
          <w:szCs w:val="20"/>
        </w:rPr>
        <w:t>Actividad 3.1 Análisis de riesgos.</w:t>
      </w:r>
    </w:p>
    <w:p w14:paraId="68523EB5" w14:textId="77777777" w:rsidR="005D7606" w:rsidRPr="005D7606" w:rsidRDefault="005D7606" w:rsidP="00F84B8B">
      <w:pPr>
        <w:numPr>
          <w:ilvl w:val="1"/>
          <w:numId w:val="172"/>
        </w:numPr>
        <w:spacing w:after="240" w:line="276" w:lineRule="auto"/>
        <w:jc w:val="both"/>
        <w:rPr>
          <w:rFonts w:ascii="Arial" w:hAnsi="Arial"/>
          <w:i/>
          <w:iCs/>
          <w:sz w:val="20"/>
          <w:szCs w:val="20"/>
        </w:rPr>
      </w:pPr>
      <w:r w:rsidRPr="005D7606">
        <w:rPr>
          <w:rFonts w:ascii="Arial" w:hAnsi="Arial"/>
          <w:i/>
          <w:iCs/>
          <w:sz w:val="20"/>
          <w:szCs w:val="20"/>
        </w:rPr>
        <w:t>Actividad 3.2 Un taller de evaluación de riesgos.</w:t>
      </w:r>
    </w:p>
    <w:p w14:paraId="363C988C" w14:textId="77777777" w:rsidR="005D7606" w:rsidRPr="005D7606" w:rsidRDefault="005D7606" w:rsidP="00F84B8B">
      <w:pPr>
        <w:numPr>
          <w:ilvl w:val="0"/>
          <w:numId w:val="172"/>
        </w:numPr>
        <w:spacing w:after="240" w:line="276" w:lineRule="auto"/>
        <w:ind w:left="714" w:hanging="357"/>
        <w:contextualSpacing/>
        <w:jc w:val="both"/>
        <w:rPr>
          <w:rFonts w:ascii="Arial" w:hAnsi="Arial"/>
          <w:sz w:val="20"/>
          <w:szCs w:val="20"/>
        </w:rPr>
      </w:pPr>
      <w:r w:rsidRPr="005D7606">
        <w:rPr>
          <w:rFonts w:ascii="Arial" w:hAnsi="Arial"/>
          <w:sz w:val="20"/>
          <w:szCs w:val="20"/>
        </w:rPr>
        <w:t>Producto 4: Proyecto de estrategia nacional de lucha contra el fraude.</w:t>
      </w:r>
    </w:p>
    <w:p w14:paraId="4DB4F0D3" w14:textId="77777777" w:rsidR="005D7606" w:rsidRPr="005D7606" w:rsidRDefault="005D7606" w:rsidP="00F84B8B">
      <w:pPr>
        <w:numPr>
          <w:ilvl w:val="1"/>
          <w:numId w:val="172"/>
        </w:numPr>
        <w:spacing w:after="240" w:line="276" w:lineRule="auto"/>
        <w:jc w:val="both"/>
        <w:rPr>
          <w:rFonts w:ascii="Arial" w:hAnsi="Arial"/>
          <w:i/>
          <w:iCs/>
          <w:sz w:val="20"/>
          <w:szCs w:val="20"/>
        </w:rPr>
      </w:pPr>
      <w:r w:rsidRPr="005D7606">
        <w:rPr>
          <w:rFonts w:ascii="Arial" w:hAnsi="Arial"/>
          <w:i/>
          <w:iCs/>
          <w:sz w:val="20"/>
          <w:szCs w:val="20"/>
        </w:rPr>
        <w:t>Actividad 4.1 Desarrollo del borrador de la estrategia nacional de lucha contra el fraude.</w:t>
      </w:r>
    </w:p>
    <w:p w14:paraId="3187B0CF" w14:textId="77777777" w:rsidR="005D7606" w:rsidRPr="005D7606" w:rsidRDefault="005D7606" w:rsidP="00F84B8B">
      <w:pPr>
        <w:numPr>
          <w:ilvl w:val="0"/>
          <w:numId w:val="172"/>
        </w:numPr>
        <w:spacing w:after="240" w:line="276" w:lineRule="auto"/>
        <w:ind w:hanging="357"/>
        <w:contextualSpacing/>
        <w:jc w:val="both"/>
        <w:rPr>
          <w:rFonts w:ascii="Arial" w:hAnsi="Arial"/>
          <w:sz w:val="20"/>
          <w:szCs w:val="20"/>
        </w:rPr>
      </w:pPr>
      <w:r w:rsidRPr="005D7606">
        <w:rPr>
          <w:rFonts w:ascii="Arial" w:hAnsi="Arial"/>
          <w:sz w:val="20"/>
          <w:szCs w:val="20"/>
        </w:rPr>
        <w:t>Producto 5: Plan de acción para la estrategia nacional de lucha contra el fraude.</w:t>
      </w:r>
    </w:p>
    <w:p w14:paraId="3D96CD17" w14:textId="77777777" w:rsidR="005D7606" w:rsidRPr="005D7606" w:rsidRDefault="005D7606" w:rsidP="00F84B8B">
      <w:pPr>
        <w:numPr>
          <w:ilvl w:val="1"/>
          <w:numId w:val="172"/>
        </w:numPr>
        <w:spacing w:after="240" w:line="276" w:lineRule="auto"/>
        <w:ind w:hanging="357"/>
        <w:contextualSpacing/>
        <w:jc w:val="both"/>
        <w:rPr>
          <w:rFonts w:ascii="Arial" w:hAnsi="Arial"/>
          <w:i/>
          <w:iCs/>
          <w:sz w:val="20"/>
          <w:szCs w:val="20"/>
        </w:rPr>
      </w:pPr>
      <w:r w:rsidRPr="005D7606">
        <w:rPr>
          <w:rFonts w:ascii="Arial" w:hAnsi="Arial"/>
          <w:i/>
          <w:iCs/>
          <w:sz w:val="20"/>
          <w:szCs w:val="20"/>
        </w:rPr>
        <w:t>Actividad 5.1 Situación futura y plan de acción.</w:t>
      </w:r>
    </w:p>
    <w:p w14:paraId="5D46C7AA" w14:textId="77777777" w:rsidR="005D7606" w:rsidRPr="005D7606" w:rsidRDefault="005D7606" w:rsidP="00F84B8B">
      <w:pPr>
        <w:numPr>
          <w:ilvl w:val="1"/>
          <w:numId w:val="172"/>
        </w:numPr>
        <w:spacing w:after="240" w:line="276" w:lineRule="auto"/>
        <w:ind w:hanging="357"/>
        <w:contextualSpacing/>
        <w:jc w:val="both"/>
        <w:rPr>
          <w:rFonts w:ascii="Arial" w:hAnsi="Arial"/>
          <w:i/>
          <w:iCs/>
          <w:sz w:val="20"/>
          <w:szCs w:val="20"/>
        </w:rPr>
      </w:pPr>
      <w:r w:rsidRPr="005D7606">
        <w:rPr>
          <w:rFonts w:ascii="Arial" w:hAnsi="Arial"/>
          <w:i/>
          <w:iCs/>
          <w:sz w:val="20"/>
          <w:szCs w:val="20"/>
        </w:rPr>
        <w:t>Actividad 5.2 Identificación de prácticas líderes.</w:t>
      </w:r>
    </w:p>
    <w:p w14:paraId="7F66BC91" w14:textId="77777777" w:rsidR="005D7606" w:rsidRPr="005D7606" w:rsidRDefault="005D7606" w:rsidP="00F84B8B">
      <w:pPr>
        <w:numPr>
          <w:ilvl w:val="1"/>
          <w:numId w:val="172"/>
        </w:numPr>
        <w:spacing w:after="240" w:line="276" w:lineRule="auto"/>
        <w:jc w:val="both"/>
        <w:rPr>
          <w:rFonts w:ascii="Arial" w:hAnsi="Arial"/>
          <w:i/>
          <w:iCs/>
          <w:sz w:val="20"/>
          <w:szCs w:val="20"/>
        </w:rPr>
      </w:pPr>
      <w:r w:rsidRPr="005D7606">
        <w:rPr>
          <w:rFonts w:ascii="Arial" w:hAnsi="Arial"/>
          <w:i/>
          <w:iCs/>
          <w:sz w:val="20"/>
          <w:szCs w:val="20"/>
        </w:rPr>
        <w:t>Actividad 5.3 Organización de un evento de cierre de múltiples partes interesadas.</w:t>
      </w:r>
    </w:p>
    <w:p w14:paraId="235CF187" w14:textId="77777777" w:rsidR="005D7606" w:rsidRPr="005D7606" w:rsidRDefault="005D7606" w:rsidP="00F84B8B">
      <w:pPr>
        <w:numPr>
          <w:ilvl w:val="0"/>
          <w:numId w:val="172"/>
        </w:numPr>
        <w:spacing w:after="240" w:line="276" w:lineRule="auto"/>
        <w:ind w:hanging="357"/>
        <w:contextualSpacing/>
        <w:jc w:val="both"/>
        <w:rPr>
          <w:rFonts w:ascii="Arial" w:hAnsi="Arial"/>
          <w:sz w:val="20"/>
          <w:szCs w:val="20"/>
        </w:rPr>
      </w:pPr>
      <w:r w:rsidRPr="005D7606">
        <w:rPr>
          <w:rFonts w:ascii="Arial" w:hAnsi="Arial"/>
          <w:sz w:val="20"/>
          <w:szCs w:val="20"/>
        </w:rPr>
        <w:t>Producto 6: Marco de seguimiento y evaluación.</w:t>
      </w:r>
    </w:p>
    <w:p w14:paraId="3FAA7C6B" w14:textId="77777777" w:rsidR="005D7606" w:rsidRPr="005D7606" w:rsidRDefault="005D7606" w:rsidP="00F84B8B">
      <w:pPr>
        <w:numPr>
          <w:ilvl w:val="1"/>
          <w:numId w:val="172"/>
        </w:numPr>
        <w:spacing w:after="240" w:line="276" w:lineRule="auto"/>
        <w:ind w:hanging="357"/>
        <w:contextualSpacing/>
        <w:jc w:val="both"/>
        <w:rPr>
          <w:rFonts w:ascii="Arial" w:hAnsi="Arial"/>
          <w:i/>
          <w:iCs/>
          <w:sz w:val="20"/>
          <w:szCs w:val="20"/>
        </w:rPr>
      </w:pPr>
      <w:r w:rsidRPr="005D7606">
        <w:rPr>
          <w:rFonts w:ascii="Arial" w:hAnsi="Arial"/>
          <w:i/>
          <w:iCs/>
          <w:sz w:val="20"/>
          <w:szCs w:val="20"/>
        </w:rPr>
        <w:t>Actividad 6.1 Desarrollo de un marco de seguimiento y evaluación.</w:t>
      </w:r>
    </w:p>
    <w:p w14:paraId="0A73ED71" w14:textId="77777777" w:rsidR="005D7606" w:rsidRPr="005D7606" w:rsidRDefault="005D7606" w:rsidP="00F84B8B">
      <w:pPr>
        <w:numPr>
          <w:ilvl w:val="1"/>
          <w:numId w:val="172"/>
        </w:numPr>
        <w:spacing w:after="240" w:line="276" w:lineRule="auto"/>
        <w:jc w:val="both"/>
        <w:rPr>
          <w:rFonts w:ascii="Arial" w:hAnsi="Arial"/>
          <w:i/>
          <w:iCs/>
          <w:sz w:val="20"/>
          <w:szCs w:val="20"/>
        </w:rPr>
      </w:pPr>
      <w:r w:rsidRPr="005D7606">
        <w:rPr>
          <w:rFonts w:ascii="Arial" w:hAnsi="Arial"/>
          <w:i/>
          <w:iCs/>
          <w:sz w:val="20"/>
          <w:szCs w:val="20"/>
        </w:rPr>
        <w:t>Actividad 6.2 Identificación de prácticas líderes.</w:t>
      </w:r>
    </w:p>
    <w:p w14:paraId="1C68AFFD" w14:textId="77777777" w:rsidR="005D7606" w:rsidRPr="005D7606" w:rsidRDefault="005D7606" w:rsidP="00F84B8B">
      <w:pPr>
        <w:numPr>
          <w:ilvl w:val="0"/>
          <w:numId w:val="172"/>
        </w:numPr>
        <w:spacing w:after="240" w:line="276" w:lineRule="auto"/>
        <w:ind w:hanging="357"/>
        <w:contextualSpacing/>
        <w:jc w:val="both"/>
        <w:rPr>
          <w:rFonts w:ascii="Arial" w:hAnsi="Arial"/>
          <w:sz w:val="20"/>
          <w:szCs w:val="20"/>
        </w:rPr>
      </w:pPr>
      <w:r w:rsidRPr="005D7606">
        <w:rPr>
          <w:rFonts w:ascii="Arial" w:hAnsi="Arial"/>
          <w:sz w:val="20"/>
          <w:szCs w:val="20"/>
        </w:rPr>
        <w:t>Producto 7: Talleres para fortalecer la capacidad.</w:t>
      </w:r>
    </w:p>
    <w:p w14:paraId="77344FA1" w14:textId="77777777" w:rsidR="005D7606" w:rsidRPr="005D7606" w:rsidRDefault="005D7606" w:rsidP="00F84B8B">
      <w:pPr>
        <w:numPr>
          <w:ilvl w:val="1"/>
          <w:numId w:val="172"/>
        </w:numPr>
        <w:spacing w:after="240" w:line="276" w:lineRule="auto"/>
        <w:ind w:hanging="357"/>
        <w:contextualSpacing/>
        <w:jc w:val="both"/>
        <w:rPr>
          <w:rFonts w:ascii="Arial" w:hAnsi="Arial"/>
          <w:i/>
          <w:iCs/>
          <w:sz w:val="20"/>
          <w:szCs w:val="20"/>
        </w:rPr>
      </w:pPr>
      <w:r w:rsidRPr="005D7606">
        <w:rPr>
          <w:rFonts w:ascii="Arial" w:hAnsi="Arial"/>
          <w:i/>
          <w:iCs/>
          <w:sz w:val="20"/>
          <w:szCs w:val="20"/>
        </w:rPr>
        <w:t>Actividad 7.1 Un taller de creación de capacidad con AFCOS pares sobre el desarrollo de una estrategia nacional de lucha contra el fraude.</w:t>
      </w:r>
    </w:p>
    <w:p w14:paraId="2CDFC1B6" w14:textId="77777777" w:rsidR="005D7606" w:rsidRPr="005D7606" w:rsidRDefault="005D7606" w:rsidP="00C41108">
      <w:pPr>
        <w:numPr>
          <w:ilvl w:val="1"/>
          <w:numId w:val="172"/>
        </w:numPr>
        <w:spacing w:after="240" w:line="276" w:lineRule="auto"/>
        <w:ind w:left="1434" w:hanging="357"/>
        <w:jc w:val="both"/>
        <w:rPr>
          <w:rFonts w:ascii="Arial" w:hAnsi="Arial"/>
          <w:i/>
          <w:iCs/>
          <w:sz w:val="20"/>
          <w:szCs w:val="20"/>
        </w:rPr>
      </w:pPr>
      <w:r w:rsidRPr="005D7606">
        <w:rPr>
          <w:rFonts w:ascii="Arial" w:hAnsi="Arial"/>
          <w:i/>
          <w:iCs/>
          <w:sz w:val="20"/>
          <w:szCs w:val="20"/>
        </w:rPr>
        <w:t>Actividad 7.2 Un taller de creación de capacidad sobre medición del fraude.</w:t>
      </w:r>
    </w:p>
    <w:p w14:paraId="1F171E17" w14:textId="77777777" w:rsidR="005D7606" w:rsidRPr="005D7606" w:rsidRDefault="005D7606" w:rsidP="00F84B8B">
      <w:pPr>
        <w:numPr>
          <w:ilvl w:val="0"/>
          <w:numId w:val="172"/>
        </w:numPr>
        <w:spacing w:after="240" w:line="276" w:lineRule="auto"/>
        <w:ind w:hanging="357"/>
        <w:contextualSpacing/>
        <w:jc w:val="both"/>
        <w:rPr>
          <w:rFonts w:ascii="Arial" w:hAnsi="Arial"/>
          <w:sz w:val="20"/>
          <w:szCs w:val="20"/>
        </w:rPr>
      </w:pPr>
      <w:r w:rsidRPr="005D7606">
        <w:rPr>
          <w:rFonts w:ascii="Arial" w:hAnsi="Arial"/>
          <w:sz w:val="20"/>
          <w:szCs w:val="20"/>
        </w:rPr>
        <w:t>Salida 8: COMUNICACIÓN materiales.</w:t>
      </w:r>
    </w:p>
    <w:p w14:paraId="54EA09F5" w14:textId="77777777" w:rsidR="005D7606" w:rsidRPr="005D7606" w:rsidRDefault="005D7606" w:rsidP="00F84B8B">
      <w:pPr>
        <w:numPr>
          <w:ilvl w:val="1"/>
          <w:numId w:val="172"/>
        </w:numPr>
        <w:spacing w:after="240" w:line="276" w:lineRule="auto"/>
        <w:ind w:hanging="357"/>
        <w:contextualSpacing/>
        <w:jc w:val="both"/>
        <w:rPr>
          <w:rFonts w:ascii="Arial" w:hAnsi="Arial"/>
          <w:i/>
          <w:iCs/>
          <w:sz w:val="20"/>
          <w:szCs w:val="20"/>
        </w:rPr>
      </w:pPr>
      <w:r w:rsidRPr="005D7606">
        <w:rPr>
          <w:rFonts w:ascii="Arial" w:hAnsi="Arial"/>
          <w:i/>
          <w:iCs/>
          <w:sz w:val="20"/>
          <w:szCs w:val="20"/>
        </w:rPr>
        <w:t>Actividad 8.1 Elaboración de materiales de comunicación y video del proyecto.</w:t>
      </w:r>
    </w:p>
    <w:p w14:paraId="318CDF49" w14:textId="77777777" w:rsidR="005D7606" w:rsidRPr="005D7606" w:rsidRDefault="005D7606" w:rsidP="00F84B8B">
      <w:pPr>
        <w:numPr>
          <w:ilvl w:val="1"/>
          <w:numId w:val="172"/>
        </w:numPr>
        <w:spacing w:after="240" w:line="276" w:lineRule="auto"/>
        <w:jc w:val="both"/>
        <w:rPr>
          <w:rFonts w:ascii="Arial" w:hAnsi="Arial"/>
          <w:i/>
          <w:iCs/>
          <w:sz w:val="21"/>
          <w:szCs w:val="21"/>
          <w:lang w:bidi="hi-IN"/>
        </w:rPr>
      </w:pPr>
      <w:r w:rsidRPr="005D7606">
        <w:rPr>
          <w:rFonts w:ascii="Arial" w:hAnsi="Arial"/>
          <w:i/>
          <w:iCs/>
          <w:sz w:val="20"/>
          <w:szCs w:val="20"/>
        </w:rPr>
        <w:t>Actividad 8 0.2 Proyecto de ING y actualización de los mensajes clave para los diferentes públicos.</w:t>
      </w:r>
    </w:p>
    <w:p w14:paraId="421909B1" w14:textId="77777777" w:rsidR="005D7606" w:rsidRPr="005D7606" w:rsidRDefault="005D7606" w:rsidP="005D7606">
      <w:pPr>
        <w:spacing w:after="240" w:line="276" w:lineRule="auto"/>
        <w:jc w:val="both"/>
        <w:rPr>
          <w:rFonts w:ascii="Arial" w:hAnsi="Arial"/>
          <w:sz w:val="21"/>
          <w:szCs w:val="21"/>
        </w:rPr>
      </w:pPr>
      <w:r w:rsidRPr="005D7606">
        <w:rPr>
          <w:rFonts w:ascii="Arial" w:hAnsi="Arial"/>
          <w:sz w:val="21"/>
          <w:szCs w:val="21"/>
        </w:rPr>
        <w:t xml:space="preserve">Por último, se destaca que las </w:t>
      </w:r>
      <w:r w:rsidRPr="005D7606">
        <w:rPr>
          <w:rFonts w:ascii="Arial" w:hAnsi="Arial"/>
          <w:b/>
          <w:bCs/>
          <w:sz w:val="21"/>
          <w:szCs w:val="21"/>
        </w:rPr>
        <w:t>actuaciones incluidas</w:t>
      </w:r>
      <w:r w:rsidRPr="005D7606">
        <w:rPr>
          <w:rFonts w:ascii="Arial" w:hAnsi="Arial"/>
          <w:sz w:val="21"/>
          <w:szCs w:val="21"/>
        </w:rPr>
        <w:t xml:space="preserve"> en la Estrategia Nacional Antifraude, según las fases del ciclo antifraude, se han definido desde la prevención, la detección, la investigación y la sanción o persecución.</w:t>
      </w:r>
    </w:p>
    <w:p w14:paraId="6882CC88" w14:textId="77777777" w:rsidR="005D7606" w:rsidRPr="005D7606" w:rsidRDefault="005D7606" w:rsidP="00F84B8B">
      <w:pPr>
        <w:numPr>
          <w:ilvl w:val="0"/>
          <w:numId w:val="171"/>
        </w:numPr>
        <w:spacing w:after="120" w:line="276" w:lineRule="auto"/>
        <w:ind w:left="714" w:hanging="357"/>
        <w:jc w:val="both"/>
        <w:rPr>
          <w:rFonts w:ascii="Arial" w:hAnsi="Arial"/>
          <w:sz w:val="21"/>
          <w:szCs w:val="21"/>
        </w:rPr>
      </w:pPr>
      <w:r w:rsidRPr="005D7606">
        <w:rPr>
          <w:rFonts w:ascii="Arial" w:hAnsi="Arial"/>
          <w:sz w:val="21"/>
          <w:szCs w:val="21"/>
        </w:rPr>
        <w:t xml:space="preserve">En la fase de Prevención, se tiene como objetivo la </w:t>
      </w:r>
      <w:r w:rsidRPr="005D7606">
        <w:rPr>
          <w:rFonts w:ascii="Arial" w:hAnsi="Arial"/>
          <w:b/>
          <w:bCs/>
          <w:sz w:val="21"/>
          <w:szCs w:val="21"/>
        </w:rPr>
        <w:t>formación general y específica</w:t>
      </w:r>
      <w:r w:rsidRPr="005D7606">
        <w:rPr>
          <w:rFonts w:ascii="Arial" w:hAnsi="Arial"/>
          <w:sz w:val="21"/>
          <w:szCs w:val="21"/>
        </w:rPr>
        <w:t xml:space="preserve"> en determinados riesgos, elaboración de manuales, y recomendaciones para la aprobación de códigos éticos o creación de puestos antifraude.</w:t>
      </w:r>
    </w:p>
    <w:p w14:paraId="3DC1FDCD" w14:textId="77777777" w:rsidR="005D7606" w:rsidRPr="005D7606" w:rsidRDefault="005D7606" w:rsidP="00F84B8B">
      <w:pPr>
        <w:numPr>
          <w:ilvl w:val="0"/>
          <w:numId w:val="171"/>
        </w:numPr>
        <w:spacing w:after="120" w:line="276" w:lineRule="auto"/>
        <w:ind w:left="714" w:hanging="357"/>
        <w:jc w:val="both"/>
        <w:rPr>
          <w:rFonts w:ascii="Arial" w:hAnsi="Arial"/>
          <w:sz w:val="21"/>
          <w:szCs w:val="21"/>
        </w:rPr>
      </w:pPr>
      <w:r w:rsidRPr="005D7606">
        <w:rPr>
          <w:rFonts w:ascii="Arial" w:hAnsi="Arial"/>
          <w:sz w:val="21"/>
          <w:szCs w:val="21"/>
        </w:rPr>
        <w:t xml:space="preserve">En la fase de Detección, la necesaria adaptación del </w:t>
      </w:r>
      <w:r w:rsidRPr="005D7606">
        <w:rPr>
          <w:rFonts w:ascii="Arial" w:hAnsi="Arial"/>
          <w:b/>
          <w:bCs/>
          <w:sz w:val="21"/>
          <w:szCs w:val="21"/>
        </w:rPr>
        <w:t>canal de denuncias</w:t>
      </w:r>
      <w:r w:rsidRPr="005D7606">
        <w:rPr>
          <w:rFonts w:ascii="Arial" w:hAnsi="Arial"/>
          <w:sz w:val="21"/>
          <w:szCs w:val="21"/>
        </w:rPr>
        <w:t xml:space="preserve"> del SNCA </w:t>
      </w:r>
      <w:r w:rsidRPr="005D7606">
        <w:rPr>
          <w:rFonts w:ascii="Arial" w:hAnsi="Arial"/>
          <w:i/>
          <w:iCs/>
          <w:sz w:val="21"/>
          <w:szCs w:val="21"/>
        </w:rPr>
        <w:t>Infofraude</w:t>
      </w:r>
      <w:r w:rsidRPr="005D7606">
        <w:rPr>
          <w:rFonts w:ascii="Arial" w:hAnsi="Arial"/>
          <w:sz w:val="21"/>
          <w:szCs w:val="21"/>
        </w:rPr>
        <w:t xml:space="preserve"> a la Directiva (UE) 2019/1937 de 23 de octubre de 2019, relativa a la protección de las personas que informen sobre infracciones del Derecho de la Unión.</w:t>
      </w:r>
    </w:p>
    <w:p w14:paraId="69DF7BAA" w14:textId="77777777" w:rsidR="005D7606" w:rsidRPr="005D7606" w:rsidRDefault="005D7606" w:rsidP="00F84B8B">
      <w:pPr>
        <w:numPr>
          <w:ilvl w:val="0"/>
          <w:numId w:val="171"/>
        </w:numPr>
        <w:spacing w:after="120" w:line="276" w:lineRule="auto"/>
        <w:ind w:left="714" w:hanging="357"/>
        <w:jc w:val="both"/>
        <w:rPr>
          <w:rFonts w:ascii="Arial" w:hAnsi="Arial"/>
          <w:sz w:val="21"/>
          <w:szCs w:val="21"/>
        </w:rPr>
      </w:pPr>
      <w:r w:rsidRPr="005D7606">
        <w:rPr>
          <w:rFonts w:ascii="Arial" w:hAnsi="Arial"/>
          <w:sz w:val="21"/>
          <w:szCs w:val="21"/>
        </w:rPr>
        <w:t xml:space="preserve">En la fase de Investigación, la </w:t>
      </w:r>
      <w:r w:rsidRPr="005D7606">
        <w:rPr>
          <w:rFonts w:ascii="Arial" w:hAnsi="Arial"/>
          <w:b/>
          <w:bCs/>
          <w:sz w:val="21"/>
          <w:szCs w:val="21"/>
        </w:rPr>
        <w:t xml:space="preserve">modificación de la normativa reguladora en aplicación de la Directiva (UE) 2019/1937, </w:t>
      </w:r>
      <w:r w:rsidRPr="005D7606">
        <w:rPr>
          <w:rFonts w:ascii="Arial" w:hAnsi="Arial"/>
          <w:sz w:val="21"/>
          <w:szCs w:val="21"/>
        </w:rPr>
        <w:t>y la mejora de capacidades del personal investigador y la adaptación y consolidación de protocolos internos.</w:t>
      </w:r>
    </w:p>
    <w:p w14:paraId="634A65D3" w14:textId="0D352769" w:rsidR="005D7606" w:rsidRPr="000F2343" w:rsidRDefault="005D7606" w:rsidP="00EC073F">
      <w:pPr>
        <w:pStyle w:val="Prrafodelista"/>
        <w:numPr>
          <w:ilvl w:val="0"/>
          <w:numId w:val="173"/>
        </w:numPr>
        <w:spacing w:after="240" w:line="276" w:lineRule="auto"/>
        <w:ind w:left="714" w:hanging="357"/>
        <w:contextualSpacing w:val="0"/>
        <w:jc w:val="both"/>
        <w:rPr>
          <w:rFonts w:ascii="Arial" w:hAnsi="Arial"/>
          <w:sz w:val="21"/>
          <w:szCs w:val="21"/>
        </w:rPr>
      </w:pPr>
      <w:r w:rsidRPr="000F2343">
        <w:rPr>
          <w:rFonts w:ascii="Arial" w:hAnsi="Arial"/>
          <w:sz w:val="21"/>
          <w:szCs w:val="21"/>
        </w:rPr>
        <w:t xml:space="preserve">Y en la fase de Sanción, la relación con la </w:t>
      </w:r>
      <w:r w:rsidRPr="000F2343">
        <w:rPr>
          <w:rFonts w:ascii="Arial" w:hAnsi="Arial"/>
          <w:b/>
          <w:bCs/>
          <w:sz w:val="21"/>
          <w:szCs w:val="21"/>
        </w:rPr>
        <w:t>Fiscalía Europea</w:t>
      </w:r>
      <w:r w:rsidRPr="000F2343">
        <w:rPr>
          <w:rFonts w:ascii="Arial" w:hAnsi="Arial"/>
          <w:sz w:val="21"/>
          <w:szCs w:val="21"/>
        </w:rPr>
        <w:t xml:space="preserve">, difusión de su entrada en </w:t>
      </w:r>
      <w:r w:rsidRPr="000F2343">
        <w:rPr>
          <w:rFonts w:ascii="Arial" w:hAnsi="Arial"/>
          <w:b/>
          <w:bCs/>
          <w:sz w:val="21"/>
          <w:szCs w:val="21"/>
        </w:rPr>
        <w:t>funcionamiento efectivo</w:t>
      </w:r>
      <w:r w:rsidRPr="000F2343">
        <w:rPr>
          <w:rFonts w:ascii="Arial" w:hAnsi="Arial"/>
          <w:sz w:val="21"/>
          <w:szCs w:val="21"/>
        </w:rPr>
        <w:t xml:space="preserve">, </w:t>
      </w:r>
      <w:r w:rsidRPr="000F2343">
        <w:rPr>
          <w:rFonts w:ascii="Arial" w:hAnsi="Arial"/>
          <w:b/>
          <w:bCs/>
          <w:sz w:val="21"/>
          <w:szCs w:val="21"/>
        </w:rPr>
        <w:t>resolución de consultas de órganos y entidades administrativas y seguimiento de casos judicializados.</w:t>
      </w:r>
    </w:p>
    <w:p w14:paraId="2BDEE814" w14:textId="66E08BB3" w:rsidR="000F2343" w:rsidRPr="000F2343" w:rsidRDefault="000F2343" w:rsidP="000F2343">
      <w:pPr>
        <w:pStyle w:val="Prrafodelista"/>
        <w:keepNext/>
        <w:numPr>
          <w:ilvl w:val="3"/>
          <w:numId w:val="16"/>
        </w:numPr>
        <w:suppressAutoHyphens/>
        <w:spacing w:before="360" w:after="240" w:line="276" w:lineRule="auto"/>
        <w:ind w:left="1134" w:hanging="1134"/>
        <w:jc w:val="both"/>
        <w:outlineLvl w:val="3"/>
        <w:rPr>
          <w:rFonts w:ascii="Arial" w:eastAsia="Times New Roman" w:hAnsi="Arial" w:cs="Arial"/>
          <w:b/>
          <w:color w:val="9D2235"/>
          <w:sz w:val="24"/>
          <w:szCs w:val="24"/>
        </w:rPr>
      </w:pPr>
      <w:r w:rsidRPr="000F2343">
        <w:rPr>
          <w:rFonts w:ascii="Arial" w:eastAsia="Times New Roman" w:hAnsi="Arial" w:cs="Arial"/>
          <w:b/>
          <w:color w:val="9D2235"/>
          <w:sz w:val="24"/>
          <w:szCs w:val="24"/>
        </w:rPr>
        <w:t>Índice de percepción de la corrupción 2021 según Transparencia Internacional</w:t>
      </w:r>
    </w:p>
    <w:p w14:paraId="62835AF0" w14:textId="77777777" w:rsidR="000F2343" w:rsidRPr="000F2343" w:rsidRDefault="000F2343" w:rsidP="000F2343">
      <w:pPr>
        <w:spacing w:after="240" w:line="276" w:lineRule="auto"/>
        <w:jc w:val="both"/>
        <w:rPr>
          <w:rFonts w:ascii="Arial" w:hAnsi="Arial"/>
          <w:b/>
          <w:bCs/>
          <w:sz w:val="21"/>
          <w:szCs w:val="21"/>
        </w:rPr>
      </w:pPr>
      <w:r w:rsidRPr="000F2343">
        <w:rPr>
          <w:rFonts w:ascii="Arial" w:hAnsi="Arial"/>
          <w:sz w:val="21"/>
          <w:szCs w:val="21"/>
        </w:rPr>
        <w:t xml:space="preserve">En fecha 25 de enero de 2022, Transparencia Internacional hizo público el </w:t>
      </w:r>
      <w:hyperlink r:id="rId336" w:history="1">
        <w:r w:rsidRPr="000F2343">
          <w:rPr>
            <w:rStyle w:val="Hipervnculo"/>
            <w:rFonts w:ascii="Arial" w:hAnsi="Arial"/>
            <w:sz w:val="21"/>
            <w:szCs w:val="21"/>
          </w:rPr>
          <w:t>Índice de Percepción de la Corrupción 2021</w:t>
        </w:r>
      </w:hyperlink>
      <w:r w:rsidRPr="000F2343">
        <w:rPr>
          <w:rFonts w:ascii="Arial" w:hAnsi="Arial"/>
          <w:b/>
          <w:bCs/>
          <w:sz w:val="21"/>
          <w:szCs w:val="21"/>
        </w:rPr>
        <w:t xml:space="preserve">. </w:t>
      </w:r>
    </w:p>
    <w:p w14:paraId="6444A784" w14:textId="77777777" w:rsidR="000F2343" w:rsidRPr="000F2343" w:rsidRDefault="000F2343" w:rsidP="000F2343">
      <w:pPr>
        <w:spacing w:after="240" w:line="276" w:lineRule="auto"/>
        <w:jc w:val="both"/>
        <w:rPr>
          <w:rFonts w:ascii="Arial" w:hAnsi="Arial"/>
          <w:sz w:val="21"/>
          <w:szCs w:val="21"/>
        </w:rPr>
      </w:pPr>
      <w:r w:rsidRPr="000F2343">
        <w:rPr>
          <w:rFonts w:ascii="Arial" w:hAnsi="Arial"/>
          <w:sz w:val="21"/>
          <w:szCs w:val="21"/>
        </w:rPr>
        <w:t xml:space="preserve">España obtiene una puntuación de 61 sobre 100 puntos, lo que implica la bajada de un punto respecto del ranking del año anterior (2020). De este modo, España ocupa el puesto 34, en relación con 180 países de todo el mundo. </w:t>
      </w:r>
    </w:p>
    <w:p w14:paraId="38DB563C" w14:textId="77777777" w:rsidR="000F2343" w:rsidRPr="000F2343" w:rsidRDefault="000F2343" w:rsidP="000F2343">
      <w:pPr>
        <w:spacing w:after="240" w:line="276" w:lineRule="auto"/>
        <w:jc w:val="both"/>
        <w:rPr>
          <w:rFonts w:ascii="Arial" w:hAnsi="Arial"/>
          <w:sz w:val="21"/>
          <w:szCs w:val="21"/>
        </w:rPr>
      </w:pPr>
      <w:r w:rsidRPr="000F2343">
        <w:rPr>
          <w:rFonts w:ascii="Arial" w:hAnsi="Arial"/>
          <w:sz w:val="21"/>
          <w:szCs w:val="21"/>
        </w:rPr>
        <w:t>Se recuerda que la escala de 0 a 100, que utiliza Transparencia Internacional, corresponde a valores donde 0 significa corrupción muy elevada y el 100 significa libre de corrupción.</w:t>
      </w:r>
    </w:p>
    <w:p w14:paraId="5188091F" w14:textId="77777777" w:rsidR="000F2343" w:rsidRPr="000F2343" w:rsidRDefault="000F2343" w:rsidP="000F2343">
      <w:pPr>
        <w:spacing w:after="240" w:line="276" w:lineRule="auto"/>
        <w:jc w:val="both"/>
        <w:rPr>
          <w:rFonts w:ascii="Arial" w:hAnsi="Arial"/>
          <w:sz w:val="21"/>
          <w:szCs w:val="21"/>
        </w:rPr>
      </w:pPr>
      <w:r w:rsidRPr="000F2343">
        <w:rPr>
          <w:rFonts w:ascii="Arial" w:hAnsi="Arial"/>
          <w:sz w:val="21"/>
          <w:szCs w:val="21"/>
        </w:rPr>
        <w:t>La conclusión de Transparencia Internacional respecto a la evolución en los últimos años es evidente. Según sus propias palabras “los niveles de corrupción están estancados en todo el mundo” y España es un claro ejemplo de la dinámica que se está desarrollando a nivel mundial.</w:t>
      </w:r>
    </w:p>
    <w:p w14:paraId="23555B3F" w14:textId="52F9A1D1" w:rsidR="005761A2" w:rsidRPr="00727C60" w:rsidRDefault="005761A2" w:rsidP="00797294">
      <w:pPr>
        <w:pStyle w:val="Prrafodelista"/>
        <w:keepNext/>
        <w:numPr>
          <w:ilvl w:val="1"/>
          <w:numId w:val="16"/>
        </w:numPr>
        <w:suppressAutoHyphens/>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82" w:name="_Toc99106997"/>
      <w:r w:rsidRPr="00727C60">
        <w:rPr>
          <w:rFonts w:ascii="Arial" w:eastAsia="Times New Roman" w:hAnsi="Arial" w:cs="Arial"/>
          <w:b/>
          <w:color w:val="9D2235"/>
          <w:sz w:val="32"/>
          <w:szCs w:val="32"/>
        </w:rPr>
        <w:t>Protección de las personas denunciantes, informadoras o alertadoras de fraude o corrupción</w:t>
      </w:r>
      <w:bookmarkEnd w:id="82"/>
      <w:r w:rsidRPr="00727C60">
        <w:rPr>
          <w:rFonts w:ascii="Arial" w:eastAsia="Times New Roman" w:hAnsi="Arial" w:cs="Arial"/>
          <w:b/>
          <w:color w:val="9D2235"/>
          <w:sz w:val="32"/>
          <w:szCs w:val="32"/>
        </w:rPr>
        <w:t xml:space="preserve"> </w:t>
      </w:r>
    </w:p>
    <w:p w14:paraId="1C9A3B9B" w14:textId="6D5F3949" w:rsidR="005761A2" w:rsidRDefault="005761A2" w:rsidP="00A51BD4">
      <w:pPr>
        <w:pStyle w:val="Prrafodelista"/>
        <w:keepNext/>
        <w:numPr>
          <w:ilvl w:val="2"/>
          <w:numId w:val="16"/>
        </w:numPr>
        <w:suppressAutoHyphens/>
        <w:spacing w:before="360" w:after="240" w:line="276" w:lineRule="auto"/>
        <w:ind w:left="993" w:hanging="993"/>
        <w:jc w:val="both"/>
        <w:outlineLvl w:val="2"/>
        <w:rPr>
          <w:rFonts w:ascii="Arial" w:eastAsia="Times New Roman" w:hAnsi="Arial" w:cs="Arial"/>
          <w:b/>
          <w:color w:val="9D2235"/>
          <w:sz w:val="28"/>
          <w:szCs w:val="28"/>
        </w:rPr>
      </w:pPr>
      <w:bookmarkStart w:id="83" w:name="_Toc99106998"/>
      <w:r w:rsidRPr="00727C60">
        <w:rPr>
          <w:rFonts w:ascii="Arial" w:eastAsia="Times New Roman" w:hAnsi="Arial" w:cs="Arial"/>
          <w:b/>
          <w:color w:val="9D2235"/>
          <w:sz w:val="28"/>
          <w:szCs w:val="28"/>
        </w:rPr>
        <w:t>Estatuto de protección</w:t>
      </w:r>
      <w:bookmarkEnd w:id="83"/>
      <w:r w:rsidRPr="00727C60">
        <w:rPr>
          <w:rFonts w:ascii="Arial" w:eastAsia="Times New Roman" w:hAnsi="Arial" w:cs="Arial"/>
          <w:b/>
          <w:color w:val="9D2235"/>
          <w:sz w:val="28"/>
          <w:szCs w:val="28"/>
        </w:rPr>
        <w:t xml:space="preserve"> </w:t>
      </w:r>
    </w:p>
    <w:p w14:paraId="75F9F7B0" w14:textId="77777777" w:rsidR="00757B51" w:rsidRPr="00757B51" w:rsidRDefault="00757B51" w:rsidP="00757B51">
      <w:p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 xml:space="preserve">La </w:t>
      </w:r>
      <w:hyperlink r:id="rId337" w:history="1">
        <w:r w:rsidRPr="00757B51">
          <w:rPr>
            <w:rStyle w:val="Hipervnculo"/>
            <w:rFonts w:ascii="Arial" w:eastAsia="Times New Roman" w:hAnsi="Arial" w:cs="Arial"/>
            <w:bCs/>
            <w:sz w:val="21"/>
            <w:szCs w:val="21"/>
          </w:rPr>
          <w:t>Ley 11/2016, de 28 de noviembre, de la Generalitat</w:t>
        </w:r>
      </w:hyperlink>
      <w:r w:rsidRPr="00757B51">
        <w:rPr>
          <w:rFonts w:ascii="Arial" w:eastAsia="Times New Roman" w:hAnsi="Arial" w:cs="Arial"/>
          <w:bCs/>
          <w:sz w:val="21"/>
          <w:szCs w:val="21"/>
        </w:rPr>
        <w:t xml:space="preserve">, que crea y regula la AVAF, presta especial atención a las personas que deciden informar, alertar o denunciar hechos y conductas que pudieran constituir supuestos de fraude o corrupción. Así, la protección a las personas denunciantes se configura como uno de los pilares fundamentales del funcionamiento y actuaciones de la Agencia y se encuentra regulado en el artículo 14 de la Ley 11/2016, así como en los artículos 41 a 48 del </w:t>
      </w:r>
      <w:hyperlink r:id="rId338" w:history="1">
        <w:r w:rsidRPr="00757B51">
          <w:rPr>
            <w:rStyle w:val="Hipervnculo"/>
            <w:rFonts w:ascii="Arial" w:eastAsia="Times New Roman" w:hAnsi="Arial" w:cs="Arial"/>
            <w:bCs/>
            <w:sz w:val="21"/>
            <w:szCs w:val="21"/>
          </w:rPr>
          <w:t>Reglamento de funcionamiento y régimen interior</w:t>
        </w:r>
      </w:hyperlink>
      <w:r w:rsidRPr="00757B51">
        <w:rPr>
          <w:rFonts w:ascii="Arial" w:eastAsia="Times New Roman" w:hAnsi="Arial" w:cs="Arial"/>
          <w:bCs/>
          <w:sz w:val="21"/>
          <w:szCs w:val="21"/>
        </w:rPr>
        <w:t xml:space="preserve"> de esta.</w:t>
      </w:r>
    </w:p>
    <w:p w14:paraId="4391E49B" w14:textId="77777777" w:rsidR="00757B51" w:rsidRPr="00757B51" w:rsidRDefault="00757B51" w:rsidP="00757B51">
      <w:p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Dentro de este ámbito de protección, las actuaciones de la Agencia se centran en el desarrollo de dos funciones esenciales: el asesoramiento jurídico y la protección frente a represalias.</w:t>
      </w:r>
    </w:p>
    <w:p w14:paraId="2F81BCF0" w14:textId="77777777" w:rsidR="00757B51" w:rsidRPr="00757B51" w:rsidRDefault="00757B51" w:rsidP="00757B51">
      <w:p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 xml:space="preserve">El servicio de </w:t>
      </w:r>
      <w:r w:rsidRPr="00757B51">
        <w:rPr>
          <w:rFonts w:ascii="Arial" w:eastAsia="Times New Roman" w:hAnsi="Arial" w:cs="Arial"/>
          <w:b/>
          <w:bCs/>
          <w:sz w:val="21"/>
          <w:szCs w:val="21"/>
        </w:rPr>
        <w:t>asesoramiento jurídico,</w:t>
      </w:r>
      <w:r w:rsidRPr="00757B51">
        <w:rPr>
          <w:rFonts w:ascii="Arial" w:eastAsia="Times New Roman" w:hAnsi="Arial" w:cs="Arial"/>
          <w:bCs/>
          <w:sz w:val="21"/>
          <w:szCs w:val="21"/>
        </w:rPr>
        <w:t xml:space="preserve"> de carácter gratuito y confidencial, es prestado por la Agencia a cualquier persona denunciante de buena fe en relación con los hechos denunciados, lo que permite impulsar la denuncia, redirigirla a otros órganos o autoridades competentes e incluso evitar la presentación de denuncias infundadas. Este asesoramiento se proporciona con independencia de que se haya o no concedido el estatuto de protección.</w:t>
      </w:r>
    </w:p>
    <w:p w14:paraId="108A28F9" w14:textId="77777777" w:rsidR="00757B51" w:rsidRPr="00757B51" w:rsidRDefault="00757B51" w:rsidP="00757B51">
      <w:p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 xml:space="preserve">Por su parte, la concesión del </w:t>
      </w:r>
      <w:r w:rsidRPr="00757B51">
        <w:rPr>
          <w:rFonts w:ascii="Arial" w:eastAsia="Times New Roman" w:hAnsi="Arial" w:cs="Arial"/>
          <w:b/>
          <w:bCs/>
          <w:sz w:val="21"/>
          <w:szCs w:val="21"/>
        </w:rPr>
        <w:t>estatuto de protección de persona denunciante</w:t>
      </w:r>
      <w:r w:rsidRPr="00757B51">
        <w:rPr>
          <w:rFonts w:ascii="Arial" w:eastAsia="Times New Roman" w:hAnsi="Arial" w:cs="Arial"/>
          <w:bCs/>
          <w:sz w:val="21"/>
          <w:szCs w:val="21"/>
        </w:rPr>
        <w:t xml:space="preserve"> se inicia a petición de la persona interesada, lo que da lugar a un procedimiento en el que la Agencia valora qué es lo que se ha denunciado, porqué y para que se solicita la protección. </w:t>
      </w:r>
    </w:p>
    <w:p w14:paraId="3CF47FD1" w14:textId="0B68E0F7" w:rsidR="00757B51" w:rsidRPr="00757B51" w:rsidRDefault="00757B51" w:rsidP="00757B51">
      <w:p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 xml:space="preserve">En relación con </w:t>
      </w:r>
      <w:r w:rsidRPr="00757B51">
        <w:rPr>
          <w:rFonts w:ascii="Arial" w:eastAsia="Times New Roman" w:hAnsi="Arial" w:cs="Arial"/>
          <w:b/>
          <w:bCs/>
          <w:sz w:val="21"/>
          <w:szCs w:val="21"/>
        </w:rPr>
        <w:t>qué es</w:t>
      </w:r>
      <w:r w:rsidRPr="00757B51">
        <w:rPr>
          <w:rFonts w:ascii="Arial" w:eastAsia="Times New Roman" w:hAnsi="Arial" w:cs="Arial"/>
          <w:bCs/>
          <w:sz w:val="21"/>
          <w:szCs w:val="21"/>
        </w:rPr>
        <w:t xml:space="preserve"> lo que se ha denunciado, se comprueba si el asunto se encuentra dentro del ámbito subjetivo de actuación de la Agencia, previsto en el artículo 3 de la Ley 11/2016, entre otros, la administración autonómica y las entidades locales radicadas en la Comunitat Valenciana, las universidades públicas valencianas, las entidades vinculadas o dependientes de todas las anteriores, los partidos políticos, las organizaciones sindicales y las organizaciones empresariales, así como los contratistas y perceptores de subvenciones públicas. </w:t>
      </w:r>
    </w:p>
    <w:p w14:paraId="24F9C1E8" w14:textId="77777777" w:rsidR="00757B51" w:rsidRPr="00757B51" w:rsidRDefault="00757B51" w:rsidP="00757B51">
      <w:p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 xml:space="preserve">Asimismo, se estudia si la denuncia afecta al interés público y si se incluye en el ámbito material de la Agencia, concretado en la </w:t>
      </w:r>
      <w:hyperlink r:id="rId339" w:history="1">
        <w:r w:rsidRPr="00757B51">
          <w:rPr>
            <w:rStyle w:val="Hipervnculo"/>
            <w:rFonts w:ascii="Arial" w:eastAsia="Times New Roman" w:hAnsi="Arial" w:cs="Arial"/>
            <w:bCs/>
            <w:sz w:val="21"/>
            <w:szCs w:val="21"/>
          </w:rPr>
          <w:t>Resolución núm. 424/2020, de 5 de octubre, del director de la Agencia</w:t>
        </w:r>
      </w:hyperlink>
      <w:r w:rsidRPr="00757B51">
        <w:rPr>
          <w:rFonts w:ascii="Arial" w:eastAsia="Times New Roman" w:hAnsi="Arial" w:cs="Arial"/>
          <w:bCs/>
          <w:sz w:val="21"/>
          <w:szCs w:val="21"/>
        </w:rPr>
        <w:t>, analizándose si la misma tiene visos de verosimilitud, si la actuación denunciada es aparentemente ilegal y si se centra en alguno de los ámbitos de control del sector público, sus procedimientos y el gasto, competencia de la AVAF, como son, entre otros: contratación pública, acceso a la función pública y gestión de personal, subvenciones, patrimonio público y urbanismo, y otros servicios públicos (como los sociales, la sanidad o la seguridad).</w:t>
      </w:r>
    </w:p>
    <w:p w14:paraId="742E6B0C" w14:textId="77777777" w:rsidR="00757B51" w:rsidRPr="00757B51" w:rsidRDefault="00757B51" w:rsidP="00757B51">
      <w:p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 xml:space="preserve">En relación con el </w:t>
      </w:r>
      <w:r w:rsidRPr="00757B51">
        <w:rPr>
          <w:rFonts w:ascii="Arial" w:eastAsia="Times New Roman" w:hAnsi="Arial" w:cs="Arial"/>
          <w:b/>
          <w:bCs/>
          <w:sz w:val="21"/>
          <w:szCs w:val="21"/>
        </w:rPr>
        <w:t>porqué</w:t>
      </w:r>
      <w:r w:rsidRPr="00757B51">
        <w:rPr>
          <w:rFonts w:ascii="Arial" w:eastAsia="Times New Roman" w:hAnsi="Arial" w:cs="Arial"/>
          <w:bCs/>
          <w:sz w:val="21"/>
          <w:szCs w:val="21"/>
        </w:rPr>
        <w:t xml:space="preserve"> se solicita la protección, la AVAF examina la concurrencia de cuatro elementos, a saber:</w:t>
      </w:r>
    </w:p>
    <w:p w14:paraId="73303129" w14:textId="77777777" w:rsidR="00757B51" w:rsidRPr="00757B51" w:rsidRDefault="00757B51" w:rsidP="00757B51">
      <w:pPr>
        <w:numPr>
          <w:ilvl w:val="0"/>
          <w:numId w:val="161"/>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 xml:space="preserve">El </w:t>
      </w:r>
      <w:r w:rsidRPr="00757B51">
        <w:rPr>
          <w:rFonts w:ascii="Arial" w:eastAsia="Times New Roman" w:hAnsi="Arial" w:cs="Arial"/>
          <w:b/>
          <w:bCs/>
          <w:sz w:val="21"/>
          <w:szCs w:val="21"/>
        </w:rPr>
        <w:t>elemento objetivo</w:t>
      </w:r>
      <w:r w:rsidRPr="00757B51">
        <w:rPr>
          <w:rFonts w:ascii="Arial" w:eastAsia="Times New Roman" w:hAnsi="Arial" w:cs="Arial"/>
          <w:bCs/>
          <w:sz w:val="21"/>
          <w:szCs w:val="21"/>
        </w:rPr>
        <w:t xml:space="preserve"> es la existencia de un perjuicio o daño a la persona denunciante, de carácter injustificado, cierto o inminente, real o potencial.</w:t>
      </w:r>
    </w:p>
    <w:p w14:paraId="58BDC67C" w14:textId="77777777" w:rsidR="00757B51" w:rsidRPr="00757B51" w:rsidRDefault="00757B51" w:rsidP="00757B51">
      <w:pPr>
        <w:numPr>
          <w:ilvl w:val="0"/>
          <w:numId w:val="161"/>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 xml:space="preserve">El </w:t>
      </w:r>
      <w:r w:rsidRPr="00757B51">
        <w:rPr>
          <w:rFonts w:ascii="Arial" w:eastAsia="Times New Roman" w:hAnsi="Arial" w:cs="Arial"/>
          <w:b/>
          <w:bCs/>
          <w:sz w:val="21"/>
          <w:szCs w:val="21"/>
        </w:rPr>
        <w:t>elemento subjetivo</w:t>
      </w:r>
      <w:r w:rsidRPr="00757B51">
        <w:rPr>
          <w:rFonts w:ascii="Arial" w:eastAsia="Times New Roman" w:hAnsi="Arial" w:cs="Arial"/>
          <w:bCs/>
          <w:sz w:val="21"/>
          <w:szCs w:val="21"/>
        </w:rPr>
        <w:t xml:space="preserve"> presenta un doble aspecto: la intencionalidad o ánimo lesivo del represaliador, tras el anuncio de la denuncia o su interposición, y la posición de vulnerabilidad (o inferioridad) de la persona denunciante.</w:t>
      </w:r>
    </w:p>
    <w:p w14:paraId="2549BD8A" w14:textId="77777777" w:rsidR="00757B51" w:rsidRPr="00757B51" w:rsidRDefault="00757B51" w:rsidP="00757B51">
      <w:pPr>
        <w:numPr>
          <w:ilvl w:val="0"/>
          <w:numId w:val="161"/>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 xml:space="preserve">La existencia de una </w:t>
      </w:r>
      <w:r w:rsidRPr="00757B51">
        <w:rPr>
          <w:rFonts w:ascii="Arial" w:eastAsia="Times New Roman" w:hAnsi="Arial" w:cs="Arial"/>
          <w:b/>
          <w:bCs/>
          <w:sz w:val="21"/>
          <w:szCs w:val="21"/>
        </w:rPr>
        <w:t>relación de causa a efecto</w:t>
      </w:r>
      <w:r w:rsidRPr="00757B51">
        <w:rPr>
          <w:rFonts w:ascii="Arial" w:eastAsia="Times New Roman" w:hAnsi="Arial" w:cs="Arial"/>
          <w:bCs/>
          <w:sz w:val="21"/>
          <w:szCs w:val="21"/>
        </w:rPr>
        <w:t xml:space="preserve"> entre la denuncia, esto es la información que se proporciona o la alerta, y la represalia.</w:t>
      </w:r>
    </w:p>
    <w:p w14:paraId="287A0D6B" w14:textId="77777777" w:rsidR="00757B51" w:rsidRPr="00757B51" w:rsidRDefault="00757B51" w:rsidP="00757B51">
      <w:pPr>
        <w:numPr>
          <w:ilvl w:val="0"/>
          <w:numId w:val="161"/>
        </w:num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 xml:space="preserve">Y el </w:t>
      </w:r>
      <w:r w:rsidRPr="00757B51">
        <w:rPr>
          <w:rFonts w:ascii="Arial" w:eastAsia="Times New Roman" w:hAnsi="Arial" w:cs="Arial"/>
          <w:b/>
          <w:bCs/>
          <w:sz w:val="21"/>
          <w:szCs w:val="21"/>
        </w:rPr>
        <w:t>elemento temporal</w:t>
      </w:r>
      <w:r w:rsidRPr="00757B51">
        <w:rPr>
          <w:rFonts w:ascii="Arial" w:eastAsia="Times New Roman" w:hAnsi="Arial" w:cs="Arial"/>
          <w:bCs/>
          <w:sz w:val="21"/>
          <w:szCs w:val="21"/>
        </w:rPr>
        <w:t>, referido al momento en el que surge la conducta represaliadora, que es siempre posterior o coetánea en el tiempo a la denuncia.</w:t>
      </w:r>
    </w:p>
    <w:p w14:paraId="52A29DAE" w14:textId="6602107D" w:rsidR="00757B51" w:rsidRPr="00757B51" w:rsidRDefault="00757B51" w:rsidP="00757B51">
      <w:p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 xml:space="preserve">Por último, se analiza también en el procedimiento para el otorgamiento del estatuto de protección de persona denunciante el </w:t>
      </w:r>
      <w:r w:rsidRPr="00757B51">
        <w:rPr>
          <w:rFonts w:ascii="Arial" w:eastAsia="Times New Roman" w:hAnsi="Arial" w:cs="Arial"/>
          <w:b/>
          <w:bCs/>
          <w:sz w:val="21"/>
          <w:szCs w:val="21"/>
        </w:rPr>
        <w:t>para qué</w:t>
      </w:r>
      <w:r w:rsidRPr="00757B51">
        <w:rPr>
          <w:rFonts w:ascii="Arial" w:eastAsia="Times New Roman" w:hAnsi="Arial" w:cs="Arial"/>
          <w:bCs/>
          <w:sz w:val="21"/>
          <w:szCs w:val="21"/>
        </w:rPr>
        <w:t>, para qué</w:t>
      </w:r>
      <w:r w:rsidRPr="00757B51">
        <w:rPr>
          <w:rFonts w:ascii="Arial" w:eastAsia="Times New Roman" w:hAnsi="Arial" w:cs="Arial"/>
          <w:b/>
          <w:bCs/>
          <w:sz w:val="21"/>
          <w:szCs w:val="21"/>
        </w:rPr>
        <w:t xml:space="preserve"> </w:t>
      </w:r>
      <w:r w:rsidRPr="00757B51">
        <w:rPr>
          <w:rFonts w:ascii="Arial" w:eastAsia="Times New Roman" w:hAnsi="Arial" w:cs="Arial"/>
          <w:bCs/>
          <w:sz w:val="21"/>
          <w:szCs w:val="21"/>
        </w:rPr>
        <w:t xml:space="preserve">se solicita la protección, pues </w:t>
      </w:r>
      <w:r w:rsidR="00A27601">
        <w:rPr>
          <w:rFonts w:ascii="Arial" w:eastAsia="Times New Roman" w:hAnsi="Arial" w:cs="Arial"/>
          <w:bCs/>
          <w:sz w:val="21"/>
          <w:szCs w:val="21"/>
        </w:rPr>
        <w:t>s</w:t>
      </w:r>
      <w:r w:rsidRPr="00757B51">
        <w:rPr>
          <w:rFonts w:ascii="Arial" w:eastAsia="Times New Roman" w:hAnsi="Arial" w:cs="Arial"/>
          <w:bCs/>
          <w:sz w:val="21"/>
          <w:szCs w:val="21"/>
        </w:rPr>
        <w:t>e debe subrayar que la resolución de la Agencia que otorga este estatuto supone el despliegue de una serie de actuaciones y medidas dirigidas a hacer efectiva esta labor protectora; labor nada fácil, dentro de nuestro sistema de Derecho y frente a quienes están establecidos en el mismo en una situación de poder o autoridad.</w:t>
      </w:r>
    </w:p>
    <w:p w14:paraId="51FCE223" w14:textId="77777777" w:rsidR="00757B51" w:rsidRPr="00757B51" w:rsidRDefault="00757B51" w:rsidP="00757B51">
      <w:p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La AVAF vela para que las personas que denuncian no sufran, durante la investigación ni después de ella, ningún tipo de aislamiento, persecución o empeoramiento de las condiciones laborales o profesionales, ni ningún tipo de medida que implique cualquier forma de perjuicio o discriminación.</w:t>
      </w:r>
    </w:p>
    <w:p w14:paraId="4F5ED242" w14:textId="77777777" w:rsidR="00757B51" w:rsidRPr="00757B51" w:rsidRDefault="00757B51" w:rsidP="00757B51">
      <w:p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El otorgamiento del estatuto de protección a la persona denunciante apareja una serie de derechos para la persona protegida, y también deberes y responsabilidades.</w:t>
      </w:r>
    </w:p>
    <w:p w14:paraId="55949098" w14:textId="77777777" w:rsidR="00757B51" w:rsidRPr="00757B51" w:rsidRDefault="00757B51" w:rsidP="00757B51">
      <w:p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Las personas que denuncian deben tener derecho:</w:t>
      </w:r>
    </w:p>
    <w:p w14:paraId="113D59BA" w14:textId="77777777" w:rsidR="00757B51" w:rsidRPr="00757B51" w:rsidRDefault="00757B51" w:rsidP="00757B51">
      <w:pPr>
        <w:numPr>
          <w:ilvl w:val="0"/>
          <w:numId w:val="176"/>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De asesoría legal.</w:t>
      </w:r>
    </w:p>
    <w:p w14:paraId="79A7F4EE" w14:textId="77777777" w:rsidR="00757B51" w:rsidRPr="00757B51" w:rsidRDefault="00757B51" w:rsidP="00757B51">
      <w:pPr>
        <w:numPr>
          <w:ilvl w:val="0"/>
          <w:numId w:val="176"/>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A que su denuncia no suponga la alegación de la infracción del deber de sigilo.</w:t>
      </w:r>
    </w:p>
    <w:p w14:paraId="3B6C4FCA" w14:textId="77777777" w:rsidR="00757B51" w:rsidRPr="00757B51" w:rsidRDefault="00757B51" w:rsidP="00757B51">
      <w:pPr>
        <w:numPr>
          <w:ilvl w:val="0"/>
          <w:numId w:val="176"/>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Al conocimiento del estado de la tramitación de su denuncia y los resultados de la investigación.</w:t>
      </w:r>
    </w:p>
    <w:p w14:paraId="453DBFA4" w14:textId="77777777" w:rsidR="00757B51" w:rsidRPr="00757B51" w:rsidRDefault="00757B51" w:rsidP="00757B51">
      <w:pPr>
        <w:numPr>
          <w:ilvl w:val="0"/>
          <w:numId w:val="176"/>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A la atención y apoyo psicológico.</w:t>
      </w:r>
    </w:p>
    <w:p w14:paraId="6CEDC673" w14:textId="77777777" w:rsidR="00757B51" w:rsidRPr="00757B51" w:rsidRDefault="00757B51" w:rsidP="00757B51">
      <w:pPr>
        <w:numPr>
          <w:ilvl w:val="0"/>
          <w:numId w:val="176"/>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A alegar en su descargo, en cualquier proceso que se siga en su contra, haber presentado una denuncia o haber revelado determinada información.</w:t>
      </w:r>
    </w:p>
    <w:p w14:paraId="78E31BBD" w14:textId="77777777" w:rsidR="00757B51" w:rsidRPr="00757B51" w:rsidRDefault="00757B51" w:rsidP="00757B51">
      <w:pPr>
        <w:numPr>
          <w:ilvl w:val="0"/>
          <w:numId w:val="176"/>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A la inversión de la carga de la prueba en caso de que se produzcan represalias, correspondiendo al represaliador que la medida tomada respecto del denunciante no es consecuencia de la denuncia interpuesta.</w:t>
      </w:r>
    </w:p>
    <w:p w14:paraId="3BAC2C81" w14:textId="77777777" w:rsidR="00757B51" w:rsidRPr="00757B51" w:rsidRDefault="00757B51" w:rsidP="00757B51">
      <w:pPr>
        <w:numPr>
          <w:ilvl w:val="0"/>
          <w:numId w:val="176"/>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A la indemnización de los daños y perjuicios causados, también los daños morales.</w:t>
      </w:r>
    </w:p>
    <w:p w14:paraId="57341AAB" w14:textId="77777777" w:rsidR="00757B51" w:rsidRPr="00757B51" w:rsidRDefault="00757B51" w:rsidP="00757B51">
      <w:pPr>
        <w:numPr>
          <w:ilvl w:val="0"/>
          <w:numId w:val="176"/>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A su indemnidad laboral.</w:t>
      </w:r>
    </w:p>
    <w:p w14:paraId="04EFE8BE" w14:textId="77777777" w:rsidR="00757B51" w:rsidRPr="00757B51" w:rsidRDefault="00757B51" w:rsidP="00757B51">
      <w:pPr>
        <w:numPr>
          <w:ilvl w:val="0"/>
          <w:numId w:val="176"/>
        </w:num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Y a su seguridad personal y familiar.</w:t>
      </w:r>
    </w:p>
    <w:p w14:paraId="2C1FA5BA" w14:textId="77777777" w:rsidR="00757B51" w:rsidRPr="00757B51" w:rsidRDefault="00757B51" w:rsidP="00757B51">
      <w:p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Al mismo tiempo, la persona denunciante debe:</w:t>
      </w:r>
    </w:p>
    <w:p w14:paraId="1CDFD6AC" w14:textId="77777777" w:rsidR="00757B51" w:rsidRPr="00757B51" w:rsidRDefault="00757B51" w:rsidP="00757B51">
      <w:pPr>
        <w:numPr>
          <w:ilvl w:val="0"/>
          <w:numId w:val="177"/>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Actuar de buena fe, entendida esta como la creencia racional de que la información revelada es cierta y que con la denuncia actúa en aras a salvaguardar el bien común.</w:t>
      </w:r>
    </w:p>
    <w:p w14:paraId="523B4B11" w14:textId="77777777" w:rsidR="00757B51" w:rsidRPr="00757B51" w:rsidRDefault="00757B51" w:rsidP="00757B51">
      <w:pPr>
        <w:numPr>
          <w:ilvl w:val="0"/>
          <w:numId w:val="177"/>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Colaborar en la investigación.</w:t>
      </w:r>
    </w:p>
    <w:p w14:paraId="47BBA910" w14:textId="77777777" w:rsidR="00757B51" w:rsidRPr="00757B51" w:rsidRDefault="00757B51" w:rsidP="00757B51">
      <w:pPr>
        <w:numPr>
          <w:ilvl w:val="0"/>
          <w:numId w:val="177"/>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Su protección no le exime de las responsabilidades en que haya podido incurrir por hechos diferentes.</w:t>
      </w:r>
    </w:p>
    <w:p w14:paraId="05519525" w14:textId="77777777" w:rsidR="00757B51" w:rsidRPr="00757B51" w:rsidRDefault="00757B51" w:rsidP="00757B51">
      <w:pPr>
        <w:numPr>
          <w:ilvl w:val="0"/>
          <w:numId w:val="177"/>
        </w:numPr>
        <w:spacing w:after="120" w:line="276" w:lineRule="auto"/>
        <w:ind w:left="714" w:hanging="357"/>
        <w:jc w:val="both"/>
        <w:rPr>
          <w:rFonts w:ascii="Arial" w:eastAsia="Times New Roman" w:hAnsi="Arial" w:cs="Arial"/>
          <w:bCs/>
          <w:sz w:val="21"/>
          <w:szCs w:val="21"/>
        </w:rPr>
      </w:pPr>
      <w:r w:rsidRPr="00757B51">
        <w:rPr>
          <w:rFonts w:ascii="Arial" w:eastAsia="Times New Roman" w:hAnsi="Arial" w:cs="Arial"/>
          <w:bCs/>
          <w:sz w:val="21"/>
          <w:szCs w:val="21"/>
        </w:rPr>
        <w:t>En el supuesto de que la denuncia revele información falsa, tergiversada u obtenida ilícitamente, responder en el orden penal, civil o disciplinario, y también ante la AVAF pues ello puede ser constitutivo de falta muy grave.</w:t>
      </w:r>
    </w:p>
    <w:p w14:paraId="25D3671D" w14:textId="77777777" w:rsidR="00757B51" w:rsidRPr="00757B51" w:rsidRDefault="00757B51" w:rsidP="00757B51">
      <w:pPr>
        <w:numPr>
          <w:ilvl w:val="0"/>
          <w:numId w:val="177"/>
        </w:num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Si se trata de personal funcionario, tiene además los deberes que impone el Estatuto Básico de los empleados públicos, y los principios éticos y de conducta (en sus artículos 52 a 54 del Real Decreto Legislativo 5/2015, de 30 de octubre, por el que se aprueba el texto refundido de la Ley del Estatuto Básico del Empleado Público).</w:t>
      </w:r>
    </w:p>
    <w:p w14:paraId="185810E4" w14:textId="77777777" w:rsidR="00757B51" w:rsidRPr="00757B51" w:rsidRDefault="00757B51" w:rsidP="00757B51">
      <w:p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Con el otorgamiento del estatuto de protección a la persona denunciante le corresponde a la Agencia realizar una actividad continuada de seguimiento y vigilancia personalizada, caso por caso, que difiere según las características y necesidades, la situación y las circunstancias de cada persona.</w:t>
      </w:r>
    </w:p>
    <w:p w14:paraId="04ADEDFB" w14:textId="77777777" w:rsidR="00757B51" w:rsidRPr="00757B51" w:rsidRDefault="00757B51" w:rsidP="00757B51">
      <w:pPr>
        <w:spacing w:after="240" w:line="276" w:lineRule="auto"/>
        <w:jc w:val="both"/>
        <w:rPr>
          <w:rFonts w:ascii="Arial" w:eastAsia="Times New Roman" w:hAnsi="Arial" w:cs="Arial"/>
          <w:bCs/>
          <w:sz w:val="21"/>
          <w:szCs w:val="21"/>
        </w:rPr>
      </w:pPr>
      <w:r w:rsidRPr="00757B51">
        <w:rPr>
          <w:rFonts w:ascii="Arial" w:eastAsia="Times New Roman" w:hAnsi="Arial" w:cs="Arial"/>
          <w:bCs/>
          <w:sz w:val="21"/>
          <w:szCs w:val="21"/>
        </w:rPr>
        <w:t>En concreto, el seguimiento de la protección de la persona denunciante se traduce en el desarrollo de una batería de medidas, entre las que destacan:</w:t>
      </w:r>
    </w:p>
    <w:p w14:paraId="5C456505" w14:textId="77777777" w:rsidR="00757B51" w:rsidRPr="00757B51" w:rsidRDefault="00757B51" w:rsidP="00757B51">
      <w:pPr>
        <w:numPr>
          <w:ilvl w:val="0"/>
          <w:numId w:val="178"/>
        </w:numPr>
        <w:spacing w:after="120" w:line="276" w:lineRule="auto"/>
        <w:ind w:left="851" w:hanging="357"/>
        <w:jc w:val="both"/>
        <w:rPr>
          <w:rFonts w:ascii="Arial" w:eastAsia="Times New Roman" w:hAnsi="Arial" w:cs="Arial"/>
          <w:bCs/>
          <w:sz w:val="21"/>
          <w:szCs w:val="21"/>
        </w:rPr>
      </w:pPr>
      <w:r w:rsidRPr="00757B51">
        <w:rPr>
          <w:rFonts w:ascii="Arial" w:eastAsia="Times New Roman" w:hAnsi="Arial" w:cs="Arial"/>
          <w:bCs/>
          <w:sz w:val="21"/>
          <w:szCs w:val="21"/>
        </w:rPr>
        <w:t>El asesoramiento jurídico, propiamente dicho, a la persona protegida y a sus superiores o personas de su entorno en el contexto laboral y familiar.</w:t>
      </w:r>
    </w:p>
    <w:p w14:paraId="01718BD0" w14:textId="77777777" w:rsidR="00757B51" w:rsidRPr="00757B51" w:rsidRDefault="00757B51" w:rsidP="00757B51">
      <w:pPr>
        <w:numPr>
          <w:ilvl w:val="0"/>
          <w:numId w:val="178"/>
        </w:numPr>
        <w:spacing w:after="120" w:line="276" w:lineRule="auto"/>
        <w:ind w:left="851" w:hanging="357"/>
        <w:jc w:val="both"/>
        <w:rPr>
          <w:rFonts w:ascii="Arial" w:eastAsia="Times New Roman" w:hAnsi="Arial" w:cs="Arial"/>
          <w:bCs/>
          <w:sz w:val="21"/>
          <w:szCs w:val="21"/>
        </w:rPr>
      </w:pPr>
      <w:r w:rsidRPr="00757B51">
        <w:rPr>
          <w:rFonts w:ascii="Arial" w:eastAsia="Times New Roman" w:hAnsi="Arial" w:cs="Arial"/>
          <w:bCs/>
          <w:sz w:val="21"/>
          <w:szCs w:val="21"/>
        </w:rPr>
        <w:t>Si se detectan indicios de represalia, se efectúan requerimientos dirigidos a las administraciones públicas o entidades en las que la persona denunciante o alertadora presta sus servicios, correspondiendo a aquellas probar que la perturbación no es consecuencia de la denuncia o información proporcionada; es decir, se atiende a la inversión de la carga de la prueba.</w:t>
      </w:r>
    </w:p>
    <w:p w14:paraId="282DF3B0" w14:textId="77777777" w:rsidR="00757B51" w:rsidRPr="00757B51" w:rsidRDefault="00757B51" w:rsidP="00757B51">
      <w:pPr>
        <w:numPr>
          <w:ilvl w:val="0"/>
          <w:numId w:val="178"/>
        </w:numPr>
        <w:spacing w:after="120" w:line="276" w:lineRule="auto"/>
        <w:ind w:left="851" w:hanging="357"/>
        <w:jc w:val="both"/>
        <w:rPr>
          <w:rFonts w:ascii="Arial" w:eastAsia="Times New Roman" w:hAnsi="Arial" w:cs="Arial"/>
          <w:bCs/>
          <w:sz w:val="21"/>
          <w:szCs w:val="21"/>
        </w:rPr>
      </w:pPr>
      <w:r w:rsidRPr="00757B51">
        <w:rPr>
          <w:rFonts w:ascii="Arial" w:eastAsia="Times New Roman" w:hAnsi="Arial" w:cs="Arial"/>
          <w:bCs/>
          <w:sz w:val="21"/>
          <w:szCs w:val="21"/>
        </w:rPr>
        <w:t>También se realizan propuestas y recomendaciones, tanto a denunciantes como a su entorno y superiores.</w:t>
      </w:r>
    </w:p>
    <w:p w14:paraId="0C39538F" w14:textId="77777777" w:rsidR="00757B51" w:rsidRPr="00757B51" w:rsidRDefault="00757B51" w:rsidP="00757B51">
      <w:pPr>
        <w:numPr>
          <w:ilvl w:val="0"/>
          <w:numId w:val="178"/>
        </w:numPr>
        <w:spacing w:after="120" w:line="276" w:lineRule="auto"/>
        <w:ind w:left="851" w:hanging="357"/>
        <w:jc w:val="both"/>
        <w:rPr>
          <w:rFonts w:ascii="Arial" w:eastAsia="Times New Roman" w:hAnsi="Arial" w:cs="Arial"/>
          <w:bCs/>
          <w:sz w:val="21"/>
          <w:szCs w:val="21"/>
        </w:rPr>
      </w:pPr>
      <w:r w:rsidRPr="00757B51">
        <w:rPr>
          <w:rFonts w:ascii="Arial" w:eastAsia="Times New Roman" w:hAnsi="Arial" w:cs="Arial"/>
          <w:bCs/>
          <w:sz w:val="21"/>
          <w:szCs w:val="21"/>
        </w:rPr>
        <w:t>El acompañamiento y preparación de declaraciones testificales, que se realizan ante órganos judiciales penales, donde se tramitan las causas proporcionando información que en la mayoría de las ocasiones es clave para la investigación.</w:t>
      </w:r>
    </w:p>
    <w:p w14:paraId="62AEECDE" w14:textId="77777777" w:rsidR="00757B51" w:rsidRPr="00757B51" w:rsidRDefault="00757B51" w:rsidP="00757B51">
      <w:pPr>
        <w:numPr>
          <w:ilvl w:val="0"/>
          <w:numId w:val="178"/>
        </w:numPr>
        <w:spacing w:after="120" w:line="276" w:lineRule="auto"/>
        <w:ind w:left="851" w:hanging="357"/>
        <w:jc w:val="both"/>
        <w:rPr>
          <w:rFonts w:ascii="Arial" w:eastAsia="Times New Roman" w:hAnsi="Arial" w:cs="Arial"/>
          <w:bCs/>
          <w:sz w:val="21"/>
          <w:szCs w:val="21"/>
        </w:rPr>
      </w:pPr>
      <w:r w:rsidRPr="00757B51">
        <w:rPr>
          <w:rFonts w:ascii="Arial" w:eastAsia="Times New Roman" w:hAnsi="Arial" w:cs="Arial"/>
          <w:bCs/>
          <w:sz w:val="21"/>
          <w:szCs w:val="21"/>
        </w:rPr>
        <w:t>La emisión de informes técnicos a solicitud Ministerio fiscal o autoridad judicial en procedimientos judiciales en los que es parte la persona protegida.</w:t>
      </w:r>
    </w:p>
    <w:p w14:paraId="094923AB" w14:textId="1A5588F3" w:rsidR="00757B51" w:rsidRDefault="00757B51" w:rsidP="00757B51">
      <w:pPr>
        <w:numPr>
          <w:ilvl w:val="0"/>
          <w:numId w:val="178"/>
        </w:numPr>
        <w:spacing w:after="120" w:line="276" w:lineRule="auto"/>
        <w:ind w:left="851" w:hanging="357"/>
        <w:jc w:val="both"/>
        <w:rPr>
          <w:rFonts w:ascii="Arial" w:eastAsia="Times New Roman" w:hAnsi="Arial" w:cs="Arial"/>
          <w:bCs/>
          <w:sz w:val="21"/>
          <w:szCs w:val="21"/>
        </w:rPr>
      </w:pPr>
      <w:r w:rsidRPr="00757B51">
        <w:rPr>
          <w:rFonts w:ascii="Arial" w:eastAsia="Times New Roman" w:hAnsi="Arial" w:cs="Arial"/>
          <w:bCs/>
          <w:sz w:val="21"/>
          <w:szCs w:val="21"/>
        </w:rPr>
        <w:t>La imposición de sanciones.</w:t>
      </w:r>
    </w:p>
    <w:p w14:paraId="5E7386CD" w14:textId="777F667F" w:rsidR="00757B51" w:rsidRPr="00757B51" w:rsidRDefault="00757B51" w:rsidP="00757B51">
      <w:pPr>
        <w:numPr>
          <w:ilvl w:val="0"/>
          <w:numId w:val="178"/>
        </w:numPr>
        <w:spacing w:after="240" w:line="276" w:lineRule="auto"/>
        <w:ind w:left="851"/>
        <w:jc w:val="both"/>
        <w:rPr>
          <w:rFonts w:ascii="Arial" w:eastAsia="Times New Roman" w:hAnsi="Arial" w:cs="Arial"/>
          <w:bCs/>
          <w:sz w:val="21"/>
          <w:szCs w:val="21"/>
        </w:rPr>
      </w:pPr>
      <w:r w:rsidRPr="00757B51">
        <w:rPr>
          <w:rFonts w:ascii="Arial" w:eastAsia="Times New Roman" w:hAnsi="Arial" w:cs="Arial"/>
          <w:bCs/>
          <w:sz w:val="21"/>
          <w:szCs w:val="21"/>
        </w:rPr>
        <w:t>En definitiva, cualquier otra acción que se pueda requerir a fin de evitar conductas de acoso y hostigamiento (declaraciones, entrevistas, actuaciones de mediación, etc.).</w:t>
      </w:r>
    </w:p>
    <w:p w14:paraId="29EC204B" w14:textId="64140F30" w:rsidR="00C37CC9" w:rsidRPr="000E3216" w:rsidRDefault="005761A2" w:rsidP="00C37CC9">
      <w:pPr>
        <w:pStyle w:val="Prrafodelista"/>
        <w:keepNext/>
        <w:numPr>
          <w:ilvl w:val="2"/>
          <w:numId w:val="16"/>
        </w:numPr>
        <w:suppressAutoHyphens/>
        <w:spacing w:before="360" w:after="240" w:line="276" w:lineRule="auto"/>
        <w:ind w:left="993" w:hanging="993"/>
        <w:jc w:val="both"/>
        <w:outlineLvl w:val="2"/>
        <w:rPr>
          <w:rFonts w:ascii="Arial" w:eastAsia="Times New Roman" w:hAnsi="Arial" w:cs="Arial"/>
          <w:b/>
          <w:color w:val="9D2235"/>
          <w:sz w:val="28"/>
          <w:szCs w:val="28"/>
        </w:rPr>
      </w:pPr>
      <w:bookmarkStart w:id="84" w:name="_Toc99106999"/>
      <w:r w:rsidRPr="000E3216">
        <w:rPr>
          <w:rFonts w:ascii="Arial" w:eastAsia="Times New Roman" w:hAnsi="Arial" w:cs="Arial"/>
          <w:b/>
          <w:color w:val="9D2235"/>
          <w:sz w:val="28"/>
          <w:szCs w:val="28"/>
        </w:rPr>
        <w:t>Seguimiento de la protección de las personas denunciantes</w:t>
      </w:r>
      <w:bookmarkEnd w:id="84"/>
      <w:r w:rsidRPr="000E3216">
        <w:rPr>
          <w:rFonts w:ascii="Arial" w:eastAsia="Times New Roman" w:hAnsi="Arial" w:cs="Arial"/>
          <w:b/>
          <w:color w:val="9D2235"/>
          <w:sz w:val="28"/>
          <w:szCs w:val="28"/>
        </w:rPr>
        <w:t xml:space="preserve"> </w:t>
      </w:r>
    </w:p>
    <w:p w14:paraId="6870D1A4" w14:textId="77777777" w:rsidR="00C37CC9" w:rsidRPr="00C37CC9" w:rsidRDefault="00C37CC9" w:rsidP="00C37CC9">
      <w:pPr>
        <w:spacing w:after="240" w:line="276" w:lineRule="auto"/>
        <w:jc w:val="both"/>
        <w:rPr>
          <w:rFonts w:ascii="Arial" w:hAnsi="Arial"/>
          <w:sz w:val="21"/>
          <w:szCs w:val="21"/>
        </w:rPr>
      </w:pPr>
      <w:r w:rsidRPr="00C37CC9">
        <w:rPr>
          <w:rFonts w:ascii="Arial" w:hAnsi="Arial"/>
          <w:sz w:val="21"/>
          <w:szCs w:val="21"/>
        </w:rPr>
        <w:t xml:space="preserve">La resolución de la Agencia otorgando el estatuto de protección a la persona denunciante supone el despliegue de una serie de actuaciones y medidas dirigidas a hacer efectiva dicha labor protectora. </w:t>
      </w:r>
    </w:p>
    <w:p w14:paraId="42C9C9C1" w14:textId="77777777" w:rsidR="00C37CC9" w:rsidRPr="00C37CC9" w:rsidRDefault="00C37CC9" w:rsidP="00C37CC9">
      <w:pPr>
        <w:spacing w:after="240" w:line="276" w:lineRule="auto"/>
        <w:jc w:val="both"/>
        <w:rPr>
          <w:rFonts w:ascii="Arial" w:hAnsi="Arial"/>
          <w:sz w:val="21"/>
          <w:szCs w:val="21"/>
        </w:rPr>
      </w:pPr>
      <w:r w:rsidRPr="00C37CC9">
        <w:rPr>
          <w:rFonts w:ascii="Arial" w:hAnsi="Arial"/>
          <w:sz w:val="21"/>
          <w:szCs w:val="21"/>
        </w:rPr>
        <w:t xml:space="preserve">Al efecto, la </w:t>
      </w:r>
      <w:hyperlink r:id="rId340" w:history="1">
        <w:r w:rsidRPr="00C37CC9">
          <w:rPr>
            <w:rStyle w:val="Hipervnculo"/>
            <w:rFonts w:ascii="Arial" w:hAnsi="Arial"/>
            <w:sz w:val="21"/>
            <w:szCs w:val="21"/>
          </w:rPr>
          <w:t>Ley 11/2016, de 28 de noviembre, de la Generalitat, en su artículo 14</w:t>
        </w:r>
      </w:hyperlink>
      <w:r w:rsidRPr="00C37CC9">
        <w:rPr>
          <w:rFonts w:ascii="Arial" w:hAnsi="Arial"/>
          <w:b/>
          <w:bCs/>
          <w:sz w:val="21"/>
          <w:szCs w:val="21"/>
        </w:rPr>
        <w:t>,</w:t>
      </w:r>
      <w:r w:rsidRPr="00C37CC9">
        <w:rPr>
          <w:rFonts w:ascii="Arial" w:hAnsi="Arial"/>
          <w:sz w:val="21"/>
          <w:szCs w:val="21"/>
        </w:rPr>
        <w:t xml:space="preserve"> faculta a la AVAF para ejercer las acciones correctoras o de restablecimiento que considere oportunas en cada caso, de las que debe dejar constancia en su Memoria anual, presentada ante las Corts Valencianes. </w:t>
      </w:r>
    </w:p>
    <w:p w14:paraId="0DF6DE3D" w14:textId="77777777" w:rsidR="00C37CC9" w:rsidRPr="00C37CC9" w:rsidRDefault="00C37CC9" w:rsidP="00C37CC9">
      <w:pPr>
        <w:spacing w:after="240" w:line="276" w:lineRule="auto"/>
        <w:jc w:val="both"/>
        <w:rPr>
          <w:rFonts w:ascii="Arial" w:hAnsi="Arial"/>
          <w:sz w:val="21"/>
          <w:szCs w:val="21"/>
        </w:rPr>
      </w:pPr>
      <w:r w:rsidRPr="00C37CC9">
        <w:rPr>
          <w:rFonts w:ascii="Arial" w:hAnsi="Arial"/>
          <w:sz w:val="21"/>
          <w:szCs w:val="21"/>
        </w:rPr>
        <w:t>Una vez otorgado el estatuto de protección de la persona denunciante, el seguimiento de la Agencia se caracteriza por ser una actividad continuada de vigilancia, cuidado y protección, que no solo se lleva a cabo durante el procedimiento de investigación de las conductas susceptibles de generar responsabilidades, sino también incluso después de finalizado este procedimiento si las circunstancias lo requieren, evitando que las personas protegidas puedan ser objeto, directa o indirectamente, de actos lesivos en sus derechos o intereses.</w:t>
      </w:r>
    </w:p>
    <w:p w14:paraId="0A5F8BE6" w14:textId="77777777" w:rsidR="00C37CC9" w:rsidRPr="00C37CC9" w:rsidRDefault="00C37CC9" w:rsidP="00C37CC9">
      <w:pPr>
        <w:spacing w:after="240" w:line="276" w:lineRule="auto"/>
        <w:jc w:val="both"/>
        <w:rPr>
          <w:rFonts w:ascii="Arial" w:hAnsi="Arial"/>
          <w:sz w:val="21"/>
          <w:szCs w:val="21"/>
        </w:rPr>
      </w:pPr>
      <w:r w:rsidRPr="00C37CC9">
        <w:rPr>
          <w:rFonts w:ascii="Arial" w:hAnsi="Arial"/>
          <w:sz w:val="21"/>
          <w:szCs w:val="21"/>
        </w:rPr>
        <w:t>Seguidamente, se relaciona a efectos ilustrativos una muestra de algunas de las actuaciones realizadas durante 2021 por la AVAF en el marco de algunos estatutos de protección otorgados a personas que denuncian, informan y alertan sobre hechos que pueden ser constitutivos de fraude o corrupción, y el seguimiento de la situación de estas personas, debidamente anonimizados cada uno de los casos que se exponen.</w:t>
      </w:r>
    </w:p>
    <w:p w14:paraId="42BC2A78" w14:textId="416FDE03" w:rsidR="00C37CC9" w:rsidRPr="00C37CC9" w:rsidRDefault="00C37CC9" w:rsidP="006A69D9">
      <w:pPr>
        <w:spacing w:after="120" w:line="276" w:lineRule="auto"/>
        <w:jc w:val="both"/>
        <w:rPr>
          <w:rFonts w:ascii="Arial" w:hAnsi="Arial"/>
          <w:b/>
          <w:bCs/>
          <w:color w:val="9D2235" w:themeColor="accent1"/>
          <w:sz w:val="21"/>
          <w:szCs w:val="21"/>
        </w:rPr>
      </w:pPr>
      <w:r w:rsidRPr="00C37CC9">
        <w:rPr>
          <w:rFonts w:ascii="Arial" w:hAnsi="Arial"/>
          <w:b/>
          <w:bCs/>
          <w:color w:val="9D2235" w:themeColor="accent1"/>
          <w:sz w:val="21"/>
          <w:szCs w:val="21"/>
        </w:rPr>
        <w:t xml:space="preserve">CASO 1 </w:t>
      </w:r>
    </w:p>
    <w:p w14:paraId="2F23D534" w14:textId="77777777" w:rsidR="00C37CC9" w:rsidRPr="00C37CC9" w:rsidRDefault="00C37CC9" w:rsidP="006A69D9">
      <w:pPr>
        <w:spacing w:after="120" w:line="276" w:lineRule="auto"/>
        <w:ind w:left="709"/>
        <w:jc w:val="both"/>
        <w:rPr>
          <w:rFonts w:ascii="Arial" w:hAnsi="Arial"/>
          <w:sz w:val="21"/>
          <w:szCs w:val="21"/>
        </w:rPr>
      </w:pPr>
      <w:r w:rsidRPr="00C37CC9">
        <w:rPr>
          <w:rFonts w:ascii="Arial" w:hAnsi="Arial"/>
          <w:b/>
          <w:bCs/>
          <w:sz w:val="21"/>
          <w:szCs w:val="21"/>
        </w:rPr>
        <w:t>Estado de la denuncia:</w:t>
      </w:r>
      <w:r w:rsidRPr="00C37CC9">
        <w:rPr>
          <w:rFonts w:ascii="Arial" w:hAnsi="Arial"/>
          <w:sz w:val="21"/>
          <w:szCs w:val="21"/>
        </w:rPr>
        <w:t xml:space="preserve"> </w:t>
      </w:r>
    </w:p>
    <w:p w14:paraId="0CB70B47" w14:textId="77777777" w:rsidR="00C37CC9" w:rsidRPr="00C37CC9" w:rsidRDefault="00C37CC9" w:rsidP="006A69D9">
      <w:pPr>
        <w:spacing w:after="120" w:line="276" w:lineRule="auto"/>
        <w:ind w:left="709"/>
        <w:jc w:val="both"/>
        <w:rPr>
          <w:rFonts w:ascii="Arial" w:hAnsi="Arial"/>
          <w:sz w:val="21"/>
          <w:szCs w:val="21"/>
        </w:rPr>
      </w:pPr>
      <w:r w:rsidRPr="00C37CC9">
        <w:rPr>
          <w:rFonts w:ascii="Arial" w:hAnsi="Arial"/>
          <w:sz w:val="21"/>
          <w:szCs w:val="21"/>
        </w:rPr>
        <w:t xml:space="preserve">En la celebración de una prueba selectiva para el acceso a la función pública al Grupo A1 de la Administración autonómica se sorprendió a una alta funcionaria de la administración convocante y ex alto cargo en materia de Función Pública, que estaba expresamente encargada de vigilar el examen y controlar la corrección del proceso selectivo, en el momento en el que la misma entregaba a una persona aspirante material prohibido con el objetivo de que esta pudiera copiar la contestación a los temas planteados en la oposición. Esta actuación fue detectada por otras dos personas funcionarias administrativas que procedieron a efectuar la correspondiente denuncia ante esta Agencia. </w:t>
      </w:r>
    </w:p>
    <w:p w14:paraId="3EA2B79C" w14:textId="77777777" w:rsidR="00C37CC9" w:rsidRPr="00C37CC9" w:rsidRDefault="00C37CC9" w:rsidP="000B1807">
      <w:pPr>
        <w:spacing w:after="120" w:line="276" w:lineRule="auto"/>
        <w:ind w:left="709"/>
        <w:jc w:val="both"/>
        <w:rPr>
          <w:rFonts w:ascii="Arial" w:hAnsi="Arial"/>
          <w:b/>
          <w:bCs/>
          <w:sz w:val="21"/>
          <w:szCs w:val="21"/>
        </w:rPr>
      </w:pPr>
      <w:r w:rsidRPr="00C37CC9">
        <w:rPr>
          <w:rFonts w:ascii="Arial" w:hAnsi="Arial"/>
          <w:b/>
          <w:bCs/>
          <w:sz w:val="21"/>
          <w:szCs w:val="21"/>
        </w:rPr>
        <w:t xml:space="preserve">Represalias: </w:t>
      </w:r>
    </w:p>
    <w:p w14:paraId="036A9F43" w14:textId="77777777" w:rsidR="00C37CC9" w:rsidRPr="00C37CC9" w:rsidRDefault="00C37CC9" w:rsidP="000B1807">
      <w:pPr>
        <w:spacing w:after="120" w:line="276" w:lineRule="auto"/>
        <w:ind w:left="709"/>
        <w:jc w:val="both"/>
        <w:rPr>
          <w:rFonts w:ascii="Arial" w:hAnsi="Arial"/>
          <w:sz w:val="21"/>
          <w:szCs w:val="21"/>
        </w:rPr>
      </w:pPr>
      <w:r w:rsidRPr="00C37CC9">
        <w:rPr>
          <w:rFonts w:ascii="Arial" w:hAnsi="Arial"/>
          <w:sz w:val="21"/>
          <w:szCs w:val="21"/>
        </w:rPr>
        <w:t>Las personas denunciantes, especialmente una de ellas, pese a su legítimo y loable propósito de conseguir un proceso selectivo más justo, sin embargo, sufrieron presiones con el objetivo de que desistieran de su denuncia que afectaba a la indicada funcionaria del más alto nivel competencial. En concreto, las presiones de una de las denunciantes fueron notables, dentro del contexto laboral y de la instrucción disciplinaria del asunto, llegando a ser advertida de que se iniciarían actuaciones penales contra ella. La Agencia tuvo que advertir al primer instructor del expediente disciplinario de la posibilidad de que con ello estuviera incurriendo en infracción de las contempladas en la Ley 11/2016.</w:t>
      </w:r>
    </w:p>
    <w:p w14:paraId="58AAEE33" w14:textId="77777777" w:rsidR="00C37CC9" w:rsidRPr="00C37CC9" w:rsidRDefault="00C37CC9" w:rsidP="000B1807">
      <w:pPr>
        <w:spacing w:after="120" w:line="276" w:lineRule="auto"/>
        <w:ind w:left="709"/>
        <w:jc w:val="both"/>
        <w:rPr>
          <w:rFonts w:ascii="Arial" w:hAnsi="Arial"/>
          <w:b/>
          <w:bCs/>
          <w:sz w:val="21"/>
          <w:szCs w:val="21"/>
        </w:rPr>
      </w:pPr>
      <w:r w:rsidRPr="00C37CC9">
        <w:rPr>
          <w:rFonts w:ascii="Arial" w:hAnsi="Arial"/>
          <w:b/>
          <w:bCs/>
          <w:sz w:val="21"/>
          <w:szCs w:val="21"/>
        </w:rPr>
        <w:t xml:space="preserve">Actuaciones de la Agencia: </w:t>
      </w:r>
    </w:p>
    <w:p w14:paraId="308112F0" w14:textId="77777777" w:rsidR="00C37CC9" w:rsidRPr="00C37CC9" w:rsidRDefault="00C37CC9" w:rsidP="000B1807">
      <w:pPr>
        <w:spacing w:after="120" w:line="276" w:lineRule="auto"/>
        <w:ind w:left="709"/>
        <w:jc w:val="both"/>
        <w:rPr>
          <w:rFonts w:ascii="Arial" w:hAnsi="Arial"/>
          <w:sz w:val="21"/>
          <w:szCs w:val="21"/>
        </w:rPr>
      </w:pPr>
      <w:r w:rsidRPr="00C37CC9">
        <w:rPr>
          <w:rFonts w:ascii="Arial" w:hAnsi="Arial"/>
          <w:sz w:val="21"/>
          <w:szCs w:val="21"/>
        </w:rPr>
        <w:t xml:space="preserve">La Agencia ha mantenido en este procedimiento un doble perfil. Por un lado, se ha procedido a proteger a las personas denunciantes, a las que se asesoró jurídicamente con el mayor alcance posible y asistió en todas sus actuaciones administrativas. Por otro lado, la Agencia se ha mantenido vigilante con el objetivo de evitar la prescripción o caducidad del procedimiento sancionador seguido contra la alta funcionaria. </w:t>
      </w:r>
    </w:p>
    <w:p w14:paraId="1AB5442B" w14:textId="77777777" w:rsidR="00C37CC9" w:rsidRPr="00C37CC9" w:rsidRDefault="00C37CC9" w:rsidP="000B1807">
      <w:pPr>
        <w:spacing w:after="120" w:line="276" w:lineRule="auto"/>
        <w:ind w:left="709"/>
        <w:jc w:val="both"/>
        <w:rPr>
          <w:rFonts w:ascii="Arial" w:hAnsi="Arial"/>
          <w:sz w:val="21"/>
          <w:szCs w:val="21"/>
        </w:rPr>
      </w:pPr>
      <w:r w:rsidRPr="00C37CC9">
        <w:rPr>
          <w:rFonts w:ascii="Arial" w:hAnsi="Arial"/>
          <w:sz w:val="21"/>
          <w:szCs w:val="21"/>
        </w:rPr>
        <w:t xml:space="preserve">El procedimiento sancionador seguido en sede administrativa contra la infractora ha seguido una compleja y larga tramitación. Desde el primer momento existió una resistencia a la exigencia de responsabilidades a la funcionaria responsable. La obstaculización del procedimiento surgió desde la propia apertura del procedimiento y continuó a lo largo de la tramitación del disciplinario mediante la realización de constantes maniobras dilatorias con la finalidad de evitar la conclusión correcta del procedimiento. Cuando habían transcurrido ocho meses desde la iniciación de este procedimiento, hubo de suspenderse el mismo. La razón de esta suspensión fue la presentación de una denuncia penal por un sindicato utilizando la acusación popular. El proceso penal finalizó más de dos años después con el dictado de la </w:t>
      </w:r>
      <w:hyperlink r:id="rId341" w:history="1">
        <w:r w:rsidRPr="00C37CC9">
          <w:rPr>
            <w:rStyle w:val="Hipervnculo"/>
            <w:rFonts w:ascii="Arial" w:hAnsi="Arial"/>
            <w:sz w:val="21"/>
            <w:szCs w:val="21"/>
          </w:rPr>
          <w:t>Sentencia de la Audiencia Provincial de Valencia núm. 180/202 de 26 de marzo de 2021</w:t>
        </w:r>
      </w:hyperlink>
      <w:r w:rsidRPr="00C37CC9">
        <w:rPr>
          <w:rFonts w:ascii="Arial" w:hAnsi="Arial"/>
          <w:sz w:val="21"/>
          <w:szCs w:val="21"/>
        </w:rPr>
        <w:t xml:space="preserve">. La Sentencia de instancia acordó la absolución penal, por falta de tipicidad en relación con los delitos por los que se acusaba, pero establecería en el relato fáctico que “la prueba practicada permite concluir que la Sra. XXX aprovechó que estaba en el aula y que tenía a su disposición su teléfono con acceso a internet para buscar la respuesta a la pregunta de la prueba convocada, que la anotó en unos folios en forma esquemática y que se la pasó a quien resultó ser conocida y amiga suya, para que esta la pudiera utilizar en su examen.” </w:t>
      </w:r>
    </w:p>
    <w:p w14:paraId="34DF8472" w14:textId="77777777" w:rsidR="00C37CC9" w:rsidRPr="00C37CC9" w:rsidRDefault="00C37CC9" w:rsidP="000B1807">
      <w:pPr>
        <w:spacing w:after="120" w:line="276" w:lineRule="auto"/>
        <w:ind w:left="709"/>
        <w:jc w:val="both"/>
        <w:rPr>
          <w:rFonts w:ascii="Arial" w:hAnsi="Arial"/>
          <w:sz w:val="21"/>
          <w:szCs w:val="21"/>
        </w:rPr>
      </w:pPr>
      <w:r w:rsidRPr="00C37CC9">
        <w:rPr>
          <w:rFonts w:ascii="Arial" w:hAnsi="Arial"/>
          <w:sz w:val="21"/>
          <w:szCs w:val="21"/>
        </w:rPr>
        <w:t xml:space="preserve">La Sentencia penal fue recurrida en apelación, exclusivamente en relación con la condena en costas de la acusación popular, dando lugar al dictado de la </w:t>
      </w:r>
      <w:hyperlink r:id="rId342" w:history="1">
        <w:r w:rsidRPr="00C37CC9">
          <w:rPr>
            <w:rStyle w:val="Hipervnculo"/>
            <w:rFonts w:ascii="Arial" w:hAnsi="Arial"/>
            <w:sz w:val="21"/>
            <w:szCs w:val="21"/>
          </w:rPr>
          <w:t>Sentencia de la Sala de lo Civil y Penal del Tribunal Superior de Justicia de la Comunitat Valenciana núm. 204/2021 de 6 de julio de 2021</w:t>
        </w:r>
      </w:hyperlink>
      <w:r w:rsidRPr="00C37CC9">
        <w:rPr>
          <w:rFonts w:ascii="Arial" w:hAnsi="Arial"/>
          <w:sz w:val="21"/>
          <w:szCs w:val="21"/>
        </w:rPr>
        <w:t xml:space="preserve"> en la que se revocó la condena en costas de la acusación popular y por medio de un </w:t>
      </w:r>
      <w:r w:rsidRPr="00C37CC9">
        <w:rPr>
          <w:rFonts w:ascii="Arial" w:hAnsi="Arial"/>
          <w:i/>
          <w:iCs/>
          <w:sz w:val="21"/>
          <w:szCs w:val="21"/>
        </w:rPr>
        <w:t>obiter dicta</w:t>
      </w:r>
      <w:r w:rsidRPr="00C37CC9">
        <w:rPr>
          <w:rFonts w:ascii="Arial" w:hAnsi="Arial"/>
          <w:sz w:val="21"/>
          <w:szCs w:val="21"/>
        </w:rPr>
        <w:t xml:space="preserve"> se cuestionó la actuación de la funcionaria, precisando el Tribunal Superior de Justicia que incluso podría haber sido condenada la misma en vía penal mediante la utilización del tipo penal de información privilegiada del artículo 442 del Código Penal. </w:t>
      </w:r>
    </w:p>
    <w:p w14:paraId="4905589E" w14:textId="77777777" w:rsidR="00C37CC9" w:rsidRPr="00C37CC9" w:rsidRDefault="00C37CC9" w:rsidP="000B1807">
      <w:pPr>
        <w:spacing w:after="120" w:line="276" w:lineRule="auto"/>
        <w:ind w:left="709"/>
        <w:jc w:val="both"/>
        <w:rPr>
          <w:rFonts w:ascii="Arial" w:hAnsi="Arial"/>
          <w:sz w:val="21"/>
          <w:szCs w:val="21"/>
        </w:rPr>
      </w:pPr>
      <w:r w:rsidRPr="00C37CC9">
        <w:rPr>
          <w:rFonts w:ascii="Arial" w:hAnsi="Arial"/>
          <w:sz w:val="21"/>
          <w:szCs w:val="21"/>
        </w:rPr>
        <w:t>En definitiva, finalizado el procedimiento penal, y a la vista de los hechos declarados probados por la Sentencia penal, que resulta vinculante para todos los poderes públicos, resultaba ineludible e indispensable para el cumplimiento del ordenamiento administrativo que continuara hasta su buen fin el procedimiento disciplinario. Sobre esta cuestión debe señalarse que el escaso lapso temporal que faltaba para que caducara el procedimiento obligaba a que por la administración se actuara con la máxima diligencia. Además, existían una serie de dudas que provocaban dilaciones para retomar el procedimiento, dando todo ello lugar a que por esta Agencia fuera emitido Informe de fecha 27 de abril de 2021 en el que se instaba al levantamiento de la suspensión del procedimiento disciplinario y se señalaba la necesidad de dictar resolución final del mismo a la máxima prontitud para evitar la caducidad y, en su caso, la prescripción, con advertencia de la exigencia de responsabilidades administrativas o penales a los responsables que pudieran provocar la caducidad del procedimiento sancionador.</w:t>
      </w:r>
    </w:p>
    <w:p w14:paraId="64A44AD3" w14:textId="77777777" w:rsidR="00C37CC9" w:rsidRPr="00C37CC9" w:rsidRDefault="00C37CC9" w:rsidP="000B1807">
      <w:pPr>
        <w:spacing w:after="120" w:line="276" w:lineRule="auto"/>
        <w:ind w:left="709"/>
        <w:jc w:val="both"/>
        <w:rPr>
          <w:rFonts w:ascii="Arial" w:hAnsi="Arial"/>
          <w:sz w:val="21"/>
          <w:szCs w:val="21"/>
        </w:rPr>
      </w:pPr>
      <w:r w:rsidRPr="00C37CC9">
        <w:rPr>
          <w:rFonts w:ascii="Arial" w:hAnsi="Arial"/>
          <w:sz w:val="21"/>
          <w:szCs w:val="21"/>
        </w:rPr>
        <w:t>A la vista del Informe de esta Agencia, la administración responsable procedió a la diligente reapertura del procedimiento sancionador suspendido por el procedimiento penal, finalizando con la imposición de una sanción de naturaleza muy grave consistente en el traslado forzoso con cambio de localidad por un periodo de tres años, que impedirá a la funcionaria infractora obtener destino por ningún procedimiento en la localidad desde la que sea trasladada. El Informe de la Agencia de 27 de abril de 2021 recomendaba aparejar a dicha infracción la suspensión de empleo y sueldo por un período de tres a seis años, apoyada tal calificación en jurisprudencia del propio Tribunal Superior de Justicia.</w:t>
      </w:r>
    </w:p>
    <w:p w14:paraId="491CC882" w14:textId="77777777" w:rsidR="00C37CC9" w:rsidRPr="00C37CC9" w:rsidRDefault="00C37CC9" w:rsidP="000B1807">
      <w:pPr>
        <w:spacing w:after="240" w:line="276" w:lineRule="auto"/>
        <w:ind w:left="709"/>
        <w:jc w:val="both"/>
        <w:rPr>
          <w:rFonts w:ascii="Arial" w:hAnsi="Arial"/>
          <w:sz w:val="21"/>
          <w:szCs w:val="21"/>
        </w:rPr>
      </w:pPr>
      <w:r w:rsidRPr="00C37CC9">
        <w:rPr>
          <w:rFonts w:ascii="Arial" w:hAnsi="Arial"/>
          <w:sz w:val="21"/>
          <w:szCs w:val="21"/>
        </w:rPr>
        <w:t>A fecha de presentación de la Memoria, la sancionada ha interpuesto recurso contencioso-administrativo contra la resolución sancionadora, debiendo indicarse que esta Agencia ha comparecido en dicho procedimiento que se sigue ante un juzgado de lo contencioso-administrativo de Valencia, con el objetivo de sostener la legalidad y adecuación a derecho de la sanción impuesta.</w:t>
      </w:r>
    </w:p>
    <w:p w14:paraId="1C732899" w14:textId="77777777" w:rsidR="00FA0724" w:rsidRDefault="00FA0724" w:rsidP="006A69D9">
      <w:pPr>
        <w:spacing w:after="120" w:line="276" w:lineRule="auto"/>
        <w:jc w:val="both"/>
        <w:rPr>
          <w:rFonts w:ascii="Arial" w:hAnsi="Arial"/>
          <w:b/>
          <w:bCs/>
          <w:color w:val="9D2235" w:themeColor="accent1"/>
          <w:sz w:val="21"/>
          <w:szCs w:val="21"/>
        </w:rPr>
      </w:pPr>
    </w:p>
    <w:p w14:paraId="77FAC687" w14:textId="77777777" w:rsidR="00FA0724" w:rsidRDefault="00FA0724" w:rsidP="006A69D9">
      <w:pPr>
        <w:spacing w:after="120" w:line="276" w:lineRule="auto"/>
        <w:jc w:val="both"/>
        <w:rPr>
          <w:rFonts w:ascii="Arial" w:hAnsi="Arial"/>
          <w:b/>
          <w:bCs/>
          <w:color w:val="9D2235" w:themeColor="accent1"/>
          <w:sz w:val="21"/>
          <w:szCs w:val="21"/>
        </w:rPr>
      </w:pPr>
    </w:p>
    <w:p w14:paraId="73DF0B95" w14:textId="77777777" w:rsidR="00FA0724" w:rsidRDefault="00FA0724" w:rsidP="006A69D9">
      <w:pPr>
        <w:spacing w:after="120" w:line="276" w:lineRule="auto"/>
        <w:jc w:val="both"/>
        <w:rPr>
          <w:rFonts w:ascii="Arial" w:hAnsi="Arial"/>
          <w:b/>
          <w:bCs/>
          <w:color w:val="9D2235" w:themeColor="accent1"/>
          <w:sz w:val="21"/>
          <w:szCs w:val="21"/>
        </w:rPr>
      </w:pPr>
    </w:p>
    <w:p w14:paraId="7BB2A9F0" w14:textId="6A9F146A" w:rsidR="00CD1A1C" w:rsidRPr="00CD1A1C" w:rsidRDefault="00CD1A1C" w:rsidP="006A69D9">
      <w:pPr>
        <w:spacing w:after="120" w:line="276" w:lineRule="auto"/>
        <w:jc w:val="both"/>
        <w:rPr>
          <w:rFonts w:ascii="Arial" w:hAnsi="Arial"/>
          <w:b/>
          <w:bCs/>
          <w:color w:val="9D2235" w:themeColor="accent1"/>
          <w:sz w:val="21"/>
          <w:szCs w:val="21"/>
        </w:rPr>
      </w:pPr>
      <w:r w:rsidRPr="00CD1A1C">
        <w:rPr>
          <w:rFonts w:ascii="Arial" w:hAnsi="Arial"/>
          <w:b/>
          <w:bCs/>
          <w:color w:val="9D2235" w:themeColor="accent1"/>
          <w:sz w:val="21"/>
          <w:szCs w:val="21"/>
        </w:rPr>
        <w:t xml:space="preserve">CASO 2 </w:t>
      </w:r>
    </w:p>
    <w:p w14:paraId="5CAF84AE"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b/>
          <w:bCs/>
          <w:sz w:val="21"/>
          <w:szCs w:val="21"/>
        </w:rPr>
        <w:t>Estado de la denuncia:</w:t>
      </w:r>
      <w:r w:rsidRPr="00CD1A1C">
        <w:rPr>
          <w:rFonts w:ascii="Arial" w:hAnsi="Arial"/>
          <w:sz w:val="21"/>
          <w:szCs w:val="21"/>
        </w:rPr>
        <w:t xml:space="preserve"> </w:t>
      </w:r>
    </w:p>
    <w:p w14:paraId="5481E03A"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sz w:val="21"/>
          <w:szCs w:val="21"/>
        </w:rPr>
        <w:t xml:space="preserve">Por una mercantil pública se procedió a iniciar un proceso selectivo con el objetivo de efectuar la contratación laboral para cubrir el puesto de jefe/a de Servicio de Recursos Humanos en la señalada entidad. A lo largo del procedimiento se siguieron correctamente todos los trámites reglados, hasta el momento en el que por parte del tribunal calificador del procedimiento se acordó proponer, con base a principios de mérito y capacidad, la contratación de una determinada persona. A partir de ese momento los miembros del tribunal calificador comenzaron a ser presionados al objeto de enervar la propuesta de contratación realizada, y ello con el objetivo de que se procediera a contratar, no a la aspirante mejor puntuada, sino a otra persona distinta, en la que concurrían evidentes vinculaciones políticas. </w:t>
      </w:r>
    </w:p>
    <w:p w14:paraId="7FA14C48"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sz w:val="21"/>
          <w:szCs w:val="21"/>
        </w:rPr>
        <w:t xml:space="preserve">La Agencia inició su intervención al tomar conocimiento de la situación tras la formulación de denuncia por una pluralidad de personas conocedoras del proceso selectivo, tanto miembros del tribunal seleccionador, como directivos y miembros del Consejo de administración de la entidad mercantil pública. </w:t>
      </w:r>
    </w:p>
    <w:p w14:paraId="77200453" w14:textId="77777777" w:rsidR="00CD1A1C" w:rsidRPr="00CD1A1C" w:rsidRDefault="00CD1A1C" w:rsidP="000B1807">
      <w:pPr>
        <w:spacing w:after="120" w:line="276" w:lineRule="auto"/>
        <w:ind w:left="709"/>
        <w:jc w:val="both"/>
        <w:rPr>
          <w:rFonts w:ascii="Arial" w:hAnsi="Arial"/>
          <w:b/>
          <w:bCs/>
          <w:sz w:val="21"/>
          <w:szCs w:val="21"/>
        </w:rPr>
      </w:pPr>
      <w:r w:rsidRPr="00CD1A1C">
        <w:rPr>
          <w:rFonts w:ascii="Arial" w:hAnsi="Arial"/>
          <w:b/>
          <w:bCs/>
          <w:sz w:val="21"/>
          <w:szCs w:val="21"/>
        </w:rPr>
        <w:t xml:space="preserve">Represalias: </w:t>
      </w:r>
    </w:p>
    <w:p w14:paraId="2252D9F1"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sz w:val="21"/>
          <w:szCs w:val="21"/>
        </w:rPr>
        <w:t>Por parte del titular de la dirección jurídica de la mercantil denunciada se pretendió consumar el despido de la persona recién contratada como jefe/a de Servicios de Recursos Humanos, así como de la persona que ocupaba la Gerencia de la empresa, y ello al objeto de intentar alterar el procedimiento selectivo realizado. No obstante, tal proceder no alcanzó sus fines, toda vez que la propuesta de despido, aun cuando fue apoyada incluso por la Presidencia de la mercantil y por la Presidencia de la administración pública de vinculación, no alcanzó el número suficiente de votos en el Consejo de administración.</w:t>
      </w:r>
    </w:p>
    <w:p w14:paraId="422A8885" w14:textId="77777777" w:rsidR="00CD1A1C" w:rsidRPr="00CD1A1C" w:rsidRDefault="00CD1A1C" w:rsidP="000B1807">
      <w:pPr>
        <w:spacing w:after="120" w:line="276" w:lineRule="auto"/>
        <w:ind w:left="709"/>
        <w:jc w:val="both"/>
        <w:rPr>
          <w:rFonts w:ascii="Arial" w:hAnsi="Arial"/>
          <w:b/>
          <w:bCs/>
          <w:sz w:val="21"/>
          <w:szCs w:val="21"/>
        </w:rPr>
      </w:pPr>
      <w:r w:rsidRPr="00CD1A1C">
        <w:rPr>
          <w:rFonts w:ascii="Arial" w:hAnsi="Arial"/>
          <w:b/>
          <w:bCs/>
          <w:sz w:val="21"/>
          <w:szCs w:val="21"/>
        </w:rPr>
        <w:t>Actuaciones de la Agencia:</w:t>
      </w:r>
    </w:p>
    <w:p w14:paraId="74C43D31" w14:textId="17D150D1" w:rsidR="00CD1A1C" w:rsidRPr="00CD1A1C" w:rsidRDefault="00CD1A1C" w:rsidP="000B1807">
      <w:pPr>
        <w:spacing w:after="120" w:line="276" w:lineRule="auto"/>
        <w:ind w:left="709"/>
        <w:jc w:val="both"/>
        <w:rPr>
          <w:rFonts w:ascii="Arial" w:hAnsi="Arial"/>
          <w:sz w:val="21"/>
          <w:szCs w:val="21"/>
        </w:rPr>
      </w:pPr>
      <w:r w:rsidRPr="00CD1A1C">
        <w:rPr>
          <w:rFonts w:ascii="Arial" w:hAnsi="Arial"/>
          <w:sz w:val="21"/>
          <w:szCs w:val="21"/>
        </w:rPr>
        <w:t xml:space="preserve">Por esta Agencia se intervino a solicitud del tribunal calificador del proceso selectivo, del gerente de la mercantil y de miembros de su Consejo de administración, habiéndose procedido a formular informes de valoración jurídica sobre el proceso selectivo y su regularidad. Igualmente fue emitido informe para el asesoramiento jurídico del gerente de la mercantil en relación </w:t>
      </w:r>
      <w:r w:rsidR="00785165">
        <w:rPr>
          <w:rFonts w:ascii="Arial" w:hAnsi="Arial"/>
          <w:sz w:val="21"/>
          <w:szCs w:val="21"/>
        </w:rPr>
        <w:t>con</w:t>
      </w:r>
      <w:r w:rsidRPr="00CD1A1C">
        <w:rPr>
          <w:rFonts w:ascii="Arial" w:hAnsi="Arial"/>
          <w:sz w:val="21"/>
          <w:szCs w:val="21"/>
        </w:rPr>
        <w:t xml:space="preserve"> la disconformidad a derecho de la propuesta de despido de la persona candidata seleccionada y sobre el incorrecto actuar de la persona titular de la dirección jurídica de la mercantil pública. </w:t>
      </w:r>
    </w:p>
    <w:p w14:paraId="051FDD42" w14:textId="77777777" w:rsidR="00CD1A1C" w:rsidRPr="00CD1A1C" w:rsidRDefault="00CD1A1C" w:rsidP="000B1807">
      <w:pPr>
        <w:spacing w:after="240" w:line="276" w:lineRule="auto"/>
        <w:ind w:left="709"/>
        <w:jc w:val="both"/>
        <w:rPr>
          <w:rFonts w:ascii="Arial" w:hAnsi="Arial"/>
          <w:sz w:val="21"/>
          <w:szCs w:val="21"/>
        </w:rPr>
      </w:pPr>
      <w:r w:rsidRPr="00CD1A1C">
        <w:rPr>
          <w:rFonts w:ascii="Arial" w:hAnsi="Arial"/>
          <w:sz w:val="21"/>
          <w:szCs w:val="21"/>
        </w:rPr>
        <w:t>Es de significar que si bien han cesado en el seno de la mercantil las actuaciones con las que se pretendía alterar el proceso selectivo, recientemente se ha tenido conocimiento de que se ha puesto en marcha un procedimiento laboral por el aspirante no contratado con el objeto de anular el procedimiento selectivo. Este procedimiento judicial laboral es seguido de cerca por esta Agencia, resultando que a fecha de redacción de la Memoria se acaba de dar inicio al mismo, razón por la que se está valorando la idoneidad de comparecer en dicho procedimiento.</w:t>
      </w:r>
    </w:p>
    <w:p w14:paraId="0FD6935B" w14:textId="77777777" w:rsidR="00FA0724" w:rsidRDefault="00FA0724" w:rsidP="006A69D9">
      <w:pPr>
        <w:spacing w:after="120" w:line="276" w:lineRule="auto"/>
        <w:jc w:val="both"/>
        <w:rPr>
          <w:rFonts w:ascii="Arial" w:hAnsi="Arial"/>
          <w:b/>
          <w:bCs/>
          <w:color w:val="9D2235" w:themeColor="accent1"/>
          <w:sz w:val="21"/>
          <w:szCs w:val="21"/>
        </w:rPr>
      </w:pPr>
    </w:p>
    <w:p w14:paraId="646597B5" w14:textId="77777777" w:rsidR="00FA0724" w:rsidRDefault="00FA0724" w:rsidP="006A69D9">
      <w:pPr>
        <w:spacing w:after="120" w:line="276" w:lineRule="auto"/>
        <w:jc w:val="both"/>
        <w:rPr>
          <w:rFonts w:ascii="Arial" w:hAnsi="Arial"/>
          <w:b/>
          <w:bCs/>
          <w:color w:val="9D2235" w:themeColor="accent1"/>
          <w:sz w:val="21"/>
          <w:szCs w:val="21"/>
        </w:rPr>
      </w:pPr>
    </w:p>
    <w:p w14:paraId="3E32198F" w14:textId="35DFC3C1" w:rsidR="00CD1A1C" w:rsidRPr="00CD1A1C" w:rsidRDefault="00CD1A1C" w:rsidP="006A69D9">
      <w:pPr>
        <w:spacing w:after="120" w:line="276" w:lineRule="auto"/>
        <w:jc w:val="both"/>
        <w:rPr>
          <w:rFonts w:ascii="Arial" w:hAnsi="Arial"/>
          <w:b/>
          <w:bCs/>
          <w:color w:val="9D2235" w:themeColor="accent1"/>
          <w:sz w:val="21"/>
          <w:szCs w:val="21"/>
        </w:rPr>
      </w:pPr>
      <w:r w:rsidRPr="00CD1A1C">
        <w:rPr>
          <w:rFonts w:ascii="Arial" w:hAnsi="Arial"/>
          <w:b/>
          <w:bCs/>
          <w:color w:val="9D2235" w:themeColor="accent1"/>
          <w:sz w:val="21"/>
          <w:szCs w:val="21"/>
        </w:rPr>
        <w:t xml:space="preserve">CASO 3 </w:t>
      </w:r>
    </w:p>
    <w:p w14:paraId="06FED708" w14:textId="77777777" w:rsidR="00CD1A1C" w:rsidRPr="00CD1A1C" w:rsidRDefault="00CD1A1C" w:rsidP="000B1807">
      <w:pPr>
        <w:spacing w:after="120" w:line="276" w:lineRule="auto"/>
        <w:ind w:left="709"/>
        <w:jc w:val="both"/>
        <w:rPr>
          <w:rFonts w:ascii="Arial" w:hAnsi="Arial"/>
          <w:b/>
          <w:bCs/>
          <w:sz w:val="21"/>
          <w:szCs w:val="21"/>
        </w:rPr>
      </w:pPr>
      <w:r w:rsidRPr="00CD1A1C">
        <w:rPr>
          <w:rFonts w:ascii="Arial" w:hAnsi="Arial"/>
          <w:b/>
          <w:bCs/>
          <w:sz w:val="21"/>
          <w:szCs w:val="21"/>
        </w:rPr>
        <w:t xml:space="preserve">Estado de la denuncia: </w:t>
      </w:r>
    </w:p>
    <w:p w14:paraId="798C014E"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sz w:val="21"/>
          <w:szCs w:val="21"/>
        </w:rPr>
        <w:t xml:space="preserve">El caso que aquí nos ocupa fue referenciado en nuestra Memoria de 2020 bajo la denominación “Caso 10”. Se trata de una persona denunciante que prestaba sus servicios como personal laboral en una corporación de derecho público y que advirtió de la existencia de irregularidades en materia de contratación presuntamente producidas en la referida entidad. Es de significar que, todavía hoy años después, el procedimiento penal continúa en fase de instrucción. </w:t>
      </w:r>
    </w:p>
    <w:p w14:paraId="259E9301" w14:textId="7DB84BC9" w:rsidR="00CD1A1C" w:rsidRPr="00CD1A1C" w:rsidRDefault="00CD1A1C" w:rsidP="000B1807">
      <w:pPr>
        <w:spacing w:after="120" w:line="276" w:lineRule="auto"/>
        <w:ind w:left="709"/>
        <w:jc w:val="both"/>
        <w:rPr>
          <w:rFonts w:ascii="Arial" w:hAnsi="Arial"/>
          <w:b/>
          <w:bCs/>
          <w:sz w:val="21"/>
          <w:szCs w:val="21"/>
        </w:rPr>
      </w:pPr>
      <w:r w:rsidRPr="00CD1A1C">
        <w:rPr>
          <w:rFonts w:ascii="Arial" w:hAnsi="Arial"/>
          <w:b/>
          <w:bCs/>
          <w:sz w:val="21"/>
          <w:szCs w:val="21"/>
        </w:rPr>
        <w:t xml:space="preserve">Represalias: </w:t>
      </w:r>
    </w:p>
    <w:p w14:paraId="4F7A622E"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sz w:val="21"/>
          <w:szCs w:val="21"/>
        </w:rPr>
        <w:t>La persona denunciante, a pesar de serle reconocida su protección por la Agencia, fue objeto de despido disciplinario, que tras el oportuno juicio fue declarado improcedente por un Juzgado de lo Social. La Sentencia de instancia fue recurrida en suplicación por la corporación pública resultando que la Sala de lo Social del Tribunal Superior de Justicia de la Comunitat Valenciana desestimó el mismo dictando Sentencia por la que confirmaba el carácter improcedente del despido. No obstante, todavía la entidad pública interpondría recurso de casación, resultando que el mismo ha sido inadmitido por Auto del Tribunal Supremo, deviniendo firme en este momento la declaración de improcedencia del despido sufrido por la persona denunciante.</w:t>
      </w:r>
    </w:p>
    <w:p w14:paraId="427F4207" w14:textId="77777777" w:rsidR="00CD1A1C" w:rsidRPr="00CD1A1C" w:rsidRDefault="00CD1A1C" w:rsidP="000B1807">
      <w:pPr>
        <w:spacing w:after="120" w:line="276" w:lineRule="auto"/>
        <w:ind w:left="709"/>
        <w:jc w:val="both"/>
        <w:rPr>
          <w:rFonts w:ascii="Arial" w:hAnsi="Arial"/>
          <w:b/>
          <w:bCs/>
          <w:sz w:val="21"/>
          <w:szCs w:val="21"/>
        </w:rPr>
      </w:pPr>
      <w:r w:rsidRPr="00CD1A1C">
        <w:rPr>
          <w:rFonts w:ascii="Arial" w:hAnsi="Arial"/>
          <w:b/>
          <w:bCs/>
          <w:sz w:val="21"/>
          <w:szCs w:val="21"/>
        </w:rPr>
        <w:t xml:space="preserve">Actuaciones de la Agencia: </w:t>
      </w:r>
    </w:p>
    <w:p w14:paraId="2714E208"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sz w:val="21"/>
          <w:szCs w:val="21"/>
        </w:rPr>
        <w:t xml:space="preserve">La protección por la Agencia de la persona denunciante ha consistido en el asesoramiento jurídico, pues su denuncia dio lugar a la incoación de unas Diligencias Previas que todavía se están tramitando en un Juzgado de Instrucción y, además, en relación con la medida de despido, a la elaboración de un informe que fue remitido al Juzgado de lo Social con carácter previo al dictamen de la sentencia. </w:t>
      </w:r>
    </w:p>
    <w:p w14:paraId="3C0C2D6A" w14:textId="77777777" w:rsidR="00CD1A1C" w:rsidRPr="00CD1A1C" w:rsidRDefault="00CD1A1C" w:rsidP="000B1807">
      <w:pPr>
        <w:spacing w:after="240" w:line="276" w:lineRule="auto"/>
        <w:ind w:left="709"/>
        <w:jc w:val="both"/>
        <w:rPr>
          <w:rFonts w:ascii="Arial" w:hAnsi="Arial"/>
          <w:sz w:val="21"/>
          <w:szCs w:val="21"/>
        </w:rPr>
      </w:pPr>
      <w:r w:rsidRPr="00CD1A1C">
        <w:rPr>
          <w:rFonts w:ascii="Arial" w:hAnsi="Arial"/>
          <w:sz w:val="21"/>
          <w:szCs w:val="21"/>
        </w:rPr>
        <w:t>Es de significar que en este año 2021 ha sido emitido informe por esta Agencia, con fundamento en el artículo 10.3 de su Reglamento de funcionamiento y régimen interior, con destino a las señaladas Diligencias Previas del Juzgado de Instrucción en relación con el carácter público de los caudales gestionados por la corporación pública, así como en relación con la condición de autoridad a efectos penales de la persona promotora del despido.</w:t>
      </w:r>
    </w:p>
    <w:p w14:paraId="7DDD67AB" w14:textId="746410DB" w:rsidR="00CD1A1C" w:rsidRPr="00CD1A1C" w:rsidRDefault="00CD1A1C" w:rsidP="006A69D9">
      <w:pPr>
        <w:spacing w:after="120" w:line="276" w:lineRule="auto"/>
        <w:jc w:val="both"/>
        <w:rPr>
          <w:rFonts w:ascii="Arial" w:hAnsi="Arial"/>
          <w:b/>
          <w:bCs/>
          <w:sz w:val="21"/>
          <w:szCs w:val="21"/>
        </w:rPr>
      </w:pPr>
      <w:r w:rsidRPr="00CD1A1C">
        <w:rPr>
          <w:rFonts w:ascii="Arial" w:hAnsi="Arial"/>
          <w:b/>
          <w:bCs/>
          <w:color w:val="9D2235" w:themeColor="accent1"/>
          <w:sz w:val="21"/>
          <w:szCs w:val="21"/>
        </w:rPr>
        <w:t>CASO 4</w:t>
      </w:r>
      <w:r w:rsidRPr="00CD1A1C">
        <w:rPr>
          <w:rFonts w:ascii="Arial" w:hAnsi="Arial"/>
          <w:b/>
          <w:bCs/>
          <w:sz w:val="21"/>
          <w:szCs w:val="21"/>
        </w:rPr>
        <w:t xml:space="preserve"> </w:t>
      </w:r>
    </w:p>
    <w:p w14:paraId="563DAFD4"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b/>
          <w:bCs/>
          <w:sz w:val="21"/>
          <w:szCs w:val="21"/>
        </w:rPr>
        <w:t>Estado de la denuncia:</w:t>
      </w:r>
      <w:r w:rsidRPr="00CD1A1C">
        <w:rPr>
          <w:rFonts w:ascii="Arial" w:hAnsi="Arial"/>
          <w:sz w:val="21"/>
          <w:szCs w:val="21"/>
        </w:rPr>
        <w:t xml:space="preserve"> </w:t>
      </w:r>
    </w:p>
    <w:p w14:paraId="178F317C"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sz w:val="21"/>
          <w:szCs w:val="21"/>
        </w:rPr>
        <w:t xml:space="preserve">Una persona funcionaria con habilitación nacional ha puesto en conocimiento de esta Agencia la intención de un Ayuntamiento de efectuar una prórroga, contraria a derecho, de un contrato administrativo por importe de decenas de millones de euros. </w:t>
      </w:r>
    </w:p>
    <w:p w14:paraId="5F164F5E" w14:textId="77777777" w:rsidR="00CD1A1C" w:rsidRPr="00CD1A1C" w:rsidRDefault="00CD1A1C" w:rsidP="000B1807">
      <w:pPr>
        <w:spacing w:after="120" w:line="276" w:lineRule="auto"/>
        <w:ind w:left="709"/>
        <w:jc w:val="both"/>
        <w:rPr>
          <w:rFonts w:ascii="Arial" w:hAnsi="Arial"/>
          <w:b/>
          <w:bCs/>
          <w:sz w:val="21"/>
          <w:szCs w:val="21"/>
        </w:rPr>
      </w:pPr>
      <w:r w:rsidRPr="00CD1A1C">
        <w:rPr>
          <w:rFonts w:ascii="Arial" w:hAnsi="Arial"/>
          <w:b/>
          <w:bCs/>
          <w:sz w:val="21"/>
          <w:szCs w:val="21"/>
        </w:rPr>
        <w:t xml:space="preserve">Represalias: </w:t>
      </w:r>
    </w:p>
    <w:p w14:paraId="75EFBBDC"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sz w:val="21"/>
          <w:szCs w:val="21"/>
        </w:rPr>
        <w:t>Por parte del Ayuntamiento se están iniciando actuaciones para modificar la Relación de Puestos de Trabajo con el objeto de alterar la situación de esta persona funcionaria de habilitación nacional mediante la conversión de su puesto, configurado como de concurso, a libre designación. El cambio en el sistema de provisión persigue realizar una mayor presión y disposición de cese de la persona que ocupa viene ocupando el puesto, si sus informes no se ajustan al interés político de los solicitantes.</w:t>
      </w:r>
    </w:p>
    <w:p w14:paraId="6964A25E" w14:textId="77777777" w:rsidR="00CD1A1C" w:rsidRPr="00CD1A1C" w:rsidRDefault="00CD1A1C" w:rsidP="000B1807">
      <w:pPr>
        <w:spacing w:after="120" w:line="276" w:lineRule="auto"/>
        <w:ind w:left="709"/>
        <w:jc w:val="both"/>
        <w:rPr>
          <w:rFonts w:ascii="Arial" w:hAnsi="Arial"/>
          <w:b/>
          <w:bCs/>
          <w:sz w:val="21"/>
          <w:szCs w:val="21"/>
        </w:rPr>
      </w:pPr>
      <w:r w:rsidRPr="00CD1A1C">
        <w:rPr>
          <w:rFonts w:ascii="Arial" w:hAnsi="Arial"/>
          <w:b/>
          <w:bCs/>
          <w:sz w:val="21"/>
          <w:szCs w:val="21"/>
        </w:rPr>
        <w:t>Actuaciones de la Agencia:</w:t>
      </w:r>
    </w:p>
    <w:p w14:paraId="54B5D59A" w14:textId="77777777" w:rsidR="00CD1A1C" w:rsidRPr="00CD1A1C" w:rsidRDefault="00CD1A1C" w:rsidP="000B1807">
      <w:pPr>
        <w:spacing w:after="240" w:line="276" w:lineRule="auto"/>
        <w:ind w:left="709"/>
        <w:jc w:val="both"/>
        <w:rPr>
          <w:rFonts w:ascii="Arial" w:hAnsi="Arial"/>
          <w:sz w:val="21"/>
          <w:szCs w:val="21"/>
        </w:rPr>
      </w:pPr>
      <w:r w:rsidRPr="00CD1A1C">
        <w:rPr>
          <w:rFonts w:ascii="Arial" w:hAnsi="Arial"/>
          <w:sz w:val="21"/>
          <w:szCs w:val="21"/>
        </w:rPr>
        <w:t>A fecha de redacción de esta Memoria ha sido dictada la resolución de protección a favor de la persona denunciante y por esta Agencia se ha procedido a realizar en el seno de dicha resolución la advertencia de que cualquier actuación de represalia será disconforme al ordenamiento jurídico y oportunamente combatida. Del mismo modo se ha emitido informe valorando las actuaciones del expediente de contratación en el que se advierte de la ilegalidad de la prórroga pretendida.</w:t>
      </w:r>
    </w:p>
    <w:p w14:paraId="5A4364F8" w14:textId="0801F14A" w:rsidR="00CD1A1C" w:rsidRPr="00CD1A1C" w:rsidRDefault="00A8537E" w:rsidP="006A69D9">
      <w:pPr>
        <w:spacing w:after="120" w:line="276" w:lineRule="auto"/>
        <w:jc w:val="both"/>
        <w:rPr>
          <w:rFonts w:ascii="Arial" w:hAnsi="Arial"/>
          <w:b/>
          <w:bCs/>
          <w:color w:val="9D2235" w:themeColor="accent1"/>
          <w:sz w:val="21"/>
          <w:szCs w:val="21"/>
        </w:rPr>
      </w:pPr>
      <w:r w:rsidRPr="00CD1A1C">
        <w:rPr>
          <w:rFonts w:ascii="Arial" w:hAnsi="Arial"/>
          <w:b/>
          <w:bCs/>
          <w:color w:val="9D2235" w:themeColor="accent1"/>
          <w:sz w:val="21"/>
          <w:szCs w:val="21"/>
        </w:rPr>
        <w:t xml:space="preserve">CASO </w:t>
      </w:r>
      <w:r w:rsidR="00CD1A1C" w:rsidRPr="00CD1A1C">
        <w:rPr>
          <w:rFonts w:ascii="Arial" w:hAnsi="Arial"/>
          <w:b/>
          <w:bCs/>
          <w:color w:val="9D2235" w:themeColor="accent1"/>
          <w:sz w:val="21"/>
          <w:szCs w:val="21"/>
        </w:rPr>
        <w:t xml:space="preserve">5 </w:t>
      </w:r>
    </w:p>
    <w:p w14:paraId="26E12299"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b/>
          <w:bCs/>
          <w:sz w:val="21"/>
          <w:szCs w:val="21"/>
        </w:rPr>
        <w:t>Estado de la denuncia:</w:t>
      </w:r>
      <w:r w:rsidRPr="00CD1A1C">
        <w:rPr>
          <w:rFonts w:ascii="Arial" w:hAnsi="Arial"/>
          <w:sz w:val="21"/>
          <w:szCs w:val="21"/>
        </w:rPr>
        <w:t xml:space="preserve"> </w:t>
      </w:r>
    </w:p>
    <w:p w14:paraId="25F913C9"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sz w:val="21"/>
          <w:szCs w:val="21"/>
        </w:rPr>
        <w:t xml:space="preserve">La persona que ostenta la condición de denunciante protegida es policía local de un Ayuntamiento que denunció en sede judicial un delito de malversación de caudales públicos derivado de la falta de control horario y consiguiente percepción de complementos salariales injustificados en determinados puestos de la policía local de la entidad local. </w:t>
      </w:r>
    </w:p>
    <w:p w14:paraId="39A13E92" w14:textId="77777777" w:rsidR="00CD1A1C" w:rsidRPr="00CD1A1C" w:rsidRDefault="00CD1A1C" w:rsidP="000B1807">
      <w:pPr>
        <w:spacing w:after="120" w:line="276" w:lineRule="auto"/>
        <w:ind w:left="709"/>
        <w:jc w:val="both"/>
        <w:rPr>
          <w:rFonts w:ascii="Arial" w:hAnsi="Arial"/>
          <w:b/>
          <w:bCs/>
          <w:sz w:val="21"/>
          <w:szCs w:val="21"/>
        </w:rPr>
      </w:pPr>
      <w:r w:rsidRPr="00CD1A1C">
        <w:rPr>
          <w:rFonts w:ascii="Arial" w:hAnsi="Arial"/>
          <w:b/>
          <w:bCs/>
          <w:sz w:val="21"/>
          <w:szCs w:val="21"/>
        </w:rPr>
        <w:t xml:space="preserve">Represalias: </w:t>
      </w:r>
    </w:p>
    <w:p w14:paraId="79EA3DCE"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sz w:val="21"/>
          <w:szCs w:val="21"/>
        </w:rPr>
        <w:t>La persona denunciante ha sido suspendida en sus funciones por la administración local sin seguir el procedimiento establecido en la legislación reguladora de la función pública. El argumento del Ayuntamiento se ha limitado a invocar una supuesta incompatibilidad entre las funciones de la persona protegida y una prestación de Seguridad Social que dicho policía local percibe desde el año 2003. La actuación del Ayuntamiento se consumó con el dictado de un decreto del Alcaldía de fecha 11 de enero de 2021, en el que se declaró suspendida con efectos 1 de febrero de 2021 la relación de servicio de la persona denunciante en la administración.</w:t>
      </w:r>
    </w:p>
    <w:p w14:paraId="243FA518" w14:textId="77777777" w:rsidR="00CD1A1C" w:rsidRPr="00CD1A1C" w:rsidRDefault="00CD1A1C" w:rsidP="000B1807">
      <w:pPr>
        <w:spacing w:after="120" w:line="276" w:lineRule="auto"/>
        <w:ind w:left="709"/>
        <w:jc w:val="both"/>
        <w:rPr>
          <w:rFonts w:ascii="Arial" w:hAnsi="Arial"/>
          <w:b/>
          <w:bCs/>
          <w:sz w:val="21"/>
          <w:szCs w:val="21"/>
        </w:rPr>
      </w:pPr>
      <w:r w:rsidRPr="00CD1A1C">
        <w:rPr>
          <w:rFonts w:ascii="Arial" w:hAnsi="Arial"/>
          <w:b/>
          <w:bCs/>
          <w:sz w:val="21"/>
          <w:szCs w:val="21"/>
        </w:rPr>
        <w:t>Actuaciones de la Agencia:</w:t>
      </w:r>
    </w:p>
    <w:p w14:paraId="38AD4F8D"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sz w:val="21"/>
          <w:szCs w:val="21"/>
        </w:rPr>
        <w:t>La actuación municipal está, a fecha de redacción de esta Memoria, pendiente de enjuiciamiento por el orden jurisdiccional contencioso-administrativo, estando previsto el procedimiento para junio del año 2022.</w:t>
      </w:r>
    </w:p>
    <w:p w14:paraId="67B8DA58" w14:textId="77777777" w:rsidR="00CD1A1C" w:rsidRPr="00CD1A1C" w:rsidRDefault="00CD1A1C" w:rsidP="000B1807">
      <w:pPr>
        <w:spacing w:after="120" w:line="276" w:lineRule="auto"/>
        <w:ind w:left="709"/>
        <w:jc w:val="both"/>
        <w:rPr>
          <w:rFonts w:ascii="Arial" w:hAnsi="Arial"/>
          <w:sz w:val="21"/>
          <w:szCs w:val="21"/>
        </w:rPr>
      </w:pPr>
      <w:r w:rsidRPr="00CD1A1C">
        <w:rPr>
          <w:rFonts w:ascii="Arial" w:hAnsi="Arial"/>
          <w:sz w:val="21"/>
          <w:szCs w:val="21"/>
        </w:rPr>
        <w:t>La Agencia, a la vista de la pretensión del Ayuntamiento de suspender la relación de servicio del policía local protegido, procedió a requerir al Ayuntamiento para que remitiera todas las actuaciones realizadas en vía administrativa. Una vez atendido el requerimiento, y visto el expediente municipal, por esta Agencia se comprobó que la actuación del Ayuntamiento resultaba contraria a derecho, lo que se dejó señalado en Informe de esta Agencia de fecha 28 de enero de 2021, ya que no existía procedimiento sancionador alguno incoado contra la persona denunciante y recordando que la suspensión de funciones tiene una exclusiva connotación sancionadora.</w:t>
      </w:r>
    </w:p>
    <w:p w14:paraId="60963FA9" w14:textId="77777777" w:rsidR="00CD1A1C" w:rsidRPr="00CD1A1C" w:rsidRDefault="00CD1A1C" w:rsidP="000B1807">
      <w:pPr>
        <w:spacing w:after="240" w:line="276" w:lineRule="auto"/>
        <w:ind w:left="709"/>
        <w:jc w:val="both"/>
        <w:rPr>
          <w:rFonts w:ascii="Arial" w:hAnsi="Arial"/>
          <w:sz w:val="21"/>
          <w:szCs w:val="21"/>
        </w:rPr>
      </w:pPr>
      <w:r w:rsidRPr="00CD1A1C">
        <w:rPr>
          <w:rFonts w:ascii="Arial" w:hAnsi="Arial"/>
          <w:sz w:val="21"/>
          <w:szCs w:val="21"/>
        </w:rPr>
        <w:t xml:space="preserve">El Informe de esta Agencia fue remitido tanto a la entidad local como a la persona interesada, para su incorporación al procedimiento contencioso-administrativo donde será valorado. </w:t>
      </w:r>
    </w:p>
    <w:p w14:paraId="744ACD67" w14:textId="77777777" w:rsidR="00CD1A1C" w:rsidRPr="00CD1A1C" w:rsidRDefault="00CD1A1C" w:rsidP="006A69D9">
      <w:pPr>
        <w:spacing w:after="120" w:line="276" w:lineRule="auto"/>
        <w:jc w:val="both"/>
        <w:rPr>
          <w:rFonts w:ascii="Arial" w:hAnsi="Arial"/>
          <w:b/>
          <w:bCs/>
          <w:color w:val="9D2235" w:themeColor="accent1"/>
          <w:sz w:val="21"/>
          <w:szCs w:val="21"/>
        </w:rPr>
      </w:pPr>
      <w:r w:rsidRPr="00CD1A1C">
        <w:rPr>
          <w:rFonts w:ascii="Arial" w:hAnsi="Arial"/>
          <w:b/>
          <w:bCs/>
          <w:color w:val="9D2235" w:themeColor="accent1"/>
          <w:sz w:val="21"/>
          <w:szCs w:val="21"/>
        </w:rPr>
        <w:t xml:space="preserve">CASO 6 </w:t>
      </w:r>
    </w:p>
    <w:p w14:paraId="2737F6D2" w14:textId="77777777" w:rsidR="00CD1A1C" w:rsidRPr="00CD1A1C" w:rsidRDefault="00CD1A1C" w:rsidP="008A4CB1">
      <w:pPr>
        <w:spacing w:after="120" w:line="276" w:lineRule="auto"/>
        <w:ind w:left="709"/>
        <w:jc w:val="both"/>
        <w:rPr>
          <w:rFonts w:ascii="Arial" w:hAnsi="Arial"/>
          <w:sz w:val="21"/>
          <w:szCs w:val="21"/>
        </w:rPr>
      </w:pPr>
      <w:r w:rsidRPr="00CD1A1C">
        <w:rPr>
          <w:rFonts w:ascii="Arial" w:hAnsi="Arial"/>
          <w:b/>
          <w:bCs/>
          <w:sz w:val="21"/>
          <w:szCs w:val="21"/>
        </w:rPr>
        <w:t>Estado de la denuncia:</w:t>
      </w:r>
      <w:r w:rsidRPr="00CD1A1C">
        <w:rPr>
          <w:rFonts w:ascii="Arial" w:hAnsi="Arial"/>
          <w:sz w:val="21"/>
          <w:szCs w:val="21"/>
        </w:rPr>
        <w:t xml:space="preserve"> </w:t>
      </w:r>
    </w:p>
    <w:p w14:paraId="2904AC89" w14:textId="77777777" w:rsidR="00CD1A1C" w:rsidRPr="00CD1A1C" w:rsidRDefault="00CD1A1C" w:rsidP="008A4CB1">
      <w:pPr>
        <w:spacing w:after="120" w:line="276" w:lineRule="auto"/>
        <w:ind w:left="709"/>
        <w:jc w:val="both"/>
        <w:rPr>
          <w:rFonts w:ascii="Arial" w:hAnsi="Arial"/>
          <w:sz w:val="21"/>
          <w:szCs w:val="21"/>
        </w:rPr>
      </w:pPr>
      <w:r w:rsidRPr="00CD1A1C">
        <w:rPr>
          <w:rFonts w:ascii="Arial" w:hAnsi="Arial"/>
          <w:sz w:val="21"/>
          <w:szCs w:val="21"/>
        </w:rPr>
        <w:t xml:space="preserve">La persona protegida por la Agencia, que presta sus servicios en una entidad local, efectuó denuncia sobre la existencia de unas gravísimas irregularidades en materia urbanística cometidas en su Ayuntamiento. La denuncia formulada dio lugar a la apertura de Diligencias Previas por un Juzgado de Instrucción. El Juzgado ha dictado Auto de fecha 10 de junio de 2021 que señala que los hechos ciertamente pudieran ser constitutivos de los delitos de prevaricación administrativa pero que por el transcurso del tiempo habría operado la prescripción, razón que da lugar al archivo de las actuaciones. </w:t>
      </w:r>
    </w:p>
    <w:p w14:paraId="60F65908" w14:textId="77777777" w:rsidR="00CD1A1C" w:rsidRPr="00CD1A1C" w:rsidRDefault="00CD1A1C" w:rsidP="008A4CB1">
      <w:pPr>
        <w:spacing w:after="120" w:line="276" w:lineRule="auto"/>
        <w:ind w:left="709"/>
        <w:jc w:val="both"/>
        <w:rPr>
          <w:rFonts w:ascii="Arial" w:hAnsi="Arial"/>
          <w:b/>
          <w:bCs/>
          <w:sz w:val="21"/>
          <w:szCs w:val="21"/>
        </w:rPr>
      </w:pPr>
      <w:r w:rsidRPr="00CD1A1C">
        <w:rPr>
          <w:rFonts w:ascii="Arial" w:hAnsi="Arial"/>
          <w:b/>
          <w:bCs/>
          <w:sz w:val="21"/>
          <w:szCs w:val="21"/>
        </w:rPr>
        <w:t xml:space="preserve">Represalias: </w:t>
      </w:r>
    </w:p>
    <w:p w14:paraId="65C26A83" w14:textId="77777777" w:rsidR="00CD1A1C" w:rsidRPr="00CD1A1C" w:rsidRDefault="00CD1A1C" w:rsidP="008A4CB1">
      <w:pPr>
        <w:spacing w:after="120" w:line="276" w:lineRule="auto"/>
        <w:ind w:left="709"/>
        <w:jc w:val="both"/>
        <w:rPr>
          <w:rFonts w:ascii="Arial" w:hAnsi="Arial"/>
          <w:sz w:val="21"/>
          <w:szCs w:val="21"/>
        </w:rPr>
      </w:pPr>
      <w:r w:rsidRPr="00CD1A1C">
        <w:rPr>
          <w:rFonts w:ascii="Arial" w:hAnsi="Arial"/>
          <w:sz w:val="21"/>
          <w:szCs w:val="21"/>
        </w:rPr>
        <w:t xml:space="preserve">La persona protegida, a raíz de la denuncia formulada en la que destapó la trama urbanística oculta durante décadas, ha sido tratada de forma discriminatoria por la entidad local, mereciendo significarse que por ello ha acudido en numerosas ocasiones ante la jurisdicción contenciosa que de forma reiterada ha estimado sus demandas señalando lo incorrecto del actuar del Ayuntamiento. En tal sentido puede ser citada </w:t>
      </w:r>
      <w:hyperlink r:id="rId343" w:history="1">
        <w:r w:rsidRPr="00CD1A1C">
          <w:rPr>
            <w:rStyle w:val="Hipervnculo"/>
            <w:rFonts w:ascii="Arial" w:hAnsi="Arial"/>
            <w:sz w:val="21"/>
            <w:szCs w:val="21"/>
          </w:rPr>
          <w:t>la Sentencia núm. 820/21 de fecha 9 de noviembre de 2021 dictada por el Tribunal Superior de Justicia de la Comunitat Valenciana</w:t>
        </w:r>
      </w:hyperlink>
      <w:r w:rsidRPr="00CD1A1C">
        <w:rPr>
          <w:rFonts w:ascii="Arial" w:hAnsi="Arial"/>
          <w:b/>
          <w:bCs/>
          <w:sz w:val="21"/>
          <w:szCs w:val="21"/>
        </w:rPr>
        <w:t xml:space="preserve"> </w:t>
      </w:r>
      <w:r w:rsidRPr="00CD1A1C">
        <w:rPr>
          <w:rFonts w:ascii="Arial" w:hAnsi="Arial"/>
          <w:sz w:val="21"/>
          <w:szCs w:val="21"/>
        </w:rPr>
        <w:t xml:space="preserve">en la que la Sala desestima el recurso de apelación formulado por la entidad local contra la sentencia de instancia que estimaba el derecho de la persona protegida y además condena en costas al Ayuntamiento. </w:t>
      </w:r>
    </w:p>
    <w:p w14:paraId="4C4CB40C" w14:textId="77777777" w:rsidR="00CD1A1C" w:rsidRPr="00CD1A1C" w:rsidRDefault="00CD1A1C" w:rsidP="008A4CB1">
      <w:pPr>
        <w:spacing w:after="120" w:line="276" w:lineRule="auto"/>
        <w:ind w:left="709"/>
        <w:jc w:val="both"/>
        <w:rPr>
          <w:rFonts w:ascii="Arial" w:hAnsi="Arial"/>
          <w:sz w:val="21"/>
          <w:szCs w:val="21"/>
        </w:rPr>
      </w:pPr>
      <w:r w:rsidRPr="00CD1A1C">
        <w:rPr>
          <w:rFonts w:ascii="Arial" w:hAnsi="Arial"/>
          <w:sz w:val="21"/>
          <w:szCs w:val="21"/>
        </w:rPr>
        <w:t xml:space="preserve">La gravedad del acoso sufrido por la persona denunciante motivó que la misma formulara denuncia penal contra el alcalde y otras autoridades, dando lugar a la apertura de Diligencias Previas seguidas ante el Juzgado de Instrucción. Tras la tramitación de la investigación penal fue dictado Auto denegando el sobreseimiento interesado por el alcalde y otras autoridades y acordando la apertura de juicio oral. El señalado Auto fue impugnado en apelación ante la Audiencia Provincial de Alicante que dictó Auto de fecha 23 de abril de 2021 confirmando la corrección del procedimiento penal y acordando la continuación del mismo. </w:t>
      </w:r>
    </w:p>
    <w:p w14:paraId="7042228B" w14:textId="77777777" w:rsidR="00CD1A1C" w:rsidRPr="00CD1A1C" w:rsidRDefault="00CD1A1C" w:rsidP="008A4CB1">
      <w:pPr>
        <w:spacing w:after="120" w:line="276" w:lineRule="auto"/>
        <w:ind w:left="709"/>
        <w:jc w:val="both"/>
        <w:rPr>
          <w:rFonts w:ascii="Arial" w:hAnsi="Arial"/>
          <w:b/>
          <w:bCs/>
          <w:sz w:val="21"/>
          <w:szCs w:val="21"/>
        </w:rPr>
      </w:pPr>
      <w:r w:rsidRPr="00CD1A1C">
        <w:rPr>
          <w:rFonts w:ascii="Arial" w:hAnsi="Arial"/>
          <w:b/>
          <w:bCs/>
          <w:sz w:val="21"/>
          <w:szCs w:val="21"/>
        </w:rPr>
        <w:t>Actuaciones de la Agencia:</w:t>
      </w:r>
    </w:p>
    <w:p w14:paraId="34341EAA" w14:textId="77777777" w:rsidR="00CD1A1C" w:rsidRPr="00CD1A1C" w:rsidRDefault="00CD1A1C" w:rsidP="008A4CB1">
      <w:pPr>
        <w:spacing w:after="240" w:line="276" w:lineRule="auto"/>
        <w:ind w:left="709"/>
        <w:jc w:val="both"/>
        <w:rPr>
          <w:rFonts w:ascii="Arial" w:hAnsi="Arial"/>
          <w:sz w:val="21"/>
          <w:szCs w:val="21"/>
        </w:rPr>
      </w:pPr>
      <w:r w:rsidRPr="00CD1A1C">
        <w:rPr>
          <w:rFonts w:ascii="Arial" w:hAnsi="Arial"/>
          <w:sz w:val="21"/>
          <w:szCs w:val="21"/>
        </w:rPr>
        <w:t>Es de significar que los responsables políticos de dicho Ayuntamiento han procedido a interponer recursos contencioso-administrativos frente a la Resolución de esta Agencia por la que se reconoció a la persona denunciante el estatuto de protección. La Sección 4ª de la Sala de lo Contencioso-Administrativo del Tribunal Superior de la Comunitat Valenciana ha dictado Sentencia estimando dichos recursos, debiendo indicarse que esta Agencia ha procedido a interponer recurso de casación ante el Tribunal Supremo y subsidiario de casación autonómica al entender que la Sentencia del Tribunal Superior de Justicia no se ajusta a derecho. A fecha de redacción de esta Memoria se está a la espera de la admisión de los señalados recursos.</w:t>
      </w:r>
    </w:p>
    <w:p w14:paraId="5C5D1143" w14:textId="77777777" w:rsidR="00FA0724" w:rsidRDefault="00FA0724" w:rsidP="006A69D9">
      <w:pPr>
        <w:spacing w:after="120" w:line="276" w:lineRule="auto"/>
        <w:jc w:val="both"/>
        <w:rPr>
          <w:rFonts w:ascii="Arial" w:hAnsi="Arial"/>
          <w:b/>
          <w:bCs/>
          <w:color w:val="9D2235" w:themeColor="accent1"/>
          <w:sz w:val="21"/>
          <w:szCs w:val="21"/>
        </w:rPr>
      </w:pPr>
    </w:p>
    <w:p w14:paraId="41CD8408" w14:textId="77777777" w:rsidR="00FA0724" w:rsidRDefault="00FA0724" w:rsidP="006A69D9">
      <w:pPr>
        <w:spacing w:after="120" w:line="276" w:lineRule="auto"/>
        <w:jc w:val="both"/>
        <w:rPr>
          <w:rFonts w:ascii="Arial" w:hAnsi="Arial"/>
          <w:b/>
          <w:bCs/>
          <w:color w:val="9D2235" w:themeColor="accent1"/>
          <w:sz w:val="21"/>
          <w:szCs w:val="21"/>
        </w:rPr>
      </w:pPr>
    </w:p>
    <w:p w14:paraId="6324D05B" w14:textId="77777777" w:rsidR="00FA0724" w:rsidRDefault="00FA0724" w:rsidP="006A69D9">
      <w:pPr>
        <w:spacing w:after="120" w:line="276" w:lineRule="auto"/>
        <w:jc w:val="both"/>
        <w:rPr>
          <w:rFonts w:ascii="Arial" w:hAnsi="Arial"/>
          <w:b/>
          <w:bCs/>
          <w:color w:val="9D2235" w:themeColor="accent1"/>
          <w:sz w:val="21"/>
          <w:szCs w:val="21"/>
        </w:rPr>
      </w:pPr>
    </w:p>
    <w:p w14:paraId="1796A644" w14:textId="77777777" w:rsidR="00FA0724" w:rsidRDefault="00FA0724" w:rsidP="006A69D9">
      <w:pPr>
        <w:spacing w:after="120" w:line="276" w:lineRule="auto"/>
        <w:jc w:val="both"/>
        <w:rPr>
          <w:rFonts w:ascii="Arial" w:hAnsi="Arial"/>
          <w:b/>
          <w:bCs/>
          <w:color w:val="9D2235" w:themeColor="accent1"/>
          <w:sz w:val="21"/>
          <w:szCs w:val="21"/>
        </w:rPr>
      </w:pPr>
    </w:p>
    <w:p w14:paraId="2DB25B99" w14:textId="165A0C4D" w:rsidR="00CD1A1C" w:rsidRPr="00CD1A1C" w:rsidRDefault="00CD1A1C" w:rsidP="006A69D9">
      <w:pPr>
        <w:spacing w:after="120" w:line="276" w:lineRule="auto"/>
        <w:jc w:val="both"/>
        <w:rPr>
          <w:rFonts w:ascii="Arial" w:hAnsi="Arial"/>
          <w:b/>
          <w:bCs/>
          <w:color w:val="9D2235" w:themeColor="accent1"/>
          <w:sz w:val="21"/>
          <w:szCs w:val="21"/>
        </w:rPr>
      </w:pPr>
      <w:r w:rsidRPr="00CD1A1C">
        <w:rPr>
          <w:rFonts w:ascii="Arial" w:hAnsi="Arial"/>
          <w:b/>
          <w:bCs/>
          <w:color w:val="9D2235" w:themeColor="accent1"/>
          <w:sz w:val="21"/>
          <w:szCs w:val="21"/>
        </w:rPr>
        <w:t xml:space="preserve">CASO 7 </w:t>
      </w:r>
    </w:p>
    <w:p w14:paraId="35C5999D" w14:textId="77777777" w:rsidR="00CD1A1C" w:rsidRPr="00CD1A1C" w:rsidRDefault="00CD1A1C" w:rsidP="008A4CB1">
      <w:pPr>
        <w:spacing w:after="120" w:line="276" w:lineRule="auto"/>
        <w:ind w:left="709"/>
        <w:jc w:val="both"/>
        <w:rPr>
          <w:rFonts w:ascii="Arial" w:hAnsi="Arial"/>
          <w:b/>
          <w:bCs/>
          <w:sz w:val="21"/>
          <w:szCs w:val="21"/>
        </w:rPr>
      </w:pPr>
      <w:r w:rsidRPr="00CD1A1C">
        <w:rPr>
          <w:rFonts w:ascii="Arial" w:hAnsi="Arial"/>
          <w:b/>
          <w:bCs/>
          <w:sz w:val="21"/>
          <w:szCs w:val="21"/>
        </w:rPr>
        <w:t xml:space="preserve">Estado de la denuncia: </w:t>
      </w:r>
    </w:p>
    <w:p w14:paraId="78A2E5B9" w14:textId="77777777" w:rsidR="00CD1A1C" w:rsidRPr="00CD1A1C" w:rsidRDefault="00CD1A1C" w:rsidP="008A4CB1">
      <w:pPr>
        <w:spacing w:after="120" w:line="276" w:lineRule="auto"/>
        <w:ind w:left="709"/>
        <w:jc w:val="both"/>
        <w:rPr>
          <w:rFonts w:ascii="Arial" w:hAnsi="Arial"/>
          <w:sz w:val="21"/>
          <w:szCs w:val="21"/>
        </w:rPr>
      </w:pPr>
      <w:r w:rsidRPr="00CD1A1C">
        <w:rPr>
          <w:rFonts w:ascii="Arial" w:hAnsi="Arial"/>
          <w:sz w:val="21"/>
          <w:szCs w:val="21"/>
        </w:rPr>
        <w:t xml:space="preserve">Las personas denunciantes protegidas, personal de una mercantil pública, denunciaron la existencia de contrataciones irregulares de personal por parte de los dirigentes políticos de la entidad pública. La larga instrucción ha finalizado con la apertura del juicio oral, que se encuentra señalado para su celebración en septiembre de 2022. </w:t>
      </w:r>
    </w:p>
    <w:p w14:paraId="5B266660" w14:textId="77777777" w:rsidR="00CD1A1C" w:rsidRPr="00CD1A1C" w:rsidRDefault="00CD1A1C" w:rsidP="008A4CB1">
      <w:pPr>
        <w:spacing w:after="120" w:line="276" w:lineRule="auto"/>
        <w:ind w:left="709"/>
        <w:jc w:val="both"/>
        <w:rPr>
          <w:rFonts w:ascii="Arial" w:hAnsi="Arial"/>
          <w:b/>
          <w:bCs/>
          <w:sz w:val="21"/>
          <w:szCs w:val="21"/>
        </w:rPr>
      </w:pPr>
      <w:r w:rsidRPr="00CD1A1C">
        <w:rPr>
          <w:rFonts w:ascii="Arial" w:hAnsi="Arial"/>
          <w:b/>
          <w:bCs/>
          <w:sz w:val="21"/>
          <w:szCs w:val="21"/>
        </w:rPr>
        <w:t xml:space="preserve">Represalias: </w:t>
      </w:r>
    </w:p>
    <w:p w14:paraId="6B325055" w14:textId="77777777" w:rsidR="00CD1A1C" w:rsidRPr="00CD1A1C" w:rsidRDefault="00CD1A1C" w:rsidP="008A4CB1">
      <w:pPr>
        <w:spacing w:after="120" w:line="276" w:lineRule="auto"/>
        <w:ind w:left="709"/>
        <w:jc w:val="both"/>
        <w:rPr>
          <w:rFonts w:ascii="Arial" w:hAnsi="Arial"/>
          <w:sz w:val="21"/>
          <w:szCs w:val="21"/>
        </w:rPr>
      </w:pPr>
      <w:r w:rsidRPr="00CD1A1C">
        <w:rPr>
          <w:rFonts w:ascii="Arial" w:hAnsi="Arial"/>
          <w:sz w:val="21"/>
          <w:szCs w:val="21"/>
        </w:rPr>
        <w:t xml:space="preserve">La relación laboral de las personas denunciantes ha sido compleja y tortuosa durante los años en los que ha durado la instrucción penal. Las presiones sufridas por los mismos han sido constantes y de todo tipo, resultando su situación ser el supuesto paradigmático de personas denunciantes de corrupción que son sometidas a un constante acoso con la finalidad de hacer que desistan de su denuncia y para servir de advertencia a futuros denunciantes. </w:t>
      </w:r>
    </w:p>
    <w:p w14:paraId="41A4576F" w14:textId="77777777" w:rsidR="00CD1A1C" w:rsidRPr="00CD1A1C" w:rsidRDefault="00CD1A1C" w:rsidP="008A4CB1">
      <w:pPr>
        <w:spacing w:after="120" w:line="276" w:lineRule="auto"/>
        <w:ind w:left="709"/>
        <w:jc w:val="both"/>
        <w:rPr>
          <w:rFonts w:ascii="Arial" w:hAnsi="Arial"/>
          <w:b/>
          <w:bCs/>
          <w:sz w:val="21"/>
          <w:szCs w:val="21"/>
        </w:rPr>
      </w:pPr>
      <w:r w:rsidRPr="00CD1A1C">
        <w:rPr>
          <w:rFonts w:ascii="Arial" w:hAnsi="Arial"/>
          <w:b/>
          <w:bCs/>
          <w:sz w:val="21"/>
          <w:szCs w:val="21"/>
        </w:rPr>
        <w:t>Actuaciones de la Agencia:</w:t>
      </w:r>
    </w:p>
    <w:p w14:paraId="3CC518A7" w14:textId="77777777" w:rsidR="008A4CB1" w:rsidRDefault="00CD1A1C" w:rsidP="008A4CB1">
      <w:pPr>
        <w:spacing w:after="240" w:line="276" w:lineRule="auto"/>
        <w:ind w:left="709"/>
        <w:jc w:val="both"/>
        <w:rPr>
          <w:rFonts w:ascii="Arial" w:hAnsi="Arial"/>
          <w:sz w:val="21"/>
          <w:szCs w:val="21"/>
        </w:rPr>
      </w:pPr>
      <w:r w:rsidRPr="00CD1A1C">
        <w:rPr>
          <w:rFonts w:ascii="Arial" w:hAnsi="Arial"/>
          <w:sz w:val="21"/>
          <w:szCs w:val="21"/>
        </w:rPr>
        <w:t xml:space="preserve">La Agencia ha mantenido a lo largo de este ejercicio numerosas reuniones con las personas denunciantes efectuando asesoramiento sobre cuestiones laborales y de naturaleza procesal en relación con la proximidad del juicio oral, así como por la extinción societaria de la mercantil pública, que ha influido en la situación laboral de las personas denunciantes. </w:t>
      </w:r>
    </w:p>
    <w:p w14:paraId="68D8D93F" w14:textId="71D07088" w:rsidR="0087743C" w:rsidRPr="0087743C" w:rsidRDefault="0087743C" w:rsidP="00584F69">
      <w:pPr>
        <w:spacing w:after="120" w:line="276" w:lineRule="auto"/>
        <w:jc w:val="both"/>
        <w:rPr>
          <w:rFonts w:ascii="Arial" w:hAnsi="Arial"/>
          <w:b/>
          <w:bCs/>
          <w:color w:val="9D2235" w:themeColor="accent1"/>
          <w:sz w:val="21"/>
          <w:szCs w:val="21"/>
        </w:rPr>
      </w:pPr>
      <w:r w:rsidRPr="0087743C">
        <w:rPr>
          <w:rFonts w:ascii="Arial" w:hAnsi="Arial"/>
          <w:b/>
          <w:bCs/>
          <w:color w:val="9D2235" w:themeColor="accent1"/>
          <w:sz w:val="21"/>
          <w:szCs w:val="21"/>
        </w:rPr>
        <w:t xml:space="preserve">CASO 8 </w:t>
      </w:r>
    </w:p>
    <w:p w14:paraId="13C053AF" w14:textId="77777777" w:rsidR="0087743C" w:rsidRPr="0087743C" w:rsidRDefault="0087743C" w:rsidP="0087743C">
      <w:pPr>
        <w:spacing w:after="120" w:line="276" w:lineRule="auto"/>
        <w:ind w:left="709"/>
        <w:jc w:val="both"/>
        <w:rPr>
          <w:rFonts w:ascii="Arial" w:hAnsi="Arial"/>
          <w:b/>
          <w:bCs/>
          <w:sz w:val="21"/>
          <w:szCs w:val="21"/>
        </w:rPr>
      </w:pPr>
      <w:r w:rsidRPr="0087743C">
        <w:rPr>
          <w:rFonts w:ascii="Arial" w:hAnsi="Arial"/>
          <w:b/>
          <w:bCs/>
          <w:sz w:val="21"/>
          <w:szCs w:val="21"/>
        </w:rPr>
        <w:t>Estado de la denuncia:</w:t>
      </w:r>
    </w:p>
    <w:p w14:paraId="54570BF5" w14:textId="77777777" w:rsidR="0087743C" w:rsidRPr="0087743C" w:rsidRDefault="0087743C" w:rsidP="0087743C">
      <w:pPr>
        <w:spacing w:after="120" w:line="276" w:lineRule="auto"/>
        <w:ind w:left="709"/>
        <w:jc w:val="both"/>
        <w:rPr>
          <w:rFonts w:ascii="Arial" w:hAnsi="Arial"/>
          <w:sz w:val="21"/>
          <w:szCs w:val="21"/>
        </w:rPr>
      </w:pPr>
      <w:r w:rsidRPr="0087743C">
        <w:rPr>
          <w:rFonts w:ascii="Arial" w:hAnsi="Arial"/>
          <w:sz w:val="21"/>
          <w:szCs w:val="21"/>
        </w:rPr>
        <w:t>La persona protegida, personal funcionario municipal, denunció irregularidades relativas a un programa de ejecución de trabajos en beneficio de la comunidad, del que era el responsable en el Ayuntamiento donde prestaba servicios. La denuncia dio lugar a la incoación de Diligencias Previas que, si bien fueron sobreseídas provisionalmente, en el Auto judicial del instructor entendía que, aunque no se apreciaran indicios racionales de la comisión de los delitos denunciados, ello no obstaba a la posible apreciación de responsabilidad disciplinaria o de otras consecuencias en el ámbito administrativo.</w:t>
      </w:r>
    </w:p>
    <w:p w14:paraId="08FF37E5" w14:textId="77777777" w:rsidR="0087743C" w:rsidRPr="0087743C" w:rsidRDefault="0087743C" w:rsidP="0087743C">
      <w:pPr>
        <w:spacing w:after="120" w:line="276" w:lineRule="auto"/>
        <w:ind w:left="709"/>
        <w:jc w:val="both"/>
        <w:rPr>
          <w:rFonts w:ascii="Arial" w:hAnsi="Arial"/>
          <w:sz w:val="21"/>
          <w:szCs w:val="21"/>
        </w:rPr>
      </w:pPr>
      <w:r w:rsidRPr="0087743C">
        <w:rPr>
          <w:rFonts w:ascii="Arial" w:hAnsi="Arial"/>
          <w:sz w:val="21"/>
          <w:szCs w:val="21"/>
        </w:rPr>
        <w:t>Asimismo, la persona protegida intervino, en condición de testigo, en unas anteriores Diligencias Previas en relación con otras irregularidades en la ejecución de dicho programa, que finalizaron en sentencia firme condenatoria de un funcionario del propio Ayuntamiento.</w:t>
      </w:r>
    </w:p>
    <w:p w14:paraId="78C20C75" w14:textId="77777777" w:rsidR="0087743C" w:rsidRPr="0087743C" w:rsidRDefault="0087743C" w:rsidP="0087743C">
      <w:pPr>
        <w:spacing w:after="120" w:line="276" w:lineRule="auto"/>
        <w:ind w:left="709"/>
        <w:jc w:val="both"/>
        <w:rPr>
          <w:rFonts w:ascii="Arial" w:hAnsi="Arial"/>
          <w:sz w:val="21"/>
          <w:szCs w:val="21"/>
        </w:rPr>
      </w:pPr>
      <w:r w:rsidRPr="0087743C">
        <w:rPr>
          <w:rFonts w:ascii="Arial" w:hAnsi="Arial"/>
          <w:b/>
          <w:bCs/>
          <w:sz w:val="21"/>
          <w:szCs w:val="21"/>
        </w:rPr>
        <w:t>Represalia (o no represalias, en su caso):</w:t>
      </w:r>
      <w:r w:rsidRPr="0087743C">
        <w:rPr>
          <w:rFonts w:ascii="Arial" w:hAnsi="Arial"/>
          <w:sz w:val="21"/>
          <w:szCs w:val="21"/>
        </w:rPr>
        <w:t xml:space="preserve"> </w:t>
      </w:r>
    </w:p>
    <w:p w14:paraId="029E7CFD" w14:textId="77777777" w:rsidR="0087743C" w:rsidRPr="0087743C" w:rsidRDefault="0087743C" w:rsidP="0087743C">
      <w:pPr>
        <w:spacing w:after="120" w:line="276" w:lineRule="auto"/>
        <w:ind w:left="709"/>
        <w:jc w:val="both"/>
        <w:rPr>
          <w:rFonts w:ascii="Arial" w:hAnsi="Arial"/>
          <w:sz w:val="21"/>
          <w:szCs w:val="21"/>
        </w:rPr>
      </w:pPr>
      <w:bookmarkStart w:id="85" w:name="_Hlk99022588"/>
      <w:r w:rsidRPr="0087743C">
        <w:rPr>
          <w:rFonts w:ascii="Arial" w:hAnsi="Arial"/>
          <w:sz w:val="21"/>
          <w:szCs w:val="21"/>
        </w:rPr>
        <w:t>La persona protegida sufrió la apertura de expedientes disciplinarios por hasta siete faltas, entre graves y muy graves, y un delito. Finalmente, el alcalde le impuso por una falta muy grave la sanción de suspensión de empleo y sueldo de tres años, sin tener la competencia para ello pues la misma correspondía a la Junta de Gobierno Local. No obstante, dicha falta de competencia no fue recurrida por el denunciante</w:t>
      </w:r>
      <w:bookmarkEnd w:id="85"/>
      <w:r w:rsidRPr="0087743C">
        <w:rPr>
          <w:rFonts w:ascii="Arial" w:hAnsi="Arial"/>
          <w:sz w:val="21"/>
          <w:szCs w:val="21"/>
        </w:rPr>
        <w:t xml:space="preserve">. </w:t>
      </w:r>
    </w:p>
    <w:p w14:paraId="41B84B16" w14:textId="77777777" w:rsidR="0087743C" w:rsidRPr="0087743C" w:rsidRDefault="0087743C" w:rsidP="0087743C">
      <w:pPr>
        <w:spacing w:after="120" w:line="276" w:lineRule="auto"/>
        <w:ind w:left="709"/>
        <w:jc w:val="both"/>
        <w:rPr>
          <w:rFonts w:ascii="Arial" w:hAnsi="Arial"/>
          <w:sz w:val="21"/>
          <w:szCs w:val="21"/>
        </w:rPr>
      </w:pPr>
      <w:r w:rsidRPr="0087743C">
        <w:rPr>
          <w:rFonts w:ascii="Arial" w:hAnsi="Arial"/>
          <w:sz w:val="21"/>
          <w:szCs w:val="21"/>
        </w:rPr>
        <w:t>La citada sanción tiene su origen en el hecho consistente en no acudir a la citación ordenada por una concejala del Ayuntamiento. Estos hechos fueron tipificados por el Ayuntamiento, para la imposición de la sanción, como desobediencia abierta a las órdenes o instrucciones de un superior, aplicándose la sanción de suspensión de empleo y sueldo por tres años.</w:t>
      </w:r>
    </w:p>
    <w:p w14:paraId="761B1435" w14:textId="77777777" w:rsidR="0087743C" w:rsidRPr="0087743C" w:rsidRDefault="0087743C" w:rsidP="0087743C">
      <w:pPr>
        <w:spacing w:after="120" w:line="276" w:lineRule="auto"/>
        <w:ind w:left="709"/>
        <w:jc w:val="both"/>
        <w:rPr>
          <w:rFonts w:ascii="Arial" w:hAnsi="Arial"/>
          <w:sz w:val="21"/>
          <w:szCs w:val="21"/>
        </w:rPr>
      </w:pPr>
      <w:r w:rsidRPr="0087743C">
        <w:rPr>
          <w:rFonts w:ascii="Arial" w:hAnsi="Arial"/>
          <w:sz w:val="21"/>
          <w:szCs w:val="21"/>
        </w:rPr>
        <w:t>Frente a la resolución que imponía esta sanción se interpuso recurso ante el Juzgado de lo Contencioso-Administrativo núm. 1 de Alicante, que dictó Sentencia 758/2018, de 19 de diciembre de 2018, que declaraba la nulidad de la sanción de suspensión de empleo y sueldo de tres años, acordando en su lugar imponer una sanción de suspensión de funciones y retribuciones por periodo de quince días. La Sentencia establece:</w:t>
      </w:r>
    </w:p>
    <w:p w14:paraId="32B778FA" w14:textId="606A872B" w:rsidR="0087743C" w:rsidRPr="0087743C" w:rsidRDefault="0087743C" w:rsidP="0087743C">
      <w:pPr>
        <w:spacing w:after="120" w:line="276" w:lineRule="auto"/>
        <w:ind w:left="1418"/>
        <w:jc w:val="both"/>
        <w:rPr>
          <w:rFonts w:ascii="Arial" w:hAnsi="Arial"/>
          <w:sz w:val="20"/>
          <w:szCs w:val="20"/>
        </w:rPr>
      </w:pPr>
      <w:r w:rsidRPr="0087743C">
        <w:rPr>
          <w:rFonts w:ascii="Arial" w:hAnsi="Arial"/>
          <w:sz w:val="20"/>
          <w:szCs w:val="20"/>
        </w:rPr>
        <w:t xml:space="preserve">“(…)entiende la proveyente que ni tal desobediencia tiene la entidad ni gravedad suficiente como para ser incardinada en el ámbito de aplicación del artículo 141.1.j), ni concurre el elemento esencial previsto en el tipo, de que la orden proviniese de un superior, dado que la Concejala (…), si bien tiene la condición de autoridad, no puede ser considerada como superior jerárquico del recurrente. </w:t>
      </w:r>
    </w:p>
    <w:p w14:paraId="42E10255" w14:textId="67D964C3" w:rsidR="0087743C" w:rsidRPr="0087743C" w:rsidRDefault="0087743C" w:rsidP="0087743C">
      <w:pPr>
        <w:spacing w:after="120" w:line="276" w:lineRule="auto"/>
        <w:ind w:left="1418"/>
        <w:jc w:val="both"/>
        <w:rPr>
          <w:rFonts w:ascii="Arial" w:hAnsi="Arial"/>
          <w:sz w:val="21"/>
          <w:szCs w:val="21"/>
        </w:rPr>
      </w:pPr>
      <w:r w:rsidRPr="0087743C">
        <w:rPr>
          <w:rFonts w:ascii="Arial" w:hAnsi="Arial"/>
          <w:sz w:val="20"/>
          <w:szCs w:val="20"/>
        </w:rPr>
        <w:t>Por lo expuesto, se considera más ajustado incardinar la conducta del actor en la falta grave contenida en el artículo 142.1 a) de la Ley 10/2010 consistente en "La falta de obediencia debida a sus superiores jerárquicos y autoridades", y por tal razón imponer al mismo la sanción contenida en el artículo 145.1.b) 1 ° consistente en la suspensión</w:t>
      </w:r>
      <w:r w:rsidRPr="0087743C">
        <w:rPr>
          <w:rFonts w:ascii="Arial" w:hAnsi="Arial"/>
          <w:sz w:val="21"/>
          <w:szCs w:val="21"/>
        </w:rPr>
        <w:t xml:space="preserve"> de funciones y retribuciones por periodo de 15 días.(…)”</w:t>
      </w:r>
    </w:p>
    <w:p w14:paraId="5F46CFBB" w14:textId="18D67741" w:rsidR="0087743C" w:rsidRPr="0087743C" w:rsidRDefault="0087743C" w:rsidP="0087743C">
      <w:pPr>
        <w:spacing w:after="120" w:line="276" w:lineRule="auto"/>
        <w:ind w:left="709"/>
        <w:jc w:val="both"/>
        <w:rPr>
          <w:rFonts w:ascii="Arial" w:hAnsi="Arial"/>
          <w:sz w:val="21"/>
          <w:szCs w:val="21"/>
        </w:rPr>
      </w:pPr>
      <w:r w:rsidRPr="0087743C">
        <w:rPr>
          <w:rFonts w:ascii="Arial" w:hAnsi="Arial"/>
          <w:sz w:val="21"/>
          <w:szCs w:val="21"/>
        </w:rPr>
        <w:t>Recurrida esta sentencia por el Ayuntamiento, la Sección Segunda de la Sala de lo Contencioso- Administrativo del Tribunal Superior de Justicia de la Comunitat Valenciana dictó Sentencia núm. 801/2020</w:t>
      </w:r>
      <w:bookmarkStart w:id="86" w:name="_Hlk99016076"/>
      <w:r w:rsidRPr="0087743C">
        <w:rPr>
          <w:rFonts w:ascii="Arial" w:hAnsi="Arial"/>
          <w:sz w:val="21"/>
          <w:szCs w:val="21"/>
        </w:rPr>
        <w:t xml:space="preserve">, de 30 de noviembre de 2020, </w:t>
      </w:r>
      <w:bookmarkEnd w:id="86"/>
      <w:r w:rsidRPr="0087743C">
        <w:rPr>
          <w:rFonts w:ascii="Arial" w:hAnsi="Arial"/>
          <w:sz w:val="21"/>
          <w:szCs w:val="21"/>
        </w:rPr>
        <w:t>en la que se estimaba el recurso planteado, revocando la sentencia de primera instancia y manteniendo la sanción de tres años de empleo y sueldo.</w:t>
      </w:r>
    </w:p>
    <w:p w14:paraId="109D26B3" w14:textId="77777777" w:rsidR="0087743C" w:rsidRPr="0087743C" w:rsidRDefault="0087743C" w:rsidP="0087743C">
      <w:pPr>
        <w:spacing w:after="120" w:line="276" w:lineRule="auto"/>
        <w:ind w:left="709"/>
        <w:jc w:val="both"/>
        <w:rPr>
          <w:rFonts w:ascii="Arial" w:hAnsi="Arial"/>
          <w:sz w:val="21"/>
          <w:szCs w:val="21"/>
        </w:rPr>
      </w:pPr>
      <w:r w:rsidRPr="0087743C">
        <w:rPr>
          <w:rFonts w:ascii="Arial" w:hAnsi="Arial"/>
          <w:sz w:val="21"/>
          <w:szCs w:val="21"/>
        </w:rPr>
        <w:t>La persona protegida ha recurrido la Sentencia ante el Tribunal Supremo, encontrándose en estos momentos pendiente de admisión en su caso del recurso de casación.</w:t>
      </w:r>
    </w:p>
    <w:p w14:paraId="422C7AE3" w14:textId="77777777" w:rsidR="0087743C" w:rsidRPr="0087743C" w:rsidRDefault="0087743C" w:rsidP="0087743C">
      <w:pPr>
        <w:spacing w:after="120" w:line="276" w:lineRule="auto"/>
        <w:ind w:left="709"/>
        <w:jc w:val="both"/>
        <w:rPr>
          <w:rFonts w:ascii="Arial" w:hAnsi="Arial"/>
          <w:sz w:val="21"/>
          <w:szCs w:val="21"/>
        </w:rPr>
      </w:pPr>
      <w:r w:rsidRPr="0087743C">
        <w:rPr>
          <w:rFonts w:ascii="Arial" w:hAnsi="Arial"/>
          <w:sz w:val="21"/>
          <w:szCs w:val="21"/>
        </w:rPr>
        <w:t xml:space="preserve">Por otra parte, como consecuencia de la denuncia de irregularidades, en el ámbito laboral de la persona protegida se dieron unas circunstancias que le llevaron a interponer una denuncia ante el Ministerio Fiscal por acoso laboral, el cual solicitó la incoación de las correspondientes Diligencias Previas, las cuales se encuentran en tramitación. </w:t>
      </w:r>
    </w:p>
    <w:p w14:paraId="41057286" w14:textId="77777777" w:rsidR="0087743C" w:rsidRPr="0087743C" w:rsidRDefault="0087743C" w:rsidP="0087743C">
      <w:pPr>
        <w:spacing w:after="120" w:line="276" w:lineRule="auto"/>
        <w:ind w:left="709"/>
        <w:jc w:val="both"/>
        <w:rPr>
          <w:rFonts w:ascii="Arial" w:hAnsi="Arial"/>
          <w:sz w:val="21"/>
          <w:szCs w:val="21"/>
        </w:rPr>
      </w:pPr>
      <w:r w:rsidRPr="0087743C">
        <w:rPr>
          <w:rFonts w:ascii="Arial" w:hAnsi="Arial"/>
          <w:sz w:val="21"/>
          <w:szCs w:val="21"/>
        </w:rPr>
        <w:t xml:space="preserve">Durante la tramitación de estas Diligencia Previas por acoso laboral, se acordó por el Juzgado, entre otras diligencias, la reproducción en sede judicial de la grabación. Respecto de dicha grabación la representación del alcalde, que está siendo investigado, junto con otros funcionarios y un concejal, solicitó que se dedujera testimonio de particulares contra la persona protegida por delito de amenazas y coacciones, habiendo accedido el Juzgado a tal extremo. </w:t>
      </w:r>
    </w:p>
    <w:p w14:paraId="7C42DC4F" w14:textId="77777777" w:rsidR="0087743C" w:rsidRPr="0087743C" w:rsidRDefault="0087743C" w:rsidP="0087743C">
      <w:pPr>
        <w:spacing w:after="120" w:line="276" w:lineRule="auto"/>
        <w:ind w:left="709"/>
        <w:jc w:val="both"/>
        <w:rPr>
          <w:rFonts w:ascii="Arial" w:hAnsi="Arial"/>
          <w:sz w:val="21"/>
          <w:szCs w:val="21"/>
        </w:rPr>
      </w:pPr>
      <w:r w:rsidRPr="0087743C">
        <w:rPr>
          <w:rFonts w:ascii="Arial" w:hAnsi="Arial"/>
          <w:sz w:val="21"/>
          <w:szCs w:val="21"/>
        </w:rPr>
        <w:t xml:space="preserve">Ello dio lugar a la presentación por la persona protegida de un recurso contra esta resolución del Juzgado, con el asesoramiento de la AVAF, que ha sido resuelto por la Sección Primera de la Audiencia Provincial de Alicante declarando la nulidad por falta de motivación del Auto dictado por el Juzgado de Instrucción y ordenando retrotraer las actuaciones. </w:t>
      </w:r>
    </w:p>
    <w:p w14:paraId="33E3E9AA" w14:textId="77777777" w:rsidR="0087743C" w:rsidRPr="0087743C" w:rsidRDefault="0087743C" w:rsidP="0087743C">
      <w:pPr>
        <w:spacing w:after="120" w:line="276" w:lineRule="auto"/>
        <w:ind w:left="709"/>
        <w:jc w:val="both"/>
        <w:rPr>
          <w:rFonts w:ascii="Arial" w:hAnsi="Arial"/>
          <w:b/>
          <w:bCs/>
          <w:sz w:val="21"/>
          <w:szCs w:val="21"/>
        </w:rPr>
      </w:pPr>
      <w:r w:rsidRPr="0087743C">
        <w:rPr>
          <w:rFonts w:ascii="Arial" w:hAnsi="Arial"/>
          <w:b/>
          <w:bCs/>
          <w:sz w:val="21"/>
          <w:szCs w:val="21"/>
        </w:rPr>
        <w:t>Actuaciones de la AVAF:</w:t>
      </w:r>
    </w:p>
    <w:p w14:paraId="4987FF1E" w14:textId="77777777" w:rsidR="0087743C" w:rsidRPr="0087743C" w:rsidRDefault="0087743C" w:rsidP="0087743C">
      <w:pPr>
        <w:spacing w:after="120" w:line="276" w:lineRule="auto"/>
        <w:ind w:left="709"/>
        <w:jc w:val="both"/>
        <w:rPr>
          <w:rFonts w:ascii="Arial" w:hAnsi="Arial"/>
          <w:sz w:val="21"/>
          <w:szCs w:val="21"/>
        </w:rPr>
      </w:pPr>
      <w:r w:rsidRPr="0087743C">
        <w:rPr>
          <w:rFonts w:ascii="Arial" w:hAnsi="Arial"/>
          <w:sz w:val="21"/>
          <w:szCs w:val="21"/>
        </w:rPr>
        <w:t xml:space="preserve">La AVAF ha realizado funciones de asesoramiento a la persona denunciante y a sus letrados en relación con todos los recursos que ha tenido que emprender para defenderse respecto de la sanción impuesta por el alcalde. </w:t>
      </w:r>
    </w:p>
    <w:p w14:paraId="6534AE7D" w14:textId="77777777" w:rsidR="0087743C" w:rsidRPr="0087743C" w:rsidRDefault="0087743C" w:rsidP="0087743C">
      <w:pPr>
        <w:spacing w:after="120" w:line="276" w:lineRule="auto"/>
        <w:ind w:left="709"/>
        <w:jc w:val="both"/>
        <w:rPr>
          <w:rFonts w:ascii="Arial" w:hAnsi="Arial"/>
          <w:sz w:val="21"/>
          <w:szCs w:val="21"/>
        </w:rPr>
      </w:pPr>
      <w:r w:rsidRPr="0087743C">
        <w:rPr>
          <w:rFonts w:ascii="Arial" w:hAnsi="Arial"/>
          <w:sz w:val="21"/>
          <w:szCs w:val="21"/>
        </w:rPr>
        <w:t xml:space="preserve">Dentro del marco del procedimiento penal por acoso laboral se ha emitido por esta Agencia, a solicitud del Juzgado de Instrucción, un informe técnico sobre la posible represalia que, a juicio de los letrados de esta Agencia, constituye la imposición de la citada sanción de suspensión de tres años de empleo y sueldo a la persona protegida. En dicho informe y con base a la dilatada experiencia administrativa, esta Agencia concluía que la sanción a la persona protegida es desproporcionada, es decir, que no existe una proporción entre la no asistencia a una comparecencia y una sanción de suspensión de empleo y sueldo de tres años. </w:t>
      </w:r>
    </w:p>
    <w:p w14:paraId="55A50F2C" w14:textId="77777777" w:rsidR="0087743C" w:rsidRPr="0087743C" w:rsidRDefault="0087743C" w:rsidP="0087743C">
      <w:pPr>
        <w:spacing w:after="120" w:line="276" w:lineRule="auto"/>
        <w:ind w:left="709"/>
        <w:jc w:val="both"/>
        <w:rPr>
          <w:rFonts w:ascii="Arial" w:hAnsi="Arial"/>
          <w:sz w:val="21"/>
          <w:szCs w:val="21"/>
        </w:rPr>
      </w:pPr>
      <w:r w:rsidRPr="0087743C">
        <w:rPr>
          <w:rFonts w:ascii="Arial" w:hAnsi="Arial"/>
          <w:sz w:val="21"/>
          <w:szCs w:val="21"/>
        </w:rPr>
        <w:t>A mayor abundamiento, analizadas las sanciones impuestas por el Ayuntamiento a otros funcionarios, se evidencia que respecto de algunos de los funcionarios denunciados por la persona protegida, alguno de ellos incluso condenado penalmente, el Ayuntamiento no les ha impuesto sanción alguna, y a otros expedientados, por hechos más graves que al denunciante protegido, se les había impuesto tan solo una sanción demérito. Ello supone un grave quebranto al principio de igualdad de trato y confirma la desproporción de la sanción impuesta a la persona denunciante protegida.</w:t>
      </w:r>
    </w:p>
    <w:p w14:paraId="23B635E6" w14:textId="77777777" w:rsidR="0087743C" w:rsidRPr="0087743C" w:rsidRDefault="0087743C" w:rsidP="0058792D">
      <w:pPr>
        <w:spacing w:after="240" w:line="276" w:lineRule="auto"/>
        <w:ind w:left="709"/>
        <w:jc w:val="both"/>
        <w:rPr>
          <w:rFonts w:ascii="Arial" w:hAnsi="Arial"/>
          <w:sz w:val="21"/>
          <w:szCs w:val="21"/>
        </w:rPr>
      </w:pPr>
      <w:r w:rsidRPr="0087743C">
        <w:rPr>
          <w:rFonts w:ascii="Arial" w:hAnsi="Arial"/>
          <w:sz w:val="21"/>
          <w:szCs w:val="21"/>
        </w:rPr>
        <w:t>En virtud de dicha solicitud de informe, las personas letradas que lo confeccionaron de la AVAF fueron citadas para comparecer en sede judicial en calidad de peritos, circunstancia que ha sido respaldada por la Sección Décima de la Audiencia Provincial de Alicante, cuyo Auto de 22 de septiembre de 2021, resolvió el recurso de apelación planteado por los investigados que pretendían que estas declaraciones lo fueran en calidad de testigo y no de peritos.</w:t>
      </w:r>
    </w:p>
    <w:p w14:paraId="740E4E74" w14:textId="77777777" w:rsidR="0058792D" w:rsidRPr="0058792D" w:rsidRDefault="0058792D" w:rsidP="00584F69">
      <w:pPr>
        <w:spacing w:after="120" w:line="276" w:lineRule="auto"/>
        <w:jc w:val="both"/>
        <w:rPr>
          <w:rFonts w:ascii="Arial" w:hAnsi="Arial"/>
          <w:b/>
          <w:bCs/>
          <w:color w:val="9D2235" w:themeColor="accent1"/>
          <w:sz w:val="21"/>
          <w:szCs w:val="21"/>
        </w:rPr>
      </w:pPr>
      <w:r w:rsidRPr="0058792D">
        <w:rPr>
          <w:rFonts w:ascii="Arial" w:hAnsi="Arial"/>
          <w:b/>
          <w:bCs/>
          <w:color w:val="9D2235" w:themeColor="accent1"/>
          <w:sz w:val="21"/>
          <w:szCs w:val="21"/>
        </w:rPr>
        <w:t xml:space="preserve">CASO 9 </w:t>
      </w:r>
    </w:p>
    <w:p w14:paraId="55E5F7B8" w14:textId="77777777" w:rsidR="0058792D" w:rsidRPr="0058792D" w:rsidRDefault="0058792D" w:rsidP="00CF32E4">
      <w:pPr>
        <w:spacing w:after="120" w:line="276" w:lineRule="auto"/>
        <w:ind w:left="709"/>
        <w:jc w:val="both"/>
        <w:rPr>
          <w:rFonts w:ascii="Arial" w:hAnsi="Arial"/>
          <w:b/>
          <w:bCs/>
          <w:sz w:val="21"/>
          <w:szCs w:val="21"/>
        </w:rPr>
      </w:pPr>
      <w:r w:rsidRPr="0058792D">
        <w:rPr>
          <w:rFonts w:ascii="Arial" w:hAnsi="Arial"/>
          <w:b/>
          <w:bCs/>
          <w:sz w:val="21"/>
          <w:szCs w:val="21"/>
        </w:rPr>
        <w:t>Estado de la denuncia:</w:t>
      </w:r>
    </w:p>
    <w:p w14:paraId="725D2B34" w14:textId="77777777" w:rsidR="0058792D" w:rsidRPr="0058792D" w:rsidRDefault="0058792D" w:rsidP="00CF32E4">
      <w:pPr>
        <w:spacing w:after="120" w:line="276" w:lineRule="auto"/>
        <w:ind w:left="709"/>
        <w:jc w:val="both"/>
        <w:rPr>
          <w:rFonts w:ascii="Arial" w:hAnsi="Arial"/>
          <w:sz w:val="21"/>
          <w:szCs w:val="21"/>
        </w:rPr>
      </w:pPr>
      <w:r w:rsidRPr="0058792D">
        <w:rPr>
          <w:rFonts w:ascii="Arial" w:hAnsi="Arial"/>
          <w:sz w:val="21"/>
          <w:szCs w:val="21"/>
        </w:rPr>
        <w:t xml:space="preserve">En este caso la persona protegida realizó una denuncia relativa a irregularidades urbanísticas, prevaricación administrativa, falsedad documental y defraudación de caudales públicos, que dio lugar a la incoación de Diligencias Previas. Tras la práctica de numerosas diligencias y un largo período de investigación fueron sobreseídas provisionalmente. </w:t>
      </w:r>
    </w:p>
    <w:p w14:paraId="2CC35937" w14:textId="77777777" w:rsidR="0058792D" w:rsidRPr="0058792D" w:rsidRDefault="0058792D" w:rsidP="00CF32E4">
      <w:pPr>
        <w:spacing w:after="120" w:line="276" w:lineRule="auto"/>
        <w:ind w:left="709"/>
        <w:jc w:val="both"/>
        <w:rPr>
          <w:rFonts w:ascii="Arial" w:hAnsi="Arial"/>
          <w:sz w:val="21"/>
          <w:szCs w:val="21"/>
        </w:rPr>
      </w:pPr>
      <w:r w:rsidRPr="0058792D">
        <w:rPr>
          <w:rFonts w:ascii="Arial" w:hAnsi="Arial"/>
          <w:b/>
          <w:bCs/>
          <w:sz w:val="21"/>
          <w:szCs w:val="21"/>
        </w:rPr>
        <w:t>Represalia (o no represalias, en su caso):</w:t>
      </w:r>
    </w:p>
    <w:p w14:paraId="5489F1AC" w14:textId="77777777" w:rsidR="0058792D" w:rsidRPr="0058792D" w:rsidRDefault="0058792D" w:rsidP="00CF32E4">
      <w:pPr>
        <w:spacing w:after="120" w:line="276" w:lineRule="auto"/>
        <w:ind w:left="709"/>
        <w:jc w:val="both"/>
        <w:rPr>
          <w:rFonts w:ascii="Arial" w:hAnsi="Arial"/>
          <w:sz w:val="21"/>
          <w:szCs w:val="21"/>
        </w:rPr>
      </w:pPr>
      <w:r w:rsidRPr="0058792D">
        <w:rPr>
          <w:rFonts w:ascii="Arial" w:hAnsi="Arial"/>
          <w:sz w:val="21"/>
          <w:szCs w:val="21"/>
        </w:rPr>
        <w:t>Debido a la presentación de su denuncia, este denunciante sufrió acoso laboral en el Ayuntamiento donde prestaba sus servicios, como ha quedado acreditado en la Sentencia núm. 763/2020, de 14 de diciembre de 2020, Juzgado de lo Contencioso Administrativo núm. 1 de Elche, de la que resaltamos:</w:t>
      </w:r>
    </w:p>
    <w:p w14:paraId="3BD1872B" w14:textId="77777777" w:rsidR="0058792D" w:rsidRPr="0058792D" w:rsidRDefault="0058792D" w:rsidP="00CF32E4">
      <w:pPr>
        <w:spacing w:after="120" w:line="276" w:lineRule="auto"/>
        <w:ind w:left="1418"/>
        <w:jc w:val="both"/>
        <w:rPr>
          <w:rFonts w:ascii="Arial" w:hAnsi="Arial"/>
          <w:sz w:val="20"/>
          <w:szCs w:val="20"/>
        </w:rPr>
      </w:pPr>
      <w:r w:rsidRPr="0058792D">
        <w:rPr>
          <w:rFonts w:ascii="Arial" w:hAnsi="Arial"/>
          <w:sz w:val="20"/>
          <w:szCs w:val="20"/>
        </w:rPr>
        <w:t>“ (…)CUARTO.- Resulta igualmente relevante exponer la importancia de que en el caso de autos haya intervenido la Agencia de Prevención y Lucha contra el Fraude y la Corrupción de la Comunitat Valenciana, cuya Resolución de fecha (…) de 2018 a lica el estatuto de la persona denunciante al aquí actor, (…)por su denuncia de hechos presuntamente delictivos que dieron lugar a la incoación de las Diligencias Previas abiertas en el Juzgado de Instrucción nº 2 de Torrevieja. La mera aparición en escena de la citada agencia de lucha contra la corrupción constituye un descredito del mayor nivel para una Entidad Local que arroja una sombra de duda sobre la actuación de un Ayuntamiento, y cuya resolución no solo ha sido remitida a la Sección Territorial de Torrevieja de la Fiscalía, sino que puede finalizar en una puesta en conocimiento de las mismas Cortes Valencianas a través de su memoria anual.</w:t>
      </w:r>
    </w:p>
    <w:p w14:paraId="2D7C950B" w14:textId="77777777" w:rsidR="0058792D" w:rsidRPr="0058792D" w:rsidRDefault="0058792D" w:rsidP="00CF32E4">
      <w:pPr>
        <w:spacing w:after="120" w:line="276" w:lineRule="auto"/>
        <w:ind w:left="1418"/>
        <w:jc w:val="both"/>
        <w:rPr>
          <w:rFonts w:ascii="Arial" w:hAnsi="Arial"/>
          <w:sz w:val="20"/>
          <w:szCs w:val="20"/>
        </w:rPr>
      </w:pPr>
      <w:r w:rsidRPr="0058792D">
        <w:rPr>
          <w:rFonts w:ascii="Arial" w:hAnsi="Arial"/>
          <w:sz w:val="20"/>
          <w:szCs w:val="20"/>
        </w:rPr>
        <w:t>En cualquier caso, ha de dejarse constancia aquí que este Juzgador ha tenido muy en cuenta el estatuto de protección de la persona denunciante que le fue reconocido a (…) mediante la resolución citada de -de 2018, como la publicación de la reciente Directiva (UE) 2019/1937 del Parlamento Europeo y del Consejo, de 23 de octubre de 2019, relativa a la protección de las personas que informen sobre infracciones del Derecho de la Unión, si bien consta en este órgano judicial que la denuncia formulada por el actor y que dio lugar a la apertura de Diligencias Previas nº(…) -en el Juzgado de Instrucción nº 2 de Torrevieja ha finalizado mediante Auto dictado por dicho Juzgado el (…) 2019 en el que se acuerda el sobreseimiento provisional de la causa, si bien un exhorto judicial remitido por este Juzgado informa de la interposición de un recurso de apelación frente al citado auto, estando pendiente de sentencia por la Sección Séptima de la Audiencia Provincial de alicante (con sede en Elche).</w:t>
      </w:r>
    </w:p>
    <w:p w14:paraId="7045989F" w14:textId="77777777" w:rsidR="0058792D" w:rsidRPr="0058792D" w:rsidRDefault="0058792D" w:rsidP="00CF32E4">
      <w:pPr>
        <w:spacing w:after="120" w:line="276" w:lineRule="auto"/>
        <w:ind w:left="1418"/>
        <w:jc w:val="both"/>
        <w:rPr>
          <w:rFonts w:ascii="Arial" w:hAnsi="Arial"/>
          <w:sz w:val="20"/>
          <w:szCs w:val="20"/>
        </w:rPr>
      </w:pPr>
      <w:r w:rsidRPr="0058792D">
        <w:rPr>
          <w:rFonts w:ascii="Arial" w:hAnsi="Arial"/>
          <w:sz w:val="20"/>
          <w:szCs w:val="20"/>
        </w:rPr>
        <w:t>(…)reconociendo al recurrente, como situación jurídica individualizada, ser víctima de un proceso de acoso laboral o mobbing en el Ayuntamiento de Torrevieja ,debiendo adoptarse en un plazo máximo de 15 días naturales a contar desde el siguiente a la notificación de la presente sentencia todas las medidas preventivas inmediatas y previstas en el Protocolo de Prevención Contra el Acoso Laboral del Ayuntamiento de Torrevieja que sean precisas para que cese la vulneración de los derechos del actor, con reconocimiento de una indemnización por los daños y perjuicios psicológicos y morales sufridos (…)Con la finalidad de conseguir el pleno restablecimiento del derecho de la parte demandante hasta la restitutio in integrum, a la cantidad anterior habrán de añadirse los intereses legales correspondientes desde la fecha de presentación de la solicitud el 27 de junio de 2018. A todo ello ha de añadirse los intereses de mora procesal ex artículo 106.2 LJCA, los cuales nacen ope legis sin necesidad de petición (…)”</w:t>
      </w:r>
    </w:p>
    <w:p w14:paraId="5C7C2E9A" w14:textId="77777777" w:rsidR="0058792D" w:rsidRPr="0058792D" w:rsidRDefault="0058792D" w:rsidP="00CF32E4">
      <w:pPr>
        <w:spacing w:after="120" w:line="276" w:lineRule="auto"/>
        <w:ind w:left="709"/>
        <w:jc w:val="both"/>
        <w:rPr>
          <w:rFonts w:ascii="Arial" w:hAnsi="Arial"/>
          <w:sz w:val="21"/>
          <w:szCs w:val="21"/>
        </w:rPr>
      </w:pPr>
      <w:r w:rsidRPr="0058792D">
        <w:rPr>
          <w:rFonts w:ascii="Arial" w:hAnsi="Arial"/>
          <w:sz w:val="21"/>
          <w:szCs w:val="21"/>
        </w:rPr>
        <w:t xml:space="preserve">Dicha Sentencia fue publicada por la Editorial </w:t>
      </w:r>
      <w:hyperlink r:id="rId344" w:history="1">
        <w:r w:rsidRPr="0058792D">
          <w:rPr>
            <w:rStyle w:val="Hipervnculo"/>
            <w:rFonts w:ascii="Arial" w:hAnsi="Arial"/>
            <w:sz w:val="21"/>
            <w:szCs w:val="21"/>
          </w:rPr>
          <w:t>Wolters Kluwer</w:t>
        </w:r>
      </w:hyperlink>
      <w:r w:rsidRPr="0058792D">
        <w:rPr>
          <w:rFonts w:ascii="Arial" w:hAnsi="Arial"/>
          <w:sz w:val="21"/>
          <w:szCs w:val="21"/>
        </w:rPr>
        <w:t xml:space="preserve"> y en la página web de la Fundación </w:t>
      </w:r>
      <w:hyperlink r:id="rId345" w:history="1">
        <w:r w:rsidRPr="0058792D">
          <w:rPr>
            <w:rStyle w:val="Hipervnculo"/>
            <w:rFonts w:ascii="Arial" w:hAnsi="Arial"/>
            <w:sz w:val="21"/>
            <w:szCs w:val="21"/>
          </w:rPr>
          <w:t>Hay Derecho</w:t>
        </w:r>
      </w:hyperlink>
      <w:r w:rsidRPr="0058792D">
        <w:rPr>
          <w:rFonts w:ascii="Arial" w:hAnsi="Arial"/>
          <w:sz w:val="21"/>
          <w:szCs w:val="21"/>
        </w:rPr>
        <w:t xml:space="preserve">, junto con el comentario a la misma realizado de un letrado de esta Agencia. </w:t>
      </w:r>
    </w:p>
    <w:p w14:paraId="691B905B" w14:textId="77777777" w:rsidR="0058792D" w:rsidRPr="0058792D" w:rsidRDefault="0058792D" w:rsidP="00CF32E4">
      <w:pPr>
        <w:spacing w:after="120" w:line="276" w:lineRule="auto"/>
        <w:ind w:left="709"/>
        <w:jc w:val="both"/>
        <w:rPr>
          <w:rFonts w:ascii="Arial" w:hAnsi="Arial"/>
          <w:b/>
          <w:bCs/>
          <w:sz w:val="21"/>
          <w:szCs w:val="21"/>
        </w:rPr>
      </w:pPr>
      <w:r w:rsidRPr="0058792D">
        <w:rPr>
          <w:rFonts w:ascii="Arial" w:hAnsi="Arial"/>
          <w:sz w:val="21"/>
          <w:szCs w:val="21"/>
        </w:rPr>
        <w:t xml:space="preserve">Asimismo, esta Sentencia también ha sido mencionada en el </w:t>
      </w:r>
      <w:hyperlink r:id="rId346" w:history="1">
        <w:r w:rsidRPr="0058792D">
          <w:rPr>
            <w:rStyle w:val="Hipervnculo"/>
            <w:rFonts w:ascii="Arial" w:hAnsi="Arial"/>
            <w:sz w:val="21"/>
            <w:szCs w:val="21"/>
          </w:rPr>
          <w:t>Informe del 13 de octubre de 2021 de la Sala Segunda del Tribunal Supremo, Recurso núm. 10575/2018, Expediente de Indulto núm. 10/2021</w:t>
        </w:r>
      </w:hyperlink>
      <w:r w:rsidRPr="0058792D">
        <w:rPr>
          <w:rFonts w:ascii="Arial" w:hAnsi="Arial"/>
          <w:b/>
          <w:bCs/>
          <w:sz w:val="21"/>
          <w:szCs w:val="21"/>
        </w:rPr>
        <w:t xml:space="preserve">. </w:t>
      </w:r>
    </w:p>
    <w:p w14:paraId="333B78F1" w14:textId="5A8D9C91" w:rsidR="0058792D" w:rsidRPr="0058792D" w:rsidRDefault="0058792D" w:rsidP="00CF32E4">
      <w:pPr>
        <w:spacing w:after="120" w:line="276" w:lineRule="auto"/>
        <w:ind w:left="709"/>
        <w:jc w:val="both"/>
        <w:rPr>
          <w:rFonts w:ascii="Arial" w:hAnsi="Arial"/>
          <w:sz w:val="21"/>
          <w:szCs w:val="21"/>
        </w:rPr>
      </w:pPr>
      <w:r w:rsidRPr="0058792D">
        <w:rPr>
          <w:rFonts w:ascii="Arial" w:hAnsi="Arial"/>
          <w:sz w:val="21"/>
          <w:szCs w:val="21"/>
        </w:rPr>
        <w:t xml:space="preserve">Este informe destaca las carencias de nuestro ordenamiento jurídico penal, al tiempo que se repasa el artículo 62 de la Ley 39/2015, los artículos 174 y ss. del AP LECrim, además de apuntar las críticas </w:t>
      </w:r>
      <w:r w:rsidR="00B12F68">
        <w:rPr>
          <w:rFonts w:ascii="Arial" w:hAnsi="Arial"/>
          <w:sz w:val="21"/>
          <w:szCs w:val="21"/>
        </w:rPr>
        <w:t xml:space="preserve">que </w:t>
      </w:r>
      <w:r w:rsidRPr="0058792D">
        <w:rPr>
          <w:rFonts w:ascii="Arial" w:hAnsi="Arial"/>
          <w:sz w:val="21"/>
          <w:szCs w:val="21"/>
        </w:rPr>
        <w:t>España viene recibiendo por parte de organismos internacionales y supranacionales debido a la falta de un sistema de protección de los denunciantes. Añade el informe que es necesario recordar los preceptos clave de la Convención de Naciones Unidas contra la Corrupción, el informe de la Comisión Europea de 2014 y la Directiva 2019/1937, que est</w:t>
      </w:r>
      <w:r w:rsidR="00B12F68">
        <w:rPr>
          <w:rFonts w:ascii="Arial" w:hAnsi="Arial"/>
          <w:sz w:val="21"/>
          <w:szCs w:val="21"/>
        </w:rPr>
        <w:t>á</w:t>
      </w:r>
      <w:r w:rsidRPr="0058792D">
        <w:rPr>
          <w:rFonts w:ascii="Arial" w:hAnsi="Arial"/>
          <w:sz w:val="21"/>
          <w:szCs w:val="21"/>
        </w:rPr>
        <w:t xml:space="preserve"> siendo aplicada por órganos jurisdiccionales, mencionando expresamente la Sentencia del Juzgado de lo Contencioso-administrativo núm. 1 de Elche de 14 de diciembre de 2020, dictada en relación con el acoso sufrido por este denunciante protegido.</w:t>
      </w:r>
    </w:p>
    <w:p w14:paraId="6899AF5A" w14:textId="77777777" w:rsidR="0058792D" w:rsidRPr="0058792D" w:rsidRDefault="0058792D" w:rsidP="00CF32E4">
      <w:pPr>
        <w:spacing w:after="120" w:line="276" w:lineRule="auto"/>
        <w:ind w:left="709"/>
        <w:jc w:val="both"/>
        <w:rPr>
          <w:rFonts w:ascii="Arial" w:hAnsi="Arial"/>
          <w:sz w:val="21"/>
          <w:szCs w:val="21"/>
        </w:rPr>
      </w:pPr>
      <w:r w:rsidRPr="0058792D">
        <w:rPr>
          <w:rFonts w:ascii="Arial" w:hAnsi="Arial"/>
          <w:sz w:val="21"/>
          <w:szCs w:val="21"/>
        </w:rPr>
        <w:t>A continuación, se expone un extracto del citado informe del Ministerio Fiscal, que hace suyo la Sala Segunda del Tribunal Supremo:</w:t>
      </w:r>
    </w:p>
    <w:p w14:paraId="0992620D" w14:textId="77777777" w:rsidR="0058792D" w:rsidRPr="0058792D" w:rsidRDefault="0058792D" w:rsidP="00CF32E4">
      <w:pPr>
        <w:spacing w:after="120" w:line="276" w:lineRule="auto"/>
        <w:ind w:left="1418"/>
        <w:jc w:val="both"/>
        <w:rPr>
          <w:rFonts w:ascii="Arial" w:hAnsi="Arial"/>
          <w:sz w:val="20"/>
          <w:szCs w:val="20"/>
        </w:rPr>
      </w:pPr>
      <w:r w:rsidRPr="0058792D">
        <w:rPr>
          <w:rFonts w:ascii="Arial" w:hAnsi="Arial"/>
          <w:sz w:val="20"/>
          <w:szCs w:val="20"/>
        </w:rPr>
        <w:t>“La UE es plenamente consciente de la necesidad de protección del “whistleblower”, de aquellos que decidieron denunciar corriendo enormes riesgos En España son frecuentes casos de denuncias, como este caso de José Luis Peñas o el de los ERE en Andalucía que emergió gracias a una denuncia de un empleado de la Agencia IDEA que fue despedido como represalia por esa revelación de información y cuyo despido fue declarado nulo por la Sala de lo Social del Tribunal Superior de Justicia de Andalucía, con la obligación de readmisión y de abono de indemnización por vulneración de su derecho fundamental (libertad de expresión —artículo 20.1.a de la Constitución Española (“CE”) y de su derecho a la tutela judicial efectiva en la vertiente de la lesión de garantía de indemnidad — artículo 24 CE—).</w:t>
      </w:r>
    </w:p>
    <w:p w14:paraId="4FC83974" w14:textId="77777777" w:rsidR="0058792D" w:rsidRPr="0058792D" w:rsidRDefault="0058792D" w:rsidP="00CF32E4">
      <w:pPr>
        <w:spacing w:after="120" w:line="276" w:lineRule="auto"/>
        <w:ind w:left="1418"/>
        <w:jc w:val="both"/>
        <w:rPr>
          <w:rFonts w:ascii="Arial" w:hAnsi="Arial"/>
          <w:sz w:val="20"/>
          <w:szCs w:val="20"/>
        </w:rPr>
      </w:pPr>
      <w:r w:rsidRPr="0058792D">
        <w:rPr>
          <w:rFonts w:ascii="Arial" w:hAnsi="Arial"/>
          <w:sz w:val="20"/>
          <w:szCs w:val="20"/>
        </w:rPr>
        <w:t>Ante dicha situación el pasado 26 de noviembre de 2019 se publicó la Directiva (UE) 2019/1937, de 23 de octubre de 2019, relativa a la protección de las personas que informen sobre infracciones del Derecho de la Unión, también conocida como “Directiva whistleblowing”.</w:t>
      </w:r>
    </w:p>
    <w:p w14:paraId="4F5101D7" w14:textId="77777777" w:rsidR="0058792D" w:rsidRPr="0058792D" w:rsidRDefault="0058792D" w:rsidP="00CF32E4">
      <w:pPr>
        <w:spacing w:after="120" w:line="276" w:lineRule="auto"/>
        <w:ind w:left="1418"/>
        <w:jc w:val="both"/>
        <w:rPr>
          <w:rFonts w:ascii="Arial" w:hAnsi="Arial"/>
          <w:sz w:val="20"/>
          <w:szCs w:val="20"/>
        </w:rPr>
      </w:pPr>
      <w:r w:rsidRPr="0058792D">
        <w:rPr>
          <w:rFonts w:ascii="Arial" w:hAnsi="Arial"/>
          <w:sz w:val="20"/>
          <w:szCs w:val="20"/>
        </w:rPr>
        <w:t>La nueva Directiva pretende garantizar que los denunciantes puedan denunciar a las autoridades públicas, de cualquier infracción de la normativa europea que se produzca en el seno de una organización paliando la escasa, protección de los denunciantes de infracciones entre los Estados miembros y contempla una serie de medidas de protección frente a las represalias tomadas contra los informadores. Entre las áreas que cubre la nueva Directiva, destacan la contratación pública, blanqueo de capitales, salud pública, seguridad del transporte, protección del medio ambiente o competencia.</w:t>
      </w:r>
    </w:p>
    <w:p w14:paraId="71C061C1" w14:textId="77777777" w:rsidR="0058792D" w:rsidRPr="0058792D" w:rsidRDefault="0058792D" w:rsidP="00CF32E4">
      <w:pPr>
        <w:spacing w:after="120" w:line="276" w:lineRule="auto"/>
        <w:ind w:left="1418"/>
        <w:jc w:val="both"/>
        <w:rPr>
          <w:rFonts w:ascii="Arial" w:hAnsi="Arial"/>
          <w:sz w:val="20"/>
          <w:szCs w:val="20"/>
        </w:rPr>
      </w:pPr>
      <w:r w:rsidRPr="0058792D">
        <w:rPr>
          <w:rFonts w:ascii="Arial" w:hAnsi="Arial"/>
          <w:sz w:val="20"/>
          <w:szCs w:val="20"/>
        </w:rPr>
        <w:t>La comisaria europea de Justicia, ..., señaló al presentar la Directiva que “[...] la nueva regulación sobre whistleblowers va a suponer un cambio en las reglas del juego, necesitamos apoyar a la gente que está dispuesta a tomar riesgos para destapar violaciones serias del Derecho de la Unión. Se lo debemos a la gente honesta de Europa, los whistleblowers necesitan protección ante la degradación, la posibilidad de afrontar procedimientos judiciales, perder sus trabajos y su estabilidad económica, así como para defender el mantenimiento de su buen nombre y reputación. El 81 % de los consultados en el Eurobarómetro especial sobre corrupción contestaron que no denunciarían actos de corrupción a los que hubieran tenido acceso. El motivo: el miedo a las consecuencias de esas denuncias”.</w:t>
      </w:r>
    </w:p>
    <w:p w14:paraId="7C732258" w14:textId="77777777" w:rsidR="0058792D" w:rsidRPr="0058792D" w:rsidRDefault="0058792D" w:rsidP="00CF32E4">
      <w:pPr>
        <w:spacing w:after="120" w:line="276" w:lineRule="auto"/>
        <w:ind w:left="1418"/>
        <w:jc w:val="both"/>
        <w:rPr>
          <w:rFonts w:ascii="Arial" w:hAnsi="Arial"/>
          <w:sz w:val="20"/>
          <w:szCs w:val="20"/>
        </w:rPr>
      </w:pPr>
      <w:r w:rsidRPr="0058792D">
        <w:rPr>
          <w:rFonts w:ascii="Arial" w:hAnsi="Arial"/>
          <w:sz w:val="20"/>
          <w:szCs w:val="20"/>
        </w:rPr>
        <w:t>No obstante, el sistema de sanciones en caso de incumplimiento de las medidas de protección no viene contemplado en la Directiva, sino que se delega a la legislación interna de los Estados miembros, bajo la premisa de que dichas sanciones sean efectivas, proporcionadas y disuasorias.</w:t>
      </w:r>
    </w:p>
    <w:p w14:paraId="67F98646" w14:textId="77777777" w:rsidR="0058792D" w:rsidRPr="0058792D" w:rsidRDefault="0058792D" w:rsidP="00CF32E4">
      <w:pPr>
        <w:spacing w:after="120" w:line="276" w:lineRule="auto"/>
        <w:ind w:left="1418"/>
        <w:jc w:val="both"/>
        <w:rPr>
          <w:rFonts w:ascii="Arial" w:hAnsi="Arial"/>
          <w:sz w:val="20"/>
          <w:szCs w:val="20"/>
        </w:rPr>
      </w:pPr>
      <w:r w:rsidRPr="0058792D">
        <w:rPr>
          <w:rFonts w:ascii="Arial" w:hAnsi="Arial"/>
          <w:sz w:val="20"/>
          <w:szCs w:val="20"/>
        </w:rPr>
        <w:t>Las disposiciones de la Directiva deberán ser implantadas por los Estados miembros con fecha 17 de diciembre de 2021, con excepción de los canales de denuncia interna de las entidades privadas que tengan entre 50 y 249 trabajadores, que contarán con 2 años más de plazo.</w:t>
      </w:r>
    </w:p>
    <w:p w14:paraId="6AA11274" w14:textId="77777777" w:rsidR="0058792D" w:rsidRPr="0058792D" w:rsidRDefault="0058792D" w:rsidP="00CF32E4">
      <w:pPr>
        <w:spacing w:after="120" w:line="276" w:lineRule="auto"/>
        <w:ind w:left="1418"/>
        <w:jc w:val="both"/>
        <w:rPr>
          <w:rFonts w:ascii="Arial" w:hAnsi="Arial"/>
          <w:sz w:val="20"/>
          <w:szCs w:val="20"/>
        </w:rPr>
      </w:pPr>
      <w:r w:rsidRPr="0058792D">
        <w:rPr>
          <w:rFonts w:ascii="Arial" w:hAnsi="Arial"/>
          <w:sz w:val="20"/>
          <w:szCs w:val="20"/>
        </w:rPr>
        <w:t>El 17 de junio de 2020 un grupo de trabajo de la Sección de Derecho Público de la Comisión General de Codificación comenzó a de preparar la propuesta de texto articulado. España tiene hasta el 17 de diciembre de 2021 para trasponerlo a nuestra legislación.</w:t>
      </w:r>
    </w:p>
    <w:p w14:paraId="404DE2FA" w14:textId="77777777" w:rsidR="0058792D" w:rsidRPr="0058792D" w:rsidRDefault="0058792D" w:rsidP="00CF32E4">
      <w:pPr>
        <w:spacing w:after="120" w:line="276" w:lineRule="auto"/>
        <w:ind w:left="1418"/>
        <w:jc w:val="both"/>
        <w:rPr>
          <w:rFonts w:ascii="Arial" w:hAnsi="Arial"/>
          <w:sz w:val="20"/>
          <w:szCs w:val="20"/>
        </w:rPr>
      </w:pPr>
      <w:r w:rsidRPr="0058792D">
        <w:rPr>
          <w:rFonts w:ascii="Arial" w:hAnsi="Arial"/>
          <w:b/>
          <w:bCs/>
          <w:sz w:val="20"/>
          <w:szCs w:val="20"/>
        </w:rPr>
        <w:t>La Directiva ya está siendo aplicada por los órganos jurisdiccionales (Juzgado de lo Contencioso -Administrativo de Elche en sentencia 14.12.2020</w:t>
      </w:r>
      <w:r w:rsidRPr="0058792D">
        <w:rPr>
          <w:rFonts w:ascii="Arial" w:hAnsi="Arial"/>
          <w:sz w:val="20"/>
          <w:szCs w:val="20"/>
        </w:rPr>
        <w:t xml:space="preserve"> y la Sala la Sala Penal del Tribunal Supremo en sentencia 35/2020, de 6 de febrero. de lo Contenciosos-Administrativo 3ª del Tribunal Supremo y su falta de aplicación dio lugar a una denuncia contra la Fiscalía Anticorrupción por la Asociación contra la Corrupción y Defensa de la Acción Pública (ACODAP) (…).”</w:t>
      </w:r>
    </w:p>
    <w:p w14:paraId="0FC661A3" w14:textId="77777777" w:rsidR="0058792D" w:rsidRPr="0058792D" w:rsidRDefault="0058792D" w:rsidP="00CF32E4">
      <w:pPr>
        <w:spacing w:after="120" w:line="276" w:lineRule="auto"/>
        <w:ind w:left="709"/>
        <w:jc w:val="both"/>
        <w:rPr>
          <w:rFonts w:ascii="Arial" w:hAnsi="Arial"/>
          <w:sz w:val="21"/>
          <w:szCs w:val="21"/>
        </w:rPr>
      </w:pPr>
      <w:r w:rsidRPr="0058792D">
        <w:rPr>
          <w:rFonts w:ascii="Arial" w:hAnsi="Arial"/>
          <w:sz w:val="21"/>
          <w:szCs w:val="21"/>
        </w:rPr>
        <w:t>En 2021, no constan nuevas represalias distintas de las secuelas que el denunciante arrastra consecuencia de las presiones recibidas tras la denuncia de irregularidades. La persona denunciante tras todos estos sucesos ha cesado en la prestación de servicios puesto que ha sido declarada en situación de incapacidad permanente para la profesión habitual.</w:t>
      </w:r>
    </w:p>
    <w:p w14:paraId="3480816B" w14:textId="77777777" w:rsidR="0058792D" w:rsidRPr="0058792D" w:rsidRDefault="0058792D" w:rsidP="00CF32E4">
      <w:pPr>
        <w:spacing w:after="120" w:line="276" w:lineRule="auto"/>
        <w:ind w:left="709"/>
        <w:jc w:val="both"/>
        <w:rPr>
          <w:rFonts w:ascii="Arial" w:hAnsi="Arial"/>
          <w:sz w:val="21"/>
          <w:szCs w:val="21"/>
        </w:rPr>
      </w:pPr>
      <w:r w:rsidRPr="0058792D">
        <w:rPr>
          <w:rFonts w:ascii="Arial" w:hAnsi="Arial"/>
          <w:b/>
          <w:bCs/>
          <w:sz w:val="21"/>
          <w:szCs w:val="21"/>
        </w:rPr>
        <w:t>Actuaciones de la Agencia:</w:t>
      </w:r>
      <w:r w:rsidRPr="0058792D">
        <w:rPr>
          <w:rFonts w:ascii="Arial" w:hAnsi="Arial"/>
          <w:sz w:val="21"/>
          <w:szCs w:val="21"/>
        </w:rPr>
        <w:t xml:space="preserve"> </w:t>
      </w:r>
    </w:p>
    <w:p w14:paraId="40F1B72B" w14:textId="77777777" w:rsidR="0058792D" w:rsidRPr="0058792D" w:rsidRDefault="0058792D" w:rsidP="00FA0724">
      <w:pPr>
        <w:spacing w:after="240" w:line="276" w:lineRule="auto"/>
        <w:ind w:left="709"/>
        <w:jc w:val="both"/>
        <w:rPr>
          <w:rFonts w:ascii="Arial" w:hAnsi="Arial"/>
          <w:sz w:val="21"/>
          <w:szCs w:val="21"/>
        </w:rPr>
      </w:pPr>
      <w:r w:rsidRPr="0058792D">
        <w:rPr>
          <w:rFonts w:ascii="Arial" w:hAnsi="Arial"/>
          <w:sz w:val="21"/>
          <w:szCs w:val="21"/>
        </w:rPr>
        <w:t>La protección por la Agencia de la persona denunciante, que es personal funcionario de la administración local, ha consistido en el seguimiento de su situación y asesoramiento jurídico.</w:t>
      </w:r>
    </w:p>
    <w:p w14:paraId="5756A268" w14:textId="77777777" w:rsidR="00637DEE" w:rsidRPr="00637DEE" w:rsidRDefault="00637DEE" w:rsidP="00584F69">
      <w:pPr>
        <w:spacing w:after="120" w:line="276" w:lineRule="auto"/>
        <w:jc w:val="both"/>
        <w:rPr>
          <w:rFonts w:ascii="Arial" w:hAnsi="Arial"/>
          <w:b/>
          <w:bCs/>
          <w:color w:val="9D2235" w:themeColor="accent1"/>
          <w:sz w:val="21"/>
          <w:szCs w:val="21"/>
        </w:rPr>
      </w:pPr>
      <w:r w:rsidRPr="00637DEE">
        <w:rPr>
          <w:rFonts w:ascii="Arial" w:hAnsi="Arial"/>
          <w:b/>
          <w:bCs/>
          <w:color w:val="9D2235" w:themeColor="accent1"/>
          <w:sz w:val="21"/>
          <w:szCs w:val="21"/>
        </w:rPr>
        <w:t xml:space="preserve">CASO 10 </w:t>
      </w:r>
    </w:p>
    <w:p w14:paraId="12D472F9" w14:textId="77777777" w:rsidR="00637DEE" w:rsidRPr="00637DEE" w:rsidRDefault="00637DEE" w:rsidP="00637DEE">
      <w:pPr>
        <w:spacing w:after="120" w:line="276" w:lineRule="auto"/>
        <w:ind w:left="709"/>
        <w:jc w:val="both"/>
        <w:rPr>
          <w:rFonts w:ascii="Arial" w:hAnsi="Arial"/>
          <w:b/>
          <w:bCs/>
          <w:sz w:val="21"/>
          <w:szCs w:val="21"/>
        </w:rPr>
      </w:pPr>
      <w:r w:rsidRPr="00637DEE">
        <w:rPr>
          <w:rFonts w:ascii="Arial" w:hAnsi="Arial"/>
          <w:b/>
          <w:bCs/>
          <w:sz w:val="21"/>
          <w:szCs w:val="21"/>
        </w:rPr>
        <w:t>Estado de la denuncia:</w:t>
      </w:r>
    </w:p>
    <w:p w14:paraId="7B4B70ED" w14:textId="77777777" w:rsidR="00637DEE" w:rsidRPr="00637DEE" w:rsidRDefault="00637DEE" w:rsidP="00637DEE">
      <w:pPr>
        <w:spacing w:after="120" w:line="276" w:lineRule="auto"/>
        <w:ind w:left="709"/>
        <w:jc w:val="both"/>
        <w:rPr>
          <w:rFonts w:ascii="Arial" w:hAnsi="Arial"/>
          <w:sz w:val="21"/>
          <w:szCs w:val="21"/>
        </w:rPr>
      </w:pPr>
      <w:r w:rsidRPr="00637DEE">
        <w:rPr>
          <w:rFonts w:ascii="Arial" w:hAnsi="Arial"/>
          <w:sz w:val="21"/>
          <w:szCs w:val="21"/>
        </w:rPr>
        <w:t xml:space="preserve">En este asunto la persona protegida ha interpuesto diferentes denuncias relativas a irregularidades en procesos selectivos de Oficiales de Policía Local. </w:t>
      </w:r>
    </w:p>
    <w:p w14:paraId="3F88DC4E" w14:textId="77777777" w:rsidR="00637DEE" w:rsidRPr="00637DEE" w:rsidRDefault="00637DEE" w:rsidP="00637DEE">
      <w:pPr>
        <w:spacing w:after="120" w:line="276" w:lineRule="auto"/>
        <w:ind w:left="709"/>
        <w:jc w:val="both"/>
        <w:rPr>
          <w:rFonts w:ascii="Arial" w:hAnsi="Arial"/>
          <w:sz w:val="21"/>
          <w:szCs w:val="21"/>
        </w:rPr>
      </w:pPr>
      <w:r w:rsidRPr="00637DEE">
        <w:rPr>
          <w:rFonts w:ascii="Arial" w:hAnsi="Arial"/>
          <w:sz w:val="21"/>
          <w:szCs w:val="21"/>
        </w:rPr>
        <w:t xml:space="preserve">Como consecuencia de estas denuncias se incoaron dos procedimientos penales. </w:t>
      </w:r>
    </w:p>
    <w:p w14:paraId="2532B25D" w14:textId="77777777" w:rsidR="00637DEE" w:rsidRPr="00637DEE" w:rsidRDefault="00637DEE" w:rsidP="00637DEE">
      <w:pPr>
        <w:spacing w:after="120" w:line="276" w:lineRule="auto"/>
        <w:ind w:left="709"/>
        <w:jc w:val="both"/>
        <w:rPr>
          <w:rFonts w:ascii="Arial" w:hAnsi="Arial"/>
          <w:sz w:val="21"/>
          <w:szCs w:val="21"/>
        </w:rPr>
      </w:pPr>
      <w:r w:rsidRPr="00637DEE">
        <w:rPr>
          <w:rFonts w:ascii="Arial" w:hAnsi="Arial"/>
          <w:sz w:val="21"/>
          <w:szCs w:val="21"/>
        </w:rPr>
        <w:t>En uno de ellos, ha recaído Auto de sobreseimiento provisional de la causa. En este Auto el juzgador evidencia la existencia de una irregularidad administrativa en el proceso de selección consistente en “en ampliar la lista de aspirantes que habrían de pasar a la siguiente fase, sin motivación alguna”, si bien entiende que no se acreditan los elementos del tipo necesarios para constituir delito. No obstante, dicho Auto de sobreseimiento provisional ha sido recurrido y está pendiente de resolución</w:t>
      </w:r>
    </w:p>
    <w:p w14:paraId="592DB501" w14:textId="77777777" w:rsidR="00637DEE" w:rsidRPr="00637DEE" w:rsidRDefault="00637DEE" w:rsidP="00637DEE">
      <w:pPr>
        <w:spacing w:after="120" w:line="276" w:lineRule="auto"/>
        <w:ind w:left="709"/>
        <w:jc w:val="both"/>
        <w:rPr>
          <w:rFonts w:ascii="Arial" w:hAnsi="Arial"/>
          <w:sz w:val="21"/>
          <w:szCs w:val="21"/>
        </w:rPr>
      </w:pPr>
      <w:r w:rsidRPr="00637DEE">
        <w:rPr>
          <w:rFonts w:ascii="Arial" w:hAnsi="Arial"/>
          <w:sz w:val="21"/>
          <w:szCs w:val="21"/>
        </w:rPr>
        <w:t>Estas irregularidades, a la que hace referencia el citado Auto de sobreseimiento en sede penal, fueron depuradas en vía contencioso-administrativa, habiéndose dictado Sentencia 389/2019, de 16 de mayo de 2019, de la Sala de lo Contencioso del Tribunal Superior de Justicia de la Comunitat Valenciana, que declaraba la nulidad de este proceso de selección, la cual es firme.</w:t>
      </w:r>
    </w:p>
    <w:p w14:paraId="2A397623" w14:textId="77777777" w:rsidR="00637DEE" w:rsidRPr="00637DEE" w:rsidRDefault="00637DEE" w:rsidP="00637DEE">
      <w:pPr>
        <w:spacing w:after="120" w:line="276" w:lineRule="auto"/>
        <w:ind w:left="709"/>
        <w:jc w:val="both"/>
        <w:rPr>
          <w:rFonts w:ascii="Arial" w:hAnsi="Arial"/>
          <w:sz w:val="21"/>
          <w:szCs w:val="21"/>
        </w:rPr>
      </w:pPr>
      <w:r w:rsidRPr="00637DEE">
        <w:rPr>
          <w:rFonts w:ascii="Arial" w:hAnsi="Arial"/>
          <w:sz w:val="21"/>
          <w:szCs w:val="21"/>
        </w:rPr>
        <w:t xml:space="preserve">El otro procedimiento penal, que se abrió a su instancia y relativo a un proceso selectivo de Oficiales de Policía Local, se encuentra en tramitación. </w:t>
      </w:r>
    </w:p>
    <w:p w14:paraId="39E2E0E7" w14:textId="77777777" w:rsidR="00637DEE" w:rsidRPr="00637DEE" w:rsidRDefault="00637DEE" w:rsidP="00637DEE">
      <w:pPr>
        <w:spacing w:after="120" w:line="276" w:lineRule="auto"/>
        <w:ind w:left="709"/>
        <w:jc w:val="both"/>
        <w:rPr>
          <w:rFonts w:ascii="Arial" w:hAnsi="Arial"/>
          <w:b/>
          <w:bCs/>
          <w:sz w:val="21"/>
          <w:szCs w:val="21"/>
        </w:rPr>
      </w:pPr>
      <w:r w:rsidRPr="00637DEE">
        <w:rPr>
          <w:rFonts w:ascii="Arial" w:hAnsi="Arial"/>
          <w:b/>
          <w:bCs/>
          <w:sz w:val="21"/>
          <w:szCs w:val="21"/>
        </w:rPr>
        <w:t xml:space="preserve">Represalia (o no represalias, en su caso): </w:t>
      </w:r>
    </w:p>
    <w:p w14:paraId="4FDAC792" w14:textId="77777777" w:rsidR="00637DEE" w:rsidRPr="00637DEE" w:rsidRDefault="00637DEE" w:rsidP="00637DEE">
      <w:pPr>
        <w:spacing w:after="120" w:line="276" w:lineRule="auto"/>
        <w:ind w:left="709"/>
        <w:jc w:val="both"/>
        <w:rPr>
          <w:rFonts w:ascii="Arial" w:hAnsi="Arial"/>
          <w:sz w:val="21"/>
          <w:szCs w:val="21"/>
        </w:rPr>
      </w:pPr>
      <w:r w:rsidRPr="00637DEE">
        <w:rPr>
          <w:rFonts w:ascii="Arial" w:hAnsi="Arial"/>
          <w:sz w:val="21"/>
          <w:szCs w:val="21"/>
        </w:rPr>
        <w:t xml:space="preserve">Esta persona protegida ha sufrido presiones y represalias sutiles por parte de sus mandos superiores. </w:t>
      </w:r>
    </w:p>
    <w:p w14:paraId="5246D5CF" w14:textId="77777777" w:rsidR="00637DEE" w:rsidRPr="00637DEE" w:rsidRDefault="00637DEE" w:rsidP="00637DEE">
      <w:pPr>
        <w:spacing w:after="120" w:line="276" w:lineRule="auto"/>
        <w:ind w:left="709"/>
        <w:jc w:val="both"/>
        <w:rPr>
          <w:rFonts w:ascii="Arial" w:hAnsi="Arial"/>
          <w:b/>
          <w:bCs/>
          <w:sz w:val="21"/>
          <w:szCs w:val="21"/>
        </w:rPr>
      </w:pPr>
      <w:r w:rsidRPr="00637DEE">
        <w:rPr>
          <w:rFonts w:ascii="Arial" w:hAnsi="Arial"/>
          <w:b/>
          <w:bCs/>
          <w:sz w:val="21"/>
          <w:szCs w:val="21"/>
        </w:rPr>
        <w:t>Actuaciones de la AVAF:</w:t>
      </w:r>
    </w:p>
    <w:p w14:paraId="02855699" w14:textId="77777777" w:rsidR="00637DEE" w:rsidRPr="00637DEE" w:rsidRDefault="00637DEE" w:rsidP="00637DEE">
      <w:pPr>
        <w:spacing w:after="240" w:line="276" w:lineRule="auto"/>
        <w:ind w:left="709"/>
        <w:jc w:val="both"/>
        <w:rPr>
          <w:rFonts w:ascii="Arial" w:hAnsi="Arial"/>
          <w:sz w:val="21"/>
          <w:szCs w:val="21"/>
        </w:rPr>
      </w:pPr>
      <w:r w:rsidRPr="00637DEE">
        <w:rPr>
          <w:rFonts w:ascii="Arial" w:hAnsi="Arial"/>
          <w:sz w:val="21"/>
          <w:szCs w:val="21"/>
        </w:rPr>
        <w:t>La Agencia sigue pendiente de su situación en aras a prevenir posibles lesiones a sus derechos como consecuencia de las denuncias realizadas. La Agencia le presta asesoramiento legal.</w:t>
      </w:r>
    </w:p>
    <w:p w14:paraId="2220893E" w14:textId="43AAC0E0" w:rsidR="00637DEE" w:rsidRPr="00637DEE" w:rsidRDefault="00637DEE" w:rsidP="00584F69">
      <w:pPr>
        <w:spacing w:after="120" w:line="276" w:lineRule="auto"/>
        <w:jc w:val="both"/>
        <w:rPr>
          <w:rFonts w:ascii="Arial" w:hAnsi="Arial"/>
          <w:b/>
          <w:bCs/>
          <w:color w:val="9D2235" w:themeColor="accent1"/>
          <w:sz w:val="21"/>
          <w:szCs w:val="21"/>
        </w:rPr>
      </w:pPr>
      <w:r w:rsidRPr="00637DEE">
        <w:rPr>
          <w:rFonts w:ascii="Arial" w:hAnsi="Arial"/>
          <w:b/>
          <w:bCs/>
          <w:color w:val="9D2235" w:themeColor="accent1"/>
          <w:sz w:val="21"/>
          <w:szCs w:val="21"/>
        </w:rPr>
        <w:t xml:space="preserve">CASO 11 </w:t>
      </w:r>
    </w:p>
    <w:p w14:paraId="417F39DB" w14:textId="77777777" w:rsidR="00637DEE" w:rsidRPr="00637DEE" w:rsidRDefault="00637DEE" w:rsidP="00637DEE">
      <w:pPr>
        <w:spacing w:after="120" w:line="276" w:lineRule="auto"/>
        <w:ind w:left="709"/>
        <w:jc w:val="both"/>
        <w:rPr>
          <w:rFonts w:ascii="Arial" w:hAnsi="Arial"/>
          <w:b/>
          <w:bCs/>
          <w:sz w:val="21"/>
          <w:szCs w:val="21"/>
        </w:rPr>
      </w:pPr>
      <w:r w:rsidRPr="00637DEE">
        <w:rPr>
          <w:rFonts w:ascii="Arial" w:hAnsi="Arial"/>
          <w:b/>
          <w:bCs/>
          <w:sz w:val="21"/>
          <w:szCs w:val="21"/>
        </w:rPr>
        <w:t>Estado de la denuncia:</w:t>
      </w:r>
    </w:p>
    <w:p w14:paraId="48DB644B" w14:textId="77777777" w:rsidR="00637DEE" w:rsidRPr="00637DEE" w:rsidRDefault="00637DEE" w:rsidP="00637DEE">
      <w:pPr>
        <w:spacing w:after="120" w:line="276" w:lineRule="auto"/>
        <w:ind w:left="709"/>
        <w:jc w:val="both"/>
        <w:rPr>
          <w:rFonts w:ascii="Arial" w:hAnsi="Arial"/>
          <w:sz w:val="21"/>
          <w:szCs w:val="21"/>
        </w:rPr>
      </w:pPr>
      <w:r w:rsidRPr="00637DEE">
        <w:rPr>
          <w:rFonts w:ascii="Arial" w:hAnsi="Arial"/>
          <w:sz w:val="21"/>
          <w:szCs w:val="21"/>
        </w:rPr>
        <w:t xml:space="preserve">La denuncia interpuesta por la persona protegida, que es agente de policía local, venía referida a irregularidades cometidas por otros compañeros y superiores jerárquicos en la tramitación de multas de tráfico, así como la falta de acreditación de que el dinero cobrado de las mismas en efectivo fuera ingresado en las arcas públicas. </w:t>
      </w:r>
    </w:p>
    <w:p w14:paraId="50A60D46" w14:textId="77777777" w:rsidR="00637DEE" w:rsidRPr="00637DEE" w:rsidRDefault="00637DEE" w:rsidP="00637DEE">
      <w:pPr>
        <w:spacing w:after="120" w:line="276" w:lineRule="auto"/>
        <w:ind w:left="709"/>
        <w:jc w:val="both"/>
        <w:rPr>
          <w:rFonts w:ascii="Arial" w:hAnsi="Arial"/>
          <w:sz w:val="21"/>
          <w:szCs w:val="21"/>
        </w:rPr>
      </w:pPr>
      <w:r w:rsidRPr="00637DEE">
        <w:rPr>
          <w:rFonts w:ascii="Arial" w:hAnsi="Arial"/>
          <w:sz w:val="21"/>
          <w:szCs w:val="21"/>
        </w:rPr>
        <w:t xml:space="preserve">Como consecuencia de esta denuncia, se incoaron Diligencias Previas que fueron concluidas, habiéndose aperturado juicio oral que será celebrado entre los meses de mayo y junio de 2022. El Ministerio Fiscal solicita para los cuatro acusados penas que van de cinco meses a cuatro años de prisión, multas e inhabilitación de hasta siete años, más el abono de las responsabilidades civiles. </w:t>
      </w:r>
    </w:p>
    <w:p w14:paraId="07A2CB2A" w14:textId="77777777" w:rsidR="00637DEE" w:rsidRPr="00637DEE" w:rsidRDefault="00637DEE" w:rsidP="00637DEE">
      <w:pPr>
        <w:spacing w:after="120" w:line="276" w:lineRule="auto"/>
        <w:ind w:left="709"/>
        <w:jc w:val="both"/>
        <w:rPr>
          <w:rFonts w:ascii="Arial" w:hAnsi="Arial"/>
          <w:sz w:val="21"/>
          <w:szCs w:val="21"/>
        </w:rPr>
      </w:pPr>
      <w:r w:rsidRPr="00637DEE">
        <w:rPr>
          <w:rFonts w:ascii="Arial" w:hAnsi="Arial"/>
          <w:sz w:val="21"/>
          <w:szCs w:val="21"/>
        </w:rPr>
        <w:t>La persona denunciante ha sido llamada a juicio oral como testigo cualificado y clave en la investigación.</w:t>
      </w:r>
    </w:p>
    <w:p w14:paraId="4EDDAFC6" w14:textId="77777777" w:rsidR="00637DEE" w:rsidRPr="00637DEE" w:rsidRDefault="00637DEE" w:rsidP="00637DEE">
      <w:pPr>
        <w:spacing w:after="120" w:line="276" w:lineRule="auto"/>
        <w:ind w:left="709"/>
        <w:jc w:val="both"/>
        <w:rPr>
          <w:rFonts w:ascii="Arial" w:hAnsi="Arial"/>
          <w:b/>
          <w:bCs/>
          <w:sz w:val="21"/>
          <w:szCs w:val="21"/>
        </w:rPr>
      </w:pPr>
      <w:r w:rsidRPr="00637DEE">
        <w:rPr>
          <w:rFonts w:ascii="Arial" w:hAnsi="Arial"/>
          <w:b/>
          <w:bCs/>
          <w:sz w:val="21"/>
          <w:szCs w:val="21"/>
        </w:rPr>
        <w:t>Represalia (o no represalias, en su caso):</w:t>
      </w:r>
    </w:p>
    <w:p w14:paraId="29AD2210" w14:textId="77777777" w:rsidR="00637DEE" w:rsidRPr="00637DEE" w:rsidRDefault="00637DEE" w:rsidP="00637DEE">
      <w:pPr>
        <w:spacing w:after="120" w:line="276" w:lineRule="auto"/>
        <w:ind w:left="709"/>
        <w:jc w:val="both"/>
        <w:rPr>
          <w:rFonts w:ascii="Arial" w:hAnsi="Arial"/>
          <w:sz w:val="21"/>
          <w:szCs w:val="21"/>
        </w:rPr>
      </w:pPr>
      <w:r w:rsidRPr="00637DEE">
        <w:rPr>
          <w:rFonts w:ascii="Arial" w:hAnsi="Arial"/>
          <w:sz w:val="21"/>
          <w:szCs w:val="21"/>
        </w:rPr>
        <w:t xml:space="preserve">Tras la denuncia realizada, esta persona denunciante fue sometida a un fuerte acoso laboral. Se vio obligado a permutar y cambiar su puesto de trabajo a otro Ayuntamiento hasta en dos ocasiones. </w:t>
      </w:r>
    </w:p>
    <w:p w14:paraId="181CBAFF" w14:textId="77777777" w:rsidR="00637DEE" w:rsidRPr="00637DEE" w:rsidRDefault="00637DEE" w:rsidP="00637DEE">
      <w:pPr>
        <w:spacing w:after="120" w:line="276" w:lineRule="auto"/>
        <w:ind w:left="709"/>
        <w:jc w:val="both"/>
        <w:rPr>
          <w:rFonts w:ascii="Arial" w:hAnsi="Arial"/>
          <w:sz w:val="21"/>
          <w:szCs w:val="21"/>
        </w:rPr>
      </w:pPr>
      <w:r w:rsidRPr="00637DEE">
        <w:rPr>
          <w:rFonts w:ascii="Arial" w:hAnsi="Arial"/>
          <w:sz w:val="21"/>
          <w:szCs w:val="21"/>
        </w:rPr>
        <w:t>Como consecuencia de dicho acoso, presentó recurso contencioso-administrativo, dictándose Sentencia núm. 851/18, 31 de julio de 2018 por el Juzgado de lo Contencioso Administrativo Núm. 1 de Elche, la cual declaró acreditado el acoso e impuso al Ayuntamiento una indemnización por los daños psíquicos y perjuicios morales causados durante años a este funcionario por importe de 95.816,22 euros más los intereses legales. No obstante, esta Sentencia ha sido revocada por la Sentencia núm. 14/21, de 11 de enero de 2021, de Sala de lo Contencioso-administrativo del Tribunal Superior de Justicia de la Comunitat Valenciana, la cual ha sido recurrida, estando en este momento pendiente de admisión en su caso del recurso de casación.</w:t>
      </w:r>
    </w:p>
    <w:p w14:paraId="74A7FC27" w14:textId="77777777" w:rsidR="00637DEE" w:rsidRPr="00637DEE" w:rsidRDefault="00637DEE" w:rsidP="00637DEE">
      <w:pPr>
        <w:spacing w:after="120" w:line="276" w:lineRule="auto"/>
        <w:ind w:left="709"/>
        <w:jc w:val="both"/>
        <w:rPr>
          <w:rFonts w:ascii="Arial" w:hAnsi="Arial"/>
          <w:b/>
          <w:bCs/>
          <w:sz w:val="21"/>
          <w:szCs w:val="21"/>
        </w:rPr>
      </w:pPr>
      <w:r w:rsidRPr="00637DEE">
        <w:rPr>
          <w:rFonts w:ascii="Arial" w:hAnsi="Arial"/>
          <w:b/>
          <w:bCs/>
          <w:sz w:val="21"/>
          <w:szCs w:val="21"/>
        </w:rPr>
        <w:t>Actuaciones de la AVAF:</w:t>
      </w:r>
    </w:p>
    <w:p w14:paraId="6B8161AC" w14:textId="77777777" w:rsidR="00637DEE" w:rsidRPr="00637DEE" w:rsidRDefault="00637DEE" w:rsidP="00637DEE">
      <w:pPr>
        <w:spacing w:after="120" w:line="276" w:lineRule="auto"/>
        <w:ind w:left="709"/>
        <w:jc w:val="both"/>
        <w:rPr>
          <w:rFonts w:ascii="Arial" w:hAnsi="Arial"/>
          <w:sz w:val="21"/>
          <w:szCs w:val="21"/>
        </w:rPr>
      </w:pPr>
      <w:r w:rsidRPr="00637DEE">
        <w:rPr>
          <w:rFonts w:ascii="Arial" w:hAnsi="Arial"/>
          <w:sz w:val="21"/>
          <w:szCs w:val="21"/>
        </w:rPr>
        <w:t>La AVAF ha realizado funciones de apoyo y especialmente de asesoramiento jurídico en relación con los procedimientos judiciales que afectan a su situación.</w:t>
      </w:r>
    </w:p>
    <w:p w14:paraId="01837A59" w14:textId="77777777" w:rsidR="00637DEE" w:rsidRPr="00637DEE" w:rsidRDefault="00637DEE" w:rsidP="00637DEE">
      <w:pPr>
        <w:spacing w:after="240" w:line="276" w:lineRule="auto"/>
        <w:ind w:left="709"/>
        <w:jc w:val="both"/>
        <w:rPr>
          <w:rFonts w:ascii="Arial" w:hAnsi="Arial"/>
          <w:sz w:val="21"/>
          <w:szCs w:val="21"/>
        </w:rPr>
      </w:pPr>
      <w:r w:rsidRPr="00637DEE">
        <w:rPr>
          <w:rFonts w:ascii="Arial" w:hAnsi="Arial"/>
          <w:sz w:val="21"/>
          <w:szCs w:val="21"/>
        </w:rPr>
        <w:t>Debe reseñarse que la reincorporación de la persona protegida a su puesto de trabajo en otra localidad, tras una baja laboral, ha supuesto una mejora de su estado personal y psicológico al desaparecer las tensiones que sufría en el Ayuntamiento de procedencia.</w:t>
      </w:r>
    </w:p>
    <w:p w14:paraId="0AC0805A" w14:textId="77777777" w:rsidR="00637DEE" w:rsidRPr="00637DEE" w:rsidRDefault="00637DEE" w:rsidP="00584F69">
      <w:pPr>
        <w:spacing w:after="120" w:line="276" w:lineRule="auto"/>
        <w:jc w:val="both"/>
        <w:rPr>
          <w:rFonts w:ascii="Arial" w:hAnsi="Arial"/>
          <w:b/>
          <w:bCs/>
          <w:color w:val="9D2235" w:themeColor="accent1"/>
          <w:sz w:val="21"/>
          <w:szCs w:val="21"/>
        </w:rPr>
      </w:pPr>
      <w:r w:rsidRPr="00637DEE">
        <w:rPr>
          <w:rFonts w:ascii="Arial" w:hAnsi="Arial"/>
          <w:b/>
          <w:bCs/>
          <w:color w:val="9D2235" w:themeColor="accent1"/>
          <w:sz w:val="21"/>
          <w:szCs w:val="21"/>
        </w:rPr>
        <w:t xml:space="preserve">CASOS 12 y 13 </w:t>
      </w:r>
    </w:p>
    <w:p w14:paraId="65D71F9A" w14:textId="77777777" w:rsidR="00637DEE" w:rsidRPr="00637DEE" w:rsidRDefault="00637DEE" w:rsidP="00584F69">
      <w:pPr>
        <w:spacing w:after="120" w:line="276" w:lineRule="auto"/>
        <w:ind w:left="709"/>
        <w:jc w:val="both"/>
        <w:rPr>
          <w:rFonts w:ascii="Arial" w:hAnsi="Arial"/>
          <w:sz w:val="21"/>
          <w:szCs w:val="21"/>
        </w:rPr>
      </w:pPr>
      <w:r w:rsidRPr="00637DEE">
        <w:rPr>
          <w:rFonts w:ascii="Arial" w:hAnsi="Arial"/>
          <w:b/>
          <w:bCs/>
          <w:sz w:val="21"/>
          <w:szCs w:val="21"/>
        </w:rPr>
        <w:t>Estado de la denuncia:</w:t>
      </w:r>
      <w:r w:rsidRPr="00637DEE">
        <w:rPr>
          <w:rFonts w:ascii="Arial" w:hAnsi="Arial"/>
          <w:sz w:val="21"/>
          <w:szCs w:val="21"/>
        </w:rPr>
        <w:t xml:space="preserve"> </w:t>
      </w:r>
    </w:p>
    <w:p w14:paraId="08E45474" w14:textId="77777777" w:rsidR="00637DEE" w:rsidRPr="00637DEE" w:rsidRDefault="00637DEE" w:rsidP="00584F69">
      <w:pPr>
        <w:spacing w:after="120" w:line="276" w:lineRule="auto"/>
        <w:ind w:left="709"/>
        <w:jc w:val="both"/>
        <w:rPr>
          <w:rFonts w:ascii="Arial" w:hAnsi="Arial"/>
          <w:sz w:val="21"/>
          <w:szCs w:val="21"/>
        </w:rPr>
      </w:pPr>
      <w:r w:rsidRPr="00637DEE">
        <w:rPr>
          <w:rFonts w:ascii="Arial" w:hAnsi="Arial"/>
          <w:sz w:val="21"/>
          <w:szCs w:val="21"/>
        </w:rPr>
        <w:t xml:space="preserve">En este caso las personas protegidas son dos aspirantes en un proceso selectivo a agentes de policía local que denunciaron ante la propia Agencia unos hechos consistentes en la filtración de las preguntas de un examen de oposición a favor de uno de los aspirantes, funcionario interino de policía local de un Ayuntamiento. </w:t>
      </w:r>
    </w:p>
    <w:p w14:paraId="26E723A6" w14:textId="77777777" w:rsidR="00637DEE" w:rsidRPr="00637DEE" w:rsidRDefault="00637DEE" w:rsidP="00584F69">
      <w:pPr>
        <w:spacing w:after="120" w:line="276" w:lineRule="auto"/>
        <w:ind w:left="709"/>
        <w:jc w:val="both"/>
        <w:rPr>
          <w:rFonts w:ascii="Arial" w:hAnsi="Arial"/>
          <w:sz w:val="21"/>
          <w:szCs w:val="21"/>
        </w:rPr>
      </w:pPr>
      <w:r w:rsidRPr="00637DEE">
        <w:rPr>
          <w:rFonts w:ascii="Arial" w:hAnsi="Arial"/>
          <w:sz w:val="21"/>
          <w:szCs w:val="21"/>
        </w:rPr>
        <w:t>Dicha denuncia dio lugar a la apertura del correspondiente expediente de investigación, que tuvo que ser interrumpido tras la decisión de la Fiscalía de solicitar la apertura de Diligencias Previas.</w:t>
      </w:r>
    </w:p>
    <w:p w14:paraId="5AF17570" w14:textId="77777777" w:rsidR="00637DEE" w:rsidRPr="00637DEE" w:rsidRDefault="00637DEE" w:rsidP="00584F69">
      <w:pPr>
        <w:spacing w:after="120" w:line="276" w:lineRule="auto"/>
        <w:ind w:left="709"/>
        <w:jc w:val="both"/>
        <w:rPr>
          <w:rFonts w:ascii="Arial" w:hAnsi="Arial"/>
          <w:sz w:val="21"/>
          <w:szCs w:val="21"/>
        </w:rPr>
      </w:pPr>
      <w:r w:rsidRPr="00637DEE">
        <w:rPr>
          <w:rFonts w:ascii="Arial" w:hAnsi="Arial"/>
          <w:sz w:val="21"/>
          <w:szCs w:val="21"/>
        </w:rPr>
        <w:t>Tramitadas estas Diligencias Previas y celebrado juicio oral, se dictó Sentencia núm. 365/2021 de 14 de octubre, por la Sección Décima de la Audiencia Provincial de Alicante que, si bien reconoce los hechos probados, establece la absolución de los mismos por no acreditar su autoría.</w:t>
      </w:r>
    </w:p>
    <w:p w14:paraId="50C16565" w14:textId="77777777" w:rsidR="00637DEE" w:rsidRPr="00637DEE" w:rsidRDefault="00637DEE" w:rsidP="00584F69">
      <w:pPr>
        <w:spacing w:after="120" w:line="276" w:lineRule="auto"/>
        <w:ind w:left="1418"/>
        <w:jc w:val="both"/>
        <w:rPr>
          <w:rFonts w:ascii="Arial" w:hAnsi="Arial"/>
          <w:b/>
          <w:bCs/>
          <w:sz w:val="20"/>
          <w:szCs w:val="20"/>
        </w:rPr>
      </w:pPr>
      <w:r w:rsidRPr="00637DEE">
        <w:rPr>
          <w:rFonts w:ascii="Arial" w:hAnsi="Arial"/>
          <w:sz w:val="20"/>
          <w:szCs w:val="20"/>
        </w:rPr>
        <w:t>“</w:t>
      </w:r>
      <w:r w:rsidRPr="00637DEE">
        <w:rPr>
          <w:rFonts w:ascii="Arial" w:hAnsi="Arial"/>
          <w:b/>
          <w:bCs/>
          <w:sz w:val="20"/>
          <w:szCs w:val="20"/>
        </w:rPr>
        <w:t>II - HECHOS PROBADOS</w:t>
      </w:r>
    </w:p>
    <w:p w14:paraId="28563279" w14:textId="77777777" w:rsidR="00637DEE" w:rsidRPr="00637DEE" w:rsidRDefault="00637DEE" w:rsidP="00584F69">
      <w:pPr>
        <w:spacing w:after="120" w:line="276" w:lineRule="auto"/>
        <w:ind w:left="1418"/>
        <w:jc w:val="both"/>
        <w:rPr>
          <w:rFonts w:ascii="Arial" w:hAnsi="Arial"/>
          <w:sz w:val="20"/>
          <w:szCs w:val="20"/>
        </w:rPr>
      </w:pPr>
      <w:r w:rsidRPr="00637DEE">
        <w:rPr>
          <w:rFonts w:ascii="Arial" w:hAnsi="Arial"/>
          <w:b/>
          <w:bCs/>
          <w:sz w:val="20"/>
          <w:szCs w:val="20"/>
        </w:rPr>
        <w:t>(…) Antes de que se celebrara el examen, en una forma que no ha podido establecerse de manera indubitada, el opositor (…), accedió al contenido de las respuestas correctas haciendo uso de las mismas durante el desarrollo del examen</w:t>
      </w:r>
      <w:r w:rsidRPr="00637DEE">
        <w:rPr>
          <w:rFonts w:ascii="Arial" w:hAnsi="Arial"/>
          <w:sz w:val="20"/>
          <w:szCs w:val="20"/>
        </w:rPr>
        <w:t>. (la negrita es nuestra)”</w:t>
      </w:r>
    </w:p>
    <w:p w14:paraId="29A7E768" w14:textId="77777777" w:rsidR="00637DEE" w:rsidRPr="00637DEE" w:rsidRDefault="00637DEE" w:rsidP="00584F69">
      <w:pPr>
        <w:spacing w:after="120" w:line="276" w:lineRule="auto"/>
        <w:ind w:left="1418"/>
        <w:jc w:val="both"/>
        <w:rPr>
          <w:rFonts w:ascii="Arial" w:hAnsi="Arial"/>
          <w:b/>
          <w:bCs/>
          <w:sz w:val="20"/>
          <w:szCs w:val="20"/>
        </w:rPr>
      </w:pPr>
      <w:r w:rsidRPr="00637DEE">
        <w:rPr>
          <w:rFonts w:ascii="Arial" w:hAnsi="Arial"/>
          <w:b/>
          <w:bCs/>
          <w:sz w:val="20"/>
          <w:szCs w:val="20"/>
        </w:rPr>
        <w:t>“III – FUNDAMENTOS DE DERECHO</w:t>
      </w:r>
    </w:p>
    <w:p w14:paraId="2D333B63" w14:textId="77777777" w:rsidR="00637DEE" w:rsidRPr="00637DEE" w:rsidRDefault="00637DEE" w:rsidP="00584F69">
      <w:pPr>
        <w:spacing w:after="120" w:line="276" w:lineRule="auto"/>
        <w:ind w:left="1418"/>
        <w:jc w:val="both"/>
        <w:rPr>
          <w:rFonts w:ascii="Arial" w:hAnsi="Arial"/>
          <w:sz w:val="20"/>
          <w:szCs w:val="20"/>
        </w:rPr>
      </w:pPr>
      <w:r w:rsidRPr="00637DEE">
        <w:rPr>
          <w:rFonts w:ascii="Arial" w:hAnsi="Arial"/>
          <w:sz w:val="20"/>
          <w:szCs w:val="20"/>
        </w:rPr>
        <w:t>(…) El Tribunal no alberga duda de que el aspirante en el proceso selectivo que comparece como acusado dispuso de la información sobre las respuestas del examen. Tal convencimiento lo abonan las testificales de los otros dos aspirantes que concurrían al proceso, que han descrito cómo pudieron ver que, incluso antes de que fueran repartidas las preguntas, el acusado (…), comenzaba a contestar las preguntas de las que aún no disponía; haciéndolo con lápiz en la plantilla de respuestas que se repartió con anterioridad (…)</w:t>
      </w:r>
    </w:p>
    <w:p w14:paraId="64222056" w14:textId="77777777" w:rsidR="00637DEE" w:rsidRPr="00637DEE" w:rsidRDefault="00637DEE" w:rsidP="00584F69">
      <w:pPr>
        <w:spacing w:after="120" w:line="276" w:lineRule="auto"/>
        <w:ind w:left="1418"/>
        <w:jc w:val="both"/>
        <w:rPr>
          <w:rFonts w:ascii="Arial" w:hAnsi="Arial"/>
          <w:sz w:val="20"/>
          <w:szCs w:val="20"/>
        </w:rPr>
      </w:pPr>
      <w:r w:rsidRPr="00637DEE">
        <w:rPr>
          <w:rFonts w:ascii="Arial" w:hAnsi="Arial"/>
          <w:sz w:val="20"/>
          <w:szCs w:val="20"/>
        </w:rPr>
        <w:t>(…) Por todo ello, la convicción de que dispuso de las respuestas antes de realizar el examen no ofrece lugar a dudas.”</w:t>
      </w:r>
    </w:p>
    <w:p w14:paraId="306C66D6" w14:textId="77777777" w:rsidR="00637DEE" w:rsidRPr="00637DEE" w:rsidRDefault="00637DEE" w:rsidP="00584F69">
      <w:pPr>
        <w:spacing w:after="120" w:line="276" w:lineRule="auto"/>
        <w:ind w:left="709"/>
        <w:jc w:val="both"/>
        <w:rPr>
          <w:rFonts w:ascii="Arial" w:hAnsi="Arial"/>
          <w:b/>
          <w:bCs/>
          <w:sz w:val="21"/>
          <w:szCs w:val="21"/>
        </w:rPr>
      </w:pPr>
      <w:r w:rsidRPr="00637DEE">
        <w:rPr>
          <w:rFonts w:ascii="Arial" w:hAnsi="Arial"/>
          <w:b/>
          <w:bCs/>
          <w:sz w:val="21"/>
          <w:szCs w:val="21"/>
        </w:rPr>
        <w:t>Represalias</w:t>
      </w:r>
    </w:p>
    <w:p w14:paraId="49B1E4E7" w14:textId="77777777" w:rsidR="00637DEE" w:rsidRPr="00637DEE" w:rsidRDefault="00637DEE" w:rsidP="00584F69">
      <w:pPr>
        <w:spacing w:after="120" w:line="276" w:lineRule="auto"/>
        <w:ind w:left="709"/>
        <w:jc w:val="both"/>
        <w:rPr>
          <w:rFonts w:ascii="Arial" w:hAnsi="Arial"/>
          <w:sz w:val="21"/>
          <w:szCs w:val="21"/>
        </w:rPr>
      </w:pPr>
      <w:r w:rsidRPr="00637DEE">
        <w:rPr>
          <w:rFonts w:ascii="Arial" w:hAnsi="Arial"/>
          <w:sz w:val="21"/>
          <w:szCs w:val="21"/>
        </w:rPr>
        <w:t xml:space="preserve">No se han detectado represalias debido a que estas personas denunciantes residen y trabajan en otras localidades. </w:t>
      </w:r>
    </w:p>
    <w:p w14:paraId="53155A0A" w14:textId="77777777" w:rsidR="00637DEE" w:rsidRPr="00637DEE" w:rsidRDefault="00637DEE" w:rsidP="00584F69">
      <w:pPr>
        <w:spacing w:after="120" w:line="276" w:lineRule="auto"/>
        <w:ind w:left="709"/>
        <w:jc w:val="both"/>
        <w:rPr>
          <w:rFonts w:ascii="Arial" w:hAnsi="Arial"/>
          <w:sz w:val="21"/>
          <w:szCs w:val="21"/>
        </w:rPr>
      </w:pPr>
      <w:r w:rsidRPr="00637DEE">
        <w:rPr>
          <w:rFonts w:ascii="Arial" w:hAnsi="Arial"/>
          <w:b/>
          <w:bCs/>
          <w:sz w:val="21"/>
          <w:szCs w:val="21"/>
        </w:rPr>
        <w:t>Actuaciones de la Agencia:</w:t>
      </w:r>
      <w:r w:rsidRPr="00637DEE">
        <w:rPr>
          <w:rFonts w:ascii="Arial" w:hAnsi="Arial"/>
          <w:sz w:val="21"/>
          <w:szCs w:val="21"/>
        </w:rPr>
        <w:t xml:space="preserve"> </w:t>
      </w:r>
    </w:p>
    <w:p w14:paraId="752C0B8B" w14:textId="77777777" w:rsidR="00637DEE" w:rsidRPr="00637DEE" w:rsidRDefault="00637DEE" w:rsidP="00584F69">
      <w:pPr>
        <w:spacing w:after="120" w:line="276" w:lineRule="auto"/>
        <w:ind w:left="709"/>
        <w:jc w:val="both"/>
        <w:rPr>
          <w:rFonts w:ascii="Arial" w:hAnsi="Arial"/>
          <w:sz w:val="21"/>
          <w:szCs w:val="21"/>
        </w:rPr>
      </w:pPr>
      <w:r w:rsidRPr="00637DEE">
        <w:rPr>
          <w:rFonts w:ascii="Arial" w:hAnsi="Arial"/>
          <w:sz w:val="21"/>
          <w:szCs w:val="21"/>
        </w:rPr>
        <w:t>La AVAF ha desarrollado la función de asesoramiento y acompañamiento a las personas protegidas.</w:t>
      </w:r>
    </w:p>
    <w:p w14:paraId="346F4DD8" w14:textId="77777777" w:rsidR="00637DEE" w:rsidRPr="00637DEE" w:rsidRDefault="00637DEE" w:rsidP="00FA0724">
      <w:pPr>
        <w:spacing w:after="240" w:line="276" w:lineRule="auto"/>
        <w:ind w:left="709"/>
        <w:jc w:val="both"/>
        <w:rPr>
          <w:rFonts w:ascii="Arial" w:hAnsi="Arial"/>
          <w:sz w:val="21"/>
          <w:szCs w:val="21"/>
        </w:rPr>
      </w:pPr>
      <w:r w:rsidRPr="00637DEE">
        <w:rPr>
          <w:rFonts w:ascii="Arial" w:hAnsi="Arial"/>
          <w:sz w:val="21"/>
          <w:szCs w:val="21"/>
        </w:rPr>
        <w:t>Asimismo, esta Agencia ha solicitado al Ayuntamiento, tras la absolución penal, que inicie el correspondiente procedimiento de información y actuaciones previas para dilucidar las responsabilidades disciplinarias, tanto del miembro o miembros del tribunal de selección que cometieron o consintieron los hechos, como en su caso de aquellos terceros que pudieron intervenir en los mismos. Además, ha solicitado al Ayuntamiento que inicie el correspondiente procedimiento administrativo sancionador contra el funcionario y aspirante en este proceso selectivo que tuvo acceso al examen y a sus respuestas. Igualmente, la Agencia ha advertido al Ayuntamiento que debe proceder con la mayor celeridad a realizar estas actuaciones, evitando en todo caso la prescripción de las infracciones administrativas, De producirse esto, se deberán exigir responsabilidades a los causantes de dicha inacción.</w:t>
      </w:r>
    </w:p>
    <w:p w14:paraId="770B8D5F" w14:textId="75C6B10A" w:rsidR="0001427B" w:rsidRPr="0001427B" w:rsidRDefault="0001427B" w:rsidP="00584F69">
      <w:pPr>
        <w:spacing w:after="120" w:line="276" w:lineRule="auto"/>
        <w:jc w:val="both"/>
        <w:rPr>
          <w:rFonts w:ascii="Arial" w:hAnsi="Arial"/>
          <w:b/>
          <w:bCs/>
          <w:color w:val="9D2235" w:themeColor="accent1"/>
          <w:sz w:val="21"/>
          <w:szCs w:val="21"/>
        </w:rPr>
      </w:pPr>
      <w:r w:rsidRPr="0001427B">
        <w:rPr>
          <w:rFonts w:ascii="Arial" w:hAnsi="Arial"/>
          <w:b/>
          <w:bCs/>
          <w:color w:val="9D2235" w:themeColor="accent1"/>
          <w:sz w:val="21"/>
          <w:szCs w:val="21"/>
        </w:rPr>
        <w:t xml:space="preserve">CASO 14 </w:t>
      </w:r>
    </w:p>
    <w:p w14:paraId="2D570AE3" w14:textId="77777777" w:rsidR="0001427B" w:rsidRPr="0001427B" w:rsidRDefault="0001427B" w:rsidP="00584F69">
      <w:pPr>
        <w:spacing w:after="120" w:line="276" w:lineRule="auto"/>
        <w:ind w:left="709"/>
        <w:jc w:val="both"/>
        <w:rPr>
          <w:rFonts w:ascii="Arial" w:hAnsi="Arial"/>
          <w:sz w:val="21"/>
          <w:szCs w:val="21"/>
        </w:rPr>
      </w:pPr>
      <w:r w:rsidRPr="0001427B">
        <w:rPr>
          <w:rFonts w:ascii="Arial" w:hAnsi="Arial"/>
          <w:b/>
          <w:bCs/>
          <w:sz w:val="21"/>
          <w:szCs w:val="21"/>
        </w:rPr>
        <w:t>Estado de la denuncia:</w:t>
      </w:r>
      <w:r w:rsidRPr="0001427B">
        <w:rPr>
          <w:rFonts w:ascii="Arial" w:hAnsi="Arial"/>
          <w:sz w:val="21"/>
          <w:szCs w:val="21"/>
        </w:rPr>
        <w:t xml:space="preserve"> </w:t>
      </w:r>
    </w:p>
    <w:p w14:paraId="7F496F24" w14:textId="77777777" w:rsidR="0001427B" w:rsidRPr="0001427B" w:rsidRDefault="0001427B" w:rsidP="0001427B">
      <w:pPr>
        <w:spacing w:after="120" w:line="276" w:lineRule="auto"/>
        <w:ind w:left="709"/>
        <w:jc w:val="both"/>
        <w:rPr>
          <w:rFonts w:ascii="Arial" w:hAnsi="Arial"/>
          <w:sz w:val="21"/>
          <w:szCs w:val="21"/>
        </w:rPr>
      </w:pPr>
      <w:r w:rsidRPr="0001427B">
        <w:rPr>
          <w:rFonts w:ascii="Arial" w:hAnsi="Arial"/>
          <w:sz w:val="21"/>
          <w:szCs w:val="21"/>
        </w:rPr>
        <w:t>A esta persona denunciante, cuyo caso es comunicado por el Ministerio Fiscal a la Agencia, se le otorgó el estatuto de protección, fundado en su condición de testigo en un procedimiento penal en el que se investigan determinadas irregularidades relativas a la contratación pública del Ayuntamiento donde presta sus servicios. En dicho procedimiento se ha acordado la apertura del juicio oral por prevaricación administrativa, fraude y tráfico de influencias contra algunas autoridades, funcionarios municipales y familiares.</w:t>
      </w:r>
    </w:p>
    <w:p w14:paraId="2579273B" w14:textId="77777777" w:rsidR="0001427B" w:rsidRPr="0001427B" w:rsidRDefault="0001427B" w:rsidP="0001427B">
      <w:pPr>
        <w:spacing w:after="120" w:line="276" w:lineRule="auto"/>
        <w:ind w:left="709"/>
        <w:jc w:val="both"/>
        <w:rPr>
          <w:rFonts w:ascii="Arial" w:hAnsi="Arial"/>
          <w:b/>
          <w:bCs/>
          <w:sz w:val="21"/>
          <w:szCs w:val="21"/>
        </w:rPr>
      </w:pPr>
      <w:r w:rsidRPr="0001427B">
        <w:rPr>
          <w:rFonts w:ascii="Arial" w:hAnsi="Arial"/>
          <w:b/>
          <w:bCs/>
          <w:sz w:val="21"/>
          <w:szCs w:val="21"/>
        </w:rPr>
        <w:t>Represalias</w:t>
      </w:r>
    </w:p>
    <w:p w14:paraId="33E2CE90" w14:textId="77777777" w:rsidR="0001427B" w:rsidRPr="0001427B" w:rsidRDefault="0001427B" w:rsidP="0001427B">
      <w:pPr>
        <w:spacing w:after="120" w:line="276" w:lineRule="auto"/>
        <w:ind w:left="709"/>
        <w:jc w:val="both"/>
        <w:rPr>
          <w:rFonts w:ascii="Arial" w:hAnsi="Arial"/>
          <w:sz w:val="21"/>
          <w:szCs w:val="21"/>
        </w:rPr>
      </w:pPr>
      <w:r w:rsidRPr="0001427B">
        <w:rPr>
          <w:rFonts w:ascii="Arial" w:hAnsi="Arial"/>
          <w:sz w:val="21"/>
          <w:szCs w:val="21"/>
        </w:rPr>
        <w:t>La persona denunciante alega que está siendo denunciada por aquellos a los que ella ha denunciado.</w:t>
      </w:r>
    </w:p>
    <w:p w14:paraId="71777BD7" w14:textId="77777777" w:rsidR="0001427B" w:rsidRPr="0001427B" w:rsidRDefault="0001427B" w:rsidP="0001427B">
      <w:pPr>
        <w:spacing w:after="120" w:line="276" w:lineRule="auto"/>
        <w:ind w:left="709"/>
        <w:jc w:val="both"/>
        <w:rPr>
          <w:rFonts w:ascii="Arial" w:hAnsi="Arial"/>
          <w:b/>
          <w:bCs/>
          <w:sz w:val="21"/>
          <w:szCs w:val="21"/>
        </w:rPr>
      </w:pPr>
      <w:r w:rsidRPr="0001427B">
        <w:rPr>
          <w:rFonts w:ascii="Arial" w:hAnsi="Arial"/>
          <w:b/>
          <w:bCs/>
          <w:sz w:val="21"/>
          <w:szCs w:val="21"/>
        </w:rPr>
        <w:t>Actuaciones de la Agencia:</w:t>
      </w:r>
    </w:p>
    <w:p w14:paraId="0FD6E3DD" w14:textId="77777777" w:rsidR="0001427B" w:rsidRPr="0001427B" w:rsidRDefault="0001427B" w:rsidP="0001427B">
      <w:pPr>
        <w:spacing w:after="120" w:line="276" w:lineRule="auto"/>
        <w:ind w:left="709"/>
        <w:jc w:val="both"/>
        <w:rPr>
          <w:rFonts w:ascii="Arial" w:hAnsi="Arial"/>
          <w:sz w:val="21"/>
          <w:szCs w:val="21"/>
        </w:rPr>
      </w:pPr>
      <w:r w:rsidRPr="0001427B">
        <w:rPr>
          <w:rFonts w:ascii="Arial" w:hAnsi="Arial"/>
          <w:sz w:val="21"/>
          <w:szCs w:val="21"/>
        </w:rPr>
        <w:t>La AVAF ha realizado funciones de asesoramiento, emitiendo informe a solicitud de la funcionaria protegida sobre los derechos y obligaciones derivados del otorgamiento del estatuto de protección.</w:t>
      </w:r>
    </w:p>
    <w:p w14:paraId="3CA255CD" w14:textId="45AF0A76" w:rsidR="0001427B" w:rsidRPr="0001427B" w:rsidRDefault="0001427B" w:rsidP="0001427B">
      <w:pPr>
        <w:spacing w:after="120" w:line="276" w:lineRule="auto"/>
        <w:ind w:left="709"/>
        <w:jc w:val="both"/>
        <w:rPr>
          <w:rFonts w:ascii="Arial" w:hAnsi="Arial"/>
          <w:sz w:val="21"/>
          <w:szCs w:val="21"/>
        </w:rPr>
      </w:pPr>
      <w:r w:rsidRPr="0001427B">
        <w:rPr>
          <w:rFonts w:ascii="Arial" w:hAnsi="Arial"/>
          <w:sz w:val="21"/>
          <w:szCs w:val="21"/>
        </w:rPr>
        <w:t xml:space="preserve">Del mismo modo, la Agencia emitió informe a solicitud del alcalde de la corporación donde presta sus servicios, en el que se le indicaba que el otorgamiento del estatuto de protección no supone ninguna modificación respecto de la obligaciones laborales que tiene la persona denunciante protegida, de igual forma que cualquier otro empleado público, informando al Ayuntamiento en este caso que el mismo puede </w:t>
      </w:r>
      <w:r w:rsidR="00B12F68">
        <w:rPr>
          <w:rFonts w:ascii="Arial" w:hAnsi="Arial"/>
          <w:sz w:val="21"/>
          <w:szCs w:val="21"/>
        </w:rPr>
        <w:t>proceder</w:t>
      </w:r>
      <w:r w:rsidRPr="0001427B">
        <w:rPr>
          <w:rFonts w:ascii="Arial" w:hAnsi="Arial"/>
          <w:sz w:val="21"/>
          <w:szCs w:val="21"/>
        </w:rPr>
        <w:t>, en el ejercicio de su potestad de autoorganización, a la distribución de las funciones que considere adecuadas siempre que ello se realice de conformidad con la normativa vigente.</w:t>
      </w:r>
    </w:p>
    <w:p w14:paraId="519D8C6C" w14:textId="77777777" w:rsidR="0001427B" w:rsidRPr="0001427B" w:rsidRDefault="0001427B" w:rsidP="0001427B">
      <w:pPr>
        <w:spacing w:after="240" w:line="276" w:lineRule="auto"/>
        <w:ind w:left="709"/>
        <w:jc w:val="both"/>
        <w:rPr>
          <w:rFonts w:ascii="Arial" w:hAnsi="Arial"/>
          <w:sz w:val="21"/>
          <w:szCs w:val="21"/>
        </w:rPr>
      </w:pPr>
      <w:r w:rsidRPr="0001427B">
        <w:rPr>
          <w:rFonts w:ascii="Arial" w:hAnsi="Arial"/>
          <w:sz w:val="21"/>
          <w:szCs w:val="21"/>
        </w:rPr>
        <w:t>Asimismo, se ha emitido informe dirigido a la persona denunciante en el que se le recuerdan sus obligaciones, entre ellas las de colaborar con las funciones de esta Agencia, así como con la Administración de Justicia.</w:t>
      </w:r>
    </w:p>
    <w:p w14:paraId="66D1649D" w14:textId="77777777" w:rsidR="0001427B" w:rsidRPr="0001427B" w:rsidRDefault="0001427B" w:rsidP="00584F69">
      <w:pPr>
        <w:spacing w:after="120" w:line="276" w:lineRule="auto"/>
        <w:jc w:val="both"/>
        <w:rPr>
          <w:rFonts w:ascii="Arial" w:hAnsi="Arial"/>
          <w:b/>
          <w:bCs/>
          <w:color w:val="9D2235" w:themeColor="accent1"/>
          <w:sz w:val="21"/>
          <w:szCs w:val="21"/>
        </w:rPr>
      </w:pPr>
      <w:r w:rsidRPr="0001427B">
        <w:rPr>
          <w:rFonts w:ascii="Arial" w:hAnsi="Arial"/>
          <w:b/>
          <w:bCs/>
          <w:color w:val="9D2235" w:themeColor="accent1"/>
          <w:sz w:val="21"/>
          <w:szCs w:val="21"/>
        </w:rPr>
        <w:t>CASO 15</w:t>
      </w:r>
    </w:p>
    <w:p w14:paraId="50500874" w14:textId="77777777" w:rsidR="0001427B" w:rsidRPr="0001427B" w:rsidRDefault="0001427B" w:rsidP="0001427B">
      <w:pPr>
        <w:spacing w:after="120" w:line="276" w:lineRule="auto"/>
        <w:ind w:left="709"/>
        <w:jc w:val="both"/>
        <w:rPr>
          <w:rFonts w:ascii="Arial" w:hAnsi="Arial"/>
          <w:sz w:val="21"/>
          <w:szCs w:val="21"/>
        </w:rPr>
      </w:pPr>
      <w:r w:rsidRPr="0001427B">
        <w:rPr>
          <w:rFonts w:ascii="Arial" w:hAnsi="Arial"/>
          <w:b/>
          <w:bCs/>
          <w:sz w:val="21"/>
          <w:szCs w:val="21"/>
        </w:rPr>
        <w:t>Estado de la denuncia:</w:t>
      </w:r>
      <w:r w:rsidRPr="0001427B">
        <w:rPr>
          <w:rFonts w:ascii="Arial" w:hAnsi="Arial"/>
          <w:sz w:val="21"/>
          <w:szCs w:val="21"/>
        </w:rPr>
        <w:t xml:space="preserve"> </w:t>
      </w:r>
    </w:p>
    <w:p w14:paraId="296123D5" w14:textId="77777777" w:rsidR="0001427B" w:rsidRPr="0001427B" w:rsidRDefault="0001427B" w:rsidP="0001427B">
      <w:pPr>
        <w:spacing w:after="120" w:line="276" w:lineRule="auto"/>
        <w:ind w:left="709"/>
        <w:jc w:val="both"/>
        <w:rPr>
          <w:rFonts w:ascii="Arial" w:hAnsi="Arial"/>
          <w:sz w:val="21"/>
          <w:szCs w:val="21"/>
        </w:rPr>
      </w:pPr>
      <w:r w:rsidRPr="0001427B">
        <w:rPr>
          <w:rFonts w:ascii="Arial" w:hAnsi="Arial"/>
          <w:sz w:val="21"/>
          <w:szCs w:val="21"/>
        </w:rPr>
        <w:t xml:space="preserve">El estatuto de la persona denunciante le fue concedido a un secretario-interventor municipal que formuló denuncia sobre las actuaciones realizadas por una teniente de alcalde de la corporación local en relación con el abono de un contrato de obras municipales. La actuación ilícita era realizada por la teniente de alcalde en concierto con el representante legal de una mercantil. Aprovechando ambos sus respectivas posiciones en la administración y en la empresa mercantil, procedieron a negociar endosos y certificaciones de facturas que, o bien ya habían sido cobradas, o bien no habían sido ejecutadas por no haber sido ni tan siquiera adjudicadas por la entidad local. Además, también se elaboraron documentos por la teniente de alcalde en los que se solicitaba a entidades bancarias el aplazamiento de pagos, como si se tratase de deudas asumidas por la corporación local cuando no lo eran. En la documentación falsa se utilizaba el membrete del Ayuntamiento, el sello de la alcaldía y se falsificaba la firma del secretario-interventor municipal. </w:t>
      </w:r>
    </w:p>
    <w:p w14:paraId="6D62482A" w14:textId="77777777" w:rsidR="0001427B" w:rsidRPr="0001427B" w:rsidRDefault="0001427B" w:rsidP="0001427B">
      <w:pPr>
        <w:spacing w:after="120" w:line="276" w:lineRule="auto"/>
        <w:ind w:left="709"/>
        <w:jc w:val="both"/>
        <w:rPr>
          <w:rFonts w:ascii="Arial" w:hAnsi="Arial"/>
          <w:sz w:val="21"/>
          <w:szCs w:val="21"/>
        </w:rPr>
      </w:pPr>
      <w:r w:rsidRPr="0001427B">
        <w:rPr>
          <w:rFonts w:ascii="Arial" w:hAnsi="Arial"/>
          <w:sz w:val="21"/>
          <w:szCs w:val="21"/>
        </w:rPr>
        <w:t>El procedimiento ha finalizado con el dictado de la Sentencia núm. 165/2021 de 17 de mayo de 2021 de la Sección Segunda de la Audiencia Provincial de Alicante, por la que se condena a la teniente de alcalde y al representante legal de la mercantil como responsables de un delito continuado de falsedad en documento público. Dicha Sentencia ha sido recurrida por los condenados.</w:t>
      </w:r>
    </w:p>
    <w:p w14:paraId="75BAFD06" w14:textId="77777777" w:rsidR="0001427B" w:rsidRPr="0001427B" w:rsidRDefault="0001427B" w:rsidP="0001427B">
      <w:pPr>
        <w:spacing w:after="120" w:line="276" w:lineRule="auto"/>
        <w:ind w:left="709"/>
        <w:jc w:val="both"/>
        <w:rPr>
          <w:rFonts w:ascii="Arial" w:hAnsi="Arial"/>
          <w:b/>
          <w:bCs/>
          <w:sz w:val="21"/>
          <w:szCs w:val="21"/>
        </w:rPr>
      </w:pPr>
      <w:r w:rsidRPr="0001427B">
        <w:rPr>
          <w:rFonts w:ascii="Arial" w:hAnsi="Arial"/>
          <w:b/>
          <w:bCs/>
          <w:sz w:val="21"/>
          <w:szCs w:val="21"/>
        </w:rPr>
        <w:t xml:space="preserve">Represalias: </w:t>
      </w:r>
    </w:p>
    <w:p w14:paraId="2189D262" w14:textId="77777777" w:rsidR="0001427B" w:rsidRPr="0001427B" w:rsidRDefault="0001427B" w:rsidP="0001427B">
      <w:pPr>
        <w:spacing w:after="120" w:line="276" w:lineRule="auto"/>
        <w:ind w:left="709"/>
        <w:jc w:val="both"/>
        <w:rPr>
          <w:rFonts w:ascii="Arial" w:hAnsi="Arial"/>
          <w:sz w:val="21"/>
          <w:szCs w:val="21"/>
        </w:rPr>
      </w:pPr>
      <w:r w:rsidRPr="0001427B">
        <w:rPr>
          <w:rFonts w:ascii="Arial" w:hAnsi="Arial"/>
          <w:sz w:val="21"/>
          <w:szCs w:val="21"/>
        </w:rPr>
        <w:t xml:space="preserve">El secretario-interventor municipal ha sufrido constantes presiones y represalias como consecuencia del procedimiento judicial que ha finalizado con la Sentencia condenatoria a la teniente de alcalde. La más grave de las actuaciones sufridas por la persona protegida ha sido la denuncia formulada por tres miembros del gobierno municipal del Ayuntamiento. En relación con esta denuncia, ya se expuso en la Memoria de esta Agencia del año 2018 que la misma debe de ser calificada como una represalia a juicio de esta Agencia. </w:t>
      </w:r>
    </w:p>
    <w:p w14:paraId="3F58AF2D" w14:textId="77777777" w:rsidR="0001427B" w:rsidRPr="0001427B" w:rsidRDefault="0001427B" w:rsidP="0001427B">
      <w:pPr>
        <w:spacing w:after="120" w:line="276" w:lineRule="auto"/>
        <w:ind w:left="709"/>
        <w:jc w:val="both"/>
        <w:rPr>
          <w:rFonts w:ascii="Arial" w:hAnsi="Arial"/>
          <w:sz w:val="21"/>
          <w:szCs w:val="21"/>
        </w:rPr>
      </w:pPr>
      <w:r w:rsidRPr="0001427B">
        <w:rPr>
          <w:rFonts w:ascii="Arial" w:hAnsi="Arial"/>
          <w:sz w:val="21"/>
          <w:szCs w:val="21"/>
        </w:rPr>
        <w:t>También se ha iniciado un procedimiento disciplinario contra la persona protegida que en la actualidad se encuentra en trámite.</w:t>
      </w:r>
    </w:p>
    <w:p w14:paraId="1FDBCA85" w14:textId="77777777" w:rsidR="0001427B" w:rsidRPr="0001427B" w:rsidRDefault="0001427B" w:rsidP="0001427B">
      <w:pPr>
        <w:spacing w:after="120" w:line="276" w:lineRule="auto"/>
        <w:ind w:left="709"/>
        <w:jc w:val="both"/>
        <w:rPr>
          <w:rFonts w:ascii="Arial" w:hAnsi="Arial"/>
          <w:b/>
          <w:bCs/>
          <w:sz w:val="21"/>
          <w:szCs w:val="21"/>
        </w:rPr>
      </w:pPr>
      <w:r w:rsidRPr="0001427B">
        <w:rPr>
          <w:rFonts w:ascii="Arial" w:hAnsi="Arial"/>
          <w:b/>
          <w:bCs/>
          <w:sz w:val="21"/>
          <w:szCs w:val="21"/>
        </w:rPr>
        <w:t>Actuaciones de la Agencia:</w:t>
      </w:r>
    </w:p>
    <w:p w14:paraId="58BB0840" w14:textId="4A652917" w:rsidR="00CD1A1C" w:rsidRDefault="0001427B" w:rsidP="0001427B">
      <w:pPr>
        <w:spacing w:after="240" w:line="276" w:lineRule="auto"/>
        <w:ind w:left="709"/>
        <w:jc w:val="both"/>
        <w:rPr>
          <w:rFonts w:ascii="Arial" w:hAnsi="Arial"/>
          <w:sz w:val="21"/>
          <w:szCs w:val="21"/>
        </w:rPr>
      </w:pPr>
      <w:r w:rsidRPr="0001427B">
        <w:rPr>
          <w:rFonts w:ascii="Arial" w:hAnsi="Arial"/>
          <w:sz w:val="21"/>
          <w:szCs w:val="21"/>
        </w:rPr>
        <w:t>La Agencia mantiene en estudio las actuaciones penales y administrativas que afectan a la persona denunciante al objeto de comprobar que la misma no sufra represalias por la denuncia que en su día efectuó, y que ha culminado con la condena penal a los responsables de aquellos ilícitos penales gracias a la diligencia del secretario-interventor municipal al denunciar los hechos.</w:t>
      </w:r>
    </w:p>
    <w:p w14:paraId="25E63877" w14:textId="0C10F04B" w:rsidR="00BF72F5" w:rsidRDefault="00BF72F5" w:rsidP="0001427B">
      <w:pPr>
        <w:spacing w:after="240" w:line="276" w:lineRule="auto"/>
        <w:ind w:left="709"/>
        <w:jc w:val="both"/>
        <w:rPr>
          <w:rFonts w:ascii="Arial" w:hAnsi="Arial"/>
          <w:sz w:val="21"/>
          <w:szCs w:val="21"/>
        </w:rPr>
      </w:pPr>
    </w:p>
    <w:p w14:paraId="00DF3688" w14:textId="5E5823BE" w:rsidR="00BF72F5" w:rsidRDefault="00BF72F5" w:rsidP="0001427B">
      <w:pPr>
        <w:spacing w:after="240" w:line="276" w:lineRule="auto"/>
        <w:ind w:left="709"/>
        <w:jc w:val="both"/>
        <w:rPr>
          <w:rFonts w:ascii="Arial" w:hAnsi="Arial"/>
          <w:sz w:val="21"/>
          <w:szCs w:val="21"/>
        </w:rPr>
      </w:pPr>
    </w:p>
    <w:p w14:paraId="76601938" w14:textId="5FB47A72" w:rsidR="00BF72F5" w:rsidRDefault="00BF72F5" w:rsidP="0001427B">
      <w:pPr>
        <w:spacing w:after="240" w:line="276" w:lineRule="auto"/>
        <w:ind w:left="709"/>
        <w:jc w:val="both"/>
        <w:rPr>
          <w:rFonts w:ascii="Arial" w:hAnsi="Arial"/>
          <w:sz w:val="21"/>
          <w:szCs w:val="21"/>
        </w:rPr>
      </w:pPr>
    </w:p>
    <w:p w14:paraId="29CA400E" w14:textId="49E946A0" w:rsidR="00BF72F5" w:rsidRDefault="00BF72F5" w:rsidP="0001427B">
      <w:pPr>
        <w:spacing w:after="240" w:line="276" w:lineRule="auto"/>
        <w:ind w:left="709"/>
        <w:jc w:val="both"/>
        <w:rPr>
          <w:rFonts w:ascii="Arial" w:hAnsi="Arial"/>
          <w:sz w:val="21"/>
          <w:szCs w:val="21"/>
        </w:rPr>
      </w:pPr>
    </w:p>
    <w:p w14:paraId="154745DD" w14:textId="0A2FC7F9" w:rsidR="00BF72F5" w:rsidRDefault="00BF72F5" w:rsidP="0001427B">
      <w:pPr>
        <w:spacing w:after="240" w:line="276" w:lineRule="auto"/>
        <w:ind w:left="709"/>
        <w:jc w:val="both"/>
        <w:rPr>
          <w:rFonts w:ascii="Arial" w:hAnsi="Arial"/>
          <w:sz w:val="21"/>
          <w:szCs w:val="21"/>
        </w:rPr>
      </w:pPr>
    </w:p>
    <w:p w14:paraId="66174989" w14:textId="77777777" w:rsidR="00BF72F5" w:rsidRPr="00CD1A1C" w:rsidRDefault="00BF72F5" w:rsidP="0001427B">
      <w:pPr>
        <w:spacing w:after="240" w:line="276" w:lineRule="auto"/>
        <w:ind w:left="709"/>
        <w:jc w:val="both"/>
        <w:rPr>
          <w:rFonts w:ascii="Arial" w:hAnsi="Arial"/>
          <w:sz w:val="21"/>
          <w:szCs w:val="21"/>
        </w:rPr>
      </w:pPr>
    </w:p>
    <w:p w14:paraId="287709DE" w14:textId="7AE6AA7C" w:rsidR="005761A2" w:rsidRDefault="005761A2" w:rsidP="00A51BD4">
      <w:pPr>
        <w:pStyle w:val="Prrafodelista"/>
        <w:keepNext/>
        <w:numPr>
          <w:ilvl w:val="2"/>
          <w:numId w:val="16"/>
        </w:numPr>
        <w:suppressAutoHyphens/>
        <w:spacing w:before="360" w:after="240" w:line="276" w:lineRule="auto"/>
        <w:ind w:left="993" w:hanging="993"/>
        <w:jc w:val="both"/>
        <w:outlineLvl w:val="2"/>
        <w:rPr>
          <w:rFonts w:ascii="Arial" w:eastAsia="Times New Roman" w:hAnsi="Arial" w:cs="Arial"/>
          <w:b/>
          <w:color w:val="9D2235"/>
          <w:sz w:val="28"/>
          <w:szCs w:val="28"/>
        </w:rPr>
      </w:pPr>
      <w:bookmarkStart w:id="87" w:name="_Toc99107000"/>
      <w:r w:rsidRPr="00CA2521">
        <w:rPr>
          <w:rFonts w:ascii="Arial" w:eastAsia="Times New Roman" w:hAnsi="Arial" w:cs="Arial"/>
          <w:b/>
          <w:color w:val="9D2235"/>
          <w:sz w:val="28"/>
          <w:szCs w:val="28"/>
        </w:rPr>
        <w:t>Resultados estadísticos de la protección de personas denunciantes</w:t>
      </w:r>
      <w:bookmarkEnd w:id="87"/>
      <w:r w:rsidRPr="00CA2521">
        <w:rPr>
          <w:rFonts w:ascii="Arial" w:eastAsia="Times New Roman" w:hAnsi="Arial" w:cs="Arial"/>
          <w:b/>
          <w:color w:val="9D2235"/>
          <w:sz w:val="28"/>
          <w:szCs w:val="28"/>
        </w:rPr>
        <w:t xml:space="preserve"> </w:t>
      </w:r>
    </w:p>
    <w:p w14:paraId="7E2746C3" w14:textId="3CC55DAF" w:rsidR="00BF72F5" w:rsidRPr="00BF72F5" w:rsidRDefault="00BF72F5" w:rsidP="00BF72F5">
      <w:pPr>
        <w:rPr>
          <w:rFonts w:ascii="Arial" w:eastAsia="Times New Roman" w:hAnsi="Arial" w:cs="Arial"/>
          <w:b/>
          <w:sz w:val="21"/>
          <w:szCs w:val="21"/>
        </w:rPr>
      </w:pPr>
    </w:p>
    <w:p w14:paraId="5B2C3413" w14:textId="293DA3E5" w:rsidR="004A12F6" w:rsidRDefault="00CA2521" w:rsidP="004A12F6">
      <w:pPr>
        <w:keepNext/>
        <w:spacing w:after="240" w:line="276" w:lineRule="auto"/>
        <w:jc w:val="center"/>
      </w:pPr>
      <w:r w:rsidRPr="004F4DC9">
        <w:rPr>
          <w:rFonts w:ascii="Liberation Serif" w:eastAsia="SimSun" w:hAnsi="Liberation Serif" w:cs="Lucida Sans"/>
          <w:noProof/>
          <w:kern w:val="2"/>
          <w:sz w:val="24"/>
          <w:szCs w:val="24"/>
          <w:lang w:eastAsia="zh-CN" w:bidi="hi-IN"/>
        </w:rPr>
        <w:drawing>
          <wp:inline distT="0" distB="0" distL="0" distR="0" wp14:anchorId="4EA9FF8E" wp14:editId="75F4A306">
            <wp:extent cx="5001260" cy="3112477"/>
            <wp:effectExtent l="0" t="0" r="8890" b="12065"/>
            <wp:docPr id="34" name="Gráfico 34">
              <a:extLst xmlns:a="http://schemas.openxmlformats.org/drawingml/2006/main">
                <a:ext uri="{FF2B5EF4-FFF2-40B4-BE49-F238E27FC236}">
                  <a16:creationId xmlns:a16="http://schemas.microsoft.com/office/drawing/2014/main" id="{1D8456A8-68AC-4327-BFB6-8563C2666F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7"/>
              </a:graphicData>
            </a:graphic>
          </wp:inline>
        </w:drawing>
      </w:r>
    </w:p>
    <w:p w14:paraId="346ABFA1" w14:textId="71E6B194" w:rsidR="005761A2" w:rsidRPr="004A12F6" w:rsidRDefault="004A12F6" w:rsidP="004A12F6">
      <w:pPr>
        <w:pStyle w:val="Descripcin"/>
        <w:jc w:val="center"/>
        <w:rPr>
          <w:rFonts w:ascii="Arial" w:hAnsi="Arial" w:cs="Arial"/>
          <w:smallCaps w:val="0"/>
          <w:sz w:val="18"/>
          <w:szCs w:val="18"/>
        </w:rPr>
      </w:pPr>
      <w:bookmarkStart w:id="88" w:name="_Toc99099803"/>
      <w:r w:rsidRPr="004A12F6">
        <w:rPr>
          <w:rFonts w:ascii="Arial" w:hAnsi="Arial" w:cs="Arial"/>
          <w:smallCaps w:val="0"/>
          <w:color w:val="9D2235" w:themeColor="accent1"/>
          <w:sz w:val="18"/>
          <w:szCs w:val="18"/>
        </w:rPr>
        <w:t xml:space="preserve">Gráfico </w:t>
      </w:r>
      <w:r w:rsidRPr="004A12F6">
        <w:rPr>
          <w:rFonts w:ascii="Arial" w:hAnsi="Arial" w:cs="Arial"/>
          <w:smallCaps w:val="0"/>
          <w:color w:val="9D2235" w:themeColor="accent1"/>
          <w:sz w:val="18"/>
          <w:szCs w:val="18"/>
        </w:rPr>
        <w:fldChar w:fldCharType="begin" w:fldLock="1"/>
      </w:r>
      <w:r w:rsidRPr="004A12F6">
        <w:rPr>
          <w:rFonts w:ascii="Arial" w:hAnsi="Arial" w:cs="Arial"/>
          <w:smallCaps w:val="0"/>
          <w:color w:val="9D2235" w:themeColor="accent1"/>
          <w:sz w:val="18"/>
          <w:szCs w:val="18"/>
        </w:rPr>
        <w:instrText xml:space="preserve"> SEQ Gráfico \* ARABIC </w:instrText>
      </w:r>
      <w:r w:rsidRPr="004A12F6">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4</w:t>
      </w:r>
      <w:r w:rsidRPr="004A12F6">
        <w:rPr>
          <w:rFonts w:ascii="Arial" w:hAnsi="Arial" w:cs="Arial"/>
          <w:smallCaps w:val="0"/>
          <w:color w:val="9D2235" w:themeColor="accent1"/>
          <w:sz w:val="18"/>
          <w:szCs w:val="18"/>
        </w:rPr>
        <w:fldChar w:fldCharType="end"/>
      </w:r>
      <w:r w:rsidRPr="004A12F6">
        <w:rPr>
          <w:rFonts w:ascii="Arial" w:hAnsi="Arial" w:cs="Arial"/>
          <w:smallCaps w:val="0"/>
          <w:color w:val="9D2235" w:themeColor="accent1"/>
          <w:sz w:val="18"/>
          <w:szCs w:val="18"/>
        </w:rPr>
        <w:t xml:space="preserve">. </w:t>
      </w:r>
      <w:r w:rsidRPr="004A12F6">
        <w:rPr>
          <w:rFonts w:ascii="Arial" w:hAnsi="Arial" w:cs="Arial"/>
          <w:smallCaps w:val="0"/>
          <w:sz w:val="18"/>
          <w:szCs w:val="18"/>
        </w:rPr>
        <w:t>Número de solicitudes de protección presentadas desde 2017 hasta 2021</w:t>
      </w:r>
      <w:bookmarkEnd w:id="88"/>
    </w:p>
    <w:p w14:paraId="1B0D423A" w14:textId="66B27027" w:rsidR="00CA2521" w:rsidRDefault="00CA2521" w:rsidP="00460454">
      <w:pPr>
        <w:spacing w:after="240" w:line="276" w:lineRule="auto"/>
        <w:jc w:val="both"/>
        <w:rPr>
          <w:rFonts w:ascii="Arial" w:hAnsi="Arial"/>
          <w:sz w:val="21"/>
          <w:szCs w:val="21"/>
        </w:rPr>
      </w:pPr>
      <w:bookmarkStart w:id="89" w:name="_Hlk99019132"/>
    </w:p>
    <w:p w14:paraId="66857423" w14:textId="092386B6" w:rsidR="00CA2521" w:rsidRDefault="00CA2521" w:rsidP="00460454">
      <w:pPr>
        <w:spacing w:after="240" w:line="276" w:lineRule="auto"/>
        <w:jc w:val="both"/>
        <w:rPr>
          <w:rFonts w:ascii="Arial" w:hAnsi="Arial"/>
          <w:sz w:val="21"/>
          <w:szCs w:val="21"/>
        </w:rPr>
      </w:pPr>
    </w:p>
    <w:bookmarkEnd w:id="89"/>
    <w:p w14:paraId="53BE0B2F" w14:textId="77777777" w:rsidR="004A12F6" w:rsidRDefault="004A12F6" w:rsidP="004A12F6">
      <w:pPr>
        <w:keepNext/>
        <w:spacing w:after="240" w:line="276" w:lineRule="auto"/>
        <w:jc w:val="center"/>
      </w:pPr>
      <w:r w:rsidRPr="004F4DC9">
        <w:rPr>
          <w:rFonts w:ascii="Liberation Serif" w:eastAsia="SimSun" w:hAnsi="Liberation Serif" w:cs="Lucida Sans"/>
          <w:noProof/>
          <w:kern w:val="2"/>
          <w:sz w:val="24"/>
          <w:szCs w:val="24"/>
          <w:lang w:eastAsia="zh-CN" w:bidi="hi-IN"/>
        </w:rPr>
        <w:drawing>
          <wp:inline distT="0" distB="0" distL="0" distR="0" wp14:anchorId="3500B32A" wp14:editId="59DF39CD">
            <wp:extent cx="5400040" cy="3248506"/>
            <wp:effectExtent l="0" t="0" r="10160" b="9525"/>
            <wp:docPr id="48" name="Gráfico 48">
              <a:extLst xmlns:a="http://schemas.openxmlformats.org/drawingml/2006/main">
                <a:ext uri="{FF2B5EF4-FFF2-40B4-BE49-F238E27FC236}">
                  <a16:creationId xmlns:a16="http://schemas.microsoft.com/office/drawing/2014/main" id="{6E1C6F3E-2269-472C-8267-2ECE6D44BF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8"/>
              </a:graphicData>
            </a:graphic>
          </wp:inline>
        </w:drawing>
      </w:r>
    </w:p>
    <w:p w14:paraId="32F3B7A1" w14:textId="758BA8CB" w:rsidR="00CA2521" w:rsidRPr="004A12F6" w:rsidRDefault="004A12F6" w:rsidP="004A12F6">
      <w:pPr>
        <w:pStyle w:val="Descripcin"/>
        <w:jc w:val="center"/>
        <w:rPr>
          <w:rFonts w:ascii="Arial" w:hAnsi="Arial" w:cs="Arial"/>
          <w:smallCaps w:val="0"/>
          <w:sz w:val="18"/>
          <w:szCs w:val="18"/>
        </w:rPr>
      </w:pPr>
      <w:bookmarkStart w:id="90" w:name="_Toc99099804"/>
      <w:r w:rsidRPr="004A12F6">
        <w:rPr>
          <w:rFonts w:ascii="Arial" w:hAnsi="Arial" w:cs="Arial"/>
          <w:smallCaps w:val="0"/>
          <w:color w:val="9D2235" w:themeColor="accent1"/>
          <w:sz w:val="18"/>
          <w:szCs w:val="18"/>
        </w:rPr>
        <w:t xml:space="preserve">Gráfico </w:t>
      </w:r>
      <w:r w:rsidRPr="004A12F6">
        <w:rPr>
          <w:rFonts w:ascii="Arial" w:hAnsi="Arial" w:cs="Arial"/>
          <w:smallCaps w:val="0"/>
          <w:color w:val="9D2235" w:themeColor="accent1"/>
          <w:sz w:val="18"/>
          <w:szCs w:val="18"/>
        </w:rPr>
        <w:fldChar w:fldCharType="begin" w:fldLock="1"/>
      </w:r>
      <w:r w:rsidRPr="004A12F6">
        <w:rPr>
          <w:rFonts w:ascii="Arial" w:hAnsi="Arial" w:cs="Arial"/>
          <w:smallCaps w:val="0"/>
          <w:color w:val="9D2235" w:themeColor="accent1"/>
          <w:sz w:val="18"/>
          <w:szCs w:val="18"/>
        </w:rPr>
        <w:instrText xml:space="preserve"> SEQ Gráfico \* ARABIC </w:instrText>
      </w:r>
      <w:r w:rsidRPr="004A12F6">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5</w:t>
      </w:r>
      <w:r w:rsidRPr="004A12F6">
        <w:rPr>
          <w:rFonts w:ascii="Arial" w:hAnsi="Arial" w:cs="Arial"/>
          <w:smallCaps w:val="0"/>
          <w:color w:val="9D2235" w:themeColor="accent1"/>
          <w:sz w:val="18"/>
          <w:szCs w:val="18"/>
        </w:rPr>
        <w:fldChar w:fldCharType="end"/>
      </w:r>
      <w:r w:rsidRPr="004A12F6">
        <w:rPr>
          <w:rFonts w:ascii="Arial" w:hAnsi="Arial" w:cs="Arial"/>
          <w:smallCaps w:val="0"/>
          <w:color w:val="9D2235" w:themeColor="accent1"/>
          <w:sz w:val="18"/>
          <w:szCs w:val="18"/>
        </w:rPr>
        <w:t xml:space="preserve">. </w:t>
      </w:r>
      <w:r w:rsidR="00002AB1">
        <w:rPr>
          <w:rFonts w:ascii="Arial" w:hAnsi="Arial" w:cs="Arial"/>
          <w:smallCaps w:val="0"/>
          <w:sz w:val="18"/>
          <w:szCs w:val="18"/>
        </w:rPr>
        <w:t>s</w:t>
      </w:r>
      <w:r w:rsidRPr="004A12F6">
        <w:rPr>
          <w:rFonts w:ascii="Arial" w:hAnsi="Arial" w:cs="Arial"/>
          <w:smallCaps w:val="0"/>
          <w:sz w:val="18"/>
          <w:szCs w:val="18"/>
        </w:rPr>
        <w:t>olicitudes de protección desde 2017 a 2021, según el estado de tramitación del expediente administrativo</w:t>
      </w:r>
      <w:bookmarkEnd w:id="90"/>
    </w:p>
    <w:p w14:paraId="4B2252E8" w14:textId="25381836" w:rsidR="00CA2521" w:rsidRDefault="00CA2521" w:rsidP="00460454">
      <w:pPr>
        <w:spacing w:after="240" w:line="276" w:lineRule="auto"/>
        <w:jc w:val="both"/>
        <w:rPr>
          <w:rFonts w:ascii="Arial" w:hAnsi="Arial"/>
          <w:sz w:val="21"/>
          <w:szCs w:val="21"/>
        </w:rPr>
      </w:pPr>
    </w:p>
    <w:p w14:paraId="3142CFBB" w14:textId="77777777" w:rsidR="004A12F6" w:rsidRDefault="004A12F6" w:rsidP="004A12F6">
      <w:pPr>
        <w:keepNext/>
        <w:spacing w:after="240" w:line="276" w:lineRule="auto"/>
        <w:jc w:val="center"/>
      </w:pPr>
      <w:r w:rsidRPr="004F4DC9">
        <w:rPr>
          <w:rFonts w:ascii="Liberation Serif" w:eastAsia="SimSun" w:hAnsi="Liberation Serif" w:cs="Lucida Sans"/>
          <w:noProof/>
          <w:kern w:val="2"/>
          <w:sz w:val="24"/>
          <w:szCs w:val="24"/>
          <w:lang w:eastAsia="zh-CN" w:bidi="hi-IN"/>
        </w:rPr>
        <w:drawing>
          <wp:inline distT="0" distB="0" distL="0" distR="0" wp14:anchorId="7E41F757" wp14:editId="43BAC170">
            <wp:extent cx="4937125" cy="2895600"/>
            <wp:effectExtent l="0" t="0" r="0" b="0"/>
            <wp:docPr id="50" name="Gráfico 50">
              <a:extLst xmlns:a="http://schemas.openxmlformats.org/drawingml/2006/main">
                <a:ext uri="{FF2B5EF4-FFF2-40B4-BE49-F238E27FC236}">
                  <a16:creationId xmlns:a16="http://schemas.microsoft.com/office/drawing/2014/main" id="{3B747B36-2053-450F-B6B6-2CC24C5E32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9"/>
              </a:graphicData>
            </a:graphic>
          </wp:inline>
        </w:drawing>
      </w:r>
    </w:p>
    <w:p w14:paraId="740588DC" w14:textId="3D8C2BF5" w:rsidR="004A12F6" w:rsidRPr="004A12F6" w:rsidRDefault="004A12F6" w:rsidP="004A12F6">
      <w:pPr>
        <w:pStyle w:val="Descripcin"/>
        <w:jc w:val="center"/>
        <w:rPr>
          <w:rFonts w:ascii="Arial" w:hAnsi="Arial" w:cs="Arial"/>
          <w:smallCaps w:val="0"/>
          <w:sz w:val="18"/>
          <w:szCs w:val="18"/>
        </w:rPr>
      </w:pPr>
      <w:bookmarkStart w:id="91" w:name="_Toc99099805"/>
      <w:r w:rsidRPr="004A12F6">
        <w:rPr>
          <w:rFonts w:ascii="Arial" w:hAnsi="Arial" w:cs="Arial"/>
          <w:smallCaps w:val="0"/>
          <w:color w:val="9D2235" w:themeColor="accent1"/>
          <w:sz w:val="18"/>
          <w:szCs w:val="18"/>
        </w:rPr>
        <w:t xml:space="preserve">Gráfico </w:t>
      </w:r>
      <w:r w:rsidRPr="004A12F6">
        <w:rPr>
          <w:rFonts w:ascii="Arial" w:hAnsi="Arial" w:cs="Arial"/>
          <w:smallCaps w:val="0"/>
          <w:color w:val="9D2235" w:themeColor="accent1"/>
          <w:sz w:val="18"/>
          <w:szCs w:val="18"/>
        </w:rPr>
        <w:fldChar w:fldCharType="begin" w:fldLock="1"/>
      </w:r>
      <w:r w:rsidRPr="004A12F6">
        <w:rPr>
          <w:rFonts w:ascii="Arial" w:hAnsi="Arial" w:cs="Arial"/>
          <w:smallCaps w:val="0"/>
          <w:color w:val="9D2235" w:themeColor="accent1"/>
          <w:sz w:val="18"/>
          <w:szCs w:val="18"/>
        </w:rPr>
        <w:instrText xml:space="preserve"> SEQ Gráfico \* ARABIC </w:instrText>
      </w:r>
      <w:r w:rsidRPr="004A12F6">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6</w:t>
      </w:r>
      <w:r w:rsidRPr="004A12F6">
        <w:rPr>
          <w:rFonts w:ascii="Arial" w:hAnsi="Arial" w:cs="Arial"/>
          <w:smallCaps w:val="0"/>
          <w:color w:val="9D2235" w:themeColor="accent1"/>
          <w:sz w:val="18"/>
          <w:szCs w:val="18"/>
        </w:rPr>
        <w:fldChar w:fldCharType="end"/>
      </w:r>
      <w:r w:rsidRPr="004A12F6">
        <w:rPr>
          <w:rFonts w:ascii="Arial" w:hAnsi="Arial" w:cs="Arial"/>
          <w:smallCaps w:val="0"/>
          <w:color w:val="9D2235" w:themeColor="accent1"/>
          <w:sz w:val="18"/>
          <w:szCs w:val="18"/>
        </w:rPr>
        <w:t xml:space="preserve">. </w:t>
      </w:r>
      <w:r w:rsidRPr="004A12F6">
        <w:rPr>
          <w:rFonts w:ascii="Arial" w:hAnsi="Arial" w:cs="Arial"/>
          <w:smallCaps w:val="0"/>
          <w:sz w:val="18"/>
          <w:szCs w:val="18"/>
        </w:rPr>
        <w:t>Canal o medio de presentación de las solicitudes de protección desde 2017 a 2021</w:t>
      </w:r>
      <w:bookmarkEnd w:id="91"/>
    </w:p>
    <w:p w14:paraId="72070C5F" w14:textId="13728A8E" w:rsidR="004A12F6" w:rsidRDefault="004A12F6" w:rsidP="00460454">
      <w:pPr>
        <w:spacing w:after="240" w:line="276" w:lineRule="auto"/>
        <w:jc w:val="both"/>
        <w:rPr>
          <w:rFonts w:ascii="Arial" w:hAnsi="Arial"/>
          <w:sz w:val="21"/>
          <w:szCs w:val="21"/>
        </w:rPr>
      </w:pPr>
    </w:p>
    <w:p w14:paraId="2C3A2EBF" w14:textId="4F2021F6" w:rsidR="004A12F6" w:rsidRDefault="004A12F6" w:rsidP="00460454">
      <w:pPr>
        <w:spacing w:after="240" w:line="276" w:lineRule="auto"/>
        <w:jc w:val="both"/>
        <w:rPr>
          <w:rFonts w:ascii="Arial" w:hAnsi="Arial"/>
          <w:sz w:val="21"/>
          <w:szCs w:val="21"/>
        </w:rPr>
      </w:pPr>
    </w:p>
    <w:p w14:paraId="1EC3CCA3" w14:textId="588E3CC4" w:rsidR="004A12F6" w:rsidRDefault="004A12F6" w:rsidP="00460454">
      <w:pPr>
        <w:spacing w:after="240" w:line="276" w:lineRule="auto"/>
        <w:jc w:val="both"/>
        <w:rPr>
          <w:rFonts w:ascii="Arial" w:hAnsi="Arial"/>
          <w:sz w:val="21"/>
          <w:szCs w:val="21"/>
        </w:rPr>
      </w:pPr>
    </w:p>
    <w:p w14:paraId="676E0956" w14:textId="77777777" w:rsidR="001A6842" w:rsidRDefault="001A6842" w:rsidP="001A6842">
      <w:pPr>
        <w:keepNext/>
        <w:spacing w:after="240" w:line="276" w:lineRule="auto"/>
        <w:jc w:val="center"/>
      </w:pPr>
      <w:r w:rsidRPr="004F4DC9">
        <w:rPr>
          <w:rFonts w:ascii="Liberation Serif" w:eastAsia="SimSun" w:hAnsi="Liberation Serif" w:cs="Lucida Sans"/>
          <w:noProof/>
          <w:kern w:val="2"/>
          <w:sz w:val="24"/>
          <w:szCs w:val="24"/>
          <w:lang w:eastAsia="zh-CN" w:bidi="hi-IN"/>
        </w:rPr>
        <w:drawing>
          <wp:inline distT="0" distB="0" distL="0" distR="0" wp14:anchorId="28B94A98" wp14:editId="04BF1C06">
            <wp:extent cx="5400040" cy="3840763"/>
            <wp:effectExtent l="0" t="0" r="10160" b="7620"/>
            <wp:docPr id="53" name="Gráfico 53">
              <a:extLst xmlns:a="http://schemas.openxmlformats.org/drawingml/2006/main">
                <a:ext uri="{FF2B5EF4-FFF2-40B4-BE49-F238E27FC236}">
                  <a16:creationId xmlns:a16="http://schemas.microsoft.com/office/drawing/2014/main" id="{904FF1D3-8B4E-4ACF-9C6C-71FA4DAAAF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0"/>
              </a:graphicData>
            </a:graphic>
          </wp:inline>
        </w:drawing>
      </w:r>
    </w:p>
    <w:p w14:paraId="63BE03D7" w14:textId="56233E44" w:rsidR="004A12F6" w:rsidRPr="001A6842" w:rsidRDefault="001A6842" w:rsidP="001A6842">
      <w:pPr>
        <w:pStyle w:val="Descripcin"/>
        <w:jc w:val="center"/>
        <w:rPr>
          <w:rFonts w:ascii="Arial" w:hAnsi="Arial" w:cs="Arial"/>
          <w:smallCaps w:val="0"/>
          <w:sz w:val="18"/>
          <w:szCs w:val="18"/>
        </w:rPr>
      </w:pPr>
      <w:bookmarkStart w:id="92" w:name="_Toc99099806"/>
      <w:r w:rsidRPr="001A6842">
        <w:rPr>
          <w:rFonts w:ascii="Arial" w:hAnsi="Arial" w:cs="Arial"/>
          <w:smallCaps w:val="0"/>
          <w:color w:val="9D2235" w:themeColor="accent1"/>
          <w:sz w:val="18"/>
          <w:szCs w:val="18"/>
        </w:rPr>
        <w:t xml:space="preserve">Gráfico </w:t>
      </w:r>
      <w:r w:rsidRPr="001A6842">
        <w:rPr>
          <w:rFonts w:ascii="Arial" w:hAnsi="Arial" w:cs="Arial"/>
          <w:smallCaps w:val="0"/>
          <w:color w:val="9D2235" w:themeColor="accent1"/>
          <w:sz w:val="18"/>
          <w:szCs w:val="18"/>
        </w:rPr>
        <w:fldChar w:fldCharType="begin" w:fldLock="1"/>
      </w:r>
      <w:r w:rsidRPr="001A6842">
        <w:rPr>
          <w:rFonts w:ascii="Arial" w:hAnsi="Arial" w:cs="Arial"/>
          <w:smallCaps w:val="0"/>
          <w:color w:val="9D2235" w:themeColor="accent1"/>
          <w:sz w:val="18"/>
          <w:szCs w:val="18"/>
        </w:rPr>
        <w:instrText xml:space="preserve"> SEQ Gráfico \* ARABIC </w:instrText>
      </w:r>
      <w:r w:rsidRPr="001A6842">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7</w:t>
      </w:r>
      <w:r w:rsidRPr="001A6842">
        <w:rPr>
          <w:rFonts w:ascii="Arial" w:hAnsi="Arial" w:cs="Arial"/>
          <w:smallCaps w:val="0"/>
          <w:color w:val="9D2235" w:themeColor="accent1"/>
          <w:sz w:val="18"/>
          <w:szCs w:val="18"/>
        </w:rPr>
        <w:fldChar w:fldCharType="end"/>
      </w:r>
      <w:r w:rsidRPr="001A6842">
        <w:rPr>
          <w:rFonts w:ascii="Arial" w:hAnsi="Arial" w:cs="Arial"/>
          <w:smallCaps w:val="0"/>
          <w:sz w:val="18"/>
          <w:szCs w:val="18"/>
        </w:rPr>
        <w:t>. Número de solicitudes de protección presentadas según el tipo de administración, institución o entidad afectada por la denuncia desde 2017 a 2021</w:t>
      </w:r>
      <w:bookmarkEnd w:id="92"/>
    </w:p>
    <w:p w14:paraId="058E0344" w14:textId="341FE992" w:rsidR="004A12F6" w:rsidRDefault="004A12F6" w:rsidP="00460454">
      <w:pPr>
        <w:spacing w:after="240" w:line="276" w:lineRule="auto"/>
        <w:jc w:val="both"/>
        <w:rPr>
          <w:rFonts w:ascii="Arial" w:hAnsi="Arial"/>
          <w:sz w:val="21"/>
          <w:szCs w:val="21"/>
        </w:rPr>
      </w:pPr>
    </w:p>
    <w:p w14:paraId="6E68CFAF" w14:textId="77777777" w:rsidR="001A6842" w:rsidRDefault="001A6842" w:rsidP="001A6842">
      <w:pPr>
        <w:keepNext/>
        <w:spacing w:after="240" w:line="276" w:lineRule="auto"/>
        <w:jc w:val="center"/>
      </w:pPr>
      <w:r w:rsidRPr="004F4DC9">
        <w:rPr>
          <w:rFonts w:ascii="Liberation Serif" w:eastAsia="SimSun" w:hAnsi="Liberation Serif" w:cs="Lucida Sans"/>
          <w:noProof/>
          <w:kern w:val="2"/>
          <w:sz w:val="24"/>
          <w:szCs w:val="24"/>
          <w:lang w:eastAsia="zh-CN" w:bidi="hi-IN"/>
        </w:rPr>
        <w:drawing>
          <wp:inline distT="0" distB="0" distL="0" distR="0" wp14:anchorId="2D443F1A" wp14:editId="2E358A9C">
            <wp:extent cx="5386070" cy="3259015"/>
            <wp:effectExtent l="0" t="0" r="5080" b="17780"/>
            <wp:docPr id="58" name="Gráfico 58">
              <a:extLst xmlns:a="http://schemas.openxmlformats.org/drawingml/2006/main">
                <a:ext uri="{FF2B5EF4-FFF2-40B4-BE49-F238E27FC236}">
                  <a16:creationId xmlns:a16="http://schemas.microsoft.com/office/drawing/2014/main" id="{2981A59A-35BF-4198-B816-D398ECEB87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1"/>
              </a:graphicData>
            </a:graphic>
          </wp:inline>
        </w:drawing>
      </w:r>
    </w:p>
    <w:p w14:paraId="475063C6" w14:textId="4D2D3DD1" w:rsidR="004A12F6" w:rsidRDefault="001A6842" w:rsidP="001A6842">
      <w:pPr>
        <w:pStyle w:val="Descripcin"/>
        <w:jc w:val="center"/>
        <w:rPr>
          <w:rFonts w:ascii="Arial" w:hAnsi="Arial" w:cs="Arial"/>
          <w:smallCaps w:val="0"/>
          <w:sz w:val="18"/>
          <w:szCs w:val="18"/>
        </w:rPr>
      </w:pPr>
      <w:bookmarkStart w:id="93" w:name="_Toc99099807"/>
      <w:r w:rsidRPr="001A6842">
        <w:rPr>
          <w:rFonts w:ascii="Arial" w:hAnsi="Arial" w:cs="Arial"/>
          <w:smallCaps w:val="0"/>
          <w:color w:val="9D2235" w:themeColor="accent1"/>
          <w:sz w:val="18"/>
          <w:szCs w:val="18"/>
        </w:rPr>
        <w:t xml:space="preserve">Gráfico </w:t>
      </w:r>
      <w:r w:rsidRPr="001A6842">
        <w:rPr>
          <w:rFonts w:ascii="Arial" w:hAnsi="Arial" w:cs="Arial"/>
          <w:smallCaps w:val="0"/>
          <w:color w:val="9D2235" w:themeColor="accent1"/>
          <w:sz w:val="18"/>
          <w:szCs w:val="18"/>
        </w:rPr>
        <w:fldChar w:fldCharType="begin" w:fldLock="1"/>
      </w:r>
      <w:r w:rsidRPr="001A6842">
        <w:rPr>
          <w:rFonts w:ascii="Arial" w:hAnsi="Arial" w:cs="Arial"/>
          <w:smallCaps w:val="0"/>
          <w:color w:val="9D2235" w:themeColor="accent1"/>
          <w:sz w:val="18"/>
          <w:szCs w:val="18"/>
        </w:rPr>
        <w:instrText xml:space="preserve"> SEQ Gráfico \* ARABIC </w:instrText>
      </w:r>
      <w:r w:rsidRPr="001A6842">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8</w:t>
      </w:r>
      <w:r w:rsidRPr="001A6842">
        <w:rPr>
          <w:rFonts w:ascii="Arial" w:hAnsi="Arial" w:cs="Arial"/>
          <w:smallCaps w:val="0"/>
          <w:color w:val="9D2235" w:themeColor="accent1"/>
          <w:sz w:val="18"/>
          <w:szCs w:val="18"/>
        </w:rPr>
        <w:fldChar w:fldCharType="end"/>
      </w:r>
      <w:r w:rsidRPr="001A6842">
        <w:rPr>
          <w:rFonts w:ascii="Arial" w:hAnsi="Arial" w:cs="Arial"/>
          <w:smallCaps w:val="0"/>
          <w:color w:val="9D2235" w:themeColor="accent1"/>
          <w:sz w:val="18"/>
          <w:szCs w:val="18"/>
        </w:rPr>
        <w:t xml:space="preserve">. </w:t>
      </w:r>
      <w:r w:rsidRPr="001A6842">
        <w:rPr>
          <w:rFonts w:ascii="Arial" w:hAnsi="Arial" w:cs="Arial"/>
          <w:smallCaps w:val="0"/>
          <w:sz w:val="18"/>
          <w:szCs w:val="18"/>
        </w:rPr>
        <w:t>Número de solicitudes presentadas desde 2017 a 2021 según la provincia en la que se ubica la administración o entidad demandada</w:t>
      </w:r>
      <w:bookmarkEnd w:id="93"/>
    </w:p>
    <w:p w14:paraId="27EC3A13" w14:textId="2C7CA3B3" w:rsidR="00BF72F5" w:rsidRDefault="00BF72F5" w:rsidP="00BF72F5"/>
    <w:p w14:paraId="44A0D7BA" w14:textId="77777777" w:rsidR="00BF72F5" w:rsidRPr="00BF72F5" w:rsidRDefault="00BF72F5" w:rsidP="00BF72F5"/>
    <w:p w14:paraId="56DBD75C" w14:textId="77777777" w:rsidR="001A6842" w:rsidRDefault="001A6842" w:rsidP="001A6842">
      <w:pPr>
        <w:keepNext/>
        <w:spacing w:after="240" w:line="276" w:lineRule="auto"/>
        <w:jc w:val="center"/>
      </w:pPr>
      <w:r w:rsidRPr="004F4DC9">
        <w:rPr>
          <w:rFonts w:ascii="Liberation Serif" w:eastAsia="SimSun" w:hAnsi="Liberation Serif" w:cs="Lucida Sans"/>
          <w:noProof/>
          <w:kern w:val="2"/>
          <w:sz w:val="24"/>
          <w:szCs w:val="24"/>
          <w:lang w:eastAsia="zh-CN" w:bidi="hi-IN"/>
        </w:rPr>
        <w:drawing>
          <wp:inline distT="0" distB="0" distL="0" distR="0" wp14:anchorId="21161D62" wp14:editId="3056C4AC">
            <wp:extent cx="5400040" cy="3197568"/>
            <wp:effectExtent l="0" t="0" r="10160" b="3175"/>
            <wp:docPr id="59" name="Gráfico 59">
              <a:extLst xmlns:a="http://schemas.openxmlformats.org/drawingml/2006/main">
                <a:ext uri="{FF2B5EF4-FFF2-40B4-BE49-F238E27FC236}">
                  <a16:creationId xmlns:a16="http://schemas.microsoft.com/office/drawing/2014/main" id="{5F86ED16-0188-464B-8E23-D20D15B236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2"/>
              </a:graphicData>
            </a:graphic>
          </wp:inline>
        </w:drawing>
      </w:r>
    </w:p>
    <w:p w14:paraId="2A94F19B" w14:textId="0A9F3C2B" w:rsidR="00280120" w:rsidRDefault="001A6842" w:rsidP="00280120">
      <w:pPr>
        <w:pStyle w:val="Descripcin"/>
        <w:contextualSpacing/>
        <w:jc w:val="center"/>
        <w:rPr>
          <w:rFonts w:ascii="Arial" w:hAnsi="Arial" w:cs="Arial"/>
          <w:smallCaps w:val="0"/>
          <w:sz w:val="18"/>
          <w:szCs w:val="18"/>
        </w:rPr>
      </w:pPr>
      <w:bookmarkStart w:id="94" w:name="_Toc99099808"/>
      <w:r w:rsidRPr="001A6842">
        <w:rPr>
          <w:rFonts w:ascii="Arial" w:hAnsi="Arial" w:cs="Arial"/>
          <w:smallCaps w:val="0"/>
          <w:color w:val="9D2235" w:themeColor="accent1"/>
          <w:sz w:val="18"/>
          <w:szCs w:val="18"/>
        </w:rPr>
        <w:t xml:space="preserve">Gráfico </w:t>
      </w:r>
      <w:r w:rsidRPr="001A6842">
        <w:rPr>
          <w:rFonts w:ascii="Arial" w:hAnsi="Arial" w:cs="Arial"/>
          <w:smallCaps w:val="0"/>
          <w:color w:val="9D2235" w:themeColor="accent1"/>
          <w:sz w:val="18"/>
          <w:szCs w:val="18"/>
        </w:rPr>
        <w:fldChar w:fldCharType="begin" w:fldLock="1"/>
      </w:r>
      <w:r w:rsidRPr="001A6842">
        <w:rPr>
          <w:rFonts w:ascii="Arial" w:hAnsi="Arial" w:cs="Arial"/>
          <w:smallCaps w:val="0"/>
          <w:color w:val="9D2235" w:themeColor="accent1"/>
          <w:sz w:val="18"/>
          <w:szCs w:val="18"/>
        </w:rPr>
        <w:instrText xml:space="preserve"> SEQ Gráfico \* ARABIC </w:instrText>
      </w:r>
      <w:r w:rsidRPr="001A6842">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9</w:t>
      </w:r>
      <w:r w:rsidRPr="001A6842">
        <w:rPr>
          <w:rFonts w:ascii="Arial" w:hAnsi="Arial" w:cs="Arial"/>
          <w:smallCaps w:val="0"/>
          <w:color w:val="9D2235" w:themeColor="accent1"/>
          <w:sz w:val="18"/>
          <w:szCs w:val="18"/>
        </w:rPr>
        <w:fldChar w:fldCharType="end"/>
      </w:r>
      <w:r w:rsidRPr="001A6842">
        <w:rPr>
          <w:rFonts w:ascii="Arial" w:hAnsi="Arial" w:cs="Arial"/>
          <w:smallCaps w:val="0"/>
          <w:color w:val="9D2235" w:themeColor="accent1"/>
          <w:sz w:val="18"/>
          <w:szCs w:val="18"/>
        </w:rPr>
        <w:t xml:space="preserve">. </w:t>
      </w:r>
      <w:r w:rsidRPr="001A6842">
        <w:rPr>
          <w:rFonts w:ascii="Arial" w:hAnsi="Arial" w:cs="Arial"/>
          <w:smallCaps w:val="0"/>
          <w:sz w:val="18"/>
          <w:szCs w:val="18"/>
        </w:rPr>
        <w:t>Según el contenido de la denuncia realizada por los denunciantes protegidos</w:t>
      </w:r>
      <w:bookmarkEnd w:id="94"/>
    </w:p>
    <w:p w14:paraId="7E0C44C8" w14:textId="77777777" w:rsidR="00370473" w:rsidRPr="00370473" w:rsidRDefault="00370473" w:rsidP="00370473"/>
    <w:p w14:paraId="7C9221B9" w14:textId="77777777" w:rsidR="00280120" w:rsidRDefault="00280120" w:rsidP="00280120">
      <w:pPr>
        <w:keepNext/>
        <w:spacing w:after="240" w:line="276" w:lineRule="auto"/>
        <w:jc w:val="center"/>
      </w:pPr>
      <w:r w:rsidRPr="004F4DC9">
        <w:rPr>
          <w:rFonts w:ascii="Liberation Serif" w:eastAsia="SimSun" w:hAnsi="Liberation Serif" w:cs="Lucida Sans"/>
          <w:noProof/>
          <w:kern w:val="2"/>
          <w:sz w:val="24"/>
          <w:szCs w:val="24"/>
          <w:lang w:eastAsia="zh-CN" w:bidi="hi-IN"/>
        </w:rPr>
        <w:drawing>
          <wp:inline distT="0" distB="0" distL="0" distR="0" wp14:anchorId="1A27BF09" wp14:editId="6861E328">
            <wp:extent cx="5400040" cy="3512526"/>
            <wp:effectExtent l="0" t="0" r="10160" b="12065"/>
            <wp:docPr id="63" name="Gráfico 63">
              <a:extLst xmlns:a="http://schemas.openxmlformats.org/drawingml/2006/main">
                <a:ext uri="{FF2B5EF4-FFF2-40B4-BE49-F238E27FC236}">
                  <a16:creationId xmlns:a16="http://schemas.microsoft.com/office/drawing/2014/main" id="{02252EB6-CE01-4920-BE67-0EC90C4D86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3"/>
              </a:graphicData>
            </a:graphic>
          </wp:inline>
        </w:drawing>
      </w:r>
    </w:p>
    <w:p w14:paraId="02121F98" w14:textId="320DA696" w:rsidR="001A6842" w:rsidRPr="00280120" w:rsidRDefault="00280120" w:rsidP="00280120">
      <w:pPr>
        <w:pStyle w:val="Descripcin"/>
        <w:jc w:val="center"/>
        <w:rPr>
          <w:rFonts w:ascii="Arial" w:hAnsi="Arial" w:cs="Arial"/>
          <w:smallCaps w:val="0"/>
          <w:sz w:val="18"/>
          <w:szCs w:val="18"/>
        </w:rPr>
      </w:pPr>
      <w:bookmarkStart w:id="95" w:name="_Toc99099809"/>
      <w:r w:rsidRPr="00280120">
        <w:rPr>
          <w:rFonts w:ascii="Arial" w:hAnsi="Arial" w:cs="Arial"/>
          <w:smallCaps w:val="0"/>
          <w:color w:val="9D2235" w:themeColor="accent1"/>
          <w:sz w:val="18"/>
          <w:szCs w:val="18"/>
        </w:rPr>
        <w:t xml:space="preserve">Gráfico </w:t>
      </w:r>
      <w:r w:rsidRPr="00280120">
        <w:rPr>
          <w:rFonts w:ascii="Arial" w:hAnsi="Arial" w:cs="Arial"/>
          <w:smallCaps w:val="0"/>
          <w:color w:val="9D2235" w:themeColor="accent1"/>
          <w:sz w:val="18"/>
          <w:szCs w:val="18"/>
        </w:rPr>
        <w:fldChar w:fldCharType="begin" w:fldLock="1"/>
      </w:r>
      <w:r w:rsidRPr="00280120">
        <w:rPr>
          <w:rFonts w:ascii="Arial" w:hAnsi="Arial" w:cs="Arial"/>
          <w:smallCaps w:val="0"/>
          <w:color w:val="9D2235" w:themeColor="accent1"/>
          <w:sz w:val="18"/>
          <w:szCs w:val="18"/>
        </w:rPr>
        <w:instrText xml:space="preserve"> SEQ Gráfico \* ARABIC </w:instrText>
      </w:r>
      <w:r w:rsidRPr="00280120">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10</w:t>
      </w:r>
      <w:r w:rsidRPr="00280120">
        <w:rPr>
          <w:rFonts w:ascii="Arial" w:hAnsi="Arial" w:cs="Arial"/>
          <w:smallCaps w:val="0"/>
          <w:color w:val="9D2235" w:themeColor="accent1"/>
          <w:sz w:val="18"/>
          <w:szCs w:val="18"/>
        </w:rPr>
        <w:fldChar w:fldCharType="end"/>
      </w:r>
      <w:r w:rsidRPr="00280120">
        <w:rPr>
          <w:rFonts w:ascii="Arial" w:hAnsi="Arial" w:cs="Arial"/>
          <w:smallCaps w:val="0"/>
          <w:color w:val="9D2235" w:themeColor="accent1"/>
          <w:sz w:val="18"/>
          <w:szCs w:val="18"/>
        </w:rPr>
        <w:t xml:space="preserve">. </w:t>
      </w:r>
      <w:r w:rsidRPr="00280120">
        <w:rPr>
          <w:rFonts w:ascii="Arial" w:hAnsi="Arial" w:cs="Arial"/>
          <w:smallCaps w:val="0"/>
          <w:sz w:val="18"/>
          <w:szCs w:val="18"/>
        </w:rPr>
        <w:t>Número de solicitudes de protección presentadas y concedidas</w:t>
      </w:r>
      <w:r w:rsidR="00B148E8">
        <w:rPr>
          <w:rFonts w:ascii="Arial" w:hAnsi="Arial" w:cs="Arial"/>
          <w:smallCaps w:val="0"/>
          <w:sz w:val="18"/>
          <w:szCs w:val="18"/>
        </w:rPr>
        <w:t xml:space="preserve"> (años 2017 a 2021)</w:t>
      </w:r>
      <w:bookmarkEnd w:id="95"/>
    </w:p>
    <w:p w14:paraId="5D6F4566" w14:textId="6980E245" w:rsidR="001A6842" w:rsidRDefault="001A6842" w:rsidP="00460454">
      <w:pPr>
        <w:spacing w:after="240" w:line="276" w:lineRule="auto"/>
        <w:jc w:val="both"/>
        <w:rPr>
          <w:rFonts w:ascii="Arial" w:hAnsi="Arial"/>
          <w:sz w:val="21"/>
          <w:szCs w:val="21"/>
        </w:rPr>
      </w:pPr>
    </w:p>
    <w:p w14:paraId="107559E5" w14:textId="77777777" w:rsidR="00BF72F5" w:rsidRDefault="00BF72F5" w:rsidP="00460454">
      <w:pPr>
        <w:spacing w:after="240" w:line="276" w:lineRule="auto"/>
        <w:jc w:val="both"/>
        <w:rPr>
          <w:rFonts w:ascii="Arial" w:hAnsi="Arial"/>
          <w:sz w:val="21"/>
          <w:szCs w:val="21"/>
        </w:rPr>
      </w:pPr>
    </w:p>
    <w:p w14:paraId="016923D6" w14:textId="77777777" w:rsidR="00280120" w:rsidRDefault="00280120" w:rsidP="00280120">
      <w:pPr>
        <w:keepNext/>
        <w:spacing w:after="240" w:line="276" w:lineRule="auto"/>
        <w:jc w:val="center"/>
      </w:pPr>
      <w:r w:rsidRPr="004F4DC9">
        <w:rPr>
          <w:rFonts w:ascii="Liberation Serif" w:eastAsia="SimSun" w:hAnsi="Liberation Serif" w:cs="Lucida Sans"/>
          <w:noProof/>
          <w:kern w:val="2"/>
          <w:sz w:val="24"/>
          <w:szCs w:val="24"/>
          <w:lang w:eastAsia="zh-CN" w:bidi="hi-IN"/>
        </w:rPr>
        <w:drawing>
          <wp:inline distT="0" distB="0" distL="0" distR="0" wp14:anchorId="0D3780A4" wp14:editId="254ED0CC">
            <wp:extent cx="4842510" cy="2887393"/>
            <wp:effectExtent l="0" t="0" r="15240" b="8255"/>
            <wp:docPr id="65" name="Gráfico 65">
              <a:extLst xmlns:a="http://schemas.openxmlformats.org/drawingml/2006/main">
                <a:ext uri="{FF2B5EF4-FFF2-40B4-BE49-F238E27FC236}">
                  <a16:creationId xmlns:a16="http://schemas.microsoft.com/office/drawing/2014/main" id="{920AB4AF-95FE-4161-B93A-E40C598947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4"/>
              </a:graphicData>
            </a:graphic>
          </wp:inline>
        </w:drawing>
      </w:r>
    </w:p>
    <w:p w14:paraId="62FE72E7" w14:textId="24DE21E1" w:rsidR="001A6842" w:rsidRDefault="00280120" w:rsidP="00280120">
      <w:pPr>
        <w:pStyle w:val="Descripcin"/>
        <w:jc w:val="center"/>
        <w:rPr>
          <w:rFonts w:ascii="Arial" w:hAnsi="Arial" w:cs="Arial"/>
          <w:smallCaps w:val="0"/>
          <w:sz w:val="18"/>
          <w:szCs w:val="18"/>
        </w:rPr>
      </w:pPr>
      <w:bookmarkStart w:id="96" w:name="_Toc99099810"/>
      <w:r w:rsidRPr="00280120">
        <w:rPr>
          <w:rFonts w:ascii="Arial" w:hAnsi="Arial" w:cs="Arial"/>
          <w:smallCaps w:val="0"/>
          <w:color w:val="9D2235" w:themeColor="accent1"/>
          <w:sz w:val="18"/>
          <w:szCs w:val="18"/>
        </w:rPr>
        <w:t xml:space="preserve">Gráfico </w:t>
      </w:r>
      <w:r w:rsidRPr="00280120">
        <w:rPr>
          <w:rFonts w:ascii="Arial" w:hAnsi="Arial" w:cs="Arial"/>
          <w:smallCaps w:val="0"/>
          <w:color w:val="9D2235" w:themeColor="accent1"/>
          <w:sz w:val="18"/>
          <w:szCs w:val="18"/>
        </w:rPr>
        <w:fldChar w:fldCharType="begin" w:fldLock="1"/>
      </w:r>
      <w:r w:rsidRPr="00280120">
        <w:rPr>
          <w:rFonts w:ascii="Arial" w:hAnsi="Arial" w:cs="Arial"/>
          <w:smallCaps w:val="0"/>
          <w:color w:val="9D2235" w:themeColor="accent1"/>
          <w:sz w:val="18"/>
          <w:szCs w:val="18"/>
        </w:rPr>
        <w:instrText xml:space="preserve"> SEQ Gráfico \* ARABIC </w:instrText>
      </w:r>
      <w:r w:rsidRPr="00280120">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11</w:t>
      </w:r>
      <w:r w:rsidRPr="00280120">
        <w:rPr>
          <w:rFonts w:ascii="Arial" w:hAnsi="Arial" w:cs="Arial"/>
          <w:smallCaps w:val="0"/>
          <w:color w:val="9D2235" w:themeColor="accent1"/>
          <w:sz w:val="18"/>
          <w:szCs w:val="18"/>
        </w:rPr>
        <w:fldChar w:fldCharType="end"/>
      </w:r>
      <w:r w:rsidRPr="00280120">
        <w:rPr>
          <w:rFonts w:ascii="Arial" w:hAnsi="Arial" w:cs="Arial"/>
          <w:smallCaps w:val="0"/>
          <w:color w:val="9D2235" w:themeColor="accent1"/>
          <w:sz w:val="18"/>
          <w:szCs w:val="18"/>
        </w:rPr>
        <w:t xml:space="preserve">. </w:t>
      </w:r>
      <w:r w:rsidRPr="00280120">
        <w:rPr>
          <w:rFonts w:ascii="Arial" w:hAnsi="Arial" w:cs="Arial"/>
          <w:smallCaps w:val="0"/>
          <w:sz w:val="18"/>
          <w:szCs w:val="18"/>
        </w:rPr>
        <w:t>Personas denunciantes protegidas clasificadas por género (años 2017 a 2021)</w:t>
      </w:r>
      <w:bookmarkEnd w:id="96"/>
    </w:p>
    <w:p w14:paraId="2F09C99E" w14:textId="77777777" w:rsidR="00370473" w:rsidRPr="00370473" w:rsidRDefault="00370473" w:rsidP="00370473"/>
    <w:p w14:paraId="13349388" w14:textId="7BD39AAF" w:rsidR="00FB2C6D" w:rsidRDefault="00FB2C6D" w:rsidP="00FB2C6D">
      <w:pPr>
        <w:keepNext/>
        <w:spacing w:after="240" w:line="276" w:lineRule="auto"/>
        <w:jc w:val="center"/>
      </w:pPr>
      <w:r w:rsidRPr="004F4DC9">
        <w:rPr>
          <w:rFonts w:ascii="Liberation Serif" w:eastAsia="SimSun" w:hAnsi="Liberation Serif" w:cs="Lucida Sans"/>
          <w:noProof/>
          <w:kern w:val="2"/>
          <w:sz w:val="24"/>
          <w:szCs w:val="24"/>
          <w:lang w:eastAsia="zh-CN" w:bidi="hi-IN"/>
        </w:rPr>
        <w:drawing>
          <wp:inline distT="0" distB="0" distL="0" distR="0" wp14:anchorId="0494F490" wp14:editId="00E9DDF5">
            <wp:extent cx="5215890" cy="2849245"/>
            <wp:effectExtent l="0" t="0" r="3810" b="8255"/>
            <wp:docPr id="68" name="Gráfico 68">
              <a:extLst xmlns:a="http://schemas.openxmlformats.org/drawingml/2006/main">
                <a:ext uri="{FF2B5EF4-FFF2-40B4-BE49-F238E27FC236}">
                  <a16:creationId xmlns:a16="http://schemas.microsoft.com/office/drawing/2014/main" id="{A2800591-76CE-4B2A-8B44-C3E0B863A8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5"/>
              </a:graphicData>
            </a:graphic>
          </wp:inline>
        </w:drawing>
      </w:r>
    </w:p>
    <w:p w14:paraId="2D47F002" w14:textId="7C416810" w:rsidR="001A6842" w:rsidRPr="00FB2C6D" w:rsidRDefault="00FB2C6D" w:rsidP="00FB2C6D">
      <w:pPr>
        <w:pStyle w:val="Descripcin"/>
        <w:jc w:val="center"/>
        <w:rPr>
          <w:rFonts w:ascii="Arial" w:hAnsi="Arial" w:cs="Arial"/>
          <w:smallCaps w:val="0"/>
          <w:sz w:val="18"/>
          <w:szCs w:val="18"/>
        </w:rPr>
      </w:pPr>
      <w:bookmarkStart w:id="97" w:name="_Toc99099811"/>
      <w:r w:rsidRPr="00FB2C6D">
        <w:rPr>
          <w:rFonts w:ascii="Arial" w:hAnsi="Arial" w:cs="Arial"/>
          <w:smallCaps w:val="0"/>
          <w:color w:val="9D2235" w:themeColor="accent1"/>
          <w:sz w:val="18"/>
          <w:szCs w:val="18"/>
        </w:rPr>
        <w:t xml:space="preserve">Gráfico </w:t>
      </w:r>
      <w:r w:rsidRPr="00FB2C6D">
        <w:rPr>
          <w:rFonts w:ascii="Arial" w:hAnsi="Arial" w:cs="Arial"/>
          <w:smallCaps w:val="0"/>
          <w:color w:val="9D2235" w:themeColor="accent1"/>
          <w:sz w:val="18"/>
          <w:szCs w:val="18"/>
        </w:rPr>
        <w:fldChar w:fldCharType="begin" w:fldLock="1"/>
      </w:r>
      <w:r w:rsidRPr="00FB2C6D">
        <w:rPr>
          <w:rFonts w:ascii="Arial" w:hAnsi="Arial" w:cs="Arial"/>
          <w:smallCaps w:val="0"/>
          <w:color w:val="9D2235" w:themeColor="accent1"/>
          <w:sz w:val="18"/>
          <w:szCs w:val="18"/>
        </w:rPr>
        <w:instrText xml:space="preserve"> SEQ Gráfico \* ARABIC </w:instrText>
      </w:r>
      <w:r w:rsidRPr="00FB2C6D">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12</w:t>
      </w:r>
      <w:r w:rsidRPr="00FB2C6D">
        <w:rPr>
          <w:rFonts w:ascii="Arial" w:hAnsi="Arial" w:cs="Arial"/>
          <w:smallCaps w:val="0"/>
          <w:color w:val="9D2235" w:themeColor="accent1"/>
          <w:sz w:val="18"/>
          <w:szCs w:val="18"/>
        </w:rPr>
        <w:fldChar w:fldCharType="end"/>
      </w:r>
      <w:r w:rsidRPr="00FB2C6D">
        <w:rPr>
          <w:rFonts w:ascii="Arial" w:hAnsi="Arial" w:cs="Arial"/>
          <w:smallCaps w:val="0"/>
          <w:color w:val="9D2235" w:themeColor="accent1"/>
          <w:sz w:val="18"/>
          <w:szCs w:val="18"/>
        </w:rPr>
        <w:t xml:space="preserve">. </w:t>
      </w:r>
      <w:r w:rsidRPr="00FB2C6D">
        <w:rPr>
          <w:rFonts w:ascii="Arial" w:hAnsi="Arial" w:cs="Arial"/>
          <w:smallCaps w:val="0"/>
          <w:sz w:val="18"/>
          <w:szCs w:val="18"/>
        </w:rPr>
        <w:t>Condición laboral de los trabajadores a los que se le ha concedido el estatuto de persona denunciante (años 2017 a 2021)</w:t>
      </w:r>
      <w:bookmarkEnd w:id="97"/>
    </w:p>
    <w:p w14:paraId="74256A68" w14:textId="77777777" w:rsidR="00FB2C6D" w:rsidRDefault="00FB2C6D" w:rsidP="00460454">
      <w:pPr>
        <w:spacing w:after="240" w:line="276" w:lineRule="auto"/>
        <w:jc w:val="both"/>
        <w:rPr>
          <w:rFonts w:ascii="Arial" w:hAnsi="Arial"/>
          <w:sz w:val="21"/>
          <w:szCs w:val="21"/>
        </w:rPr>
      </w:pPr>
    </w:p>
    <w:p w14:paraId="51D19FBC" w14:textId="77777777" w:rsidR="00FB2C6D" w:rsidRDefault="00FB2C6D" w:rsidP="00FB2C6D">
      <w:pPr>
        <w:keepNext/>
        <w:spacing w:after="240" w:line="276" w:lineRule="auto"/>
        <w:jc w:val="center"/>
      </w:pPr>
      <w:r w:rsidRPr="004F4DC9">
        <w:rPr>
          <w:rFonts w:ascii="Liberation Serif" w:eastAsia="SimSun" w:hAnsi="Liberation Serif" w:cs="Lucida Sans"/>
          <w:noProof/>
          <w:kern w:val="2"/>
          <w:sz w:val="24"/>
          <w:szCs w:val="24"/>
          <w:lang w:eastAsia="zh-CN" w:bidi="hi-IN"/>
        </w:rPr>
        <w:drawing>
          <wp:inline distT="0" distB="0" distL="0" distR="0" wp14:anchorId="42D9AFCC" wp14:editId="105146AA">
            <wp:extent cx="5400040" cy="3440158"/>
            <wp:effectExtent l="0" t="0" r="0" b="8255"/>
            <wp:docPr id="70" name="Gráfico 70">
              <a:extLst xmlns:a="http://schemas.openxmlformats.org/drawingml/2006/main">
                <a:ext uri="{FF2B5EF4-FFF2-40B4-BE49-F238E27FC236}">
                  <a16:creationId xmlns:a16="http://schemas.microsoft.com/office/drawing/2014/main" id="{7AC776B4-8B8D-4AA9-A12A-B6679F6C3A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6"/>
              </a:graphicData>
            </a:graphic>
          </wp:inline>
        </w:drawing>
      </w:r>
    </w:p>
    <w:p w14:paraId="2560BE0E" w14:textId="72875161" w:rsidR="001A6842" w:rsidRPr="00370473" w:rsidRDefault="00FB2C6D" w:rsidP="00FB2C6D">
      <w:pPr>
        <w:pStyle w:val="Descripcin"/>
        <w:contextualSpacing/>
        <w:jc w:val="center"/>
        <w:rPr>
          <w:rFonts w:ascii="Arial" w:hAnsi="Arial" w:cs="Arial"/>
          <w:smallCaps w:val="0"/>
          <w:sz w:val="18"/>
          <w:szCs w:val="18"/>
        </w:rPr>
      </w:pPr>
      <w:bookmarkStart w:id="98" w:name="_Toc99099812"/>
      <w:r w:rsidRPr="00370473">
        <w:rPr>
          <w:rFonts w:ascii="Arial" w:hAnsi="Arial" w:cs="Arial"/>
          <w:smallCaps w:val="0"/>
          <w:color w:val="9D2235" w:themeColor="accent1"/>
          <w:sz w:val="18"/>
          <w:szCs w:val="18"/>
        </w:rPr>
        <w:t xml:space="preserve">Gráfico </w:t>
      </w:r>
      <w:r w:rsidRPr="00370473">
        <w:rPr>
          <w:rFonts w:ascii="Arial" w:hAnsi="Arial" w:cs="Arial"/>
          <w:smallCaps w:val="0"/>
          <w:color w:val="9D2235" w:themeColor="accent1"/>
          <w:sz w:val="18"/>
          <w:szCs w:val="18"/>
        </w:rPr>
        <w:fldChar w:fldCharType="begin" w:fldLock="1"/>
      </w:r>
      <w:r w:rsidRPr="00370473">
        <w:rPr>
          <w:rFonts w:ascii="Arial" w:hAnsi="Arial" w:cs="Arial"/>
          <w:smallCaps w:val="0"/>
          <w:color w:val="9D2235" w:themeColor="accent1"/>
          <w:sz w:val="18"/>
          <w:szCs w:val="18"/>
        </w:rPr>
        <w:instrText xml:space="preserve"> SEQ Gráfico \* ARABIC </w:instrText>
      </w:r>
      <w:r w:rsidRPr="00370473">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13</w:t>
      </w:r>
      <w:r w:rsidRPr="00370473">
        <w:rPr>
          <w:rFonts w:ascii="Arial" w:hAnsi="Arial" w:cs="Arial"/>
          <w:smallCaps w:val="0"/>
          <w:color w:val="9D2235" w:themeColor="accent1"/>
          <w:sz w:val="18"/>
          <w:szCs w:val="18"/>
        </w:rPr>
        <w:fldChar w:fldCharType="end"/>
      </w:r>
      <w:r w:rsidRPr="00370473">
        <w:rPr>
          <w:rFonts w:ascii="Arial" w:hAnsi="Arial" w:cs="Arial"/>
          <w:smallCaps w:val="0"/>
          <w:color w:val="9D2235" w:themeColor="accent1"/>
          <w:sz w:val="18"/>
          <w:szCs w:val="18"/>
        </w:rPr>
        <w:t xml:space="preserve">. </w:t>
      </w:r>
      <w:r w:rsidRPr="00370473">
        <w:rPr>
          <w:rFonts w:ascii="Arial" w:hAnsi="Arial" w:cs="Arial"/>
          <w:smallCaps w:val="0"/>
          <w:sz w:val="18"/>
          <w:szCs w:val="18"/>
        </w:rPr>
        <w:t>Según el contenido de la denuncia realizada por los denunciantes protegidos</w:t>
      </w:r>
      <w:r w:rsidR="00B148E8">
        <w:rPr>
          <w:rFonts w:ascii="Arial" w:hAnsi="Arial" w:cs="Arial"/>
          <w:smallCaps w:val="0"/>
          <w:sz w:val="18"/>
          <w:szCs w:val="18"/>
        </w:rPr>
        <w:t xml:space="preserve"> en la solicitud</w:t>
      </w:r>
      <w:r w:rsidRPr="00370473">
        <w:rPr>
          <w:rFonts w:ascii="Arial" w:hAnsi="Arial" w:cs="Arial"/>
          <w:smallCaps w:val="0"/>
          <w:sz w:val="18"/>
          <w:szCs w:val="18"/>
        </w:rPr>
        <w:t xml:space="preserve"> (</w:t>
      </w:r>
      <w:r w:rsidR="00B148E8">
        <w:rPr>
          <w:rFonts w:ascii="Arial" w:hAnsi="Arial" w:cs="Arial"/>
          <w:smallCaps w:val="0"/>
          <w:sz w:val="18"/>
          <w:szCs w:val="18"/>
        </w:rPr>
        <w:t xml:space="preserve">años </w:t>
      </w:r>
      <w:r w:rsidRPr="00370473">
        <w:rPr>
          <w:rFonts w:ascii="Arial" w:hAnsi="Arial" w:cs="Arial"/>
          <w:smallCaps w:val="0"/>
          <w:sz w:val="18"/>
          <w:szCs w:val="18"/>
        </w:rPr>
        <w:t xml:space="preserve">2017 </w:t>
      </w:r>
      <w:r w:rsidR="00B148E8">
        <w:rPr>
          <w:rFonts w:ascii="Arial" w:hAnsi="Arial" w:cs="Arial"/>
          <w:smallCaps w:val="0"/>
          <w:sz w:val="18"/>
          <w:szCs w:val="18"/>
        </w:rPr>
        <w:t>a</w:t>
      </w:r>
      <w:r w:rsidRPr="00370473">
        <w:rPr>
          <w:rFonts w:ascii="Arial" w:hAnsi="Arial" w:cs="Arial"/>
          <w:smallCaps w:val="0"/>
          <w:sz w:val="18"/>
          <w:szCs w:val="18"/>
        </w:rPr>
        <w:t xml:space="preserve"> 2021)</w:t>
      </w:r>
      <w:bookmarkEnd w:id="98"/>
    </w:p>
    <w:p w14:paraId="4377E9CF" w14:textId="77777777" w:rsidR="005761A2" w:rsidRPr="005761A2" w:rsidRDefault="005761A2" w:rsidP="000F2343">
      <w:pPr>
        <w:pStyle w:val="Prrafodelista"/>
        <w:keepNext/>
        <w:numPr>
          <w:ilvl w:val="1"/>
          <w:numId w:val="16"/>
        </w:numPr>
        <w:suppressAutoHyphens/>
        <w:spacing w:before="360" w:after="240" w:line="276" w:lineRule="auto"/>
        <w:ind w:left="851" w:hanging="851"/>
        <w:contextualSpacing w:val="0"/>
        <w:jc w:val="both"/>
        <w:outlineLvl w:val="1"/>
        <w:rPr>
          <w:rFonts w:ascii="Arial" w:eastAsia="Times New Roman" w:hAnsi="Arial" w:cs="Arial"/>
          <w:b/>
          <w:color w:val="9D2235"/>
          <w:sz w:val="32"/>
          <w:szCs w:val="32"/>
        </w:rPr>
      </w:pPr>
      <w:bookmarkStart w:id="99" w:name="_Toc99107001"/>
      <w:r w:rsidRPr="005761A2">
        <w:rPr>
          <w:rFonts w:ascii="Arial" w:eastAsia="Times New Roman" w:hAnsi="Arial" w:cs="Arial"/>
          <w:b/>
          <w:color w:val="9D2235"/>
          <w:sz w:val="32"/>
          <w:szCs w:val="32"/>
        </w:rPr>
        <w:t>Otros asuntos jurídicos</w:t>
      </w:r>
      <w:bookmarkEnd w:id="99"/>
    </w:p>
    <w:p w14:paraId="568ACB0D" w14:textId="77777777" w:rsidR="005761A2" w:rsidRPr="005761A2" w:rsidRDefault="005761A2" w:rsidP="00A51BD4">
      <w:pPr>
        <w:pStyle w:val="Prrafodelista"/>
        <w:keepNext/>
        <w:numPr>
          <w:ilvl w:val="2"/>
          <w:numId w:val="16"/>
        </w:numPr>
        <w:suppressAutoHyphens/>
        <w:spacing w:before="360" w:after="240" w:line="276" w:lineRule="auto"/>
        <w:ind w:left="993" w:hanging="993"/>
        <w:jc w:val="both"/>
        <w:outlineLvl w:val="2"/>
        <w:rPr>
          <w:rFonts w:ascii="Arial" w:eastAsia="Times New Roman" w:hAnsi="Arial" w:cs="Arial"/>
          <w:b/>
          <w:color w:val="9D2235"/>
          <w:sz w:val="28"/>
          <w:szCs w:val="28"/>
        </w:rPr>
      </w:pPr>
      <w:bookmarkStart w:id="100" w:name="_Toc99107002"/>
      <w:r w:rsidRPr="005761A2">
        <w:rPr>
          <w:rFonts w:ascii="Arial" w:eastAsia="Times New Roman" w:hAnsi="Arial" w:cs="Arial"/>
          <w:b/>
          <w:color w:val="9D2235"/>
          <w:sz w:val="28"/>
          <w:szCs w:val="28"/>
        </w:rPr>
        <w:t>Asesoramiento jurídico, secretaría de órganos colegiados y otros</w:t>
      </w:r>
      <w:bookmarkEnd w:id="100"/>
    </w:p>
    <w:p w14:paraId="02AE38F6" w14:textId="77777777" w:rsidR="005761A2" w:rsidRPr="005761A2" w:rsidRDefault="005761A2" w:rsidP="005761A2">
      <w:pPr>
        <w:spacing w:after="240" w:line="276" w:lineRule="auto"/>
        <w:jc w:val="both"/>
        <w:rPr>
          <w:rFonts w:ascii="Arial" w:hAnsi="Arial"/>
          <w:sz w:val="21"/>
          <w:szCs w:val="21"/>
        </w:rPr>
      </w:pPr>
      <w:r w:rsidRPr="005761A2">
        <w:rPr>
          <w:rFonts w:ascii="Arial" w:hAnsi="Arial"/>
          <w:sz w:val="21"/>
          <w:szCs w:val="21"/>
        </w:rPr>
        <w:t xml:space="preserve">Corresponde a la Dirección de Asuntos Jurídicos prestar </w:t>
      </w:r>
      <w:r w:rsidRPr="005761A2">
        <w:rPr>
          <w:rFonts w:ascii="Arial" w:hAnsi="Arial"/>
          <w:b/>
          <w:bCs/>
          <w:sz w:val="21"/>
          <w:szCs w:val="21"/>
        </w:rPr>
        <w:t>asesoramiento jurídico</w:t>
      </w:r>
      <w:r w:rsidRPr="005761A2">
        <w:rPr>
          <w:rFonts w:ascii="Arial" w:hAnsi="Arial"/>
          <w:sz w:val="21"/>
          <w:szCs w:val="21"/>
        </w:rPr>
        <w:t xml:space="preserve"> a la persona titular de la Dirección de la Agencia y a las diferentes unidades administrativas que la integran, estudiar y dar respuesta a las consultas sobre aspectos legales de las cuestiones que se planteen, así como emitir informes jurídicos específicos, preceptivos, entre otros, los relativos a expedientes de contratación y de tramitación de convenios, y no preceptivos.</w:t>
      </w:r>
    </w:p>
    <w:p w14:paraId="59AD9845" w14:textId="53555586" w:rsidR="005761A2" w:rsidRPr="005761A2" w:rsidRDefault="005761A2" w:rsidP="00A17E7B">
      <w:pPr>
        <w:spacing w:after="240" w:line="276" w:lineRule="auto"/>
        <w:jc w:val="both"/>
        <w:rPr>
          <w:rFonts w:ascii="Arial" w:hAnsi="Arial"/>
          <w:sz w:val="21"/>
          <w:szCs w:val="21"/>
        </w:rPr>
      </w:pPr>
      <w:r w:rsidRPr="005761A2">
        <w:rPr>
          <w:rFonts w:ascii="Arial" w:hAnsi="Arial"/>
          <w:sz w:val="21"/>
          <w:szCs w:val="21"/>
        </w:rPr>
        <w:t xml:space="preserve">Durante el ejercicio 2021, respecto a la emisión de </w:t>
      </w:r>
      <w:r w:rsidRPr="005761A2">
        <w:rPr>
          <w:rFonts w:ascii="Arial" w:hAnsi="Arial"/>
          <w:b/>
          <w:bCs/>
          <w:sz w:val="21"/>
          <w:szCs w:val="21"/>
        </w:rPr>
        <w:t>informes de relevancia jurídica</w:t>
      </w:r>
      <w:r w:rsidRPr="005761A2">
        <w:rPr>
          <w:rFonts w:ascii="Arial" w:hAnsi="Arial"/>
          <w:sz w:val="21"/>
          <w:szCs w:val="21"/>
        </w:rPr>
        <w:t>, destacan los relacionados con la interpretación del artículo 12 del Reglamento de las Corts Valencian</w:t>
      </w:r>
      <w:r w:rsidR="00CC7691">
        <w:rPr>
          <w:rFonts w:ascii="Arial" w:hAnsi="Arial"/>
          <w:sz w:val="21"/>
          <w:szCs w:val="21"/>
        </w:rPr>
        <w:t>e</w:t>
      </w:r>
      <w:r w:rsidRPr="005761A2">
        <w:rPr>
          <w:rFonts w:ascii="Arial" w:hAnsi="Arial"/>
          <w:sz w:val="21"/>
          <w:szCs w:val="21"/>
        </w:rPr>
        <w:t>s, publicados en nuestra página web, en concreto, en los asuntos siguientes:</w:t>
      </w:r>
    </w:p>
    <w:p w14:paraId="623FAFE9" w14:textId="7AC04DFF" w:rsidR="005761A2" w:rsidRPr="005761A2" w:rsidRDefault="00AF48E6" w:rsidP="00F84B8B">
      <w:pPr>
        <w:numPr>
          <w:ilvl w:val="0"/>
          <w:numId w:val="168"/>
        </w:numPr>
        <w:spacing w:after="120" w:line="276" w:lineRule="auto"/>
        <w:ind w:left="714" w:hanging="357"/>
        <w:jc w:val="both"/>
        <w:rPr>
          <w:rFonts w:ascii="Arial" w:hAnsi="Arial"/>
          <w:sz w:val="21"/>
          <w:szCs w:val="21"/>
        </w:rPr>
      </w:pPr>
      <w:hyperlink r:id="rId357" w:history="1">
        <w:r w:rsidR="005761A2" w:rsidRPr="005761A2">
          <w:rPr>
            <w:rStyle w:val="Hipervnculo"/>
            <w:rFonts w:ascii="Arial" w:hAnsi="Arial"/>
            <w:sz w:val="21"/>
            <w:szCs w:val="21"/>
          </w:rPr>
          <w:t>Contestación al escrito de 21 de mayo de 2021 del S</w:t>
        </w:r>
        <w:r w:rsidR="00206A23">
          <w:rPr>
            <w:rStyle w:val="Hipervnculo"/>
            <w:rFonts w:ascii="Arial" w:hAnsi="Arial"/>
            <w:sz w:val="21"/>
            <w:szCs w:val="21"/>
          </w:rPr>
          <w:t>í</w:t>
        </w:r>
        <w:r w:rsidR="005761A2" w:rsidRPr="005761A2">
          <w:rPr>
            <w:rStyle w:val="Hipervnculo"/>
            <w:rFonts w:ascii="Arial" w:hAnsi="Arial"/>
            <w:sz w:val="21"/>
            <w:szCs w:val="21"/>
          </w:rPr>
          <w:t>ndic de Greuges, en relación con la queja núm. 2100376, de fecha 1 de junio de 2021</w:t>
        </w:r>
      </w:hyperlink>
      <w:r w:rsidR="005761A2" w:rsidRPr="005761A2">
        <w:rPr>
          <w:rFonts w:ascii="Arial" w:hAnsi="Arial"/>
          <w:sz w:val="21"/>
          <w:szCs w:val="21"/>
        </w:rPr>
        <w:t>.</w:t>
      </w:r>
    </w:p>
    <w:p w14:paraId="5014D00F" w14:textId="77777777" w:rsidR="005761A2" w:rsidRPr="005761A2" w:rsidRDefault="00AF48E6" w:rsidP="00F84B8B">
      <w:pPr>
        <w:numPr>
          <w:ilvl w:val="0"/>
          <w:numId w:val="168"/>
        </w:numPr>
        <w:spacing w:after="120" w:line="276" w:lineRule="auto"/>
        <w:ind w:left="714" w:hanging="357"/>
        <w:jc w:val="both"/>
        <w:rPr>
          <w:rFonts w:ascii="Arial" w:hAnsi="Arial"/>
          <w:sz w:val="21"/>
          <w:szCs w:val="21"/>
        </w:rPr>
      </w:pPr>
      <w:hyperlink r:id="rId358" w:history="1">
        <w:r w:rsidR="005761A2" w:rsidRPr="005761A2">
          <w:rPr>
            <w:rStyle w:val="Hipervnculo"/>
            <w:rFonts w:ascii="Arial" w:hAnsi="Arial"/>
            <w:sz w:val="21"/>
            <w:szCs w:val="21"/>
          </w:rPr>
          <w:t>Informe sobre la recomendación y consideraciones manifestadas por el Síndic de Greuges, en relación con la queja núm. 2100376, de fecha 30 de abril de 2021.</w:t>
        </w:r>
      </w:hyperlink>
    </w:p>
    <w:p w14:paraId="19B01EE3" w14:textId="77777777" w:rsidR="005761A2" w:rsidRPr="005761A2" w:rsidRDefault="00AF48E6" w:rsidP="00F84B8B">
      <w:pPr>
        <w:numPr>
          <w:ilvl w:val="0"/>
          <w:numId w:val="168"/>
        </w:numPr>
        <w:spacing w:after="120" w:line="276" w:lineRule="auto"/>
        <w:ind w:left="714" w:hanging="357"/>
        <w:jc w:val="both"/>
        <w:rPr>
          <w:rFonts w:ascii="Arial" w:hAnsi="Arial"/>
          <w:sz w:val="21"/>
          <w:szCs w:val="21"/>
        </w:rPr>
      </w:pPr>
      <w:hyperlink r:id="rId359" w:history="1">
        <w:r w:rsidR="005761A2" w:rsidRPr="005761A2">
          <w:rPr>
            <w:rStyle w:val="Hipervnculo"/>
            <w:rFonts w:ascii="Arial" w:hAnsi="Arial"/>
            <w:sz w:val="21"/>
            <w:szCs w:val="21"/>
          </w:rPr>
          <w:t>Informe que emite la Dirección de Asuntos Jurídicos en relación con el informe de letrado de las Corts de 26 de febrero de 2021 sobre las solicitudes de documentación del artículo 12 del Reglamento de las Corts, de fecha 22 de marzo de 2021</w:t>
        </w:r>
      </w:hyperlink>
      <w:r w:rsidR="005761A2" w:rsidRPr="005761A2">
        <w:rPr>
          <w:rFonts w:ascii="Arial" w:hAnsi="Arial"/>
          <w:sz w:val="21"/>
          <w:szCs w:val="21"/>
        </w:rPr>
        <w:t>.</w:t>
      </w:r>
    </w:p>
    <w:p w14:paraId="7FF45EDF" w14:textId="77777777" w:rsidR="005761A2" w:rsidRPr="005761A2" w:rsidRDefault="00AF48E6" w:rsidP="00F84B8B">
      <w:pPr>
        <w:numPr>
          <w:ilvl w:val="0"/>
          <w:numId w:val="168"/>
        </w:numPr>
        <w:spacing w:after="240" w:line="276" w:lineRule="auto"/>
        <w:jc w:val="both"/>
        <w:rPr>
          <w:rFonts w:ascii="Arial" w:hAnsi="Arial"/>
          <w:sz w:val="21"/>
          <w:szCs w:val="21"/>
        </w:rPr>
      </w:pPr>
      <w:hyperlink r:id="rId360" w:history="1">
        <w:r w:rsidR="005761A2" w:rsidRPr="005761A2">
          <w:rPr>
            <w:rStyle w:val="Hipervnculo"/>
            <w:rFonts w:ascii="Arial" w:hAnsi="Arial"/>
            <w:sz w:val="21"/>
            <w:szCs w:val="21"/>
          </w:rPr>
          <w:t>Informe dirigido al Síndic de Greuges en contestación a la queja núm. 2100376, de fecha 2 de marzo de 2021</w:t>
        </w:r>
      </w:hyperlink>
      <w:r w:rsidR="005761A2" w:rsidRPr="005761A2">
        <w:rPr>
          <w:rFonts w:ascii="Arial" w:hAnsi="Arial"/>
          <w:sz w:val="21"/>
          <w:szCs w:val="21"/>
        </w:rPr>
        <w:t>.</w:t>
      </w:r>
    </w:p>
    <w:p w14:paraId="60B6011F" w14:textId="77777777" w:rsidR="005761A2" w:rsidRPr="005761A2" w:rsidRDefault="005761A2" w:rsidP="005761A2">
      <w:pPr>
        <w:spacing w:after="240" w:line="276" w:lineRule="auto"/>
        <w:jc w:val="both"/>
        <w:rPr>
          <w:rFonts w:ascii="Arial" w:hAnsi="Arial"/>
          <w:sz w:val="21"/>
          <w:szCs w:val="21"/>
        </w:rPr>
      </w:pPr>
      <w:r w:rsidRPr="005761A2">
        <w:rPr>
          <w:rFonts w:ascii="Arial" w:hAnsi="Arial"/>
          <w:sz w:val="21"/>
          <w:szCs w:val="21"/>
        </w:rPr>
        <w:t>En cuanto a la materia de personal, se han emitido los siguientes informes jurídicos a solicitud del Área de Administración, Recursos Humanos y Gestión Económica:</w:t>
      </w:r>
    </w:p>
    <w:p w14:paraId="1AA3CCAC" w14:textId="77777777" w:rsidR="005761A2" w:rsidRPr="005761A2" w:rsidRDefault="005761A2" w:rsidP="00F84B8B">
      <w:pPr>
        <w:numPr>
          <w:ilvl w:val="0"/>
          <w:numId w:val="167"/>
        </w:numPr>
        <w:spacing w:after="120" w:line="276" w:lineRule="auto"/>
        <w:ind w:left="714" w:hanging="357"/>
        <w:jc w:val="both"/>
        <w:rPr>
          <w:rFonts w:ascii="Arial" w:hAnsi="Arial"/>
          <w:sz w:val="21"/>
          <w:szCs w:val="21"/>
        </w:rPr>
      </w:pPr>
      <w:r w:rsidRPr="005761A2">
        <w:rPr>
          <w:rFonts w:ascii="Arial" w:hAnsi="Arial"/>
          <w:sz w:val="21"/>
          <w:szCs w:val="21"/>
        </w:rPr>
        <w:t xml:space="preserve">Informe de fecha 28 de junio de 2021, respecto de los documentos trasladados por el Área de Administración, Recursos Humanos y Gestión Económica relativos a las Bases generales para la provisión de los puestos de trabajo de la Agencia, así como a la Propuesta modelo de convocatoria del concurso específico a la que se adjunta las bases específicas de la misma. </w:t>
      </w:r>
    </w:p>
    <w:p w14:paraId="3EBCBD79" w14:textId="77777777" w:rsidR="005761A2" w:rsidRPr="005761A2" w:rsidRDefault="005761A2" w:rsidP="00F84B8B">
      <w:pPr>
        <w:numPr>
          <w:ilvl w:val="0"/>
          <w:numId w:val="167"/>
        </w:numPr>
        <w:spacing w:after="120" w:line="276" w:lineRule="auto"/>
        <w:ind w:left="714" w:hanging="357"/>
        <w:jc w:val="both"/>
        <w:rPr>
          <w:rFonts w:ascii="Arial" w:hAnsi="Arial"/>
          <w:sz w:val="21"/>
          <w:szCs w:val="21"/>
        </w:rPr>
      </w:pPr>
      <w:r w:rsidRPr="005761A2">
        <w:rPr>
          <w:rFonts w:ascii="Arial" w:hAnsi="Arial"/>
          <w:sz w:val="21"/>
          <w:szCs w:val="21"/>
        </w:rPr>
        <w:t>Informe de fecha 20 de octubre de 2021, sobre la propuesta modelo convocatoria de puesto de trabajo mediante concurso específico “Resolución del director de la Agencia de Prevención y Lucha contra el Fraude y la Corrupción de la Comunitat Valenciana, por la que se convoca concurso específico para la provisión del puesto de trabajo número 26 de la Relación de Puestos de Trabajo de esta Agencia, con la denominación de jefe/a de equipo de gestión económica y contratación, abierto a funcionarios/as de las administraciones públicas”.</w:t>
      </w:r>
    </w:p>
    <w:p w14:paraId="2B53D8B0" w14:textId="50406117" w:rsidR="005761A2" w:rsidRPr="005761A2" w:rsidRDefault="005761A2" w:rsidP="00F84B8B">
      <w:pPr>
        <w:numPr>
          <w:ilvl w:val="0"/>
          <w:numId w:val="167"/>
        </w:numPr>
        <w:spacing w:after="240" w:line="276" w:lineRule="auto"/>
        <w:jc w:val="both"/>
        <w:rPr>
          <w:rFonts w:ascii="Arial" w:hAnsi="Arial"/>
          <w:sz w:val="21"/>
          <w:szCs w:val="21"/>
        </w:rPr>
      </w:pPr>
      <w:r w:rsidRPr="005761A2">
        <w:rPr>
          <w:rFonts w:ascii="Arial" w:hAnsi="Arial"/>
          <w:sz w:val="21"/>
          <w:szCs w:val="21"/>
        </w:rPr>
        <w:t xml:space="preserve">Informe de fecha 23 de noviembre de 2021, en relación con la “Propuesta de </w:t>
      </w:r>
      <w:r w:rsidR="00DD6F16">
        <w:rPr>
          <w:rFonts w:ascii="Arial" w:hAnsi="Arial"/>
          <w:sz w:val="21"/>
          <w:szCs w:val="21"/>
        </w:rPr>
        <w:t>R</w:t>
      </w:r>
      <w:r w:rsidRPr="005761A2">
        <w:rPr>
          <w:rFonts w:ascii="Arial" w:hAnsi="Arial"/>
          <w:sz w:val="21"/>
          <w:szCs w:val="21"/>
        </w:rPr>
        <w:t xml:space="preserve">esolución del director de la Agencia de Prevención y Lucha contra el Fraude y la Corrupción de la Comunitat Valenciana, por la que se convoca concurso específico para la provisión del puesto de trabajo número 23 de la relación de puestos de trabajo de esta Agencia, con la denominación de Técnico/a Superior de Gestión Administrativa, abierto a funcionarios/as de las Administraciones Públicas”. </w:t>
      </w:r>
    </w:p>
    <w:p w14:paraId="5CAEA22A" w14:textId="77777777" w:rsidR="005761A2" w:rsidRPr="005761A2" w:rsidRDefault="005761A2" w:rsidP="005761A2">
      <w:pPr>
        <w:spacing w:after="240" w:line="276" w:lineRule="auto"/>
        <w:jc w:val="both"/>
        <w:rPr>
          <w:rFonts w:ascii="Arial" w:hAnsi="Arial"/>
          <w:sz w:val="21"/>
          <w:szCs w:val="21"/>
        </w:rPr>
      </w:pPr>
      <w:r w:rsidRPr="005761A2">
        <w:rPr>
          <w:rFonts w:ascii="Arial" w:hAnsi="Arial"/>
          <w:sz w:val="21"/>
          <w:szCs w:val="21"/>
        </w:rPr>
        <w:t xml:space="preserve">Asimismo, en cumplimiento del Plan anual normativo de la Agencia para 2021, por la Dirección de Asuntos Jurídicos, se elaboró y tramitó el expediente de modificación puntual del Reglamento de funcionamiento y régimen interior de 27 de junio de 2019 que, conforme se ha indicado anteriormente, dio lugar a la aprobación de la </w:t>
      </w:r>
      <w:hyperlink r:id="rId361" w:history="1">
        <w:r w:rsidRPr="005761A2">
          <w:rPr>
            <w:rStyle w:val="Hipervnculo"/>
            <w:rFonts w:ascii="Arial" w:hAnsi="Arial"/>
            <w:sz w:val="21"/>
            <w:szCs w:val="21"/>
          </w:rPr>
          <w:t>Resolución núm. 917/2021, de 16 de diciembre, del director de la Agencia, por la que se aprueba una modificación puntual del Reglamento de funcionamiento y régimen interior referida a la organización interna de esta Agencia</w:t>
        </w:r>
      </w:hyperlink>
      <w:r w:rsidRPr="005761A2">
        <w:rPr>
          <w:rFonts w:ascii="Arial" w:hAnsi="Arial"/>
          <w:sz w:val="21"/>
          <w:szCs w:val="21"/>
        </w:rPr>
        <w:t>, publicada en el DOGV núm. 9250, de 5 de enero 2022.</w:t>
      </w:r>
    </w:p>
    <w:p w14:paraId="5ACF8185" w14:textId="77777777" w:rsidR="005761A2" w:rsidRPr="005761A2" w:rsidRDefault="005761A2" w:rsidP="005761A2">
      <w:pPr>
        <w:spacing w:after="240" w:line="276" w:lineRule="auto"/>
        <w:jc w:val="both"/>
        <w:rPr>
          <w:rFonts w:ascii="Arial" w:hAnsi="Arial"/>
          <w:sz w:val="21"/>
          <w:szCs w:val="21"/>
        </w:rPr>
      </w:pPr>
      <w:r w:rsidRPr="005761A2">
        <w:rPr>
          <w:rFonts w:ascii="Arial" w:hAnsi="Arial"/>
          <w:sz w:val="21"/>
          <w:szCs w:val="21"/>
        </w:rPr>
        <w:t xml:space="preserve">Para finalizar el año, se tramitó el expediente que dio lugar a la aprobación de la </w:t>
      </w:r>
      <w:hyperlink r:id="rId362" w:history="1">
        <w:r w:rsidRPr="005761A2">
          <w:rPr>
            <w:rStyle w:val="Hipervnculo"/>
            <w:rFonts w:ascii="Arial" w:hAnsi="Arial"/>
            <w:sz w:val="21"/>
            <w:szCs w:val="21"/>
          </w:rPr>
          <w:t>Resolución núm. 1007/2021, de 30 de diciembre, del director de la AVAF, sobre el Plan anual normativo de la Agencia para el año 2022</w:t>
        </w:r>
      </w:hyperlink>
      <w:r w:rsidRPr="005761A2">
        <w:rPr>
          <w:rFonts w:ascii="Arial" w:hAnsi="Arial"/>
          <w:sz w:val="21"/>
          <w:szCs w:val="21"/>
        </w:rPr>
        <w:t>, publicada en nuestro portal de transparencia.</w:t>
      </w:r>
    </w:p>
    <w:p w14:paraId="10EBEBAF" w14:textId="77777777" w:rsidR="005761A2" w:rsidRPr="005761A2" w:rsidRDefault="005761A2" w:rsidP="005761A2">
      <w:pPr>
        <w:spacing w:after="240" w:line="276" w:lineRule="auto"/>
        <w:jc w:val="both"/>
        <w:rPr>
          <w:rFonts w:ascii="Arial" w:hAnsi="Arial"/>
          <w:b/>
          <w:bCs/>
          <w:sz w:val="21"/>
          <w:szCs w:val="21"/>
        </w:rPr>
      </w:pPr>
      <w:r w:rsidRPr="005761A2">
        <w:rPr>
          <w:rFonts w:ascii="Arial" w:hAnsi="Arial"/>
          <w:sz w:val="21"/>
          <w:szCs w:val="21"/>
        </w:rPr>
        <w:t xml:space="preserve">Por otra parte, en cumplimiento de otra de las funciones que, de conformidad con el artículo 21.1.g) del </w:t>
      </w:r>
      <w:hyperlink r:id="rId363" w:history="1">
        <w:r w:rsidRPr="005761A2">
          <w:rPr>
            <w:rStyle w:val="Hipervnculo"/>
            <w:rFonts w:ascii="Arial" w:hAnsi="Arial"/>
            <w:sz w:val="21"/>
            <w:szCs w:val="21"/>
          </w:rPr>
          <w:t>Reglamento de funcionamiento y régimen interior de la Agencia</w:t>
        </w:r>
      </w:hyperlink>
      <w:r w:rsidRPr="005761A2">
        <w:rPr>
          <w:rFonts w:ascii="Arial" w:hAnsi="Arial"/>
          <w:sz w:val="21"/>
          <w:szCs w:val="21"/>
        </w:rPr>
        <w:t xml:space="preserve">, tiene atribuida la Dirección de Asuntos Jurídicos, relativa a </w:t>
      </w:r>
      <w:r w:rsidRPr="005761A2">
        <w:rPr>
          <w:rFonts w:ascii="Arial" w:hAnsi="Arial"/>
          <w:b/>
          <w:bCs/>
          <w:sz w:val="21"/>
          <w:szCs w:val="21"/>
        </w:rPr>
        <w:t xml:space="preserve">función certificadora de las actuaciones generadas por la Agencia, así como la de secretaría general, </w:t>
      </w:r>
      <w:r w:rsidRPr="005761A2">
        <w:rPr>
          <w:rFonts w:ascii="Arial" w:hAnsi="Arial"/>
          <w:sz w:val="21"/>
          <w:szCs w:val="21"/>
        </w:rPr>
        <w:t>se han realizado las actuaciones que a continuación se relatan.</w:t>
      </w:r>
      <w:r w:rsidRPr="005761A2">
        <w:rPr>
          <w:rFonts w:ascii="Arial" w:hAnsi="Arial"/>
          <w:b/>
          <w:bCs/>
          <w:sz w:val="21"/>
          <w:szCs w:val="21"/>
        </w:rPr>
        <w:t xml:space="preserve"> </w:t>
      </w:r>
    </w:p>
    <w:p w14:paraId="45BD4023" w14:textId="77777777" w:rsidR="005761A2" w:rsidRPr="005761A2" w:rsidRDefault="005761A2" w:rsidP="005761A2">
      <w:pPr>
        <w:spacing w:after="240" w:line="276" w:lineRule="auto"/>
        <w:jc w:val="both"/>
        <w:rPr>
          <w:rFonts w:ascii="Arial" w:hAnsi="Arial"/>
          <w:sz w:val="21"/>
          <w:szCs w:val="21"/>
        </w:rPr>
      </w:pPr>
      <w:r w:rsidRPr="005761A2">
        <w:rPr>
          <w:rFonts w:ascii="Arial" w:hAnsi="Arial"/>
          <w:sz w:val="21"/>
          <w:szCs w:val="21"/>
        </w:rPr>
        <w:t xml:space="preserve">En relación con la función de </w:t>
      </w:r>
      <w:r w:rsidRPr="005761A2">
        <w:rPr>
          <w:rFonts w:ascii="Arial" w:hAnsi="Arial"/>
          <w:b/>
          <w:bCs/>
          <w:sz w:val="21"/>
          <w:szCs w:val="21"/>
        </w:rPr>
        <w:t>secretaría de la Mesa de Negociación de la Agencia</w:t>
      </w:r>
      <w:r w:rsidRPr="005761A2">
        <w:rPr>
          <w:rFonts w:ascii="Arial" w:hAnsi="Arial"/>
          <w:sz w:val="21"/>
          <w:szCs w:val="21"/>
        </w:rPr>
        <w:t>, integrada por representantes de la propia Agencia y de las organizaciones sindicales FeSP-UGT, CC.OO. y Stas-Intersindical Valenciana, cabe subrayar que se han mantenido durante 2021 varias reuniones a fin de tratar temas que son objeto de negociación colectiva, de acuerdo con lo dispuesto en el artículo 37 del Real Decreto Legislativo 5/2015, de 30 de octubre, por el que se aprueba el texto refundido de la Ley del Estatuto Básico del Empleado Público, y el artículo 188 de la Ley 4/2021, de 16 de abril, de la Función Pública Valenciana.</w:t>
      </w:r>
    </w:p>
    <w:p w14:paraId="085254F6" w14:textId="77777777" w:rsidR="005761A2" w:rsidRPr="005761A2" w:rsidRDefault="005761A2" w:rsidP="005761A2">
      <w:pPr>
        <w:spacing w:after="240" w:line="276" w:lineRule="auto"/>
        <w:jc w:val="both"/>
        <w:rPr>
          <w:rFonts w:ascii="Arial" w:hAnsi="Arial"/>
          <w:sz w:val="21"/>
          <w:szCs w:val="21"/>
        </w:rPr>
      </w:pPr>
      <w:r w:rsidRPr="005761A2">
        <w:rPr>
          <w:rFonts w:ascii="Arial" w:hAnsi="Arial"/>
          <w:sz w:val="21"/>
          <w:szCs w:val="21"/>
        </w:rPr>
        <w:t>Así, la Mesa de Negociación de la Agencia se ha reunido en tres ocasiones, concretamente, en fechas 21 de julio, 29 de julio y 14 de octubre de 2021, respecto de las que se ha levantado la correspondiente acta de la reunión.</w:t>
      </w:r>
    </w:p>
    <w:p w14:paraId="549B0F9D" w14:textId="2A79C9AB" w:rsidR="005761A2" w:rsidRPr="005761A2" w:rsidRDefault="005761A2" w:rsidP="005761A2">
      <w:pPr>
        <w:spacing w:after="240" w:line="276" w:lineRule="auto"/>
        <w:jc w:val="both"/>
        <w:rPr>
          <w:rFonts w:ascii="Arial" w:hAnsi="Arial"/>
          <w:sz w:val="21"/>
          <w:szCs w:val="21"/>
        </w:rPr>
      </w:pPr>
      <w:r w:rsidRPr="005761A2">
        <w:rPr>
          <w:rFonts w:ascii="Arial" w:hAnsi="Arial"/>
          <w:sz w:val="21"/>
          <w:szCs w:val="21"/>
        </w:rPr>
        <w:t xml:space="preserve">En dichas reuniones, se ha tratado la negociación de las </w:t>
      </w:r>
      <w:hyperlink r:id="rId364" w:history="1">
        <w:r w:rsidRPr="005761A2">
          <w:rPr>
            <w:rStyle w:val="Hipervnculo"/>
            <w:rFonts w:ascii="Arial" w:hAnsi="Arial"/>
            <w:sz w:val="21"/>
            <w:szCs w:val="21"/>
          </w:rPr>
          <w:t>bases generales para la provisión de los puestos de trabajo de la Agencia de Prevención y Lucha contra el Fraude y la Corrupción de la Comunitat Valenciana</w:t>
        </w:r>
      </w:hyperlink>
      <w:r w:rsidRPr="005761A2">
        <w:rPr>
          <w:rFonts w:ascii="Arial" w:hAnsi="Arial"/>
          <w:sz w:val="21"/>
          <w:szCs w:val="21"/>
        </w:rPr>
        <w:t xml:space="preserve">, cuyo sistema de provisión es el concurso específico y baremo de méritos, aprobadas mediante la Resolución núm. 565/2021, de 29 de julio, del director de la Agencia y publicadas en el </w:t>
      </w:r>
      <w:r w:rsidRPr="005761A2">
        <w:rPr>
          <w:rFonts w:ascii="Arial" w:hAnsi="Arial"/>
          <w:i/>
          <w:iCs/>
          <w:sz w:val="21"/>
          <w:szCs w:val="21"/>
        </w:rPr>
        <w:t>Diari Oficial de la Generalitat Valenciana</w:t>
      </w:r>
      <w:r w:rsidRPr="005761A2">
        <w:rPr>
          <w:rFonts w:ascii="Arial" w:hAnsi="Arial"/>
          <w:sz w:val="21"/>
          <w:szCs w:val="21"/>
        </w:rPr>
        <w:t xml:space="preserve"> núm. 9147, de 10.08.2021; la </w:t>
      </w:r>
      <w:hyperlink r:id="rId365" w:history="1">
        <w:r w:rsidRPr="005761A2">
          <w:rPr>
            <w:rStyle w:val="Hipervnculo"/>
            <w:rFonts w:ascii="Arial" w:hAnsi="Arial"/>
            <w:sz w:val="21"/>
            <w:szCs w:val="21"/>
          </w:rPr>
          <w:t>modificación puntual</w:t>
        </w:r>
      </w:hyperlink>
      <w:r w:rsidRPr="005761A2">
        <w:rPr>
          <w:rFonts w:ascii="Arial" w:hAnsi="Arial"/>
          <w:sz w:val="21"/>
          <w:szCs w:val="21"/>
        </w:rPr>
        <w:t xml:space="preserve"> de su</w:t>
      </w:r>
      <w:r w:rsidRPr="005761A2">
        <w:rPr>
          <w:rFonts w:ascii="Arial" w:hAnsi="Arial"/>
          <w:i/>
          <w:iCs/>
          <w:sz w:val="21"/>
          <w:szCs w:val="21"/>
        </w:rPr>
        <w:t xml:space="preserve"> base quinta, Primera fase, b) Formación. 3. Conocimientos de valenciano</w:t>
      </w:r>
      <w:r w:rsidRPr="005761A2">
        <w:rPr>
          <w:rFonts w:ascii="Arial" w:hAnsi="Arial"/>
          <w:sz w:val="21"/>
          <w:szCs w:val="21"/>
        </w:rPr>
        <w:t xml:space="preserve">, que resolvía un recurso de reposición interpuesto contra aquella y fue aprobada por Resolución núm. 733/2021, de 20 de octubre, del director de la Agencia, publicada en el </w:t>
      </w:r>
      <w:r w:rsidRPr="005761A2">
        <w:rPr>
          <w:rFonts w:ascii="Arial" w:hAnsi="Arial"/>
          <w:i/>
          <w:iCs/>
          <w:sz w:val="21"/>
          <w:szCs w:val="21"/>
        </w:rPr>
        <w:t>Diari Oficial de la Generalitat Valenciana</w:t>
      </w:r>
      <w:r w:rsidRPr="005761A2">
        <w:rPr>
          <w:rFonts w:ascii="Arial" w:hAnsi="Arial"/>
          <w:sz w:val="21"/>
          <w:szCs w:val="21"/>
        </w:rPr>
        <w:t xml:space="preserve"> núm</w:t>
      </w:r>
      <w:r w:rsidR="00203A68">
        <w:rPr>
          <w:rFonts w:ascii="Arial" w:hAnsi="Arial"/>
          <w:sz w:val="21"/>
          <w:szCs w:val="21"/>
        </w:rPr>
        <w:t xml:space="preserve">. </w:t>
      </w:r>
      <w:r w:rsidRPr="005761A2">
        <w:rPr>
          <w:rFonts w:ascii="Arial" w:hAnsi="Arial"/>
          <w:sz w:val="21"/>
          <w:szCs w:val="21"/>
        </w:rPr>
        <w:t>9207, de 3.11.2021. También, en Mesa de Negociación se procedió a la elevación y dación de cuentas de los acuerdos de aprobación del Plan de Prevención de Riesgos Laborales y del Plan de Emergencias de la Agencia.</w:t>
      </w:r>
    </w:p>
    <w:p w14:paraId="77C75AEA" w14:textId="77777777" w:rsidR="005761A2" w:rsidRPr="005761A2" w:rsidRDefault="005761A2" w:rsidP="005761A2">
      <w:pPr>
        <w:spacing w:after="240" w:line="276" w:lineRule="auto"/>
        <w:jc w:val="both"/>
        <w:rPr>
          <w:rFonts w:ascii="Arial" w:hAnsi="Arial"/>
          <w:sz w:val="21"/>
          <w:szCs w:val="21"/>
        </w:rPr>
      </w:pPr>
      <w:r w:rsidRPr="005761A2">
        <w:rPr>
          <w:rFonts w:ascii="Arial" w:hAnsi="Arial"/>
          <w:sz w:val="21"/>
          <w:szCs w:val="21"/>
        </w:rPr>
        <w:t>Igualmente, se ha participado en la Comisión de Seguimiento y Evaluación de la carrera profesional de la Agencia, a través de la que se da cuenta a los representantes sindicales de los reconocimientos individualizados del desarrollo profesional alcanzado por el personal funcionario de carrera que presta servicios en la misma, su seguimiento y los correspondientes ascensos.</w:t>
      </w:r>
    </w:p>
    <w:p w14:paraId="79B306D8" w14:textId="77777777" w:rsidR="005761A2" w:rsidRPr="005761A2" w:rsidRDefault="005761A2" w:rsidP="005761A2">
      <w:pPr>
        <w:spacing w:after="240" w:line="276" w:lineRule="auto"/>
        <w:jc w:val="both"/>
        <w:rPr>
          <w:rFonts w:ascii="Arial" w:hAnsi="Arial"/>
          <w:sz w:val="21"/>
          <w:szCs w:val="21"/>
        </w:rPr>
      </w:pPr>
      <w:r w:rsidRPr="005761A2">
        <w:rPr>
          <w:rFonts w:ascii="Arial" w:hAnsi="Arial"/>
          <w:sz w:val="21"/>
          <w:szCs w:val="21"/>
        </w:rPr>
        <w:t xml:space="preserve">Por otro lado, en virtud de los dispuesto en el artículo 25.1 letra f) del </w:t>
      </w:r>
      <w:hyperlink r:id="rId366" w:history="1">
        <w:r w:rsidRPr="005761A2">
          <w:rPr>
            <w:rStyle w:val="Hipervnculo"/>
            <w:rFonts w:ascii="Arial" w:hAnsi="Arial"/>
            <w:sz w:val="21"/>
            <w:szCs w:val="21"/>
          </w:rPr>
          <w:t>Reglamento de funcionamiento y régimen interior,</w:t>
        </w:r>
      </w:hyperlink>
      <w:r w:rsidRPr="005761A2">
        <w:rPr>
          <w:rFonts w:ascii="Arial" w:hAnsi="Arial"/>
          <w:sz w:val="21"/>
          <w:szCs w:val="21"/>
        </w:rPr>
        <w:t xml:space="preserve"> le corresponde a la Dirección de Asuntos Jurídicos ejercer la </w:t>
      </w:r>
      <w:r w:rsidRPr="005761A2">
        <w:rPr>
          <w:rFonts w:ascii="Arial" w:hAnsi="Arial"/>
          <w:b/>
          <w:bCs/>
          <w:sz w:val="21"/>
          <w:szCs w:val="21"/>
        </w:rPr>
        <w:t>secretaría del Consejo de Participación de la Agencia,</w:t>
      </w:r>
      <w:r w:rsidRPr="005761A2">
        <w:rPr>
          <w:rFonts w:ascii="Arial" w:hAnsi="Arial"/>
          <w:sz w:val="21"/>
          <w:szCs w:val="21"/>
        </w:rPr>
        <w:t xml:space="preserve"> que actúa como órgano asesor y de consulta de la misma y como cauce para la participación de la sociedad civil y de personas expertas, dentro del ámbito de la prevención y lucha contra el fraude y la corrupción, la transparencia en la actividad pública y la calidad democrática, en aras al mejor cumplimiento de sus funciones y fines. La finalidad de este Consejo de Participación es impulsar la vinculación de la Agencia con la sociedad civil y la ciudadanía facilitando su comunicación y relación.</w:t>
      </w:r>
    </w:p>
    <w:p w14:paraId="6B0C035D" w14:textId="77777777" w:rsidR="005761A2" w:rsidRPr="005761A2" w:rsidRDefault="005761A2" w:rsidP="005761A2">
      <w:pPr>
        <w:spacing w:after="240" w:line="276" w:lineRule="auto"/>
        <w:jc w:val="both"/>
        <w:rPr>
          <w:rFonts w:ascii="Arial" w:hAnsi="Arial"/>
          <w:sz w:val="21"/>
          <w:szCs w:val="21"/>
        </w:rPr>
      </w:pPr>
      <w:r w:rsidRPr="005761A2">
        <w:rPr>
          <w:rFonts w:ascii="Arial" w:hAnsi="Arial"/>
          <w:sz w:val="21"/>
          <w:szCs w:val="21"/>
        </w:rPr>
        <w:t xml:space="preserve">La </w:t>
      </w:r>
      <w:hyperlink r:id="rId367" w:history="1">
        <w:r w:rsidRPr="005761A2">
          <w:rPr>
            <w:rStyle w:val="Hipervnculo"/>
            <w:rFonts w:ascii="Arial" w:hAnsi="Arial"/>
            <w:sz w:val="21"/>
            <w:szCs w:val="21"/>
          </w:rPr>
          <w:t>Resolución de 15 de octubre de 2019 determina la composición del Consejo de Participación de la AVAF</w:t>
        </w:r>
      </w:hyperlink>
      <w:r w:rsidRPr="005761A2">
        <w:rPr>
          <w:rFonts w:ascii="Arial" w:hAnsi="Arial"/>
          <w:sz w:val="21"/>
          <w:szCs w:val="21"/>
        </w:rPr>
        <w:t xml:space="preserve"> (DOGV núm. 8665, de 28.10.2019).</w:t>
      </w:r>
    </w:p>
    <w:p w14:paraId="7F06F09A" w14:textId="77777777" w:rsidR="005761A2" w:rsidRPr="005761A2" w:rsidRDefault="005761A2" w:rsidP="005761A2">
      <w:pPr>
        <w:spacing w:after="240" w:line="276" w:lineRule="auto"/>
        <w:jc w:val="both"/>
        <w:rPr>
          <w:rFonts w:ascii="Arial" w:hAnsi="Arial"/>
          <w:sz w:val="21"/>
          <w:szCs w:val="21"/>
        </w:rPr>
      </w:pPr>
      <w:r w:rsidRPr="005761A2">
        <w:rPr>
          <w:rFonts w:ascii="Arial" w:hAnsi="Arial"/>
          <w:sz w:val="21"/>
          <w:szCs w:val="21"/>
        </w:rPr>
        <w:t>Durante 2021 se han celebrado de forma telemática, debido a las condiciones sanitarias, reuniones plenarias del Consejo de Participación los días 28 de abril, 5 de mayo y 17 de noviembre de 2021.</w:t>
      </w:r>
    </w:p>
    <w:p w14:paraId="34BABD38" w14:textId="01715AB7" w:rsidR="001723C3" w:rsidRDefault="001723C3" w:rsidP="001723C3">
      <w:pPr>
        <w:suppressAutoHyphens/>
        <w:spacing w:after="0" w:line="276" w:lineRule="auto"/>
        <w:jc w:val="both"/>
        <w:rPr>
          <w:rFonts w:ascii="Arial" w:eastAsia="Times New Roman" w:hAnsi="Arial" w:cs="Arial"/>
          <w:kern w:val="2"/>
          <w:sz w:val="21"/>
          <w:szCs w:val="21"/>
          <w:lang w:eastAsia="es-ES" w:bidi="hi-IN"/>
        </w:rPr>
      </w:pPr>
    </w:p>
    <w:p w14:paraId="5267A386" w14:textId="77777777" w:rsidR="00A17E7B" w:rsidRPr="003240D6" w:rsidRDefault="00A17E7B" w:rsidP="00A51BD4">
      <w:pPr>
        <w:pStyle w:val="Prrafodelista"/>
        <w:keepNext/>
        <w:numPr>
          <w:ilvl w:val="2"/>
          <w:numId w:val="16"/>
        </w:numPr>
        <w:suppressAutoHyphens/>
        <w:spacing w:before="360" w:after="240" w:line="276" w:lineRule="auto"/>
        <w:ind w:left="993" w:hanging="993"/>
        <w:jc w:val="both"/>
        <w:outlineLvl w:val="2"/>
        <w:rPr>
          <w:rFonts w:ascii="Arial" w:eastAsia="Times New Roman" w:hAnsi="Arial" w:cs="Arial"/>
          <w:b/>
          <w:color w:val="9D2235"/>
          <w:sz w:val="28"/>
          <w:szCs w:val="28"/>
        </w:rPr>
      </w:pPr>
      <w:bookmarkStart w:id="101" w:name="_Toc99107003"/>
      <w:r w:rsidRPr="003240D6">
        <w:rPr>
          <w:rFonts w:ascii="Arial" w:eastAsia="Times New Roman" w:hAnsi="Arial" w:cs="Arial"/>
          <w:b/>
          <w:color w:val="9D2235"/>
          <w:sz w:val="28"/>
          <w:szCs w:val="28"/>
        </w:rPr>
        <w:t>Convenios y otras colaboraciones</w:t>
      </w:r>
      <w:bookmarkEnd w:id="101"/>
    </w:p>
    <w:p w14:paraId="6A3D581D" w14:textId="77777777" w:rsidR="00446E4D" w:rsidRPr="00882604" w:rsidRDefault="00446E4D" w:rsidP="00446E4D">
      <w:pPr>
        <w:suppressAutoHyphens/>
        <w:spacing w:after="240" w:line="276" w:lineRule="auto"/>
        <w:jc w:val="both"/>
        <w:rPr>
          <w:rFonts w:ascii="Arial" w:eastAsia="SimSun" w:hAnsi="Arial" w:cs="Arial"/>
          <w:kern w:val="2"/>
          <w:sz w:val="21"/>
          <w:szCs w:val="21"/>
          <w:lang w:eastAsia="zh-CN" w:bidi="hi-IN"/>
        </w:rPr>
      </w:pPr>
      <w:r>
        <w:rPr>
          <w:rFonts w:ascii="Arial" w:eastAsia="SimSun" w:hAnsi="Arial" w:cs="Arial"/>
          <w:kern w:val="2"/>
          <w:sz w:val="21"/>
          <w:szCs w:val="21"/>
          <w:lang w:eastAsia="zh-CN" w:bidi="hi-IN"/>
        </w:rPr>
        <w:t>Asimismo, e</w:t>
      </w:r>
      <w:r w:rsidRPr="00882604">
        <w:rPr>
          <w:rFonts w:ascii="Arial" w:eastAsia="SimSun" w:hAnsi="Arial" w:cs="Arial"/>
          <w:kern w:val="2"/>
          <w:sz w:val="21"/>
          <w:szCs w:val="21"/>
          <w:lang w:eastAsia="zh-CN" w:bidi="hi-IN"/>
        </w:rPr>
        <w:t xml:space="preserve">ntre las funciones atribuidas </w:t>
      </w:r>
      <w:r>
        <w:rPr>
          <w:rFonts w:ascii="Arial" w:eastAsia="SimSun" w:hAnsi="Arial" w:cs="Arial"/>
          <w:kern w:val="2"/>
          <w:sz w:val="21"/>
          <w:szCs w:val="21"/>
          <w:lang w:eastAsia="zh-CN" w:bidi="hi-IN"/>
        </w:rPr>
        <w:t xml:space="preserve">a </w:t>
      </w:r>
      <w:r w:rsidRPr="00882604">
        <w:rPr>
          <w:rFonts w:ascii="Arial" w:eastAsia="SimSun" w:hAnsi="Arial" w:cs="Arial"/>
          <w:kern w:val="2"/>
          <w:sz w:val="21"/>
          <w:szCs w:val="21"/>
          <w:lang w:eastAsia="zh-CN" w:bidi="hi-IN"/>
        </w:rPr>
        <w:t xml:space="preserve">la Dirección de Asuntos Jurídicos, que se encuentran enumeradas en el apartado 1 del artículo 21 del Reglamento de funcionamiento y régimen interior de la Agencia, su letra h) se refiere a la tramitación de los convenios a suscribir por la Agencia, en colaboración con las propuestas, el impulso y el seguimiento </w:t>
      </w:r>
      <w:r>
        <w:rPr>
          <w:rFonts w:ascii="Arial" w:eastAsia="SimSun" w:hAnsi="Arial" w:cs="Arial"/>
          <w:kern w:val="2"/>
          <w:sz w:val="21"/>
          <w:szCs w:val="21"/>
          <w:lang w:eastAsia="zh-CN" w:bidi="hi-IN"/>
        </w:rPr>
        <w:t xml:space="preserve">que realizan las unidades </w:t>
      </w:r>
      <w:r w:rsidRPr="00882604">
        <w:rPr>
          <w:rFonts w:ascii="Arial" w:eastAsia="SimSun" w:hAnsi="Arial" w:cs="Arial"/>
          <w:kern w:val="2"/>
          <w:sz w:val="21"/>
          <w:szCs w:val="21"/>
          <w:lang w:eastAsia="zh-CN" w:bidi="hi-IN"/>
        </w:rPr>
        <w:t xml:space="preserve">administrativas proponentes en </w:t>
      </w:r>
      <w:r>
        <w:rPr>
          <w:rFonts w:ascii="Arial" w:eastAsia="SimSun" w:hAnsi="Arial" w:cs="Arial"/>
          <w:kern w:val="2"/>
          <w:sz w:val="21"/>
          <w:szCs w:val="21"/>
          <w:lang w:eastAsia="zh-CN" w:bidi="hi-IN"/>
        </w:rPr>
        <w:t xml:space="preserve">razón a sus funciones. </w:t>
      </w:r>
    </w:p>
    <w:p w14:paraId="5EE4BD20" w14:textId="77777777" w:rsidR="00446E4D" w:rsidRPr="009501AB" w:rsidRDefault="00446E4D" w:rsidP="00446E4D">
      <w:pPr>
        <w:suppressAutoHyphens/>
        <w:spacing w:after="240" w:line="276" w:lineRule="auto"/>
        <w:jc w:val="both"/>
        <w:rPr>
          <w:rFonts w:ascii="Arial" w:eastAsia="SimSun" w:hAnsi="Arial" w:cs="Arial"/>
          <w:b/>
          <w:bCs/>
          <w:kern w:val="2"/>
          <w:sz w:val="21"/>
          <w:szCs w:val="21"/>
          <w:lang w:eastAsia="zh-CN" w:bidi="hi-IN"/>
        </w:rPr>
      </w:pPr>
      <w:r w:rsidRPr="00882604">
        <w:rPr>
          <w:rFonts w:ascii="Arial" w:eastAsia="SimSun" w:hAnsi="Arial" w:cs="Arial"/>
          <w:kern w:val="2"/>
          <w:sz w:val="21"/>
          <w:szCs w:val="21"/>
          <w:lang w:eastAsia="zh-CN" w:bidi="hi-IN"/>
        </w:rPr>
        <w:t>En desarrollo de dicha</w:t>
      </w:r>
      <w:r>
        <w:rPr>
          <w:rFonts w:ascii="Arial" w:eastAsia="SimSun" w:hAnsi="Arial" w:cs="Arial"/>
          <w:kern w:val="2"/>
          <w:sz w:val="21"/>
          <w:szCs w:val="21"/>
          <w:lang w:eastAsia="zh-CN" w:bidi="hi-IN"/>
        </w:rPr>
        <w:t xml:space="preserve"> tarea</w:t>
      </w:r>
      <w:r w:rsidRPr="00882604">
        <w:rPr>
          <w:rFonts w:ascii="Arial" w:eastAsia="SimSun" w:hAnsi="Arial" w:cs="Arial"/>
          <w:kern w:val="2"/>
          <w:sz w:val="21"/>
          <w:szCs w:val="21"/>
          <w:lang w:eastAsia="zh-CN" w:bidi="hi-IN"/>
        </w:rPr>
        <w:t xml:space="preserve">, </w:t>
      </w:r>
      <w:r>
        <w:rPr>
          <w:rFonts w:ascii="Arial" w:eastAsia="SimSun" w:hAnsi="Arial" w:cs="Arial"/>
          <w:kern w:val="2"/>
          <w:sz w:val="21"/>
          <w:szCs w:val="21"/>
          <w:lang w:eastAsia="zh-CN" w:bidi="hi-IN"/>
        </w:rPr>
        <w:t xml:space="preserve">se realiza la </w:t>
      </w:r>
      <w:r w:rsidRPr="00882604">
        <w:rPr>
          <w:rFonts w:ascii="Arial" w:eastAsia="SimSun" w:hAnsi="Arial" w:cs="Arial"/>
          <w:kern w:val="2"/>
          <w:sz w:val="21"/>
          <w:szCs w:val="21"/>
          <w:lang w:eastAsia="zh-CN" w:bidi="hi-IN"/>
        </w:rPr>
        <w:t xml:space="preserve">llevanza del Registro de Convenios de la Agencia, en el que conforme a lo dispuesto en el </w:t>
      </w:r>
      <w:hyperlink r:id="rId368" w:history="1">
        <w:r w:rsidRPr="009030B3">
          <w:rPr>
            <w:rStyle w:val="Hipervnculo"/>
            <w:rFonts w:ascii="Arial" w:eastAsia="SimSun" w:hAnsi="Arial" w:cs="Arial"/>
            <w:kern w:val="2"/>
            <w:sz w:val="21"/>
            <w:szCs w:val="21"/>
            <w:lang w:eastAsia="zh-CN" w:bidi="hi-IN"/>
          </w:rPr>
          <w:t>artículo 87 de</w:t>
        </w:r>
        <w:r>
          <w:rPr>
            <w:rStyle w:val="Hipervnculo"/>
            <w:rFonts w:ascii="Arial" w:eastAsia="SimSun" w:hAnsi="Arial" w:cs="Arial"/>
            <w:kern w:val="2"/>
            <w:sz w:val="21"/>
            <w:szCs w:val="21"/>
            <w:lang w:eastAsia="zh-CN" w:bidi="hi-IN"/>
          </w:rPr>
          <w:t>l</w:t>
        </w:r>
        <w:r w:rsidRPr="009030B3">
          <w:rPr>
            <w:rStyle w:val="Hipervnculo"/>
            <w:rFonts w:ascii="Arial" w:eastAsia="SimSun" w:hAnsi="Arial" w:cs="Arial"/>
            <w:kern w:val="2"/>
            <w:sz w:val="21"/>
            <w:szCs w:val="21"/>
            <w:lang w:eastAsia="zh-CN" w:bidi="hi-IN"/>
          </w:rPr>
          <w:t xml:space="preserve"> Reglamento</w:t>
        </w:r>
      </w:hyperlink>
      <w:r w:rsidRPr="009030B3">
        <w:rPr>
          <w:rFonts w:ascii="Arial" w:eastAsia="SimSun" w:hAnsi="Arial" w:cs="Arial"/>
          <w:b/>
          <w:bCs/>
          <w:kern w:val="2"/>
          <w:sz w:val="21"/>
          <w:szCs w:val="21"/>
          <w:lang w:eastAsia="zh-CN" w:bidi="hi-IN"/>
        </w:rPr>
        <w:t>,</w:t>
      </w:r>
      <w:r w:rsidRPr="00882604">
        <w:rPr>
          <w:rFonts w:ascii="Arial" w:eastAsia="SimSun" w:hAnsi="Arial" w:cs="Arial"/>
          <w:kern w:val="2"/>
          <w:sz w:val="21"/>
          <w:szCs w:val="21"/>
          <w:lang w:eastAsia="zh-CN" w:bidi="hi-IN"/>
        </w:rPr>
        <w:t xml:space="preserve"> se inscriben los convenios suscritos por esta, así como cualquier incidencia relativa a su interpretación, ejecución, modificación, prórroga, suspensión y extinción.</w:t>
      </w:r>
      <w:r>
        <w:rPr>
          <w:rFonts w:ascii="Arial" w:eastAsia="SimSun" w:hAnsi="Arial" w:cs="Arial"/>
          <w:kern w:val="2"/>
          <w:sz w:val="21"/>
          <w:szCs w:val="21"/>
          <w:lang w:eastAsia="zh-CN" w:bidi="hi-IN"/>
        </w:rPr>
        <w:t xml:space="preserve"> Para favorecer la tramitación interna de convenios marco, convenios de colaboración y protocolos, se aprobó </w:t>
      </w:r>
      <w:r w:rsidRPr="009501AB">
        <w:rPr>
          <w:rFonts w:ascii="Arial" w:eastAsia="SimSun" w:hAnsi="Arial" w:cs="Arial"/>
          <w:kern w:val="2"/>
          <w:sz w:val="21"/>
          <w:szCs w:val="21"/>
          <w:lang w:eastAsia="zh-CN" w:bidi="hi-IN"/>
        </w:rPr>
        <w:t xml:space="preserve">la </w:t>
      </w:r>
      <w:hyperlink r:id="rId369" w:history="1">
        <w:r w:rsidRPr="009501AB">
          <w:rPr>
            <w:rStyle w:val="Hipervnculo"/>
            <w:rFonts w:ascii="Arial" w:eastAsia="SimSun" w:hAnsi="Arial" w:cs="Arial"/>
            <w:kern w:val="2"/>
            <w:sz w:val="21"/>
            <w:szCs w:val="21"/>
            <w:lang w:eastAsia="zh-CN" w:bidi="hi-IN"/>
          </w:rPr>
          <w:t>Guía de tramitación de Convenios de la AVAF.</w:t>
        </w:r>
      </w:hyperlink>
    </w:p>
    <w:p w14:paraId="74D62980" w14:textId="77777777" w:rsidR="00446E4D" w:rsidRDefault="00446E4D" w:rsidP="00446E4D">
      <w:pPr>
        <w:suppressAutoHyphens/>
        <w:spacing w:after="240" w:line="276" w:lineRule="auto"/>
        <w:jc w:val="both"/>
        <w:rPr>
          <w:rFonts w:ascii="Arial" w:eastAsia="SimSun" w:hAnsi="Arial" w:cs="Arial"/>
          <w:kern w:val="2"/>
          <w:sz w:val="21"/>
          <w:szCs w:val="21"/>
          <w:lang w:eastAsia="zh-CN" w:bidi="hi-IN"/>
        </w:rPr>
      </w:pPr>
      <w:r w:rsidRPr="00882604">
        <w:rPr>
          <w:rFonts w:ascii="Arial" w:eastAsia="SimSun" w:hAnsi="Arial" w:cs="Arial"/>
          <w:kern w:val="2"/>
          <w:sz w:val="21"/>
          <w:szCs w:val="21"/>
          <w:lang w:eastAsia="zh-CN" w:bidi="hi-IN"/>
        </w:rPr>
        <w:t xml:space="preserve">En </w:t>
      </w:r>
      <w:r>
        <w:rPr>
          <w:rFonts w:ascii="Arial" w:eastAsia="SimSun" w:hAnsi="Arial" w:cs="Arial"/>
          <w:kern w:val="2"/>
          <w:sz w:val="21"/>
          <w:szCs w:val="21"/>
          <w:lang w:eastAsia="zh-CN" w:bidi="hi-IN"/>
        </w:rPr>
        <w:t>el citado</w:t>
      </w:r>
      <w:r w:rsidRPr="00882604">
        <w:rPr>
          <w:rFonts w:ascii="Arial" w:eastAsia="SimSun" w:hAnsi="Arial" w:cs="Arial"/>
          <w:kern w:val="2"/>
          <w:sz w:val="21"/>
          <w:szCs w:val="21"/>
          <w:lang w:eastAsia="zh-CN" w:bidi="hi-IN"/>
        </w:rPr>
        <w:t xml:space="preserve"> Registro </w:t>
      </w:r>
      <w:r w:rsidRPr="00391950">
        <w:rPr>
          <w:rFonts w:ascii="Arial" w:eastAsia="SimSun" w:hAnsi="Arial" w:cs="Arial"/>
          <w:kern w:val="2"/>
          <w:sz w:val="21"/>
          <w:szCs w:val="21"/>
          <w:lang w:eastAsia="zh-CN" w:bidi="hi-IN"/>
        </w:rPr>
        <w:t xml:space="preserve">de Convenios constan todos los firmados por la </w:t>
      </w:r>
      <w:r>
        <w:rPr>
          <w:rFonts w:ascii="Arial" w:eastAsia="SimSun" w:hAnsi="Arial" w:cs="Arial"/>
          <w:kern w:val="2"/>
          <w:sz w:val="21"/>
          <w:szCs w:val="21"/>
          <w:lang w:eastAsia="zh-CN" w:bidi="hi-IN"/>
        </w:rPr>
        <w:t xml:space="preserve">persona titular de la </w:t>
      </w:r>
      <w:r w:rsidRPr="00391950">
        <w:rPr>
          <w:rFonts w:ascii="Arial" w:eastAsia="SimSun" w:hAnsi="Arial" w:cs="Arial"/>
          <w:kern w:val="2"/>
          <w:sz w:val="21"/>
          <w:szCs w:val="21"/>
          <w:lang w:eastAsia="zh-CN" w:bidi="hi-IN"/>
        </w:rPr>
        <w:t>Dirección de la Agencia</w:t>
      </w:r>
      <w:r>
        <w:rPr>
          <w:rFonts w:ascii="Arial" w:eastAsia="SimSun" w:hAnsi="Arial" w:cs="Arial"/>
          <w:kern w:val="2"/>
          <w:sz w:val="21"/>
          <w:szCs w:val="21"/>
          <w:lang w:eastAsia="zh-CN" w:bidi="hi-IN"/>
        </w:rPr>
        <w:t>, los cuales además</w:t>
      </w:r>
      <w:r w:rsidRPr="00391950">
        <w:rPr>
          <w:rFonts w:ascii="Arial" w:eastAsia="SimSun" w:hAnsi="Arial" w:cs="Arial"/>
          <w:kern w:val="2"/>
          <w:sz w:val="21"/>
          <w:szCs w:val="21"/>
          <w:lang w:eastAsia="zh-CN" w:bidi="hi-IN"/>
        </w:rPr>
        <w:t xml:space="preserve"> están publicados en la web</w:t>
      </w:r>
      <w:r w:rsidRPr="009030B3">
        <w:rPr>
          <w:rFonts w:ascii="Arial" w:eastAsia="SimSun" w:hAnsi="Arial" w:cs="Arial"/>
          <w:b/>
          <w:bCs/>
          <w:kern w:val="2"/>
          <w:sz w:val="21"/>
          <w:szCs w:val="21"/>
          <w:lang w:eastAsia="zh-CN" w:bidi="hi-IN"/>
        </w:rPr>
        <w:t xml:space="preserve"> </w:t>
      </w:r>
      <w:hyperlink r:id="rId370" w:history="1">
        <w:r w:rsidRPr="009030B3">
          <w:rPr>
            <w:rStyle w:val="Hipervnculo"/>
            <w:rFonts w:ascii="Arial" w:eastAsia="Times New Roman" w:hAnsi="Arial" w:cs="Arial"/>
            <w:sz w:val="21"/>
            <w:szCs w:val="21"/>
            <w:lang w:eastAsia="es-ES" w:bidi="hi-IN"/>
          </w:rPr>
          <w:t>https://www.antifraucv.es/informacion-de-relevancia-juridica/</w:t>
        </w:r>
      </w:hyperlink>
    </w:p>
    <w:p w14:paraId="6FFFC4E4" w14:textId="2B5FBA6A" w:rsidR="00DC4E57" w:rsidRDefault="00446E4D" w:rsidP="00446E4D">
      <w:pPr>
        <w:spacing w:after="240" w:line="276" w:lineRule="auto"/>
        <w:jc w:val="both"/>
        <w:rPr>
          <w:rFonts w:ascii="Arial" w:hAnsi="Arial"/>
          <w:sz w:val="21"/>
          <w:szCs w:val="21"/>
        </w:rPr>
      </w:pPr>
      <w:r>
        <w:rPr>
          <w:rFonts w:ascii="Arial" w:eastAsia="SimSun" w:hAnsi="Arial" w:cs="Arial"/>
          <w:kern w:val="2"/>
          <w:sz w:val="21"/>
          <w:szCs w:val="21"/>
          <w:lang w:eastAsia="zh-CN" w:bidi="hi-IN"/>
        </w:rPr>
        <w:t>Los convenios suscritos por la AVAF</w:t>
      </w:r>
      <w:r w:rsidRPr="00391950">
        <w:rPr>
          <w:rFonts w:ascii="Arial" w:eastAsia="SimSun" w:hAnsi="Arial" w:cs="Arial"/>
          <w:kern w:val="2"/>
          <w:sz w:val="21"/>
          <w:szCs w:val="21"/>
          <w:lang w:eastAsia="zh-CN" w:bidi="hi-IN"/>
        </w:rPr>
        <w:t xml:space="preserve"> vigentes a 31 de diciembre de </w:t>
      </w:r>
      <w:r w:rsidRPr="003E40EE">
        <w:rPr>
          <w:rFonts w:ascii="Arial" w:eastAsia="SimSun" w:hAnsi="Arial" w:cs="Arial"/>
          <w:kern w:val="2"/>
          <w:sz w:val="21"/>
          <w:szCs w:val="21"/>
          <w:lang w:eastAsia="zh-CN" w:bidi="hi-IN"/>
        </w:rPr>
        <w:t>2021 ascienden a un total de 16, y</w:t>
      </w:r>
      <w:r>
        <w:rPr>
          <w:rFonts w:ascii="Arial" w:eastAsia="SimSun" w:hAnsi="Arial" w:cs="Arial"/>
          <w:kern w:val="2"/>
          <w:sz w:val="21"/>
          <w:szCs w:val="21"/>
          <w:lang w:eastAsia="zh-CN" w:bidi="hi-IN"/>
        </w:rPr>
        <w:t xml:space="preserve"> son </w:t>
      </w:r>
      <w:r w:rsidRPr="00391950">
        <w:rPr>
          <w:rFonts w:ascii="Arial" w:eastAsia="SimSun" w:hAnsi="Arial" w:cs="Arial"/>
          <w:kern w:val="2"/>
          <w:sz w:val="21"/>
          <w:szCs w:val="21"/>
          <w:lang w:eastAsia="zh-CN" w:bidi="hi-IN"/>
        </w:rPr>
        <w:t>los que figuran en la tabla que se consigna a continuación</w:t>
      </w:r>
      <w:r>
        <w:rPr>
          <w:rFonts w:ascii="Arial" w:eastAsia="SimSun" w:hAnsi="Arial" w:cs="Arial"/>
          <w:kern w:val="2"/>
          <w:sz w:val="21"/>
          <w:szCs w:val="21"/>
          <w:lang w:eastAsia="zh-CN" w:bidi="hi-IN"/>
        </w:rPr>
        <w:t>.</w:t>
      </w:r>
    </w:p>
    <w:p w14:paraId="6659A2E8" w14:textId="34DAE976" w:rsidR="00446E4D" w:rsidRPr="00446E4D" w:rsidRDefault="00446E4D" w:rsidP="00446E4D">
      <w:pPr>
        <w:pStyle w:val="Descripcin"/>
        <w:keepNext/>
        <w:rPr>
          <w:rFonts w:ascii="Arial" w:hAnsi="Arial" w:cs="Arial"/>
          <w:smallCaps w:val="0"/>
          <w:sz w:val="18"/>
          <w:szCs w:val="18"/>
        </w:rPr>
      </w:pPr>
      <w:bookmarkStart w:id="102" w:name="_Toc99107144"/>
      <w:r w:rsidRPr="00446E4D">
        <w:rPr>
          <w:rFonts w:ascii="Arial" w:hAnsi="Arial" w:cs="Arial"/>
          <w:smallCaps w:val="0"/>
          <w:color w:val="9D2235" w:themeColor="accent1"/>
          <w:sz w:val="18"/>
          <w:szCs w:val="18"/>
        </w:rPr>
        <w:t xml:space="preserve">Tabla </w:t>
      </w:r>
      <w:r w:rsidRPr="00446E4D">
        <w:rPr>
          <w:rFonts w:ascii="Arial" w:hAnsi="Arial" w:cs="Arial"/>
          <w:smallCaps w:val="0"/>
          <w:color w:val="9D2235" w:themeColor="accent1"/>
          <w:sz w:val="18"/>
          <w:szCs w:val="18"/>
        </w:rPr>
        <w:fldChar w:fldCharType="begin" w:fldLock="1"/>
      </w:r>
      <w:r w:rsidRPr="00446E4D">
        <w:rPr>
          <w:rFonts w:ascii="Arial" w:hAnsi="Arial" w:cs="Arial"/>
          <w:smallCaps w:val="0"/>
          <w:color w:val="9D2235" w:themeColor="accent1"/>
          <w:sz w:val="18"/>
          <w:szCs w:val="18"/>
        </w:rPr>
        <w:instrText xml:space="preserve"> SEQ Tabla \* ARABIC </w:instrText>
      </w:r>
      <w:r w:rsidRPr="00446E4D">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6</w:t>
      </w:r>
      <w:r w:rsidRPr="00446E4D">
        <w:rPr>
          <w:rFonts w:ascii="Arial" w:hAnsi="Arial" w:cs="Arial"/>
          <w:smallCaps w:val="0"/>
          <w:color w:val="9D2235" w:themeColor="accent1"/>
          <w:sz w:val="18"/>
          <w:szCs w:val="18"/>
        </w:rPr>
        <w:fldChar w:fldCharType="end"/>
      </w:r>
      <w:r w:rsidRPr="00446E4D">
        <w:rPr>
          <w:rFonts w:ascii="Arial" w:hAnsi="Arial" w:cs="Arial"/>
          <w:smallCaps w:val="0"/>
          <w:sz w:val="18"/>
          <w:szCs w:val="18"/>
        </w:rPr>
        <w:t xml:space="preserve">. Convenios vigentes a </w:t>
      </w:r>
      <w:r w:rsidR="00D70F8E">
        <w:rPr>
          <w:rFonts w:ascii="Arial" w:hAnsi="Arial" w:cs="Arial"/>
          <w:smallCaps w:val="0"/>
          <w:sz w:val="18"/>
          <w:szCs w:val="18"/>
        </w:rPr>
        <w:t xml:space="preserve">31 </w:t>
      </w:r>
      <w:r w:rsidRPr="00446E4D">
        <w:rPr>
          <w:rFonts w:ascii="Arial" w:hAnsi="Arial" w:cs="Arial"/>
          <w:smallCaps w:val="0"/>
          <w:noProof/>
          <w:sz w:val="18"/>
          <w:szCs w:val="18"/>
        </w:rPr>
        <w:t>de diciembre de 2021</w:t>
      </w:r>
      <w:bookmarkEnd w:id="102"/>
    </w:p>
    <w:tbl>
      <w:tblPr>
        <w:tblStyle w:val="Tablanormal21"/>
        <w:tblW w:w="0" w:type="auto"/>
        <w:tblBorders>
          <w:top w:val="none" w:sz="0" w:space="0" w:color="auto"/>
          <w:insideH w:val="single" w:sz="4" w:space="0" w:color="7F7F7F"/>
        </w:tblBorders>
        <w:tblLook w:val="04A0" w:firstRow="1" w:lastRow="0" w:firstColumn="1" w:lastColumn="0" w:noHBand="0" w:noVBand="1"/>
      </w:tblPr>
      <w:tblGrid>
        <w:gridCol w:w="708"/>
        <w:gridCol w:w="1237"/>
        <w:gridCol w:w="911"/>
        <w:gridCol w:w="2459"/>
        <w:gridCol w:w="1060"/>
        <w:gridCol w:w="1267"/>
        <w:gridCol w:w="862"/>
      </w:tblGrid>
      <w:tr w:rsidR="00446E4D" w:rsidRPr="00446E4D" w14:paraId="4B1E5B96" w14:textId="77777777" w:rsidTr="00E32A80">
        <w:trPr>
          <w:cnfStyle w:val="100000000000" w:firstRow="1" w:lastRow="0" w:firstColumn="0" w:lastColumn="0" w:oddVBand="0" w:evenVBand="0" w:oddHBand="0" w:evenHBand="0" w:firstRowFirstColumn="0" w:firstRowLastColumn="0" w:lastRowFirstColumn="0" w:lastRowLastColumn="0"/>
          <w:trHeight w:val="57"/>
          <w:tblHeader/>
        </w:trPr>
        <w:tc>
          <w:tcPr>
            <w:cnfStyle w:val="001000000000" w:firstRow="0" w:lastRow="0" w:firstColumn="1" w:lastColumn="0" w:oddVBand="0" w:evenVBand="0" w:oddHBand="0" w:evenHBand="0" w:firstRowFirstColumn="0" w:firstRowLastColumn="0" w:lastRowFirstColumn="0" w:lastRowLastColumn="0"/>
            <w:tcW w:w="0" w:type="auto"/>
            <w:tcBorders>
              <w:top w:val="nil"/>
              <w:bottom w:val="single" w:sz="12" w:space="0" w:color="9D2235"/>
            </w:tcBorders>
            <w:shd w:val="clear" w:color="auto" w:fill="auto"/>
            <w:hideMark/>
          </w:tcPr>
          <w:p w14:paraId="7F6D112D" w14:textId="77777777" w:rsidR="00446E4D" w:rsidRPr="00446E4D" w:rsidRDefault="00446E4D" w:rsidP="00446E4D">
            <w:pPr>
              <w:suppressAutoHyphens/>
              <w:spacing w:after="120"/>
              <w:jc w:val="center"/>
              <w:rPr>
                <w:rFonts w:ascii="Liberation Sans1" w:hAnsi="Liberation Sans1" w:cs="Times New Roman" w:hint="eastAsia"/>
                <w:color w:val="9D2235"/>
                <w:kern w:val="2"/>
                <w:sz w:val="12"/>
                <w:szCs w:val="12"/>
              </w:rPr>
            </w:pPr>
            <w:r w:rsidRPr="00446E4D">
              <w:rPr>
                <w:rFonts w:ascii="Arial" w:hAnsi="Arial" w:cs="Lucida Sans"/>
                <w:color w:val="9D2235"/>
                <w:kern w:val="2"/>
                <w:sz w:val="12"/>
                <w:szCs w:val="12"/>
              </w:rPr>
              <w:t>Núm. Reg/año</w:t>
            </w:r>
          </w:p>
        </w:tc>
        <w:tc>
          <w:tcPr>
            <w:tcW w:w="0" w:type="auto"/>
            <w:tcBorders>
              <w:top w:val="nil"/>
              <w:bottom w:val="single" w:sz="12" w:space="0" w:color="9D2235"/>
            </w:tcBorders>
            <w:shd w:val="clear" w:color="auto" w:fill="auto"/>
            <w:hideMark/>
          </w:tcPr>
          <w:p w14:paraId="1638E9FB" w14:textId="77777777" w:rsidR="00446E4D" w:rsidRPr="00B17D66" w:rsidRDefault="00446E4D" w:rsidP="00446E4D">
            <w:pPr>
              <w:suppressAutoHyphens/>
              <w:spacing w:after="120"/>
              <w:jc w:val="center"/>
              <w:cnfStyle w:val="100000000000" w:firstRow="1" w:lastRow="0" w:firstColumn="0" w:lastColumn="0" w:oddVBand="0" w:evenVBand="0" w:oddHBand="0" w:evenHBand="0" w:firstRowFirstColumn="0" w:firstRowLastColumn="0" w:lastRowFirstColumn="0" w:lastRowLastColumn="0"/>
              <w:rPr>
                <w:rFonts w:ascii="Liberation Sans1" w:hAnsi="Liberation Sans1" w:cs="Times New Roman" w:hint="eastAsia"/>
                <w:color w:val="9D2235"/>
                <w:kern w:val="2"/>
                <w:sz w:val="12"/>
                <w:szCs w:val="12"/>
              </w:rPr>
            </w:pPr>
            <w:r w:rsidRPr="00B17D66">
              <w:rPr>
                <w:rFonts w:ascii="Arial" w:hAnsi="Arial" w:cs="Lucida Sans"/>
                <w:color w:val="9D2235"/>
                <w:kern w:val="2"/>
                <w:sz w:val="12"/>
                <w:szCs w:val="12"/>
              </w:rPr>
              <w:t>Título</w:t>
            </w:r>
          </w:p>
        </w:tc>
        <w:tc>
          <w:tcPr>
            <w:tcW w:w="0" w:type="auto"/>
            <w:tcBorders>
              <w:top w:val="nil"/>
              <w:bottom w:val="single" w:sz="12" w:space="0" w:color="9D2235"/>
            </w:tcBorders>
            <w:shd w:val="clear" w:color="auto" w:fill="auto"/>
            <w:hideMark/>
          </w:tcPr>
          <w:p w14:paraId="2074F4C3" w14:textId="77777777" w:rsidR="00446E4D" w:rsidRPr="00446E4D" w:rsidRDefault="00446E4D" w:rsidP="00446E4D">
            <w:pPr>
              <w:suppressAutoHyphens/>
              <w:spacing w:after="120"/>
              <w:jc w:val="center"/>
              <w:cnfStyle w:val="100000000000" w:firstRow="1" w:lastRow="0" w:firstColumn="0" w:lastColumn="0" w:oddVBand="0" w:evenVBand="0" w:oddHBand="0" w:evenHBand="0" w:firstRowFirstColumn="0" w:firstRowLastColumn="0" w:lastRowFirstColumn="0" w:lastRowLastColumn="0"/>
              <w:rPr>
                <w:rFonts w:ascii="Liberation Sans1" w:hAnsi="Liberation Sans1" w:cs="Times New Roman" w:hint="eastAsia"/>
                <w:color w:val="9D2235"/>
                <w:kern w:val="2"/>
                <w:sz w:val="12"/>
                <w:szCs w:val="12"/>
              </w:rPr>
            </w:pPr>
            <w:r w:rsidRPr="00446E4D">
              <w:rPr>
                <w:rFonts w:ascii="Arial" w:hAnsi="Arial" w:cs="Lucida Sans"/>
                <w:color w:val="9D2235"/>
                <w:kern w:val="2"/>
                <w:sz w:val="12"/>
                <w:szCs w:val="12"/>
              </w:rPr>
              <w:t>Fecha suscripción</w:t>
            </w:r>
          </w:p>
        </w:tc>
        <w:tc>
          <w:tcPr>
            <w:tcW w:w="0" w:type="auto"/>
            <w:tcBorders>
              <w:top w:val="nil"/>
              <w:bottom w:val="single" w:sz="12" w:space="0" w:color="9D2235"/>
            </w:tcBorders>
            <w:shd w:val="clear" w:color="auto" w:fill="auto"/>
            <w:hideMark/>
          </w:tcPr>
          <w:p w14:paraId="41DEA79E" w14:textId="77777777" w:rsidR="00446E4D" w:rsidRPr="00446E4D" w:rsidRDefault="00446E4D" w:rsidP="00446E4D">
            <w:pPr>
              <w:suppressAutoHyphens/>
              <w:spacing w:after="120"/>
              <w:jc w:val="center"/>
              <w:cnfStyle w:val="100000000000" w:firstRow="1" w:lastRow="0" w:firstColumn="0" w:lastColumn="0" w:oddVBand="0" w:evenVBand="0" w:oddHBand="0" w:evenHBand="0" w:firstRowFirstColumn="0" w:firstRowLastColumn="0" w:lastRowFirstColumn="0" w:lastRowLastColumn="0"/>
              <w:rPr>
                <w:rFonts w:ascii="Liberation Sans1" w:hAnsi="Liberation Sans1" w:cs="Times New Roman" w:hint="eastAsia"/>
                <w:color w:val="9D2235"/>
                <w:kern w:val="2"/>
                <w:sz w:val="12"/>
                <w:szCs w:val="12"/>
              </w:rPr>
            </w:pPr>
            <w:r w:rsidRPr="00446E4D">
              <w:rPr>
                <w:rFonts w:ascii="Arial" w:hAnsi="Arial" w:cs="Lucida Sans"/>
                <w:color w:val="9D2235"/>
                <w:kern w:val="2"/>
                <w:sz w:val="12"/>
                <w:szCs w:val="12"/>
              </w:rPr>
              <w:t>Objeto convenio</w:t>
            </w:r>
          </w:p>
        </w:tc>
        <w:tc>
          <w:tcPr>
            <w:tcW w:w="0" w:type="auto"/>
            <w:tcBorders>
              <w:top w:val="nil"/>
              <w:bottom w:val="single" w:sz="12" w:space="0" w:color="9D2235"/>
            </w:tcBorders>
            <w:shd w:val="clear" w:color="auto" w:fill="auto"/>
            <w:hideMark/>
          </w:tcPr>
          <w:p w14:paraId="15D13CE1" w14:textId="77777777" w:rsidR="00446E4D" w:rsidRPr="00446E4D" w:rsidRDefault="00446E4D" w:rsidP="00446E4D">
            <w:pPr>
              <w:suppressAutoHyphens/>
              <w:spacing w:after="120"/>
              <w:jc w:val="center"/>
              <w:cnfStyle w:val="100000000000" w:firstRow="1" w:lastRow="0" w:firstColumn="0" w:lastColumn="0" w:oddVBand="0" w:evenVBand="0" w:oddHBand="0" w:evenHBand="0" w:firstRowFirstColumn="0" w:firstRowLastColumn="0" w:lastRowFirstColumn="0" w:lastRowLastColumn="0"/>
              <w:rPr>
                <w:rFonts w:ascii="Liberation Sans1" w:hAnsi="Liberation Sans1" w:cs="Times New Roman" w:hint="eastAsia"/>
                <w:color w:val="9D2235"/>
                <w:kern w:val="2"/>
                <w:sz w:val="12"/>
                <w:szCs w:val="12"/>
              </w:rPr>
            </w:pPr>
            <w:r w:rsidRPr="00446E4D">
              <w:rPr>
                <w:rFonts w:ascii="Arial" w:hAnsi="Arial" w:cs="Lucida Sans"/>
                <w:color w:val="9D2235"/>
                <w:kern w:val="2"/>
                <w:sz w:val="12"/>
                <w:szCs w:val="12"/>
              </w:rPr>
              <w:t>Financiación</w:t>
            </w:r>
          </w:p>
        </w:tc>
        <w:tc>
          <w:tcPr>
            <w:tcW w:w="0" w:type="auto"/>
            <w:tcBorders>
              <w:top w:val="nil"/>
              <w:bottom w:val="single" w:sz="12" w:space="0" w:color="9D2235"/>
            </w:tcBorders>
            <w:shd w:val="clear" w:color="auto" w:fill="auto"/>
            <w:hideMark/>
          </w:tcPr>
          <w:p w14:paraId="17194D78" w14:textId="77777777" w:rsidR="00446E4D" w:rsidRPr="00446E4D" w:rsidRDefault="00446E4D" w:rsidP="00446E4D">
            <w:pPr>
              <w:suppressAutoHyphens/>
              <w:spacing w:after="120"/>
              <w:jc w:val="center"/>
              <w:cnfStyle w:val="100000000000" w:firstRow="1" w:lastRow="0" w:firstColumn="0" w:lastColumn="0" w:oddVBand="0" w:evenVBand="0" w:oddHBand="0" w:evenHBand="0" w:firstRowFirstColumn="0" w:firstRowLastColumn="0" w:lastRowFirstColumn="0" w:lastRowLastColumn="0"/>
              <w:rPr>
                <w:rFonts w:ascii="Liberation Sans1" w:hAnsi="Liberation Sans1" w:cs="Times New Roman" w:hint="eastAsia"/>
                <w:color w:val="9D2235"/>
                <w:kern w:val="2"/>
                <w:sz w:val="12"/>
                <w:szCs w:val="12"/>
              </w:rPr>
            </w:pPr>
            <w:r w:rsidRPr="00446E4D">
              <w:rPr>
                <w:rFonts w:ascii="Arial" w:hAnsi="Arial" w:cs="Lucida Sans"/>
                <w:color w:val="9D2235"/>
                <w:kern w:val="2"/>
                <w:sz w:val="12"/>
                <w:szCs w:val="12"/>
              </w:rPr>
              <w:t>Plazo y tipo vigencia</w:t>
            </w:r>
          </w:p>
        </w:tc>
        <w:tc>
          <w:tcPr>
            <w:tcW w:w="0" w:type="auto"/>
            <w:tcBorders>
              <w:top w:val="nil"/>
              <w:bottom w:val="single" w:sz="12" w:space="0" w:color="9D2235"/>
            </w:tcBorders>
            <w:shd w:val="clear" w:color="auto" w:fill="auto"/>
            <w:hideMark/>
          </w:tcPr>
          <w:p w14:paraId="40BDC43E" w14:textId="77777777" w:rsidR="00446E4D" w:rsidRPr="00446E4D" w:rsidRDefault="00446E4D" w:rsidP="00446E4D">
            <w:pPr>
              <w:suppressAutoHyphens/>
              <w:spacing w:after="120"/>
              <w:jc w:val="center"/>
              <w:cnfStyle w:val="100000000000" w:firstRow="1" w:lastRow="0" w:firstColumn="0" w:lastColumn="0" w:oddVBand="0" w:evenVBand="0" w:oddHBand="0" w:evenHBand="0" w:firstRowFirstColumn="0" w:firstRowLastColumn="0" w:lastRowFirstColumn="0" w:lastRowLastColumn="0"/>
              <w:rPr>
                <w:rFonts w:ascii="Liberation Sans1" w:hAnsi="Liberation Sans1" w:cs="Times New Roman" w:hint="eastAsia"/>
                <w:color w:val="9D2235"/>
                <w:kern w:val="2"/>
                <w:sz w:val="12"/>
                <w:szCs w:val="12"/>
              </w:rPr>
            </w:pPr>
            <w:r w:rsidRPr="00446E4D">
              <w:rPr>
                <w:rFonts w:ascii="Arial" w:hAnsi="Arial" w:cs="Lucida Sans"/>
                <w:color w:val="9D2235"/>
                <w:kern w:val="2"/>
                <w:sz w:val="12"/>
                <w:szCs w:val="12"/>
              </w:rPr>
              <w:t>Estado de vigencia</w:t>
            </w:r>
          </w:p>
        </w:tc>
      </w:tr>
      <w:tr w:rsidR="00446E4D" w:rsidRPr="00446E4D" w14:paraId="603F3F96" w14:textId="77777777" w:rsidTr="00E32A80">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9D2235"/>
              <w:bottom w:val="nil"/>
            </w:tcBorders>
            <w:hideMark/>
          </w:tcPr>
          <w:p w14:paraId="66AC53E5"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1/2018</w:t>
            </w:r>
          </w:p>
        </w:tc>
        <w:tc>
          <w:tcPr>
            <w:tcW w:w="0" w:type="auto"/>
            <w:tcBorders>
              <w:top w:val="single" w:sz="12" w:space="0" w:color="9D2235"/>
              <w:bottom w:val="nil"/>
            </w:tcBorders>
            <w:hideMark/>
          </w:tcPr>
          <w:p w14:paraId="7C1B6030" w14:textId="77777777" w:rsidR="00446E4D" w:rsidRPr="00B17D66" w:rsidRDefault="00AF48E6"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71" w:history="1">
              <w:r w:rsidR="00446E4D" w:rsidRPr="00B17D66">
                <w:rPr>
                  <w:rFonts w:ascii="Arial" w:hAnsi="Arial" w:cs="Lucida Sans"/>
                  <w:color w:val="0000FF"/>
                  <w:kern w:val="2"/>
                  <w:sz w:val="12"/>
                  <w:szCs w:val="12"/>
                  <w:u w:val="single"/>
                </w:rPr>
                <w:t>Convenio marco entre la Oficina Antifraude de Cataluña y la AVAF</w:t>
              </w:r>
            </w:hyperlink>
          </w:p>
        </w:tc>
        <w:tc>
          <w:tcPr>
            <w:tcW w:w="0" w:type="auto"/>
            <w:tcBorders>
              <w:top w:val="single" w:sz="12" w:space="0" w:color="9D2235"/>
              <w:bottom w:val="nil"/>
            </w:tcBorders>
            <w:hideMark/>
          </w:tcPr>
          <w:p w14:paraId="41461623"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21/03/2018</w:t>
            </w:r>
          </w:p>
        </w:tc>
        <w:tc>
          <w:tcPr>
            <w:tcW w:w="0" w:type="auto"/>
            <w:tcBorders>
              <w:top w:val="single" w:sz="12" w:space="0" w:color="9D2235"/>
              <w:bottom w:val="nil"/>
            </w:tcBorders>
            <w:hideMark/>
          </w:tcPr>
          <w:p w14:paraId="38CC0A91" w14:textId="77777777" w:rsidR="00446E4D" w:rsidRPr="00446E4D" w:rsidRDefault="00446E4D"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Establecer un marco estable de comunicación y colaboración entre la OAC y la AVAF que permita alcanzar un conjunto de objetivos de interés común</w:t>
            </w:r>
          </w:p>
        </w:tc>
        <w:tc>
          <w:tcPr>
            <w:tcW w:w="0" w:type="auto"/>
            <w:tcBorders>
              <w:top w:val="single" w:sz="12" w:space="0" w:color="9D2235"/>
              <w:bottom w:val="nil"/>
            </w:tcBorders>
            <w:hideMark/>
          </w:tcPr>
          <w:p w14:paraId="06BE2BF4"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single" w:sz="12" w:space="0" w:color="9D2235"/>
              <w:bottom w:val="nil"/>
            </w:tcBorders>
            <w:hideMark/>
          </w:tcPr>
          <w:p w14:paraId="48A8E9DC"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4 años, con posibilidad de prórroga</w:t>
            </w:r>
          </w:p>
        </w:tc>
        <w:tc>
          <w:tcPr>
            <w:tcW w:w="0" w:type="auto"/>
            <w:tcBorders>
              <w:top w:val="single" w:sz="12" w:space="0" w:color="9D2235"/>
              <w:bottom w:val="nil"/>
            </w:tcBorders>
            <w:hideMark/>
          </w:tcPr>
          <w:p w14:paraId="13207BEF"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highlight w:val="cyan"/>
              </w:rPr>
            </w:pPr>
            <w:r w:rsidRPr="00446E4D">
              <w:rPr>
                <w:rFonts w:ascii="Arial" w:hAnsi="Arial" w:cs="Lucida Sans"/>
                <w:kern w:val="2"/>
                <w:sz w:val="12"/>
                <w:szCs w:val="12"/>
              </w:rPr>
              <w:t>Vigente hasta 21/03/2022</w:t>
            </w:r>
          </w:p>
        </w:tc>
      </w:tr>
      <w:tr w:rsidR="00446E4D" w:rsidRPr="00446E4D" w14:paraId="5C6250F8" w14:textId="77777777" w:rsidTr="00E32A80">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2F2F2"/>
            <w:hideMark/>
          </w:tcPr>
          <w:p w14:paraId="75774D6F"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2/2018</w:t>
            </w:r>
          </w:p>
        </w:tc>
        <w:tc>
          <w:tcPr>
            <w:tcW w:w="0" w:type="auto"/>
            <w:tcBorders>
              <w:top w:val="nil"/>
              <w:bottom w:val="nil"/>
            </w:tcBorders>
            <w:shd w:val="clear" w:color="auto" w:fill="F2F2F2"/>
            <w:hideMark/>
          </w:tcPr>
          <w:p w14:paraId="7CE28365" w14:textId="77777777" w:rsidR="00446E4D" w:rsidRPr="00B17D66" w:rsidRDefault="00AF48E6"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72" w:history="1">
              <w:r w:rsidR="00446E4D" w:rsidRPr="00B17D66">
                <w:rPr>
                  <w:rFonts w:ascii="Arial" w:hAnsi="Arial" w:cs="Lucida Sans"/>
                  <w:color w:val="0000FF"/>
                  <w:kern w:val="2"/>
                  <w:sz w:val="12"/>
                  <w:szCs w:val="12"/>
                  <w:u w:val="single"/>
                </w:rPr>
                <w:t>Convenio marco entre el Ayuntamiento de Barcelona y la AVAF</w:t>
              </w:r>
            </w:hyperlink>
          </w:p>
        </w:tc>
        <w:tc>
          <w:tcPr>
            <w:tcW w:w="0" w:type="auto"/>
            <w:tcBorders>
              <w:top w:val="nil"/>
              <w:bottom w:val="nil"/>
            </w:tcBorders>
            <w:shd w:val="clear" w:color="auto" w:fill="F2F2F2"/>
            <w:hideMark/>
          </w:tcPr>
          <w:p w14:paraId="18D7C56F"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21/09/2018</w:t>
            </w:r>
          </w:p>
        </w:tc>
        <w:tc>
          <w:tcPr>
            <w:tcW w:w="0" w:type="auto"/>
            <w:tcBorders>
              <w:top w:val="nil"/>
              <w:bottom w:val="nil"/>
            </w:tcBorders>
            <w:shd w:val="clear" w:color="auto" w:fill="F2F2F2"/>
            <w:hideMark/>
          </w:tcPr>
          <w:p w14:paraId="28BE0406" w14:textId="77777777" w:rsidR="00446E4D" w:rsidRPr="00446E4D" w:rsidRDefault="00446E4D"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Establecer un marco estable de comunicación entre las partes, que permita el cumplimiento de los objetivos respectivos y la eficiencia en la utilización de los recursos públicos, y mejorar el servicio que se presta a la ciudadanía.</w:t>
            </w:r>
          </w:p>
        </w:tc>
        <w:tc>
          <w:tcPr>
            <w:tcW w:w="0" w:type="auto"/>
            <w:tcBorders>
              <w:top w:val="nil"/>
              <w:bottom w:val="nil"/>
            </w:tcBorders>
            <w:shd w:val="clear" w:color="auto" w:fill="F2F2F2"/>
            <w:hideMark/>
          </w:tcPr>
          <w:p w14:paraId="1CAD25B6"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nil"/>
              <w:bottom w:val="nil"/>
            </w:tcBorders>
            <w:shd w:val="clear" w:color="auto" w:fill="F2F2F2"/>
            <w:hideMark/>
          </w:tcPr>
          <w:p w14:paraId="398C6E31"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4 años, con posibilidad de prórroga</w:t>
            </w:r>
          </w:p>
        </w:tc>
        <w:tc>
          <w:tcPr>
            <w:tcW w:w="0" w:type="auto"/>
            <w:tcBorders>
              <w:top w:val="nil"/>
              <w:bottom w:val="nil"/>
            </w:tcBorders>
            <w:shd w:val="clear" w:color="auto" w:fill="F2F2F2"/>
            <w:hideMark/>
          </w:tcPr>
          <w:p w14:paraId="5B6C14AE"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Vigente hasta 21/09/2022</w:t>
            </w:r>
          </w:p>
        </w:tc>
      </w:tr>
      <w:tr w:rsidR="00446E4D" w:rsidRPr="00446E4D" w14:paraId="0C49FB7B" w14:textId="77777777" w:rsidTr="00E32A80">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42C91A4D"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3/2018</w:t>
            </w:r>
          </w:p>
        </w:tc>
        <w:tc>
          <w:tcPr>
            <w:tcW w:w="0" w:type="auto"/>
            <w:tcBorders>
              <w:top w:val="nil"/>
              <w:bottom w:val="nil"/>
            </w:tcBorders>
            <w:hideMark/>
          </w:tcPr>
          <w:p w14:paraId="3802DE81" w14:textId="77777777" w:rsidR="00446E4D" w:rsidRPr="00B17D66" w:rsidRDefault="00AF48E6"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73" w:history="1">
              <w:r w:rsidR="00446E4D" w:rsidRPr="00B17D66">
                <w:rPr>
                  <w:rFonts w:ascii="Arial" w:hAnsi="Arial" w:cs="Lucida Sans"/>
                  <w:color w:val="0000FF"/>
                  <w:kern w:val="2"/>
                  <w:sz w:val="12"/>
                  <w:szCs w:val="12"/>
                  <w:u w:val="single"/>
                </w:rPr>
                <w:t>Convenio marco entre la AVAF y la Oficina de Prevención y Lucha contra la Corrupción de les Illes Balears</w:t>
              </w:r>
            </w:hyperlink>
          </w:p>
        </w:tc>
        <w:tc>
          <w:tcPr>
            <w:tcW w:w="0" w:type="auto"/>
            <w:tcBorders>
              <w:top w:val="nil"/>
              <w:bottom w:val="nil"/>
            </w:tcBorders>
            <w:hideMark/>
          </w:tcPr>
          <w:p w14:paraId="611ECF3B"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29/06/2018</w:t>
            </w:r>
          </w:p>
        </w:tc>
        <w:tc>
          <w:tcPr>
            <w:tcW w:w="0" w:type="auto"/>
            <w:tcBorders>
              <w:top w:val="nil"/>
              <w:bottom w:val="nil"/>
            </w:tcBorders>
            <w:hideMark/>
          </w:tcPr>
          <w:p w14:paraId="7600F880" w14:textId="77777777" w:rsidR="00446E4D" w:rsidRPr="00446E4D" w:rsidRDefault="00446E4D"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Establecer un marco estable de comunicación y colaboración entre la AVAF y la Oficina de Prevención y Lucha contra la Corrupción de les Illes Balears</w:t>
            </w:r>
          </w:p>
        </w:tc>
        <w:tc>
          <w:tcPr>
            <w:tcW w:w="0" w:type="auto"/>
            <w:tcBorders>
              <w:top w:val="nil"/>
              <w:bottom w:val="nil"/>
            </w:tcBorders>
            <w:hideMark/>
          </w:tcPr>
          <w:p w14:paraId="1E4A4030"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nil"/>
              <w:bottom w:val="nil"/>
            </w:tcBorders>
            <w:hideMark/>
          </w:tcPr>
          <w:p w14:paraId="218D2451"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4 años, con posibilidad de prórroga</w:t>
            </w:r>
          </w:p>
        </w:tc>
        <w:tc>
          <w:tcPr>
            <w:tcW w:w="0" w:type="auto"/>
            <w:tcBorders>
              <w:top w:val="nil"/>
              <w:bottom w:val="nil"/>
            </w:tcBorders>
            <w:hideMark/>
          </w:tcPr>
          <w:p w14:paraId="3EB6F7B7"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Vigente hasta 29/06/2022</w:t>
            </w:r>
          </w:p>
        </w:tc>
      </w:tr>
      <w:tr w:rsidR="00446E4D" w:rsidRPr="00446E4D" w14:paraId="10E6C4C4" w14:textId="77777777" w:rsidTr="00E32A80">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2F2F2"/>
            <w:hideMark/>
          </w:tcPr>
          <w:p w14:paraId="0D41428D"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1/2019</w:t>
            </w:r>
          </w:p>
        </w:tc>
        <w:tc>
          <w:tcPr>
            <w:tcW w:w="0" w:type="auto"/>
            <w:tcBorders>
              <w:top w:val="nil"/>
              <w:bottom w:val="nil"/>
            </w:tcBorders>
            <w:shd w:val="clear" w:color="auto" w:fill="F2F2F2"/>
            <w:hideMark/>
          </w:tcPr>
          <w:p w14:paraId="1BA2DCCA" w14:textId="0CCE5669" w:rsidR="00446E4D" w:rsidRPr="00B17D66" w:rsidRDefault="00AF48E6"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74" w:anchor="boc/iniciativa/clau/189773343946412" w:history="1">
              <w:r w:rsidR="00446E4D" w:rsidRPr="00B17D66">
                <w:rPr>
                  <w:rFonts w:ascii="Arial" w:hAnsi="Arial" w:cs="Lucida Sans"/>
                  <w:color w:val="0000FF"/>
                  <w:kern w:val="2"/>
                  <w:sz w:val="12"/>
                  <w:szCs w:val="12"/>
                  <w:u w:val="single"/>
                </w:rPr>
                <w:t>Convenio marco entre la AVAF y la Asociación Tactical Whistleblower</w:t>
              </w:r>
            </w:hyperlink>
            <w:r w:rsidR="00446E4D" w:rsidRPr="00B17D66">
              <w:rPr>
                <w:rFonts w:ascii="Arial" w:hAnsi="Arial" w:cs="Lucida Sans"/>
                <w:kern w:val="2"/>
                <w:sz w:val="12"/>
                <w:szCs w:val="12"/>
              </w:rPr>
              <w:t xml:space="preserve"> </w:t>
            </w:r>
          </w:p>
        </w:tc>
        <w:tc>
          <w:tcPr>
            <w:tcW w:w="0" w:type="auto"/>
            <w:tcBorders>
              <w:top w:val="nil"/>
              <w:bottom w:val="nil"/>
            </w:tcBorders>
            <w:shd w:val="clear" w:color="auto" w:fill="F2F2F2"/>
            <w:hideMark/>
          </w:tcPr>
          <w:p w14:paraId="51FCE263"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09/07/2019</w:t>
            </w:r>
          </w:p>
        </w:tc>
        <w:tc>
          <w:tcPr>
            <w:tcW w:w="0" w:type="auto"/>
            <w:tcBorders>
              <w:top w:val="nil"/>
              <w:bottom w:val="nil"/>
            </w:tcBorders>
            <w:shd w:val="clear" w:color="auto" w:fill="F2F2F2"/>
            <w:hideMark/>
          </w:tcPr>
          <w:p w14:paraId="6D85C1DC" w14:textId="77777777" w:rsidR="00446E4D" w:rsidRPr="00446E4D" w:rsidRDefault="00446E4D"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color w:val="00000A"/>
                <w:kern w:val="2"/>
                <w:sz w:val="12"/>
                <w:szCs w:val="12"/>
              </w:rPr>
              <w:t>Establecer un canal permanente de comunicación y colaboración para mejorar la eficacia en el cumplimiento de los objetivos de interés común.</w:t>
            </w:r>
          </w:p>
        </w:tc>
        <w:tc>
          <w:tcPr>
            <w:tcW w:w="0" w:type="auto"/>
            <w:tcBorders>
              <w:top w:val="nil"/>
              <w:bottom w:val="nil"/>
            </w:tcBorders>
            <w:shd w:val="clear" w:color="auto" w:fill="F2F2F2"/>
            <w:hideMark/>
          </w:tcPr>
          <w:p w14:paraId="3F6B0337"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nil"/>
              <w:bottom w:val="nil"/>
            </w:tcBorders>
            <w:shd w:val="clear" w:color="auto" w:fill="F2F2F2"/>
            <w:hideMark/>
          </w:tcPr>
          <w:p w14:paraId="07673D36"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4 años, con posibilidad de prórroga</w:t>
            </w:r>
          </w:p>
        </w:tc>
        <w:tc>
          <w:tcPr>
            <w:tcW w:w="0" w:type="auto"/>
            <w:tcBorders>
              <w:top w:val="nil"/>
              <w:bottom w:val="nil"/>
            </w:tcBorders>
            <w:shd w:val="clear" w:color="auto" w:fill="F2F2F2"/>
            <w:hideMark/>
          </w:tcPr>
          <w:p w14:paraId="1EA3E722"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Vigente hasta 09/07/2023</w:t>
            </w:r>
          </w:p>
        </w:tc>
      </w:tr>
      <w:tr w:rsidR="00446E4D" w:rsidRPr="00446E4D" w14:paraId="623F0382" w14:textId="77777777" w:rsidTr="00E32A80">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00175CA3"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2/2019</w:t>
            </w:r>
          </w:p>
        </w:tc>
        <w:tc>
          <w:tcPr>
            <w:tcW w:w="0" w:type="auto"/>
            <w:tcBorders>
              <w:top w:val="nil"/>
              <w:bottom w:val="nil"/>
            </w:tcBorders>
            <w:hideMark/>
          </w:tcPr>
          <w:p w14:paraId="1B498CFE" w14:textId="77777777" w:rsidR="00446E4D" w:rsidRPr="00B17D66" w:rsidRDefault="00AF48E6"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75" w:anchor="boc/iniciativa/clau/189925353097232" w:history="1">
              <w:r w:rsidR="00446E4D" w:rsidRPr="00B17D66">
                <w:rPr>
                  <w:rFonts w:ascii="Arial" w:hAnsi="Arial" w:cs="Lucida Sans"/>
                  <w:color w:val="0000FF"/>
                  <w:kern w:val="2"/>
                  <w:sz w:val="12"/>
                  <w:szCs w:val="12"/>
                  <w:u w:val="single"/>
                </w:rPr>
                <w:t>Convenio marco de colaboración entre la Universitat de València y la AVAF</w:t>
              </w:r>
            </w:hyperlink>
          </w:p>
        </w:tc>
        <w:tc>
          <w:tcPr>
            <w:tcW w:w="0" w:type="auto"/>
            <w:tcBorders>
              <w:top w:val="nil"/>
              <w:bottom w:val="nil"/>
            </w:tcBorders>
            <w:hideMark/>
          </w:tcPr>
          <w:p w14:paraId="6FB2B374"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14/10/2019</w:t>
            </w:r>
          </w:p>
        </w:tc>
        <w:tc>
          <w:tcPr>
            <w:tcW w:w="0" w:type="auto"/>
            <w:tcBorders>
              <w:top w:val="nil"/>
              <w:bottom w:val="nil"/>
            </w:tcBorders>
            <w:hideMark/>
          </w:tcPr>
          <w:p w14:paraId="359B660C" w14:textId="77777777" w:rsidR="00446E4D" w:rsidRPr="00446E4D" w:rsidRDefault="00446E4D"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Establecimiento de un marco de actuación para la colaboración en actividades de formación de personal, de investigación aplicada, y de visibilidad a través del o los vicerrectorados competentes.</w:t>
            </w:r>
          </w:p>
        </w:tc>
        <w:tc>
          <w:tcPr>
            <w:tcW w:w="0" w:type="auto"/>
            <w:tcBorders>
              <w:top w:val="nil"/>
              <w:bottom w:val="nil"/>
            </w:tcBorders>
            <w:hideMark/>
          </w:tcPr>
          <w:p w14:paraId="25A6AC68"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nil"/>
              <w:bottom w:val="nil"/>
            </w:tcBorders>
            <w:hideMark/>
          </w:tcPr>
          <w:p w14:paraId="0630E7A7"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4 años, con posibilidad de prórroga</w:t>
            </w:r>
          </w:p>
        </w:tc>
        <w:tc>
          <w:tcPr>
            <w:tcW w:w="0" w:type="auto"/>
            <w:tcBorders>
              <w:top w:val="nil"/>
              <w:bottom w:val="nil"/>
            </w:tcBorders>
            <w:hideMark/>
          </w:tcPr>
          <w:p w14:paraId="1D33AB4A"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Vigente hasta 14/10/2023</w:t>
            </w:r>
          </w:p>
        </w:tc>
      </w:tr>
      <w:tr w:rsidR="00446E4D" w:rsidRPr="00446E4D" w14:paraId="48226EBA" w14:textId="77777777" w:rsidTr="00E32A80">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tcBorders>
            <w:shd w:val="clear" w:color="auto" w:fill="F2F2F2"/>
            <w:hideMark/>
          </w:tcPr>
          <w:p w14:paraId="267672F6"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1/2020</w:t>
            </w:r>
          </w:p>
        </w:tc>
        <w:tc>
          <w:tcPr>
            <w:tcW w:w="0" w:type="auto"/>
            <w:tcBorders>
              <w:top w:val="nil"/>
              <w:bottom w:val="nil"/>
            </w:tcBorders>
            <w:shd w:val="clear" w:color="auto" w:fill="F2F2F2"/>
            <w:hideMark/>
          </w:tcPr>
          <w:p w14:paraId="29250DF4" w14:textId="77777777" w:rsidR="00446E4D" w:rsidRPr="00B17D66" w:rsidRDefault="00AF48E6"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76" w:anchor="boc/iniciativa/clau/190130338384072" w:history="1">
              <w:r w:rsidR="00446E4D" w:rsidRPr="00B17D66">
                <w:rPr>
                  <w:rFonts w:ascii="Arial" w:hAnsi="Arial" w:cs="Lucida Sans"/>
                  <w:color w:val="0000FF"/>
                  <w:kern w:val="2"/>
                  <w:sz w:val="12"/>
                  <w:szCs w:val="12"/>
                  <w:u w:val="single"/>
                </w:rPr>
                <w:t>Convenio marco de colaboración entre la Universidad CEU Cardenal Herrera y la AVAF</w:t>
              </w:r>
            </w:hyperlink>
          </w:p>
        </w:tc>
        <w:tc>
          <w:tcPr>
            <w:tcW w:w="0" w:type="auto"/>
            <w:tcBorders>
              <w:top w:val="nil"/>
              <w:bottom w:val="nil"/>
            </w:tcBorders>
            <w:shd w:val="clear" w:color="auto" w:fill="F2F2F2"/>
            <w:hideMark/>
          </w:tcPr>
          <w:p w14:paraId="0D95012A"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11/03/2020</w:t>
            </w:r>
          </w:p>
        </w:tc>
        <w:tc>
          <w:tcPr>
            <w:tcW w:w="0" w:type="auto"/>
            <w:tcBorders>
              <w:top w:val="nil"/>
              <w:bottom w:val="nil"/>
            </w:tcBorders>
            <w:shd w:val="clear" w:color="auto" w:fill="F2F2F2"/>
            <w:hideMark/>
          </w:tcPr>
          <w:p w14:paraId="285A7297" w14:textId="77777777" w:rsidR="00446E4D" w:rsidRPr="00446E4D" w:rsidRDefault="00446E4D"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 xml:space="preserve">Fijar el marco de colaboración cultural, educativa y científica, así como de asistencia mutua </w:t>
            </w:r>
          </w:p>
        </w:tc>
        <w:tc>
          <w:tcPr>
            <w:tcW w:w="0" w:type="auto"/>
            <w:tcBorders>
              <w:top w:val="nil"/>
              <w:bottom w:val="nil"/>
            </w:tcBorders>
            <w:shd w:val="clear" w:color="auto" w:fill="F2F2F2"/>
            <w:hideMark/>
          </w:tcPr>
          <w:p w14:paraId="30EAC587"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nil"/>
              <w:bottom w:val="nil"/>
            </w:tcBorders>
            <w:shd w:val="clear" w:color="auto" w:fill="F2F2F2"/>
            <w:hideMark/>
          </w:tcPr>
          <w:p w14:paraId="39A88823"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4 años, con posibilidad de prórroga</w:t>
            </w:r>
          </w:p>
        </w:tc>
        <w:tc>
          <w:tcPr>
            <w:tcW w:w="0" w:type="auto"/>
            <w:tcBorders>
              <w:top w:val="nil"/>
              <w:bottom w:val="nil"/>
              <w:right w:val="nil"/>
            </w:tcBorders>
            <w:shd w:val="clear" w:color="auto" w:fill="F2F2F2"/>
            <w:hideMark/>
          </w:tcPr>
          <w:p w14:paraId="117B741E"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Vigente hasta 11/03/2024</w:t>
            </w:r>
          </w:p>
        </w:tc>
      </w:tr>
      <w:tr w:rsidR="00446E4D" w:rsidRPr="00446E4D" w14:paraId="7138F94F" w14:textId="77777777" w:rsidTr="00E32A80">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6BFEA883"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2/2020</w:t>
            </w:r>
          </w:p>
        </w:tc>
        <w:tc>
          <w:tcPr>
            <w:tcW w:w="0" w:type="auto"/>
            <w:tcBorders>
              <w:top w:val="nil"/>
              <w:bottom w:val="nil"/>
            </w:tcBorders>
            <w:hideMark/>
          </w:tcPr>
          <w:p w14:paraId="2393ACB7" w14:textId="301E42DC" w:rsidR="00446E4D" w:rsidRPr="00B17D66" w:rsidRDefault="00AF48E6"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77" w:anchor="boc/iniciativa/clau/190130338417502" w:history="1">
              <w:r w:rsidR="00446E4D" w:rsidRPr="00B17D66">
                <w:rPr>
                  <w:rFonts w:ascii="Arial" w:hAnsi="Arial" w:cs="Lucida Sans"/>
                  <w:color w:val="0000FF"/>
                  <w:kern w:val="2"/>
                  <w:sz w:val="12"/>
                  <w:szCs w:val="12"/>
                  <w:u w:val="single"/>
                </w:rPr>
                <w:t>Convenio de colaboración entre la Universitat de València y la AVAF</w:t>
              </w:r>
            </w:hyperlink>
          </w:p>
        </w:tc>
        <w:tc>
          <w:tcPr>
            <w:tcW w:w="0" w:type="auto"/>
            <w:tcBorders>
              <w:top w:val="nil"/>
              <w:bottom w:val="nil"/>
            </w:tcBorders>
            <w:hideMark/>
          </w:tcPr>
          <w:p w14:paraId="7355BD85"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29/06/2020</w:t>
            </w:r>
          </w:p>
        </w:tc>
        <w:tc>
          <w:tcPr>
            <w:tcW w:w="0" w:type="auto"/>
            <w:tcBorders>
              <w:top w:val="nil"/>
              <w:bottom w:val="nil"/>
            </w:tcBorders>
            <w:hideMark/>
          </w:tcPr>
          <w:p w14:paraId="3B549DBD" w14:textId="77777777" w:rsidR="00446E4D" w:rsidRPr="00446E4D" w:rsidRDefault="00446E4D"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 xml:space="preserve">Establecer las bases de colaboración entre el Vicerrectorado de Proyección Territorial y Sociedad para desarrollar el proyecto “Actividades formativas para el Buen Gobierno y la Ciudadanía, en el territorio valenciano”, </w:t>
            </w:r>
          </w:p>
        </w:tc>
        <w:tc>
          <w:tcPr>
            <w:tcW w:w="0" w:type="auto"/>
            <w:tcBorders>
              <w:top w:val="nil"/>
              <w:bottom w:val="nil"/>
            </w:tcBorders>
            <w:hideMark/>
          </w:tcPr>
          <w:p w14:paraId="38343068"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 xml:space="preserve">Compromiso económico de hasta 15.000€ anuales. </w:t>
            </w:r>
          </w:p>
        </w:tc>
        <w:tc>
          <w:tcPr>
            <w:tcW w:w="0" w:type="auto"/>
            <w:tcBorders>
              <w:top w:val="nil"/>
              <w:bottom w:val="nil"/>
            </w:tcBorders>
            <w:hideMark/>
          </w:tcPr>
          <w:p w14:paraId="4531C9F7"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2 años, con posibilidad de prórroga.</w:t>
            </w:r>
          </w:p>
        </w:tc>
        <w:tc>
          <w:tcPr>
            <w:tcW w:w="0" w:type="auto"/>
            <w:tcBorders>
              <w:top w:val="nil"/>
              <w:bottom w:val="nil"/>
            </w:tcBorders>
            <w:hideMark/>
          </w:tcPr>
          <w:p w14:paraId="221DEDD0"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Vigente hasta 29/06/2022</w:t>
            </w:r>
          </w:p>
        </w:tc>
      </w:tr>
      <w:tr w:rsidR="00446E4D" w:rsidRPr="00446E4D" w14:paraId="3EE4154D" w14:textId="77777777" w:rsidTr="00E32A80">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2F2F2"/>
            <w:hideMark/>
          </w:tcPr>
          <w:p w14:paraId="31C1471B"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3/2020</w:t>
            </w:r>
          </w:p>
        </w:tc>
        <w:tc>
          <w:tcPr>
            <w:tcW w:w="0" w:type="auto"/>
            <w:tcBorders>
              <w:top w:val="nil"/>
              <w:bottom w:val="nil"/>
            </w:tcBorders>
            <w:shd w:val="clear" w:color="auto" w:fill="F2F2F2"/>
            <w:hideMark/>
          </w:tcPr>
          <w:p w14:paraId="5ED1B6F1" w14:textId="0881DE7D" w:rsidR="00446E4D" w:rsidRPr="00B17D66" w:rsidRDefault="00AF48E6"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78" w:anchor="boc/iniciativa/clau/190074343819112" w:history="1">
              <w:r w:rsidR="00446E4D" w:rsidRPr="00B17D66">
                <w:rPr>
                  <w:rFonts w:ascii="Arial" w:hAnsi="Arial" w:cs="Lucida Sans"/>
                  <w:color w:val="0000FF"/>
                  <w:kern w:val="2"/>
                  <w:sz w:val="12"/>
                  <w:szCs w:val="12"/>
                  <w:u w:val="single"/>
                </w:rPr>
                <w:t>Protocolo de Colaboración Funcional entre la Sindicatura de Comptes de la Comunitat Valenciana y la AVAF</w:t>
              </w:r>
            </w:hyperlink>
          </w:p>
        </w:tc>
        <w:tc>
          <w:tcPr>
            <w:tcW w:w="0" w:type="auto"/>
            <w:tcBorders>
              <w:top w:val="nil"/>
              <w:bottom w:val="nil"/>
            </w:tcBorders>
            <w:shd w:val="clear" w:color="auto" w:fill="F2F2F2"/>
            <w:hideMark/>
          </w:tcPr>
          <w:p w14:paraId="2E64171D"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24/04/2020</w:t>
            </w:r>
          </w:p>
        </w:tc>
        <w:tc>
          <w:tcPr>
            <w:tcW w:w="0" w:type="auto"/>
            <w:tcBorders>
              <w:top w:val="nil"/>
              <w:bottom w:val="nil"/>
            </w:tcBorders>
            <w:shd w:val="clear" w:color="auto" w:fill="F2F2F2"/>
            <w:hideMark/>
          </w:tcPr>
          <w:p w14:paraId="50D78C06" w14:textId="77777777" w:rsidR="00446E4D" w:rsidRPr="00446E4D" w:rsidRDefault="00446E4D"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Mejorar la incidencia de las actividades respectivas en la prevención del fraude y la corrupción, mediante la coordinación de sus funciones respectivas.</w:t>
            </w:r>
          </w:p>
        </w:tc>
        <w:tc>
          <w:tcPr>
            <w:tcW w:w="0" w:type="auto"/>
            <w:tcBorders>
              <w:top w:val="nil"/>
              <w:bottom w:val="nil"/>
            </w:tcBorders>
            <w:shd w:val="clear" w:color="auto" w:fill="F2F2F2"/>
            <w:hideMark/>
          </w:tcPr>
          <w:p w14:paraId="7823AFDF"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nil"/>
              <w:bottom w:val="nil"/>
            </w:tcBorders>
            <w:shd w:val="clear" w:color="auto" w:fill="F2F2F2"/>
            <w:hideMark/>
          </w:tcPr>
          <w:p w14:paraId="0C1EFB38"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Vigencia mínima de 4 años, con revisión para adiciones o modificaciones que se consideren oportunas</w:t>
            </w:r>
          </w:p>
        </w:tc>
        <w:tc>
          <w:tcPr>
            <w:tcW w:w="0" w:type="auto"/>
            <w:tcBorders>
              <w:top w:val="nil"/>
              <w:bottom w:val="nil"/>
            </w:tcBorders>
            <w:shd w:val="clear" w:color="auto" w:fill="F2F2F2"/>
            <w:hideMark/>
          </w:tcPr>
          <w:p w14:paraId="1B985AE7"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Vigente hasta 24/04/2024</w:t>
            </w:r>
          </w:p>
        </w:tc>
      </w:tr>
      <w:tr w:rsidR="00446E4D" w:rsidRPr="00446E4D" w14:paraId="7AA9D6DF" w14:textId="77777777" w:rsidTr="00E32A80">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4F120C74"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4/2020</w:t>
            </w:r>
          </w:p>
        </w:tc>
        <w:tc>
          <w:tcPr>
            <w:tcW w:w="0" w:type="auto"/>
            <w:tcBorders>
              <w:top w:val="nil"/>
              <w:bottom w:val="nil"/>
            </w:tcBorders>
            <w:hideMark/>
          </w:tcPr>
          <w:p w14:paraId="0274A40C" w14:textId="77777777" w:rsidR="00446E4D" w:rsidRPr="00B17D66" w:rsidRDefault="00AF48E6"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79" w:anchor="boc/iniciativa/clau/190228374227212" w:history="1">
              <w:r w:rsidR="00446E4D" w:rsidRPr="00B17D66">
                <w:rPr>
                  <w:rFonts w:ascii="Arial" w:hAnsi="Arial" w:cs="Lucida Sans"/>
                  <w:color w:val="0000FF"/>
                  <w:kern w:val="2"/>
                  <w:sz w:val="12"/>
                  <w:szCs w:val="12"/>
                  <w:u w:val="single"/>
                </w:rPr>
                <w:t>Convenio marco entre el Consejo General del Notariado y la AVAF</w:t>
              </w:r>
            </w:hyperlink>
          </w:p>
        </w:tc>
        <w:tc>
          <w:tcPr>
            <w:tcW w:w="0" w:type="auto"/>
            <w:tcBorders>
              <w:top w:val="nil"/>
              <w:bottom w:val="nil"/>
            </w:tcBorders>
            <w:hideMark/>
          </w:tcPr>
          <w:p w14:paraId="4FC61509"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07/10/2020</w:t>
            </w:r>
          </w:p>
        </w:tc>
        <w:tc>
          <w:tcPr>
            <w:tcW w:w="0" w:type="auto"/>
            <w:tcBorders>
              <w:top w:val="nil"/>
              <w:bottom w:val="nil"/>
            </w:tcBorders>
            <w:hideMark/>
          </w:tcPr>
          <w:p w14:paraId="7D21C858" w14:textId="77777777" w:rsidR="00446E4D" w:rsidRPr="00446E4D" w:rsidRDefault="00446E4D"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Acceder a las bases de datos de titulares reales y personas con responsabilidad pública del Consejo General del Notariado</w:t>
            </w:r>
          </w:p>
        </w:tc>
        <w:tc>
          <w:tcPr>
            <w:tcW w:w="0" w:type="auto"/>
            <w:tcBorders>
              <w:top w:val="nil"/>
              <w:bottom w:val="nil"/>
            </w:tcBorders>
            <w:hideMark/>
          </w:tcPr>
          <w:p w14:paraId="140FD327"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nil"/>
              <w:bottom w:val="nil"/>
            </w:tcBorders>
            <w:hideMark/>
          </w:tcPr>
          <w:p w14:paraId="3E244A52"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4 años, con posibilidad de prórroga.</w:t>
            </w:r>
          </w:p>
        </w:tc>
        <w:tc>
          <w:tcPr>
            <w:tcW w:w="0" w:type="auto"/>
            <w:tcBorders>
              <w:top w:val="nil"/>
              <w:bottom w:val="nil"/>
            </w:tcBorders>
            <w:hideMark/>
          </w:tcPr>
          <w:p w14:paraId="11440CC0"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Vigente hasta 07/10/2024</w:t>
            </w:r>
          </w:p>
        </w:tc>
      </w:tr>
      <w:tr w:rsidR="00446E4D" w:rsidRPr="00446E4D" w14:paraId="1DE88D75" w14:textId="77777777" w:rsidTr="00E32A80">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2F2F2"/>
            <w:hideMark/>
          </w:tcPr>
          <w:p w14:paraId="60A520E5"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1/2021</w:t>
            </w:r>
          </w:p>
        </w:tc>
        <w:tc>
          <w:tcPr>
            <w:tcW w:w="0" w:type="auto"/>
            <w:tcBorders>
              <w:top w:val="nil"/>
              <w:bottom w:val="nil"/>
            </w:tcBorders>
            <w:shd w:val="clear" w:color="auto" w:fill="F2F2F2"/>
            <w:hideMark/>
          </w:tcPr>
          <w:p w14:paraId="39EBE302" w14:textId="5F71F112" w:rsidR="00446E4D" w:rsidRPr="00B17D66" w:rsidRDefault="00AF48E6"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80" w:anchor="boc/iniciativa/clau/190313322168732" w:history="1">
              <w:r w:rsidR="00446E4D" w:rsidRPr="00B17D66">
                <w:rPr>
                  <w:rFonts w:ascii="Arial" w:hAnsi="Arial" w:cs="Lucida Sans"/>
                  <w:color w:val="0000FF"/>
                  <w:kern w:val="2"/>
                  <w:sz w:val="12"/>
                  <w:szCs w:val="12"/>
                  <w:u w:val="single"/>
                </w:rPr>
                <w:t>Convenio marco entre la AVAF y la World Compliance Association (en adelante, WCA</w:t>
              </w:r>
            </w:hyperlink>
            <w:r w:rsidR="00446E4D" w:rsidRPr="00B17D66">
              <w:rPr>
                <w:rFonts w:ascii="Arial" w:hAnsi="Arial" w:cs="Lucida Sans"/>
                <w:kern w:val="2"/>
                <w:sz w:val="12"/>
                <w:szCs w:val="12"/>
              </w:rPr>
              <w:t>)</w:t>
            </w:r>
          </w:p>
        </w:tc>
        <w:tc>
          <w:tcPr>
            <w:tcW w:w="0" w:type="auto"/>
            <w:tcBorders>
              <w:top w:val="nil"/>
              <w:bottom w:val="nil"/>
            </w:tcBorders>
            <w:shd w:val="clear" w:color="auto" w:fill="F2F2F2"/>
            <w:hideMark/>
          </w:tcPr>
          <w:p w14:paraId="29709A32"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11/01/2021</w:t>
            </w:r>
          </w:p>
        </w:tc>
        <w:tc>
          <w:tcPr>
            <w:tcW w:w="0" w:type="auto"/>
            <w:tcBorders>
              <w:top w:val="nil"/>
              <w:bottom w:val="nil"/>
            </w:tcBorders>
            <w:shd w:val="clear" w:color="auto" w:fill="F2F2F2"/>
            <w:hideMark/>
          </w:tcPr>
          <w:p w14:paraId="5FD83B2A" w14:textId="77777777" w:rsidR="00446E4D" w:rsidRPr="00446E4D" w:rsidRDefault="00446E4D"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color w:val="1C1C1C"/>
                <w:kern w:val="2"/>
                <w:sz w:val="12"/>
                <w:szCs w:val="12"/>
              </w:rPr>
              <w:t xml:space="preserve">Establecer un canal permanente de comunicación y colaboración para mejorar la eficacia en el cumplimiento de los objetivos de interés común. </w:t>
            </w:r>
          </w:p>
        </w:tc>
        <w:tc>
          <w:tcPr>
            <w:tcW w:w="0" w:type="auto"/>
            <w:tcBorders>
              <w:top w:val="nil"/>
              <w:bottom w:val="nil"/>
            </w:tcBorders>
            <w:shd w:val="clear" w:color="auto" w:fill="F2F2F2"/>
            <w:hideMark/>
          </w:tcPr>
          <w:p w14:paraId="0562B3A5"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nil"/>
              <w:bottom w:val="nil"/>
            </w:tcBorders>
            <w:shd w:val="clear" w:color="auto" w:fill="F2F2F2"/>
            <w:hideMark/>
          </w:tcPr>
          <w:p w14:paraId="36927E4F"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4 años, con posibilidad de prórroga</w:t>
            </w:r>
          </w:p>
        </w:tc>
        <w:tc>
          <w:tcPr>
            <w:tcW w:w="0" w:type="auto"/>
            <w:tcBorders>
              <w:top w:val="nil"/>
              <w:bottom w:val="nil"/>
            </w:tcBorders>
            <w:shd w:val="clear" w:color="auto" w:fill="F2F2F2"/>
            <w:hideMark/>
          </w:tcPr>
          <w:p w14:paraId="2D046D79"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Vigencia hasta 11/01/25</w:t>
            </w:r>
          </w:p>
        </w:tc>
      </w:tr>
      <w:tr w:rsidR="00446E4D" w:rsidRPr="00446E4D" w14:paraId="5E9ECEE7" w14:textId="77777777" w:rsidTr="00E32A80">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7D877474"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2/2021</w:t>
            </w:r>
          </w:p>
        </w:tc>
        <w:tc>
          <w:tcPr>
            <w:tcW w:w="0" w:type="auto"/>
            <w:tcBorders>
              <w:top w:val="nil"/>
              <w:bottom w:val="nil"/>
            </w:tcBorders>
            <w:hideMark/>
          </w:tcPr>
          <w:p w14:paraId="508B73C3" w14:textId="7DF6B08B" w:rsidR="00446E4D" w:rsidRPr="00B17D66" w:rsidRDefault="00AF48E6"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81" w:anchor="boc/iniciativa/clau/190347352912692" w:history="1">
              <w:r w:rsidR="00446E4D" w:rsidRPr="00B17D66">
                <w:rPr>
                  <w:rFonts w:ascii="Arial" w:hAnsi="Arial" w:cs="Lucida Sans"/>
                  <w:color w:val="0000FF"/>
                  <w:kern w:val="2"/>
                  <w:sz w:val="12"/>
                  <w:szCs w:val="12"/>
                  <w:u w:val="single"/>
                </w:rPr>
                <w:t>Convenio de cooperación educativa entre la AVAF y la Universidad CEU Cardenal Herrera</w:t>
              </w:r>
            </w:hyperlink>
          </w:p>
        </w:tc>
        <w:tc>
          <w:tcPr>
            <w:tcW w:w="0" w:type="auto"/>
            <w:tcBorders>
              <w:top w:val="nil"/>
              <w:bottom w:val="nil"/>
            </w:tcBorders>
            <w:hideMark/>
          </w:tcPr>
          <w:p w14:paraId="10E4CFCB"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10/02/2021</w:t>
            </w:r>
          </w:p>
        </w:tc>
        <w:tc>
          <w:tcPr>
            <w:tcW w:w="0" w:type="auto"/>
            <w:tcBorders>
              <w:top w:val="nil"/>
              <w:bottom w:val="nil"/>
            </w:tcBorders>
            <w:hideMark/>
          </w:tcPr>
          <w:p w14:paraId="35044AF4" w14:textId="0A36DC4F" w:rsidR="00446E4D" w:rsidRPr="00446E4D" w:rsidRDefault="00446E4D"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 xml:space="preserve">Establecer un programa de cooperación educativa para la realización de prácticas formativas, sin relación laboral, en las dependencias de la Agencia, por parte de estudiantes del CEU UCH que permita a los mismos aplicar y complementar los conocimientos adquiridos en su formación académica, favoreciendo la adquisición de competencias que </w:t>
            </w:r>
            <w:r w:rsidR="000B03F9" w:rsidRPr="00446E4D">
              <w:rPr>
                <w:rFonts w:ascii="Arial" w:hAnsi="Arial" w:cs="Lucida Sans"/>
                <w:kern w:val="2"/>
                <w:sz w:val="12"/>
                <w:szCs w:val="12"/>
              </w:rPr>
              <w:t>los</w:t>
            </w:r>
            <w:r w:rsidRPr="00446E4D">
              <w:rPr>
                <w:rFonts w:ascii="Arial" w:hAnsi="Arial" w:cs="Lucida Sans"/>
                <w:kern w:val="2"/>
                <w:sz w:val="12"/>
                <w:szCs w:val="12"/>
              </w:rPr>
              <w:t xml:space="preserve"> preparen para el ejercicio de actividades profesionales, faciliten su empleabilidad y fomenten su capacidad de emprendimiento.</w:t>
            </w:r>
          </w:p>
        </w:tc>
        <w:tc>
          <w:tcPr>
            <w:tcW w:w="0" w:type="auto"/>
            <w:tcBorders>
              <w:top w:val="nil"/>
              <w:bottom w:val="nil"/>
            </w:tcBorders>
            <w:hideMark/>
          </w:tcPr>
          <w:p w14:paraId="00BC52ED"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nil"/>
              <w:bottom w:val="nil"/>
            </w:tcBorders>
            <w:hideMark/>
          </w:tcPr>
          <w:p w14:paraId="53C6113C"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4 años, con posibilidad de prórroga.</w:t>
            </w:r>
          </w:p>
        </w:tc>
        <w:tc>
          <w:tcPr>
            <w:tcW w:w="0" w:type="auto"/>
            <w:tcBorders>
              <w:top w:val="nil"/>
              <w:bottom w:val="nil"/>
            </w:tcBorders>
            <w:hideMark/>
          </w:tcPr>
          <w:p w14:paraId="708FFB0B"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Vigente hasta 10/02/2025</w:t>
            </w:r>
          </w:p>
        </w:tc>
      </w:tr>
      <w:tr w:rsidR="00446E4D" w:rsidRPr="00446E4D" w14:paraId="0C212768" w14:textId="77777777" w:rsidTr="00E32A80">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2F2F2"/>
            <w:hideMark/>
          </w:tcPr>
          <w:p w14:paraId="0D746224"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3/2021</w:t>
            </w:r>
          </w:p>
        </w:tc>
        <w:tc>
          <w:tcPr>
            <w:tcW w:w="0" w:type="auto"/>
            <w:tcBorders>
              <w:top w:val="nil"/>
              <w:bottom w:val="nil"/>
            </w:tcBorders>
            <w:shd w:val="clear" w:color="auto" w:fill="F2F2F2"/>
            <w:hideMark/>
          </w:tcPr>
          <w:p w14:paraId="44E5B9F9" w14:textId="79DCD564" w:rsidR="00446E4D" w:rsidRPr="00B17D66" w:rsidRDefault="00AF48E6"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82" w:anchor="boc/iniciativa/clau/190403339627222" w:history="1">
              <w:r w:rsidR="00446E4D" w:rsidRPr="00B17D66">
                <w:rPr>
                  <w:rFonts w:ascii="Arial" w:hAnsi="Arial" w:cs="Lucida Sans"/>
                  <w:color w:val="0000FF"/>
                  <w:kern w:val="2"/>
                  <w:sz w:val="12"/>
                  <w:szCs w:val="12"/>
                  <w:u w:val="single"/>
                </w:rPr>
                <w:t>Convenio de colaboración entre la AVAF y la Fundación Ciudadana Civio</w:t>
              </w:r>
            </w:hyperlink>
          </w:p>
        </w:tc>
        <w:tc>
          <w:tcPr>
            <w:tcW w:w="0" w:type="auto"/>
            <w:tcBorders>
              <w:top w:val="nil"/>
              <w:bottom w:val="nil"/>
            </w:tcBorders>
            <w:shd w:val="clear" w:color="auto" w:fill="F2F2F2"/>
            <w:hideMark/>
          </w:tcPr>
          <w:p w14:paraId="3C1C5675"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09/04/2021</w:t>
            </w:r>
          </w:p>
        </w:tc>
        <w:tc>
          <w:tcPr>
            <w:tcW w:w="0" w:type="auto"/>
            <w:tcBorders>
              <w:top w:val="nil"/>
              <w:bottom w:val="nil"/>
            </w:tcBorders>
            <w:shd w:val="clear" w:color="auto" w:fill="F2F2F2"/>
            <w:hideMark/>
          </w:tcPr>
          <w:p w14:paraId="262D878B" w14:textId="77777777" w:rsidR="00446E4D" w:rsidRPr="00446E4D" w:rsidRDefault="00446E4D"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color w:val="1C1C1C"/>
                <w:kern w:val="2"/>
                <w:sz w:val="12"/>
                <w:szCs w:val="12"/>
              </w:rPr>
              <w:t>Colaborar en el desarrollo del proyecto SceMaps, mediante la puesta en práctica en la AVAF de la encuesta MACPI con el fin de evaluar si las posibles vulnerabilidades en el ámbito de la lucha contra la corrupción se abordan mediante políticas adecuadas de corrupción, analizar la efectividad de las medidas existentes y proponer medidas preventivas más eficientes.</w:t>
            </w:r>
          </w:p>
        </w:tc>
        <w:tc>
          <w:tcPr>
            <w:tcW w:w="0" w:type="auto"/>
            <w:tcBorders>
              <w:top w:val="nil"/>
              <w:bottom w:val="nil"/>
            </w:tcBorders>
            <w:shd w:val="clear" w:color="auto" w:fill="F2F2F2"/>
            <w:hideMark/>
          </w:tcPr>
          <w:p w14:paraId="3BB5AC73"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nil"/>
              <w:bottom w:val="nil"/>
            </w:tcBorders>
            <w:shd w:val="clear" w:color="auto" w:fill="F2F2F2"/>
            <w:hideMark/>
          </w:tcPr>
          <w:p w14:paraId="43A58028"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4 años, con posibilidad de prórroga</w:t>
            </w:r>
          </w:p>
        </w:tc>
        <w:tc>
          <w:tcPr>
            <w:tcW w:w="0" w:type="auto"/>
            <w:tcBorders>
              <w:top w:val="nil"/>
              <w:bottom w:val="nil"/>
            </w:tcBorders>
            <w:shd w:val="clear" w:color="auto" w:fill="F2F2F2"/>
            <w:hideMark/>
          </w:tcPr>
          <w:p w14:paraId="3F326A34"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Vigencia hasta 09/04/2025</w:t>
            </w:r>
          </w:p>
        </w:tc>
      </w:tr>
      <w:tr w:rsidR="00446E4D" w:rsidRPr="00446E4D" w14:paraId="0FA58207" w14:textId="77777777" w:rsidTr="00E32A80">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6EF18470" w14:textId="1DAD8F43"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4/202</w:t>
            </w:r>
            <w:r w:rsidR="000A0A89">
              <w:rPr>
                <w:rFonts w:ascii="Arial" w:hAnsi="Arial" w:cs="Lucida Sans"/>
                <w:kern w:val="2"/>
                <w:sz w:val="12"/>
                <w:szCs w:val="12"/>
              </w:rPr>
              <w:t>1</w:t>
            </w:r>
          </w:p>
        </w:tc>
        <w:tc>
          <w:tcPr>
            <w:tcW w:w="0" w:type="auto"/>
            <w:tcBorders>
              <w:top w:val="nil"/>
              <w:bottom w:val="nil"/>
            </w:tcBorders>
            <w:hideMark/>
          </w:tcPr>
          <w:p w14:paraId="4272BDB7" w14:textId="77777777" w:rsidR="00446E4D" w:rsidRPr="00B17D66" w:rsidRDefault="00AF48E6"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83" w:anchor="boc/iniciativa/clau/190496337516172" w:history="1">
              <w:r w:rsidR="00446E4D" w:rsidRPr="00B17D66">
                <w:rPr>
                  <w:rFonts w:ascii="Arial" w:hAnsi="Arial" w:cs="Lucida Sans"/>
                  <w:color w:val="0000FF"/>
                  <w:kern w:val="2"/>
                  <w:sz w:val="12"/>
                  <w:szCs w:val="12"/>
                  <w:u w:val="single"/>
                </w:rPr>
                <w:t>Convenio Marco entre la Universitat Politècnica y la AVAF</w:t>
              </w:r>
            </w:hyperlink>
          </w:p>
        </w:tc>
        <w:tc>
          <w:tcPr>
            <w:tcW w:w="0" w:type="auto"/>
            <w:tcBorders>
              <w:top w:val="nil"/>
              <w:bottom w:val="nil"/>
            </w:tcBorders>
            <w:hideMark/>
          </w:tcPr>
          <w:p w14:paraId="46E4E73A"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13/07/2021</w:t>
            </w:r>
          </w:p>
        </w:tc>
        <w:tc>
          <w:tcPr>
            <w:tcW w:w="0" w:type="auto"/>
            <w:tcBorders>
              <w:top w:val="nil"/>
              <w:bottom w:val="nil"/>
            </w:tcBorders>
            <w:hideMark/>
          </w:tcPr>
          <w:p w14:paraId="56877C6D" w14:textId="77777777" w:rsidR="00446E4D" w:rsidRPr="00446E4D" w:rsidRDefault="00446E4D"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Establecer el marco de colaboración cultural, educativa y científica, así como la asistencia mutua.</w:t>
            </w:r>
          </w:p>
        </w:tc>
        <w:tc>
          <w:tcPr>
            <w:tcW w:w="0" w:type="auto"/>
            <w:tcBorders>
              <w:top w:val="nil"/>
              <w:bottom w:val="nil"/>
            </w:tcBorders>
            <w:hideMark/>
          </w:tcPr>
          <w:p w14:paraId="26BD5211"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nil"/>
              <w:bottom w:val="nil"/>
            </w:tcBorders>
            <w:hideMark/>
          </w:tcPr>
          <w:p w14:paraId="4802224E"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4 años, con posibilidad de prórroga.</w:t>
            </w:r>
          </w:p>
        </w:tc>
        <w:tc>
          <w:tcPr>
            <w:tcW w:w="0" w:type="auto"/>
            <w:tcBorders>
              <w:top w:val="nil"/>
              <w:bottom w:val="nil"/>
            </w:tcBorders>
            <w:hideMark/>
          </w:tcPr>
          <w:p w14:paraId="14EAD2CB"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Vigente hasta 13/07/2025</w:t>
            </w:r>
          </w:p>
        </w:tc>
      </w:tr>
      <w:tr w:rsidR="00446E4D" w:rsidRPr="00446E4D" w14:paraId="586BDF97" w14:textId="77777777" w:rsidTr="00E32A80">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2F2F2"/>
            <w:hideMark/>
          </w:tcPr>
          <w:p w14:paraId="5B79F692"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5/2021</w:t>
            </w:r>
          </w:p>
        </w:tc>
        <w:tc>
          <w:tcPr>
            <w:tcW w:w="0" w:type="auto"/>
            <w:tcBorders>
              <w:top w:val="nil"/>
              <w:bottom w:val="nil"/>
            </w:tcBorders>
            <w:shd w:val="clear" w:color="auto" w:fill="F2F2F2"/>
            <w:hideMark/>
          </w:tcPr>
          <w:p w14:paraId="70F5296F" w14:textId="759842F8" w:rsidR="00446E4D" w:rsidRPr="00B17D66" w:rsidRDefault="00AF48E6"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84" w:anchor="boc/iniciativa/clau/190604323084872" w:history="1">
              <w:r w:rsidR="00446E4D" w:rsidRPr="00B17D66">
                <w:rPr>
                  <w:rFonts w:ascii="Arial" w:hAnsi="Arial" w:cs="Lucida Sans"/>
                  <w:color w:val="0000FF"/>
                  <w:kern w:val="2"/>
                  <w:sz w:val="12"/>
                  <w:szCs w:val="12"/>
                  <w:u w:val="single"/>
                </w:rPr>
                <w:t>Convenio de colaboración académica, científica y cultural entre la AVAF y la Universidad de Salamanca</w:t>
              </w:r>
            </w:hyperlink>
          </w:p>
        </w:tc>
        <w:tc>
          <w:tcPr>
            <w:tcW w:w="0" w:type="auto"/>
            <w:tcBorders>
              <w:top w:val="nil"/>
              <w:bottom w:val="nil"/>
            </w:tcBorders>
            <w:shd w:val="clear" w:color="auto" w:fill="F2F2F2"/>
            <w:hideMark/>
          </w:tcPr>
          <w:p w14:paraId="084384D5"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06/09/2021</w:t>
            </w:r>
          </w:p>
        </w:tc>
        <w:tc>
          <w:tcPr>
            <w:tcW w:w="0" w:type="auto"/>
            <w:tcBorders>
              <w:top w:val="nil"/>
              <w:bottom w:val="nil"/>
            </w:tcBorders>
            <w:shd w:val="clear" w:color="auto" w:fill="F2F2F2"/>
            <w:hideMark/>
          </w:tcPr>
          <w:p w14:paraId="214B9C73" w14:textId="77777777" w:rsidR="00446E4D" w:rsidRPr="00446E4D" w:rsidRDefault="00446E4D"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color w:val="1C1C1C"/>
                <w:kern w:val="2"/>
                <w:sz w:val="12"/>
                <w:szCs w:val="12"/>
              </w:rPr>
              <w:t>Establecer las bases para una colaboración en los ámbitos académico, científico y cultural de interés común.</w:t>
            </w:r>
          </w:p>
        </w:tc>
        <w:tc>
          <w:tcPr>
            <w:tcW w:w="0" w:type="auto"/>
            <w:tcBorders>
              <w:top w:val="nil"/>
              <w:bottom w:val="nil"/>
            </w:tcBorders>
            <w:shd w:val="clear" w:color="auto" w:fill="F2F2F2"/>
            <w:hideMark/>
          </w:tcPr>
          <w:p w14:paraId="6CBD9CAD"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nil"/>
              <w:bottom w:val="nil"/>
            </w:tcBorders>
            <w:shd w:val="clear" w:color="auto" w:fill="F2F2F2"/>
            <w:hideMark/>
          </w:tcPr>
          <w:p w14:paraId="41307BD4"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4 años, con posibilidad de prórroga</w:t>
            </w:r>
          </w:p>
        </w:tc>
        <w:tc>
          <w:tcPr>
            <w:tcW w:w="0" w:type="auto"/>
            <w:tcBorders>
              <w:top w:val="nil"/>
              <w:bottom w:val="nil"/>
            </w:tcBorders>
            <w:shd w:val="clear" w:color="auto" w:fill="F2F2F2"/>
            <w:hideMark/>
          </w:tcPr>
          <w:p w14:paraId="7C0B4BE7"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Vigencia hasta 06/09/2025</w:t>
            </w:r>
          </w:p>
        </w:tc>
      </w:tr>
      <w:tr w:rsidR="00446E4D" w:rsidRPr="00446E4D" w14:paraId="0B64832A" w14:textId="77777777" w:rsidTr="00E32A80">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3D6D9BAB"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6/2021</w:t>
            </w:r>
          </w:p>
        </w:tc>
        <w:tc>
          <w:tcPr>
            <w:tcW w:w="0" w:type="auto"/>
            <w:tcBorders>
              <w:top w:val="nil"/>
              <w:bottom w:val="nil"/>
            </w:tcBorders>
            <w:hideMark/>
          </w:tcPr>
          <w:p w14:paraId="30F9B39B" w14:textId="64003903" w:rsidR="00446E4D" w:rsidRPr="00B17D66" w:rsidRDefault="00AF48E6"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hyperlink r:id="rId385" w:anchor="boc/iniciativa/clau/190628497348262" w:history="1">
              <w:r w:rsidR="00446E4D" w:rsidRPr="00B17D66">
                <w:rPr>
                  <w:rFonts w:ascii="Arial" w:hAnsi="Arial" w:cs="Lucida Sans"/>
                  <w:color w:val="0000FF"/>
                  <w:kern w:val="2"/>
                  <w:sz w:val="12"/>
                  <w:szCs w:val="12"/>
                  <w:u w:val="single"/>
                </w:rPr>
                <w:t>Protocolo de colaboración funcional entre la AVAF y el Ayuntamiento de València</w:t>
              </w:r>
            </w:hyperlink>
          </w:p>
        </w:tc>
        <w:tc>
          <w:tcPr>
            <w:tcW w:w="0" w:type="auto"/>
            <w:tcBorders>
              <w:top w:val="nil"/>
              <w:bottom w:val="nil"/>
            </w:tcBorders>
            <w:hideMark/>
          </w:tcPr>
          <w:p w14:paraId="766C1BE5"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19/11/2021</w:t>
            </w:r>
          </w:p>
        </w:tc>
        <w:tc>
          <w:tcPr>
            <w:tcW w:w="0" w:type="auto"/>
            <w:tcBorders>
              <w:top w:val="nil"/>
              <w:bottom w:val="nil"/>
            </w:tcBorders>
            <w:hideMark/>
          </w:tcPr>
          <w:p w14:paraId="2C77112F" w14:textId="77777777" w:rsidR="00446E4D" w:rsidRPr="00446E4D" w:rsidRDefault="00446E4D"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Arial" w:hAnsi="Arial" w:cs="Lucida Sans"/>
                <w:kern w:val="2"/>
                <w:sz w:val="12"/>
                <w:szCs w:val="12"/>
              </w:rPr>
            </w:pPr>
            <w:r w:rsidRPr="00446E4D">
              <w:rPr>
                <w:rFonts w:ascii="Arial" w:hAnsi="Arial" w:cs="Lucida Sans"/>
                <w:kern w:val="2"/>
                <w:sz w:val="12"/>
                <w:szCs w:val="12"/>
              </w:rPr>
              <w:t xml:space="preserve">Establecer las medidas necesarias para abrir las líneas de colaboración funcional entre ambas partes que coadyuvan al mejor cumplimiento de las diferentes funciones y finalidades que tienen atribuidas. </w:t>
            </w:r>
          </w:p>
          <w:p w14:paraId="6EDB0E9D" w14:textId="77777777" w:rsidR="00446E4D" w:rsidRPr="00446E4D" w:rsidRDefault="00446E4D"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Arial" w:hAnsi="Arial" w:cs="Lucida Sans"/>
                <w:kern w:val="2"/>
                <w:sz w:val="12"/>
                <w:szCs w:val="12"/>
              </w:rPr>
            </w:pPr>
            <w:r w:rsidRPr="00446E4D">
              <w:rPr>
                <w:rFonts w:ascii="Arial" w:hAnsi="Arial" w:cs="Lucida Sans"/>
                <w:kern w:val="2"/>
                <w:sz w:val="12"/>
                <w:szCs w:val="12"/>
              </w:rPr>
              <w:t xml:space="preserve">Colaborar mutuamente en el fomento de las actividades de prevención del fraude y la corrupción y de integridad y ética pública para mejorar las funciones y fines respectivos que tienen encomendados. </w:t>
            </w:r>
          </w:p>
          <w:p w14:paraId="64CC955E" w14:textId="77777777" w:rsidR="00446E4D" w:rsidRPr="00446E4D" w:rsidRDefault="00446E4D" w:rsidP="00446E4D">
            <w:pPr>
              <w:suppressAutoHyphens/>
              <w:spacing w:after="120"/>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Reconocer como canal externo de sus denuncias el Buzón de Denuncias de la AVAF y adherirse al mismo, con la finalidad de dar cumplimiento a las exigencias de la Directiva 2019/1937(UE). Fomento de la implementación de un Plan de Integridad para el ayuntamiento.</w:t>
            </w:r>
          </w:p>
        </w:tc>
        <w:tc>
          <w:tcPr>
            <w:tcW w:w="0" w:type="auto"/>
            <w:tcBorders>
              <w:top w:val="nil"/>
              <w:bottom w:val="nil"/>
            </w:tcBorders>
            <w:hideMark/>
          </w:tcPr>
          <w:p w14:paraId="178B2C90"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nil"/>
              <w:bottom w:val="nil"/>
            </w:tcBorders>
            <w:hideMark/>
          </w:tcPr>
          <w:p w14:paraId="51395BFD"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4 años, con posibilidad de prórroga.</w:t>
            </w:r>
          </w:p>
        </w:tc>
        <w:tc>
          <w:tcPr>
            <w:tcW w:w="0" w:type="auto"/>
            <w:tcBorders>
              <w:top w:val="nil"/>
              <w:bottom w:val="nil"/>
            </w:tcBorders>
            <w:hideMark/>
          </w:tcPr>
          <w:p w14:paraId="208AE449" w14:textId="77777777" w:rsidR="00446E4D" w:rsidRPr="00446E4D" w:rsidRDefault="00446E4D" w:rsidP="00446E4D">
            <w:pPr>
              <w:suppressAutoHyphens/>
              <w:spacing w:after="120"/>
              <w:jc w:val="center"/>
              <w:cnfStyle w:val="000000100000" w:firstRow="0" w:lastRow="0" w:firstColumn="0" w:lastColumn="0" w:oddVBand="0" w:evenVBand="0" w:oddHBand="1"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Vigente hasta 19/11/2025</w:t>
            </w:r>
          </w:p>
        </w:tc>
      </w:tr>
      <w:tr w:rsidR="00446E4D" w:rsidRPr="00446E4D" w14:paraId="400A5D58" w14:textId="77777777" w:rsidTr="00E32A80">
        <w:trPr>
          <w:trHeight w:val="57"/>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2F2F2"/>
            <w:hideMark/>
          </w:tcPr>
          <w:p w14:paraId="2A08900A" w14:textId="77777777" w:rsidR="00446E4D" w:rsidRPr="00446E4D" w:rsidRDefault="00446E4D" w:rsidP="00446E4D">
            <w:pPr>
              <w:suppressAutoHyphens/>
              <w:spacing w:after="120"/>
              <w:jc w:val="center"/>
              <w:rPr>
                <w:rFonts w:ascii="Liberation Sans1" w:hAnsi="Liberation Sans1" w:cs="Times New Roman" w:hint="eastAsia"/>
                <w:kern w:val="2"/>
                <w:sz w:val="12"/>
                <w:szCs w:val="12"/>
              </w:rPr>
            </w:pPr>
            <w:r w:rsidRPr="00446E4D">
              <w:rPr>
                <w:rFonts w:ascii="Arial" w:hAnsi="Arial" w:cs="Lucida Sans"/>
                <w:kern w:val="2"/>
                <w:sz w:val="12"/>
                <w:szCs w:val="12"/>
              </w:rPr>
              <w:t>7/2021</w:t>
            </w:r>
          </w:p>
        </w:tc>
        <w:tc>
          <w:tcPr>
            <w:tcW w:w="0" w:type="auto"/>
            <w:tcBorders>
              <w:top w:val="nil"/>
              <w:bottom w:val="nil"/>
            </w:tcBorders>
            <w:shd w:val="clear" w:color="auto" w:fill="F2F2F2"/>
            <w:hideMark/>
          </w:tcPr>
          <w:p w14:paraId="258AA8CD" w14:textId="50C74DDB" w:rsidR="00446E4D" w:rsidRPr="00B17D66" w:rsidRDefault="00AF48E6"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hyperlink r:id="rId386" w:anchor="boc/iniciativa/clau/190649311942342" w:history="1">
              <w:r w:rsidR="00446E4D" w:rsidRPr="00B17D66">
                <w:rPr>
                  <w:rFonts w:ascii="Arial" w:hAnsi="Arial" w:cs="Lucida Sans"/>
                  <w:color w:val="0000FF"/>
                  <w:kern w:val="2"/>
                  <w:sz w:val="12"/>
                  <w:szCs w:val="12"/>
                  <w:u w:val="single"/>
                </w:rPr>
                <w:t>Protocolo de colaboración funcional entre la AVAF y la Diputación Provincial de Castellón</w:t>
              </w:r>
            </w:hyperlink>
          </w:p>
        </w:tc>
        <w:tc>
          <w:tcPr>
            <w:tcW w:w="0" w:type="auto"/>
            <w:tcBorders>
              <w:top w:val="nil"/>
              <w:bottom w:val="nil"/>
            </w:tcBorders>
            <w:shd w:val="clear" w:color="auto" w:fill="F2F2F2"/>
            <w:hideMark/>
          </w:tcPr>
          <w:p w14:paraId="537A79CB"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02/12/2021</w:t>
            </w:r>
          </w:p>
        </w:tc>
        <w:tc>
          <w:tcPr>
            <w:tcW w:w="0" w:type="auto"/>
            <w:tcBorders>
              <w:top w:val="nil"/>
              <w:bottom w:val="nil"/>
            </w:tcBorders>
            <w:shd w:val="clear" w:color="auto" w:fill="F2F2F2"/>
            <w:hideMark/>
          </w:tcPr>
          <w:p w14:paraId="1C9F38DD" w14:textId="77777777" w:rsidR="00446E4D" w:rsidRPr="00446E4D" w:rsidRDefault="00446E4D"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Arial" w:hAnsi="Arial" w:cs="Lucida Sans"/>
                <w:color w:val="1C1C1C"/>
                <w:kern w:val="2"/>
                <w:sz w:val="12"/>
                <w:szCs w:val="12"/>
              </w:rPr>
            </w:pPr>
            <w:r w:rsidRPr="00446E4D">
              <w:rPr>
                <w:rFonts w:ascii="Arial" w:hAnsi="Arial" w:cs="Lucida Sans"/>
                <w:color w:val="1C1C1C"/>
                <w:kern w:val="2"/>
                <w:sz w:val="12"/>
                <w:szCs w:val="12"/>
              </w:rPr>
              <w:t>Establecer las medidas necesarias para abrir las líneas de colaboración funcional entre ambas partes que coadyuvan al mejor cumplimiento de las diferentes funciones y finalidades que tienen atribuidas.</w:t>
            </w:r>
          </w:p>
          <w:p w14:paraId="23554124" w14:textId="3F8FE73A" w:rsidR="00446E4D" w:rsidRPr="00446E4D" w:rsidRDefault="00446E4D"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Arial" w:hAnsi="Arial" w:cs="Lucida Sans"/>
                <w:color w:val="1C1C1C"/>
                <w:kern w:val="2"/>
                <w:sz w:val="12"/>
                <w:szCs w:val="12"/>
              </w:rPr>
            </w:pPr>
            <w:r w:rsidRPr="00446E4D">
              <w:rPr>
                <w:rFonts w:ascii="Arial" w:hAnsi="Arial" w:cs="Lucida Sans"/>
                <w:color w:val="1C1C1C"/>
                <w:kern w:val="2"/>
                <w:sz w:val="12"/>
                <w:szCs w:val="12"/>
              </w:rPr>
              <w:t xml:space="preserve">Colaborará mutuamente en el fomento de las actividades de prevención del fraude y la corrupción y de integridad y ética pública para mejorar las funciones y </w:t>
            </w:r>
            <w:r w:rsidR="005A6AE0">
              <w:rPr>
                <w:rFonts w:ascii="Arial" w:hAnsi="Arial" w:cs="Lucida Sans"/>
                <w:color w:val="1C1C1C"/>
                <w:kern w:val="2"/>
                <w:sz w:val="12"/>
                <w:szCs w:val="12"/>
              </w:rPr>
              <w:t>fines</w:t>
            </w:r>
            <w:r w:rsidRPr="00446E4D">
              <w:rPr>
                <w:rFonts w:ascii="Arial" w:hAnsi="Arial" w:cs="Lucida Sans"/>
                <w:color w:val="1C1C1C"/>
                <w:kern w:val="2"/>
                <w:sz w:val="12"/>
                <w:szCs w:val="12"/>
              </w:rPr>
              <w:t xml:space="preserve"> que tienen encomendados.</w:t>
            </w:r>
          </w:p>
          <w:p w14:paraId="18B0C72A" w14:textId="77777777" w:rsidR="00446E4D" w:rsidRPr="00446E4D" w:rsidRDefault="00446E4D" w:rsidP="00446E4D">
            <w:pPr>
              <w:suppressAutoHyphens/>
              <w:spacing w:after="120"/>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 xml:space="preserve">Reconocer como canal externo de sus denuncias el Buzón de Denuncias de la AVAF y adherirse al mismo, con la finalidad de dar cumplimiento a las exigencias de la Directiva 2019/1937(UE). </w:t>
            </w:r>
          </w:p>
        </w:tc>
        <w:tc>
          <w:tcPr>
            <w:tcW w:w="0" w:type="auto"/>
            <w:tcBorders>
              <w:top w:val="nil"/>
              <w:bottom w:val="nil"/>
            </w:tcBorders>
            <w:shd w:val="clear" w:color="auto" w:fill="F2F2F2"/>
            <w:hideMark/>
          </w:tcPr>
          <w:p w14:paraId="50D55BDE"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Sin obligaciones económicas</w:t>
            </w:r>
          </w:p>
        </w:tc>
        <w:tc>
          <w:tcPr>
            <w:tcW w:w="0" w:type="auto"/>
            <w:tcBorders>
              <w:top w:val="nil"/>
              <w:bottom w:val="nil"/>
            </w:tcBorders>
            <w:shd w:val="clear" w:color="auto" w:fill="F2F2F2"/>
            <w:hideMark/>
          </w:tcPr>
          <w:p w14:paraId="243223AD"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4 años, con posibilidad de prórroga</w:t>
            </w:r>
          </w:p>
        </w:tc>
        <w:tc>
          <w:tcPr>
            <w:tcW w:w="0" w:type="auto"/>
            <w:tcBorders>
              <w:top w:val="nil"/>
              <w:bottom w:val="nil"/>
            </w:tcBorders>
            <w:shd w:val="clear" w:color="auto" w:fill="F2F2F2"/>
            <w:hideMark/>
          </w:tcPr>
          <w:p w14:paraId="328F5706" w14:textId="77777777" w:rsidR="00446E4D" w:rsidRPr="00446E4D" w:rsidRDefault="00446E4D" w:rsidP="00446E4D">
            <w:pPr>
              <w:suppressAutoHyphens/>
              <w:spacing w:after="120"/>
              <w:jc w:val="center"/>
              <w:cnfStyle w:val="000000000000" w:firstRow="0" w:lastRow="0" w:firstColumn="0" w:lastColumn="0" w:oddVBand="0" w:evenVBand="0" w:oddHBand="0" w:evenHBand="0" w:firstRowFirstColumn="0" w:firstRowLastColumn="0" w:lastRowFirstColumn="0" w:lastRowLastColumn="0"/>
              <w:rPr>
                <w:rFonts w:ascii="Liberation Sans1" w:hAnsi="Liberation Sans1" w:cs="Times New Roman" w:hint="eastAsia"/>
                <w:kern w:val="2"/>
                <w:sz w:val="12"/>
                <w:szCs w:val="12"/>
              </w:rPr>
            </w:pPr>
            <w:r w:rsidRPr="00446E4D">
              <w:rPr>
                <w:rFonts w:ascii="Arial" w:hAnsi="Arial" w:cs="Lucida Sans"/>
                <w:kern w:val="2"/>
                <w:sz w:val="12"/>
                <w:szCs w:val="12"/>
              </w:rPr>
              <w:t>Vigencia hasta 02/12/2025</w:t>
            </w:r>
          </w:p>
        </w:tc>
      </w:tr>
    </w:tbl>
    <w:p w14:paraId="7A87CE1E" w14:textId="46FB437E" w:rsidR="00DC4E57" w:rsidRDefault="00DC4E57" w:rsidP="00460454">
      <w:pPr>
        <w:spacing w:after="240" w:line="276" w:lineRule="auto"/>
        <w:jc w:val="both"/>
        <w:rPr>
          <w:rFonts w:ascii="Arial" w:hAnsi="Arial"/>
          <w:sz w:val="21"/>
          <w:szCs w:val="21"/>
        </w:rPr>
      </w:pPr>
    </w:p>
    <w:p w14:paraId="19C655AA" w14:textId="77777777" w:rsidR="00446E4D" w:rsidRPr="00882604" w:rsidRDefault="00446E4D" w:rsidP="009040D5">
      <w:pPr>
        <w:spacing w:after="240" w:line="276" w:lineRule="auto"/>
        <w:jc w:val="both"/>
        <w:rPr>
          <w:rFonts w:ascii="Arial" w:eastAsia="Times New Roman" w:hAnsi="Arial" w:cs="Arial"/>
          <w:sz w:val="21"/>
          <w:szCs w:val="21"/>
          <w:lang w:eastAsia="es-ES"/>
        </w:rPr>
      </w:pPr>
      <w:r w:rsidRPr="00882604">
        <w:rPr>
          <w:rFonts w:ascii="Arial" w:eastAsia="Times New Roman" w:hAnsi="Arial" w:cs="Arial"/>
          <w:sz w:val="21"/>
          <w:szCs w:val="21"/>
          <w:lang w:eastAsia="es-ES"/>
        </w:rPr>
        <w:t>Fruto de la firma del Convenio de colaboración académica, científica y cultural con la Universidad de Salamanca, ha tenido lugar</w:t>
      </w:r>
      <w:r>
        <w:rPr>
          <w:rFonts w:ascii="Arial" w:eastAsia="Times New Roman" w:hAnsi="Arial" w:cs="Arial"/>
          <w:sz w:val="21"/>
          <w:szCs w:val="21"/>
          <w:lang w:eastAsia="es-ES"/>
        </w:rPr>
        <w:t>,</w:t>
      </w:r>
      <w:r w:rsidRPr="00882604">
        <w:rPr>
          <w:rFonts w:ascii="Arial" w:eastAsia="Times New Roman" w:hAnsi="Arial" w:cs="Arial"/>
          <w:sz w:val="21"/>
          <w:szCs w:val="21"/>
          <w:lang w:eastAsia="es-ES"/>
        </w:rPr>
        <w:t xml:space="preserve"> durante el segundo semestre de 2021</w:t>
      </w:r>
      <w:r>
        <w:rPr>
          <w:rFonts w:ascii="Arial" w:eastAsia="Times New Roman" w:hAnsi="Arial" w:cs="Arial"/>
          <w:sz w:val="21"/>
          <w:szCs w:val="21"/>
          <w:lang w:eastAsia="es-ES"/>
        </w:rPr>
        <w:t>,</w:t>
      </w:r>
      <w:r w:rsidRPr="00882604">
        <w:rPr>
          <w:rFonts w:ascii="Arial" w:eastAsia="Times New Roman" w:hAnsi="Arial" w:cs="Arial"/>
          <w:sz w:val="21"/>
          <w:szCs w:val="21"/>
          <w:lang w:eastAsia="es-ES"/>
        </w:rPr>
        <w:t xml:space="preserve"> una estancia de investigación en la A</w:t>
      </w:r>
      <w:r>
        <w:rPr>
          <w:rFonts w:ascii="Arial" w:eastAsia="Times New Roman" w:hAnsi="Arial" w:cs="Arial"/>
          <w:sz w:val="21"/>
          <w:szCs w:val="21"/>
          <w:lang w:eastAsia="es-ES"/>
        </w:rPr>
        <w:t>VAF</w:t>
      </w:r>
      <w:r w:rsidRPr="00882604">
        <w:rPr>
          <w:rFonts w:ascii="Arial" w:eastAsia="Times New Roman" w:hAnsi="Arial" w:cs="Arial"/>
          <w:sz w:val="21"/>
          <w:szCs w:val="21"/>
          <w:lang w:eastAsia="es-ES"/>
        </w:rPr>
        <w:t xml:space="preserve"> por parte de una doctoranda de </w:t>
      </w:r>
      <w:r>
        <w:rPr>
          <w:rFonts w:ascii="Arial" w:eastAsia="Times New Roman" w:hAnsi="Arial" w:cs="Arial"/>
          <w:sz w:val="21"/>
          <w:szCs w:val="21"/>
          <w:lang w:eastAsia="es-ES"/>
        </w:rPr>
        <w:t>dicha U</w:t>
      </w:r>
      <w:r w:rsidRPr="00882604">
        <w:rPr>
          <w:rFonts w:ascii="Arial" w:eastAsia="Times New Roman" w:hAnsi="Arial" w:cs="Arial"/>
          <w:sz w:val="21"/>
          <w:szCs w:val="21"/>
          <w:lang w:eastAsia="es-ES"/>
        </w:rPr>
        <w:t>niversidad, con excelentes resultados. Asimismo,</w:t>
      </w:r>
      <w:r>
        <w:rPr>
          <w:rFonts w:ascii="Arial" w:eastAsia="Times New Roman" w:hAnsi="Arial" w:cs="Arial"/>
          <w:sz w:val="21"/>
          <w:szCs w:val="21"/>
          <w:lang w:eastAsia="es-ES"/>
        </w:rPr>
        <w:t xml:space="preserve"> con motivo de este Convenio,</w:t>
      </w:r>
      <w:r w:rsidRPr="00882604">
        <w:rPr>
          <w:rFonts w:ascii="Arial" w:eastAsia="Times New Roman" w:hAnsi="Arial" w:cs="Arial"/>
          <w:sz w:val="21"/>
          <w:szCs w:val="21"/>
          <w:lang w:eastAsia="es-ES"/>
        </w:rPr>
        <w:t xml:space="preserve"> a finales de enero de 2022, el director de la Agencia impartió una conferencia en la Universidad de Salamanca sobre </w:t>
      </w:r>
      <w:r>
        <w:rPr>
          <w:rFonts w:ascii="Arial" w:eastAsia="Times New Roman" w:hAnsi="Arial" w:cs="Arial"/>
          <w:sz w:val="21"/>
          <w:szCs w:val="21"/>
          <w:lang w:eastAsia="es-ES"/>
        </w:rPr>
        <w:t>“</w:t>
      </w:r>
      <w:r w:rsidRPr="008634CC">
        <w:rPr>
          <w:rFonts w:ascii="Arial" w:eastAsia="Times New Roman" w:hAnsi="Arial" w:cs="Arial"/>
          <w:sz w:val="21"/>
          <w:szCs w:val="21"/>
          <w:lang w:eastAsia="es-ES"/>
        </w:rPr>
        <w:t>El nuevo marco jurídico de la integridad pública a raíz de la Directiva Whistleblowers y la Orden HFP 1030/2021. La función de las Agencias Antifraude, que ha tenido lugar en el marco de los Cursos de Especialización en Derecho</w:t>
      </w:r>
      <w:r>
        <w:rPr>
          <w:rFonts w:ascii="Arial" w:eastAsia="Times New Roman" w:hAnsi="Arial" w:cs="Arial"/>
          <w:sz w:val="21"/>
          <w:szCs w:val="21"/>
          <w:lang w:eastAsia="es-ES"/>
        </w:rPr>
        <w:t>”</w:t>
      </w:r>
      <w:r w:rsidRPr="00882604">
        <w:rPr>
          <w:rFonts w:ascii="Arial" w:eastAsia="Times New Roman" w:hAnsi="Arial" w:cs="Arial"/>
          <w:sz w:val="21"/>
          <w:szCs w:val="21"/>
          <w:lang w:eastAsia="es-ES"/>
        </w:rPr>
        <w:t>, dentro del Programa "Compliance y gestión de riesgos legales", codirigido por el Decanato de la Facultad de Ciencias Agrarias y Ambientales</w:t>
      </w:r>
      <w:r>
        <w:rPr>
          <w:rFonts w:ascii="Arial" w:eastAsia="Times New Roman" w:hAnsi="Arial" w:cs="Arial"/>
          <w:sz w:val="21"/>
          <w:szCs w:val="21"/>
          <w:lang w:eastAsia="es-ES"/>
        </w:rPr>
        <w:t xml:space="preserve"> de aquella Universidad.</w:t>
      </w:r>
    </w:p>
    <w:p w14:paraId="3B77334A" w14:textId="77777777" w:rsidR="00446E4D" w:rsidRPr="00882604" w:rsidRDefault="00446E4D" w:rsidP="009040D5">
      <w:pPr>
        <w:spacing w:after="240" w:line="276" w:lineRule="auto"/>
        <w:jc w:val="both"/>
        <w:rPr>
          <w:rFonts w:ascii="Arial" w:eastAsia="Times New Roman" w:hAnsi="Arial" w:cs="Arial"/>
          <w:sz w:val="21"/>
          <w:szCs w:val="21"/>
          <w:lang w:eastAsia="es-ES"/>
        </w:rPr>
      </w:pPr>
      <w:r w:rsidRPr="00882604">
        <w:rPr>
          <w:rFonts w:ascii="Arial" w:eastAsia="Times New Roman" w:hAnsi="Arial" w:cs="Arial"/>
          <w:sz w:val="21"/>
          <w:szCs w:val="21"/>
          <w:lang w:eastAsia="es-ES"/>
        </w:rPr>
        <w:t xml:space="preserve">Por otra parte, cabe destacar que, tras la aprobación de </w:t>
      </w:r>
      <w:r w:rsidRPr="00391950">
        <w:rPr>
          <w:rFonts w:ascii="Arial" w:eastAsia="Times New Roman" w:hAnsi="Arial" w:cs="Arial"/>
          <w:sz w:val="21"/>
          <w:szCs w:val="21"/>
          <w:lang w:eastAsia="es-ES"/>
        </w:rPr>
        <w:t xml:space="preserve">la </w:t>
      </w:r>
      <w:hyperlink r:id="rId387" w:anchor=":~:text=A%2D2021%2D15860-,Orden%20HFP%2F1030%2F2021%2C%20de%2029%20de%20septiembre%2C,a%20119879%20(50%20p%C3%A1gs.%20)" w:history="1">
        <w:r w:rsidRPr="009040D5">
          <w:rPr>
            <w:rFonts w:ascii="Arial" w:eastAsia="Times New Roman" w:hAnsi="Arial" w:cs="Arial"/>
            <w:color w:val="000080"/>
            <w:sz w:val="21"/>
            <w:szCs w:val="21"/>
            <w:u w:val="single"/>
            <w:lang w:eastAsia="es-ES"/>
          </w:rPr>
          <w:t>Orden HFP/1030/2021, de 29 de septiembre, por la que se configura el sistema de gestión del Plan de Recuperación, Transformación y Resiliencia</w:t>
        </w:r>
      </w:hyperlink>
      <w:r w:rsidRPr="00391950">
        <w:rPr>
          <w:rFonts w:ascii="Arial" w:eastAsia="Times New Roman" w:hAnsi="Arial" w:cs="Arial"/>
          <w:sz w:val="21"/>
          <w:szCs w:val="21"/>
          <w:lang w:eastAsia="es-ES"/>
        </w:rPr>
        <w:t xml:space="preserve"> (BOE núm. 234, de 30 de septiembre de 2021), numerosas entidades locales se han puesto en contacto con esta Agencia interesándose por suscribir</w:t>
      </w:r>
      <w:r w:rsidRPr="00882604">
        <w:rPr>
          <w:rFonts w:ascii="Arial" w:eastAsia="Times New Roman" w:hAnsi="Arial" w:cs="Arial"/>
          <w:sz w:val="21"/>
          <w:szCs w:val="21"/>
          <w:lang w:eastAsia="es-ES"/>
        </w:rPr>
        <w:t xml:space="preserve"> con ella un Protocolo de Colaboración Funcional</w:t>
      </w:r>
      <w:r>
        <w:rPr>
          <w:rFonts w:ascii="Arial" w:eastAsia="Times New Roman" w:hAnsi="Arial" w:cs="Arial"/>
          <w:sz w:val="21"/>
          <w:szCs w:val="21"/>
          <w:lang w:eastAsia="es-ES"/>
        </w:rPr>
        <w:t>,</w:t>
      </w:r>
      <w:r w:rsidRPr="00882604">
        <w:rPr>
          <w:rFonts w:ascii="Arial" w:eastAsia="Times New Roman" w:hAnsi="Arial" w:cs="Arial"/>
          <w:sz w:val="21"/>
          <w:szCs w:val="21"/>
          <w:lang w:eastAsia="es-ES"/>
        </w:rPr>
        <w:t xml:space="preserve"> con la finalidad de establecer las medidas necesarias para abrir líneas de </w:t>
      </w:r>
      <w:r>
        <w:rPr>
          <w:rFonts w:ascii="Arial" w:eastAsia="Times New Roman" w:hAnsi="Arial" w:cs="Arial"/>
          <w:sz w:val="21"/>
          <w:szCs w:val="21"/>
          <w:lang w:eastAsia="es-ES"/>
        </w:rPr>
        <w:t xml:space="preserve">cooperación </w:t>
      </w:r>
      <w:r w:rsidRPr="00882604">
        <w:rPr>
          <w:rFonts w:ascii="Arial" w:eastAsia="Times New Roman" w:hAnsi="Arial" w:cs="Arial"/>
          <w:sz w:val="21"/>
          <w:szCs w:val="21"/>
          <w:lang w:eastAsia="es-ES"/>
        </w:rPr>
        <w:t>que coadyuven al fomento de act</w:t>
      </w:r>
      <w:r>
        <w:rPr>
          <w:rFonts w:ascii="Arial" w:eastAsia="Times New Roman" w:hAnsi="Arial" w:cs="Arial"/>
          <w:sz w:val="21"/>
          <w:szCs w:val="21"/>
          <w:lang w:eastAsia="es-ES"/>
        </w:rPr>
        <w:t>uaciones</w:t>
      </w:r>
      <w:r w:rsidRPr="00882604">
        <w:rPr>
          <w:rFonts w:ascii="Arial" w:eastAsia="Times New Roman" w:hAnsi="Arial" w:cs="Arial"/>
          <w:sz w:val="21"/>
          <w:szCs w:val="21"/>
          <w:lang w:eastAsia="es-ES"/>
        </w:rPr>
        <w:t xml:space="preserve"> de prevención del fraude y la corrupción y de integridad y ética pública con las que mejorar las funciones y fines </w:t>
      </w:r>
      <w:r>
        <w:rPr>
          <w:rFonts w:ascii="Arial" w:eastAsia="Times New Roman" w:hAnsi="Arial" w:cs="Arial"/>
          <w:sz w:val="21"/>
          <w:szCs w:val="21"/>
          <w:lang w:eastAsia="es-ES"/>
        </w:rPr>
        <w:t>que</w:t>
      </w:r>
      <w:r w:rsidRPr="00882604">
        <w:rPr>
          <w:rFonts w:ascii="Arial" w:eastAsia="Times New Roman" w:hAnsi="Arial" w:cs="Arial"/>
          <w:sz w:val="21"/>
          <w:szCs w:val="21"/>
          <w:lang w:eastAsia="es-ES"/>
        </w:rPr>
        <w:t xml:space="preserve"> t</w:t>
      </w:r>
      <w:r>
        <w:rPr>
          <w:rFonts w:ascii="Arial" w:eastAsia="Times New Roman" w:hAnsi="Arial" w:cs="Arial"/>
          <w:sz w:val="21"/>
          <w:szCs w:val="21"/>
          <w:lang w:eastAsia="es-ES"/>
        </w:rPr>
        <w:t>ienen</w:t>
      </w:r>
      <w:r w:rsidRPr="00882604">
        <w:rPr>
          <w:rFonts w:ascii="Arial" w:eastAsia="Times New Roman" w:hAnsi="Arial" w:cs="Arial"/>
          <w:sz w:val="21"/>
          <w:szCs w:val="21"/>
          <w:lang w:eastAsia="es-ES"/>
        </w:rPr>
        <w:t xml:space="preserve"> encomendados; todo ello en el cumplimiento</w:t>
      </w:r>
      <w:r>
        <w:rPr>
          <w:rFonts w:ascii="Arial" w:eastAsia="Times New Roman" w:hAnsi="Arial" w:cs="Arial"/>
          <w:sz w:val="21"/>
          <w:szCs w:val="21"/>
          <w:lang w:eastAsia="es-ES"/>
        </w:rPr>
        <w:t>, adicional,</w:t>
      </w:r>
      <w:r w:rsidRPr="00882604">
        <w:rPr>
          <w:rFonts w:ascii="Arial" w:eastAsia="Times New Roman" w:hAnsi="Arial" w:cs="Arial"/>
          <w:sz w:val="21"/>
          <w:szCs w:val="21"/>
          <w:lang w:eastAsia="es-ES"/>
        </w:rPr>
        <w:t xml:space="preserve"> </w:t>
      </w:r>
      <w:r>
        <w:rPr>
          <w:rFonts w:ascii="Arial" w:eastAsia="Times New Roman" w:hAnsi="Arial" w:cs="Arial"/>
          <w:sz w:val="21"/>
          <w:szCs w:val="21"/>
          <w:lang w:eastAsia="es-ES"/>
        </w:rPr>
        <w:t>de</w:t>
      </w:r>
      <w:r w:rsidRPr="00882604">
        <w:rPr>
          <w:rFonts w:ascii="Arial" w:eastAsia="Times New Roman" w:hAnsi="Arial" w:cs="Arial"/>
          <w:sz w:val="21"/>
          <w:szCs w:val="21"/>
          <w:lang w:eastAsia="es-ES"/>
        </w:rPr>
        <w:t xml:space="preserve"> las exigencias de la Directiva 2019/1937(UE) y reconociendo a la AVAF como canal externo de sus denuncias</w:t>
      </w:r>
      <w:r>
        <w:rPr>
          <w:rFonts w:ascii="Arial" w:eastAsia="Times New Roman" w:hAnsi="Arial" w:cs="Arial"/>
          <w:sz w:val="21"/>
          <w:szCs w:val="21"/>
          <w:lang w:eastAsia="es-ES"/>
        </w:rPr>
        <w:t xml:space="preserve"> </w:t>
      </w:r>
      <w:r w:rsidRPr="00882604">
        <w:rPr>
          <w:rFonts w:ascii="Arial" w:eastAsia="Times New Roman" w:hAnsi="Arial" w:cs="Arial"/>
          <w:sz w:val="21"/>
          <w:szCs w:val="21"/>
          <w:lang w:eastAsia="es-ES"/>
        </w:rPr>
        <w:t>a través de su Buzón de denuncias</w:t>
      </w:r>
      <w:r>
        <w:rPr>
          <w:rFonts w:ascii="Arial" w:eastAsia="Times New Roman" w:hAnsi="Arial" w:cs="Arial"/>
          <w:sz w:val="21"/>
          <w:szCs w:val="21"/>
          <w:lang w:eastAsia="es-ES"/>
        </w:rPr>
        <w:t xml:space="preserve"> sito en su página web.</w:t>
      </w:r>
    </w:p>
    <w:p w14:paraId="407EF172" w14:textId="77777777" w:rsidR="00446E4D" w:rsidRPr="00F774DD" w:rsidRDefault="00446E4D" w:rsidP="009040D5">
      <w:pPr>
        <w:spacing w:after="240" w:line="276" w:lineRule="auto"/>
        <w:jc w:val="both"/>
        <w:rPr>
          <w:rFonts w:ascii="Arial" w:eastAsia="Times New Roman" w:hAnsi="Arial" w:cs="Arial"/>
          <w:sz w:val="21"/>
          <w:szCs w:val="21"/>
          <w:lang w:eastAsia="es-ES"/>
        </w:rPr>
      </w:pPr>
      <w:r w:rsidRPr="00882604">
        <w:rPr>
          <w:rFonts w:ascii="Arial" w:eastAsia="Times New Roman" w:hAnsi="Arial" w:cs="Arial"/>
          <w:sz w:val="21"/>
          <w:szCs w:val="21"/>
          <w:lang w:eastAsia="es-ES"/>
        </w:rPr>
        <w:t>A través de la firma de estos Protocolos de Colaboración Funcional</w:t>
      </w:r>
      <w:r w:rsidRPr="00F774DD">
        <w:rPr>
          <w:rFonts w:ascii="Arial" w:eastAsia="Times New Roman" w:hAnsi="Arial" w:cs="Arial"/>
          <w:sz w:val="21"/>
          <w:szCs w:val="21"/>
          <w:lang w:eastAsia="es-ES"/>
        </w:rPr>
        <w:t>, la AVAF asiste y asesora a las entidades firmantes</w:t>
      </w:r>
      <w:r>
        <w:rPr>
          <w:rFonts w:ascii="Arial" w:eastAsia="Times New Roman" w:hAnsi="Arial" w:cs="Arial"/>
          <w:sz w:val="21"/>
          <w:szCs w:val="21"/>
          <w:lang w:eastAsia="es-ES"/>
        </w:rPr>
        <w:t xml:space="preserve"> </w:t>
      </w:r>
      <w:r w:rsidRPr="00F774DD">
        <w:rPr>
          <w:rFonts w:ascii="Arial" w:eastAsia="Times New Roman" w:hAnsi="Arial" w:cs="Arial"/>
          <w:sz w:val="21"/>
          <w:szCs w:val="21"/>
          <w:lang w:eastAsia="es-ES"/>
        </w:rPr>
        <w:t>en relación</w:t>
      </w:r>
      <w:r>
        <w:rPr>
          <w:rFonts w:ascii="Arial" w:eastAsia="Times New Roman" w:hAnsi="Arial" w:cs="Arial"/>
          <w:sz w:val="21"/>
          <w:szCs w:val="21"/>
          <w:lang w:eastAsia="es-ES"/>
        </w:rPr>
        <w:t xml:space="preserve">, </w:t>
      </w:r>
      <w:r w:rsidRPr="00F774DD">
        <w:rPr>
          <w:rFonts w:ascii="Arial" w:eastAsia="Times New Roman" w:hAnsi="Arial" w:cs="Arial"/>
          <w:sz w:val="21"/>
          <w:szCs w:val="21"/>
          <w:lang w:eastAsia="es-ES"/>
        </w:rPr>
        <w:t>entre otros temas</w:t>
      </w:r>
      <w:r>
        <w:rPr>
          <w:rFonts w:ascii="Arial" w:eastAsia="Times New Roman" w:hAnsi="Arial" w:cs="Arial"/>
          <w:sz w:val="21"/>
          <w:szCs w:val="21"/>
          <w:lang w:eastAsia="es-ES"/>
        </w:rPr>
        <w:t>, con e</w:t>
      </w:r>
      <w:r w:rsidRPr="00F774DD">
        <w:rPr>
          <w:rFonts w:ascii="Arial" w:eastAsia="Times New Roman" w:hAnsi="Arial" w:cs="Arial"/>
          <w:sz w:val="21"/>
          <w:szCs w:val="21"/>
          <w:lang w:eastAsia="es-ES"/>
        </w:rPr>
        <w:t xml:space="preserve">l fomento </w:t>
      </w:r>
      <w:r>
        <w:rPr>
          <w:rFonts w:ascii="Arial" w:eastAsia="Times New Roman" w:hAnsi="Arial" w:cs="Arial"/>
          <w:sz w:val="21"/>
          <w:szCs w:val="21"/>
          <w:lang w:eastAsia="es-ES"/>
        </w:rPr>
        <w:t xml:space="preserve">y </w:t>
      </w:r>
      <w:r w:rsidRPr="00F774DD">
        <w:rPr>
          <w:rFonts w:ascii="Arial" w:eastAsia="Times New Roman" w:hAnsi="Arial" w:cs="Arial"/>
          <w:sz w:val="21"/>
          <w:szCs w:val="21"/>
          <w:lang w:eastAsia="es-ES"/>
        </w:rPr>
        <w:t xml:space="preserve">la implementación de </w:t>
      </w:r>
      <w:r>
        <w:rPr>
          <w:rFonts w:ascii="Arial" w:eastAsia="Times New Roman" w:hAnsi="Arial" w:cs="Arial"/>
          <w:sz w:val="21"/>
          <w:szCs w:val="21"/>
          <w:lang w:eastAsia="es-ES"/>
        </w:rPr>
        <w:t xml:space="preserve">planes </w:t>
      </w:r>
      <w:r w:rsidRPr="00F774DD">
        <w:rPr>
          <w:rFonts w:ascii="Arial" w:eastAsia="Times New Roman" w:hAnsi="Arial" w:cs="Arial"/>
          <w:sz w:val="21"/>
          <w:szCs w:val="21"/>
          <w:lang w:eastAsia="es-ES"/>
        </w:rPr>
        <w:t xml:space="preserve">de </w:t>
      </w:r>
      <w:r>
        <w:rPr>
          <w:rFonts w:ascii="Arial" w:eastAsia="Times New Roman" w:hAnsi="Arial" w:cs="Arial"/>
          <w:sz w:val="21"/>
          <w:szCs w:val="21"/>
          <w:lang w:eastAsia="es-ES"/>
        </w:rPr>
        <w:t>i</w:t>
      </w:r>
      <w:r w:rsidRPr="00F774DD">
        <w:rPr>
          <w:rFonts w:ascii="Arial" w:eastAsia="Times New Roman" w:hAnsi="Arial" w:cs="Arial"/>
          <w:sz w:val="21"/>
          <w:szCs w:val="21"/>
          <w:lang w:eastAsia="es-ES"/>
        </w:rPr>
        <w:t>ntegridad, facilitando propuesta</w:t>
      </w:r>
      <w:r>
        <w:rPr>
          <w:rFonts w:ascii="Arial" w:eastAsia="Times New Roman" w:hAnsi="Arial" w:cs="Arial"/>
          <w:sz w:val="21"/>
          <w:szCs w:val="21"/>
          <w:lang w:eastAsia="es-ES"/>
        </w:rPr>
        <w:t>s</w:t>
      </w:r>
      <w:r w:rsidRPr="00F774DD">
        <w:rPr>
          <w:rFonts w:ascii="Arial" w:eastAsia="Times New Roman" w:hAnsi="Arial" w:cs="Arial"/>
          <w:sz w:val="21"/>
          <w:szCs w:val="21"/>
          <w:lang w:eastAsia="es-ES"/>
        </w:rPr>
        <w:t xml:space="preserve"> de contenido mínimo y asesorando </w:t>
      </w:r>
      <w:r>
        <w:rPr>
          <w:rFonts w:ascii="Arial" w:eastAsia="Times New Roman" w:hAnsi="Arial" w:cs="Arial"/>
          <w:sz w:val="21"/>
          <w:szCs w:val="21"/>
          <w:lang w:eastAsia="es-ES"/>
        </w:rPr>
        <w:t xml:space="preserve">en </w:t>
      </w:r>
      <w:r w:rsidRPr="00F774DD">
        <w:rPr>
          <w:rFonts w:ascii="Arial" w:eastAsia="Times New Roman" w:hAnsi="Arial" w:cs="Arial"/>
          <w:sz w:val="21"/>
          <w:szCs w:val="21"/>
          <w:lang w:eastAsia="es-ES"/>
        </w:rPr>
        <w:t>la elaboración de autodiagnóstico</w:t>
      </w:r>
      <w:r>
        <w:rPr>
          <w:rFonts w:ascii="Arial" w:eastAsia="Times New Roman" w:hAnsi="Arial" w:cs="Arial"/>
          <w:sz w:val="21"/>
          <w:szCs w:val="21"/>
          <w:lang w:eastAsia="es-ES"/>
        </w:rPr>
        <w:t>s</w:t>
      </w:r>
      <w:r w:rsidRPr="00F774DD">
        <w:rPr>
          <w:rFonts w:ascii="Arial" w:eastAsia="Times New Roman" w:hAnsi="Arial" w:cs="Arial"/>
          <w:sz w:val="21"/>
          <w:szCs w:val="21"/>
          <w:lang w:eastAsia="es-ES"/>
        </w:rPr>
        <w:t xml:space="preserve"> previo</w:t>
      </w:r>
      <w:r>
        <w:rPr>
          <w:rFonts w:ascii="Arial" w:eastAsia="Times New Roman" w:hAnsi="Arial" w:cs="Arial"/>
          <w:sz w:val="21"/>
          <w:szCs w:val="21"/>
          <w:lang w:eastAsia="es-ES"/>
        </w:rPr>
        <w:t>s</w:t>
      </w:r>
      <w:r w:rsidRPr="00F774DD">
        <w:rPr>
          <w:rFonts w:ascii="Arial" w:eastAsia="Times New Roman" w:hAnsi="Arial" w:cs="Arial"/>
          <w:sz w:val="21"/>
          <w:szCs w:val="21"/>
          <w:lang w:eastAsia="es-ES"/>
        </w:rPr>
        <w:t xml:space="preserve"> de riesgos</w:t>
      </w:r>
      <w:r>
        <w:rPr>
          <w:rFonts w:ascii="Arial" w:eastAsia="Times New Roman" w:hAnsi="Arial" w:cs="Arial"/>
          <w:sz w:val="21"/>
          <w:szCs w:val="21"/>
          <w:lang w:eastAsia="es-ES"/>
        </w:rPr>
        <w:t xml:space="preserve">, </w:t>
      </w:r>
      <w:r w:rsidRPr="00F774DD">
        <w:rPr>
          <w:rFonts w:ascii="Arial" w:eastAsia="Times New Roman" w:hAnsi="Arial" w:cs="Arial"/>
          <w:sz w:val="21"/>
          <w:szCs w:val="21"/>
          <w:lang w:eastAsia="es-ES"/>
        </w:rPr>
        <w:t xml:space="preserve">la puesta a disposición de mecanismos de prevención </w:t>
      </w:r>
      <w:r>
        <w:rPr>
          <w:rFonts w:ascii="Arial" w:eastAsia="Times New Roman" w:hAnsi="Arial" w:cs="Arial"/>
          <w:sz w:val="21"/>
          <w:szCs w:val="21"/>
          <w:lang w:eastAsia="es-ES"/>
        </w:rPr>
        <w:t xml:space="preserve">y </w:t>
      </w:r>
      <w:r w:rsidRPr="00F774DD">
        <w:rPr>
          <w:rFonts w:ascii="Arial" w:eastAsia="Times New Roman" w:hAnsi="Arial" w:cs="Arial"/>
          <w:sz w:val="21"/>
          <w:szCs w:val="21"/>
          <w:lang w:eastAsia="es-ES"/>
        </w:rPr>
        <w:t>elaboración de catálogos de riesgos</w:t>
      </w:r>
      <w:r>
        <w:rPr>
          <w:rFonts w:ascii="Arial" w:eastAsia="Times New Roman" w:hAnsi="Arial" w:cs="Arial"/>
          <w:sz w:val="21"/>
          <w:szCs w:val="21"/>
          <w:lang w:eastAsia="es-ES"/>
        </w:rPr>
        <w:t xml:space="preserve">, el </w:t>
      </w:r>
      <w:r w:rsidRPr="00F774DD">
        <w:rPr>
          <w:rFonts w:ascii="Arial" w:eastAsia="Times New Roman" w:hAnsi="Arial" w:cs="Arial"/>
          <w:sz w:val="21"/>
          <w:szCs w:val="21"/>
          <w:lang w:eastAsia="es-ES"/>
        </w:rPr>
        <w:t>asesoramiento en la elaboración de códigos éticos</w:t>
      </w:r>
      <w:r>
        <w:rPr>
          <w:rFonts w:ascii="Arial" w:eastAsia="Times New Roman" w:hAnsi="Arial" w:cs="Arial"/>
          <w:sz w:val="21"/>
          <w:szCs w:val="21"/>
          <w:lang w:eastAsia="es-ES"/>
        </w:rPr>
        <w:t xml:space="preserve"> y la realización de actividades formativas. A todo ello nos referimos en el epígrafe 5.2.6. de esta Memoria. También contemplan estos Protocolos la posibilidad de unirse al buzón externo de denuncias de la AVAF y el asesoramiento técnico y jurídico en relación con la instalación de buzones internos de denuncias a través de un software libre y gratuito que permite la comunicación o denuncia anónima.</w:t>
      </w:r>
    </w:p>
    <w:p w14:paraId="111F9A41" w14:textId="4156EFB2" w:rsidR="00446E4D" w:rsidRPr="003D47F7" w:rsidRDefault="00446E4D" w:rsidP="009040D5">
      <w:pPr>
        <w:spacing w:after="240" w:line="276" w:lineRule="auto"/>
        <w:jc w:val="both"/>
        <w:rPr>
          <w:rFonts w:ascii="Arial" w:eastAsia="Times New Roman" w:hAnsi="Arial" w:cs="Arial"/>
          <w:sz w:val="21"/>
          <w:szCs w:val="21"/>
          <w:lang w:eastAsia="es-ES"/>
        </w:rPr>
      </w:pPr>
      <w:r w:rsidRPr="00C90232">
        <w:rPr>
          <w:rFonts w:ascii="Arial" w:eastAsia="Times New Roman" w:hAnsi="Arial" w:cs="Arial"/>
          <w:sz w:val="21"/>
          <w:szCs w:val="21"/>
          <w:lang w:eastAsia="es-ES"/>
        </w:rPr>
        <w:t xml:space="preserve">Hasta la fecha de elaboración de esta Memoria de actividades de la Agencia, se han firmado Protocolos de Colaboración Funcional, en 2021, con el </w:t>
      </w:r>
      <w:hyperlink r:id="rId388" w:anchor="boc/iniciativa/clau/190628497348262" w:history="1">
        <w:r w:rsidRPr="00C90232">
          <w:rPr>
            <w:rStyle w:val="Hipervnculo"/>
            <w:rFonts w:ascii="Arial" w:eastAsia="Times New Roman" w:hAnsi="Arial" w:cs="Arial"/>
            <w:sz w:val="21"/>
            <w:szCs w:val="21"/>
            <w:lang w:eastAsia="es-ES"/>
          </w:rPr>
          <w:t>Ayuntamiento de València</w:t>
        </w:r>
      </w:hyperlink>
      <w:r w:rsidRPr="00C90232">
        <w:rPr>
          <w:rFonts w:ascii="Arial" w:eastAsia="Times New Roman" w:hAnsi="Arial" w:cs="Arial"/>
          <w:sz w:val="21"/>
          <w:szCs w:val="21"/>
          <w:lang w:eastAsia="es-ES"/>
        </w:rPr>
        <w:t xml:space="preserve"> y la </w:t>
      </w:r>
      <w:hyperlink r:id="rId389" w:anchor="boc/iniciativa/clau/190649311942342" w:history="1">
        <w:r w:rsidRPr="00C90232">
          <w:rPr>
            <w:rStyle w:val="Hipervnculo"/>
            <w:rFonts w:ascii="Arial" w:eastAsia="Times New Roman" w:hAnsi="Arial" w:cs="Arial"/>
            <w:sz w:val="21"/>
            <w:szCs w:val="21"/>
            <w:lang w:eastAsia="es-ES"/>
          </w:rPr>
          <w:t>Diputación Provincial de Castellón</w:t>
        </w:r>
      </w:hyperlink>
      <w:r w:rsidRPr="00C90232">
        <w:rPr>
          <w:rFonts w:ascii="Arial" w:eastAsia="Times New Roman" w:hAnsi="Arial" w:cs="Arial"/>
          <w:sz w:val="21"/>
          <w:szCs w:val="21"/>
          <w:lang w:eastAsia="es-ES"/>
        </w:rPr>
        <w:t xml:space="preserve"> </w:t>
      </w:r>
      <w:r w:rsidRPr="003D47F7">
        <w:rPr>
          <w:rFonts w:ascii="Arial" w:eastAsia="Times New Roman" w:hAnsi="Arial" w:cs="Arial"/>
          <w:sz w:val="21"/>
          <w:szCs w:val="21"/>
          <w:lang w:eastAsia="es-ES"/>
        </w:rPr>
        <w:t xml:space="preserve">y, en 2022, </w:t>
      </w:r>
      <w:r w:rsidRPr="00C90232">
        <w:rPr>
          <w:rFonts w:ascii="Arial" w:eastAsia="Times New Roman" w:hAnsi="Arial" w:cs="Arial"/>
          <w:sz w:val="21"/>
          <w:szCs w:val="21"/>
          <w:lang w:eastAsia="es-ES"/>
        </w:rPr>
        <w:t xml:space="preserve">con el </w:t>
      </w:r>
      <w:hyperlink r:id="rId390" w:anchor="boc/iniciativa/clau/190727330732652" w:history="1">
        <w:r w:rsidRPr="00C90232">
          <w:rPr>
            <w:rStyle w:val="Hipervnculo"/>
            <w:rFonts w:ascii="Arial" w:eastAsia="Times New Roman" w:hAnsi="Arial" w:cs="Arial"/>
            <w:sz w:val="21"/>
            <w:szCs w:val="21"/>
            <w:lang w:eastAsia="es-ES"/>
          </w:rPr>
          <w:t>Ayuntamiento de l’Eliana</w:t>
        </w:r>
      </w:hyperlink>
      <w:r w:rsidR="003D47F7">
        <w:rPr>
          <w:rFonts w:ascii="Arial" w:eastAsia="Times New Roman" w:hAnsi="Arial" w:cs="Arial"/>
          <w:sz w:val="21"/>
          <w:szCs w:val="21"/>
          <w:lang w:eastAsia="es-ES"/>
        </w:rPr>
        <w:t>.</w:t>
      </w:r>
    </w:p>
    <w:p w14:paraId="743CF27D" w14:textId="77777777" w:rsidR="00446E4D" w:rsidRPr="00C90232" w:rsidRDefault="00446E4D" w:rsidP="009040D5">
      <w:pPr>
        <w:spacing w:after="240" w:line="276" w:lineRule="auto"/>
        <w:jc w:val="both"/>
        <w:rPr>
          <w:rFonts w:ascii="Arial" w:eastAsia="Times New Roman" w:hAnsi="Arial" w:cs="Arial"/>
          <w:sz w:val="21"/>
          <w:szCs w:val="21"/>
          <w:lang w:eastAsia="es-ES"/>
        </w:rPr>
      </w:pPr>
      <w:r w:rsidRPr="00C90232">
        <w:rPr>
          <w:rFonts w:ascii="Arial" w:eastAsia="Times New Roman" w:hAnsi="Arial" w:cs="Arial"/>
          <w:sz w:val="21"/>
          <w:szCs w:val="21"/>
          <w:lang w:eastAsia="es-ES"/>
        </w:rPr>
        <w:t xml:space="preserve">Finalmente, cabe señalar que en los primeros meses de este año 2022, la Agencia ha suscrito un convenio con </w:t>
      </w:r>
      <w:hyperlink r:id="rId391" w:anchor="boc/iniciativa/clau/190697345111042" w:history="1">
        <w:r w:rsidRPr="00C90232">
          <w:rPr>
            <w:rStyle w:val="Hipervnculo"/>
            <w:rFonts w:ascii="Arial" w:eastAsia="Times New Roman" w:hAnsi="Arial" w:cs="Arial"/>
            <w:sz w:val="21"/>
            <w:szCs w:val="21"/>
            <w:lang w:eastAsia="es-ES"/>
          </w:rPr>
          <w:t>Universidad de Alicante</w:t>
        </w:r>
      </w:hyperlink>
      <w:r w:rsidRPr="00C90232">
        <w:rPr>
          <w:rFonts w:ascii="Arial" w:eastAsia="Times New Roman" w:hAnsi="Arial" w:cs="Arial"/>
          <w:sz w:val="21"/>
          <w:szCs w:val="21"/>
          <w:lang w:eastAsia="es-ES"/>
        </w:rPr>
        <w:t xml:space="preserve">, cuyo objeto es establecer el marco de colaboración cultural, educativa y científica, así como la asistencia mutua entre ambas entidades, fijando cauces para la realización en común de actividades de divulgación, de formación y de investigación que redunden en beneficio común. </w:t>
      </w:r>
    </w:p>
    <w:p w14:paraId="7B5BD081" w14:textId="5929FED2" w:rsidR="00446E4D" w:rsidRDefault="00446E4D" w:rsidP="009040D5">
      <w:pPr>
        <w:spacing w:after="240" w:line="276" w:lineRule="auto"/>
        <w:jc w:val="both"/>
        <w:rPr>
          <w:rFonts w:ascii="Arial" w:eastAsia="Times New Roman" w:hAnsi="Arial" w:cs="Arial"/>
          <w:sz w:val="21"/>
          <w:szCs w:val="21"/>
          <w:lang w:eastAsia="es-ES"/>
        </w:rPr>
      </w:pPr>
      <w:r w:rsidRPr="00C90232">
        <w:rPr>
          <w:rFonts w:ascii="Arial" w:eastAsia="Times New Roman" w:hAnsi="Arial" w:cs="Arial"/>
          <w:sz w:val="21"/>
          <w:szCs w:val="21"/>
          <w:lang w:eastAsia="es-ES"/>
        </w:rPr>
        <w:t xml:space="preserve">Asimismo, el pasado 7 de marzo, por la AVAF se ha suscrito un convenio con el </w:t>
      </w:r>
      <w:hyperlink r:id="rId392" w:anchor="boc/iniciativa/clau/190727330740001" w:history="1">
        <w:r w:rsidRPr="00C90232">
          <w:rPr>
            <w:rStyle w:val="Hipervnculo"/>
            <w:rFonts w:ascii="Arial" w:eastAsia="Times New Roman" w:hAnsi="Arial" w:cs="Arial"/>
            <w:sz w:val="21"/>
            <w:szCs w:val="21"/>
            <w:lang w:eastAsia="es-ES"/>
          </w:rPr>
          <w:t>Colegio de Registradores de la Propiedad y Mercantiles de España para la consulta de la titularidad real de sociedades mercantiles a través del Registro Mercantil</w:t>
        </w:r>
      </w:hyperlink>
      <w:r w:rsidRPr="00C90232">
        <w:rPr>
          <w:rFonts w:ascii="Arial" w:eastAsia="Times New Roman" w:hAnsi="Arial" w:cs="Arial"/>
          <w:sz w:val="21"/>
          <w:szCs w:val="21"/>
          <w:lang w:eastAsia="es-ES"/>
        </w:rPr>
        <w:t>. Así, con este convenio se definen las condiciones de acceso y características técnicas del servicio a través del cual la Agencia accederá a la consulta sobre la titularidad real de entidades inscritas en los registros mercantiles por medio de dos sistemas alternativos ofrecidos por el Colegio de Registradores.</w:t>
      </w:r>
      <w:r w:rsidRPr="00882604">
        <w:rPr>
          <w:rFonts w:ascii="Arial" w:eastAsia="Times New Roman" w:hAnsi="Arial" w:cs="Arial"/>
          <w:sz w:val="21"/>
          <w:szCs w:val="21"/>
          <w:lang w:eastAsia="es-ES"/>
        </w:rPr>
        <w:t xml:space="preserve"> </w:t>
      </w:r>
    </w:p>
    <w:p w14:paraId="4D63A6A6" w14:textId="77777777" w:rsidR="003240D6" w:rsidRPr="003240D6" w:rsidRDefault="003240D6" w:rsidP="003240D6">
      <w:pPr>
        <w:spacing w:after="240" w:line="276" w:lineRule="auto"/>
        <w:jc w:val="both"/>
        <w:rPr>
          <w:rFonts w:ascii="Arial" w:eastAsia="Times New Roman" w:hAnsi="Arial" w:cs="Arial"/>
          <w:sz w:val="21"/>
          <w:szCs w:val="21"/>
          <w:lang w:eastAsia="es-ES"/>
        </w:rPr>
      </w:pPr>
      <w:r w:rsidRPr="003240D6">
        <w:rPr>
          <w:rFonts w:ascii="Arial" w:eastAsia="Times New Roman" w:hAnsi="Arial" w:cs="Arial"/>
          <w:sz w:val="21"/>
          <w:szCs w:val="21"/>
          <w:lang w:eastAsia="es-ES"/>
        </w:rPr>
        <w:t xml:space="preserve">Por último, en fecha 16 de marzo de 2022, la AVAF suscribió la </w:t>
      </w:r>
      <w:hyperlink r:id="rId393" w:history="1">
        <w:r w:rsidRPr="003240D6">
          <w:rPr>
            <w:rStyle w:val="Hipervnculo"/>
            <w:rFonts w:ascii="Arial" w:eastAsia="Times New Roman" w:hAnsi="Arial" w:cs="Arial"/>
            <w:sz w:val="21"/>
            <w:szCs w:val="21"/>
            <w:lang w:eastAsia="es-ES"/>
          </w:rPr>
          <w:t>Prórroga del Convenio marco con la Oficina Antifraude de Cataluña (OAC)</w:t>
        </w:r>
      </w:hyperlink>
      <w:r w:rsidRPr="003240D6">
        <w:rPr>
          <w:rFonts w:ascii="Arial" w:eastAsia="Times New Roman" w:hAnsi="Arial" w:cs="Arial"/>
          <w:sz w:val="21"/>
          <w:szCs w:val="21"/>
          <w:lang w:eastAsia="es-ES"/>
        </w:rPr>
        <w:t>, para mantener canal permanente de comunicación y colaboración para mejorar la eficacia en el cumplimiento de objetivos de interés común.</w:t>
      </w:r>
    </w:p>
    <w:p w14:paraId="14AB3F2B" w14:textId="454290DD" w:rsidR="00446E4D" w:rsidRDefault="00446E4D" w:rsidP="009040D5">
      <w:pPr>
        <w:suppressAutoHyphens/>
        <w:spacing w:after="240" w:line="276" w:lineRule="auto"/>
        <w:jc w:val="both"/>
        <w:rPr>
          <w:rFonts w:ascii="Arial" w:eastAsia="Times New Roman" w:hAnsi="Arial" w:cs="Arial"/>
          <w:sz w:val="21"/>
          <w:szCs w:val="21"/>
          <w:lang w:eastAsia="es-ES"/>
        </w:rPr>
      </w:pPr>
      <w:r w:rsidRPr="00882604">
        <w:rPr>
          <w:rFonts w:ascii="Arial" w:eastAsia="Times New Roman" w:hAnsi="Arial" w:cs="Arial"/>
          <w:sz w:val="21"/>
          <w:szCs w:val="21"/>
          <w:lang w:eastAsia="es-ES"/>
        </w:rPr>
        <w:t xml:space="preserve">Todos los convenios suscritos por la AVAF son objeto de publicación en el </w:t>
      </w:r>
      <w:r w:rsidRPr="00882604">
        <w:rPr>
          <w:rFonts w:ascii="Arial" w:eastAsia="Times New Roman" w:hAnsi="Arial" w:cs="Arial"/>
          <w:i/>
          <w:iCs/>
          <w:sz w:val="21"/>
          <w:szCs w:val="21"/>
          <w:lang w:eastAsia="es-ES"/>
        </w:rPr>
        <w:t>Butlletí Oficial de</w:t>
      </w:r>
      <w:r w:rsidR="00CC7691">
        <w:rPr>
          <w:rFonts w:ascii="Arial" w:eastAsia="Times New Roman" w:hAnsi="Arial" w:cs="Arial"/>
          <w:i/>
          <w:iCs/>
          <w:sz w:val="21"/>
          <w:szCs w:val="21"/>
          <w:lang w:eastAsia="es-ES"/>
        </w:rPr>
        <w:t xml:space="preserve"> las</w:t>
      </w:r>
      <w:r w:rsidRPr="00882604">
        <w:rPr>
          <w:rFonts w:ascii="Arial" w:eastAsia="Times New Roman" w:hAnsi="Arial" w:cs="Arial"/>
          <w:i/>
          <w:iCs/>
          <w:sz w:val="21"/>
          <w:szCs w:val="21"/>
          <w:lang w:eastAsia="es-ES"/>
        </w:rPr>
        <w:t xml:space="preserve"> Corts Valencian</w:t>
      </w:r>
      <w:r w:rsidR="00CC7691">
        <w:rPr>
          <w:rFonts w:ascii="Arial" w:eastAsia="Times New Roman" w:hAnsi="Arial" w:cs="Arial"/>
          <w:i/>
          <w:iCs/>
          <w:sz w:val="21"/>
          <w:szCs w:val="21"/>
          <w:lang w:eastAsia="es-ES"/>
        </w:rPr>
        <w:t>e</w:t>
      </w:r>
      <w:r w:rsidRPr="00882604">
        <w:rPr>
          <w:rFonts w:ascii="Arial" w:eastAsia="Times New Roman" w:hAnsi="Arial" w:cs="Arial"/>
          <w:i/>
          <w:iCs/>
          <w:sz w:val="21"/>
          <w:szCs w:val="21"/>
          <w:lang w:eastAsia="es-ES"/>
        </w:rPr>
        <w:t>s</w:t>
      </w:r>
      <w:r w:rsidRPr="00882604">
        <w:rPr>
          <w:rFonts w:ascii="Arial" w:eastAsia="Times New Roman" w:hAnsi="Arial" w:cs="Arial"/>
          <w:sz w:val="21"/>
          <w:szCs w:val="21"/>
          <w:lang w:eastAsia="es-ES"/>
        </w:rPr>
        <w:t xml:space="preserve"> (BOCV) y en el portal de transparencia disponible en su página web.</w:t>
      </w:r>
    </w:p>
    <w:p w14:paraId="26E9112E" w14:textId="77777777" w:rsidR="003240D6" w:rsidRPr="003240D6" w:rsidRDefault="003240D6" w:rsidP="003240D6">
      <w:pPr>
        <w:suppressAutoHyphens/>
        <w:spacing w:after="240" w:line="276" w:lineRule="auto"/>
        <w:jc w:val="both"/>
        <w:rPr>
          <w:rFonts w:ascii="Arial" w:eastAsia="Times New Roman" w:hAnsi="Arial" w:cs="Arial"/>
          <w:sz w:val="21"/>
          <w:szCs w:val="21"/>
          <w:lang w:eastAsia="es-ES"/>
        </w:rPr>
      </w:pPr>
      <w:r w:rsidRPr="003240D6">
        <w:rPr>
          <w:rFonts w:ascii="Arial" w:eastAsia="Times New Roman" w:hAnsi="Arial" w:cs="Arial"/>
          <w:sz w:val="21"/>
          <w:szCs w:val="21"/>
          <w:lang w:eastAsia="es-ES"/>
        </w:rPr>
        <w:t>A fecha de cierre de esta Memoria el total de convenios marco, convenios de colaboración y protocolos de colaboración suscritos por la AVAF asciende a 19. De los cuales, durante 2021, se han suscrito 7 y en lo que llevamos de 2022 se han suscrito además 3.</w:t>
      </w:r>
    </w:p>
    <w:p w14:paraId="4050E969" w14:textId="77777777" w:rsidR="00446E4D" w:rsidRPr="00446E4D" w:rsidRDefault="00446E4D" w:rsidP="00A51BD4">
      <w:pPr>
        <w:pStyle w:val="Prrafodelista"/>
        <w:keepNext/>
        <w:numPr>
          <w:ilvl w:val="2"/>
          <w:numId w:val="16"/>
        </w:numPr>
        <w:suppressAutoHyphens/>
        <w:spacing w:before="360" w:after="240" w:line="276" w:lineRule="auto"/>
        <w:ind w:left="993" w:hanging="993"/>
        <w:jc w:val="both"/>
        <w:outlineLvl w:val="2"/>
        <w:rPr>
          <w:rFonts w:ascii="Arial" w:eastAsia="Times New Roman" w:hAnsi="Arial" w:cs="Arial"/>
          <w:b/>
          <w:color w:val="9D2235"/>
          <w:sz w:val="28"/>
          <w:szCs w:val="28"/>
        </w:rPr>
      </w:pPr>
      <w:bookmarkStart w:id="103" w:name="_Toc67646251"/>
      <w:bookmarkStart w:id="104" w:name="_Toc99107004"/>
      <w:r w:rsidRPr="00446E4D">
        <w:rPr>
          <w:rFonts w:ascii="Arial" w:eastAsia="Times New Roman" w:hAnsi="Arial" w:cs="Arial"/>
          <w:b/>
          <w:color w:val="9D2235"/>
          <w:sz w:val="28"/>
          <w:szCs w:val="28"/>
        </w:rPr>
        <w:t>Potestad sancionadora</w:t>
      </w:r>
      <w:bookmarkEnd w:id="103"/>
      <w:bookmarkEnd w:id="104"/>
    </w:p>
    <w:p w14:paraId="4727513C" w14:textId="77777777" w:rsidR="00446E4D" w:rsidRPr="00391950" w:rsidRDefault="00446E4D" w:rsidP="001F6C7C">
      <w:pPr>
        <w:widowControl w:val="0"/>
        <w:suppressAutoHyphens/>
        <w:spacing w:after="240" w:line="276" w:lineRule="auto"/>
        <w:jc w:val="both"/>
        <w:rPr>
          <w:rFonts w:ascii="Arial" w:eastAsia="Times New Roman" w:hAnsi="Arial" w:cs="Arial"/>
          <w:color w:val="000000"/>
          <w:sz w:val="21"/>
          <w:szCs w:val="21"/>
          <w:lang w:eastAsia="es-ES" w:bidi="hi-IN"/>
        </w:rPr>
      </w:pPr>
      <w:r w:rsidRPr="00882604">
        <w:rPr>
          <w:rFonts w:ascii="Arial" w:eastAsia="Times New Roman" w:hAnsi="Arial" w:cs="Arial"/>
          <w:color w:val="000000"/>
          <w:sz w:val="21"/>
          <w:szCs w:val="21"/>
          <w:lang w:eastAsia="es-ES" w:bidi="hi-IN"/>
        </w:rPr>
        <w:t xml:space="preserve">Entre las potestades atribuidas a la AVAF, se encuentra la potestad sancionadora regulada en el Capítulo III de </w:t>
      </w:r>
      <w:r w:rsidRPr="00391950">
        <w:rPr>
          <w:rFonts w:ascii="Arial" w:eastAsia="Times New Roman" w:hAnsi="Arial" w:cs="Arial"/>
          <w:color w:val="000000"/>
          <w:sz w:val="21"/>
          <w:szCs w:val="21"/>
          <w:lang w:eastAsia="es-ES" w:bidi="hi-IN"/>
        </w:rPr>
        <w:t xml:space="preserve">la </w:t>
      </w:r>
      <w:hyperlink r:id="rId394" w:history="1">
        <w:r w:rsidRPr="009040D5">
          <w:rPr>
            <w:rFonts w:ascii="Arial" w:eastAsia="Times New Roman" w:hAnsi="Arial" w:cs="Arial"/>
            <w:color w:val="000080"/>
            <w:sz w:val="21"/>
            <w:szCs w:val="21"/>
            <w:u w:val="single"/>
            <w:lang w:eastAsia="es-ES" w:bidi="hi-IN"/>
          </w:rPr>
          <w:t>Ley 11/2016, de 28 de noviembre, de la Generalitat</w:t>
        </w:r>
      </w:hyperlink>
      <w:r w:rsidRPr="009040D5">
        <w:rPr>
          <w:rFonts w:ascii="Arial" w:eastAsia="Times New Roman" w:hAnsi="Arial" w:cs="Arial"/>
          <w:color w:val="000080"/>
          <w:sz w:val="21"/>
          <w:szCs w:val="21"/>
          <w:u w:val="single"/>
          <w:lang w:eastAsia="es-ES" w:bidi="hi-IN"/>
        </w:rPr>
        <w:t>,</w:t>
      </w:r>
      <w:r w:rsidRPr="00391950">
        <w:rPr>
          <w:rFonts w:ascii="Arial" w:eastAsia="Times New Roman" w:hAnsi="Arial" w:cs="Arial"/>
          <w:color w:val="0000FF"/>
          <w:sz w:val="21"/>
          <w:szCs w:val="21"/>
          <w:lang w:eastAsia="es-ES" w:bidi="hi-IN"/>
        </w:rPr>
        <w:t xml:space="preserve"> </w:t>
      </w:r>
      <w:r w:rsidRPr="00391950">
        <w:rPr>
          <w:rFonts w:ascii="Arial" w:eastAsia="Times New Roman" w:hAnsi="Arial" w:cs="Arial"/>
          <w:color w:val="000000"/>
          <w:sz w:val="21"/>
          <w:szCs w:val="21"/>
          <w:lang w:eastAsia="es-ES" w:bidi="hi-IN"/>
        </w:rPr>
        <w:t xml:space="preserve">titulado “Del régimen sancionador”. En concreto, los artículos 17 a 21 tipifican las infracciones, distinguiendo entre leves, graves y muy graves; introducen las sanciones correspondientes a las infracciones consistentes en multas de 200 hasta 400.000 euros; enumeran los principios para su graduación; establecen la aplicación supletoria de las reglas del procedimiento administrativo común; y otorgan la competencia para la imposición de sanciones a la persona titular de la </w:t>
      </w:r>
      <w:r>
        <w:rPr>
          <w:rFonts w:ascii="Arial" w:eastAsia="Times New Roman" w:hAnsi="Arial" w:cs="Arial"/>
          <w:color w:val="000000"/>
          <w:sz w:val="21"/>
          <w:szCs w:val="21"/>
          <w:lang w:eastAsia="es-ES" w:bidi="hi-IN"/>
        </w:rPr>
        <w:t>D</w:t>
      </w:r>
      <w:r w:rsidRPr="00391950">
        <w:rPr>
          <w:rFonts w:ascii="Arial" w:eastAsia="Times New Roman" w:hAnsi="Arial" w:cs="Arial"/>
          <w:color w:val="000000"/>
          <w:sz w:val="21"/>
          <w:szCs w:val="21"/>
          <w:lang w:eastAsia="es-ES" w:bidi="hi-IN"/>
        </w:rPr>
        <w:t xml:space="preserve">irección de la Agencia. </w:t>
      </w:r>
      <w:r>
        <w:rPr>
          <w:rFonts w:ascii="Arial" w:eastAsia="Times New Roman" w:hAnsi="Arial" w:cs="Arial"/>
          <w:color w:val="000000"/>
          <w:sz w:val="21"/>
          <w:szCs w:val="21"/>
          <w:lang w:eastAsia="es-ES" w:bidi="hi-IN"/>
        </w:rPr>
        <w:t>Es de</w:t>
      </w:r>
      <w:r w:rsidRPr="00391950">
        <w:rPr>
          <w:rFonts w:ascii="Arial" w:eastAsia="Times New Roman" w:hAnsi="Arial" w:cs="Arial"/>
          <w:color w:val="000000"/>
          <w:sz w:val="21"/>
          <w:szCs w:val="21"/>
          <w:lang w:eastAsia="es-ES" w:bidi="hi-IN"/>
        </w:rPr>
        <w:t xml:space="preserve"> destacar la obligación</w:t>
      </w:r>
      <w:r>
        <w:rPr>
          <w:rFonts w:ascii="Arial" w:eastAsia="Times New Roman" w:hAnsi="Arial" w:cs="Arial"/>
          <w:color w:val="000000"/>
          <w:sz w:val="21"/>
          <w:szCs w:val="21"/>
          <w:lang w:eastAsia="es-ES" w:bidi="hi-IN"/>
        </w:rPr>
        <w:t xml:space="preserve">, contemplada en la Ley 11/2016, </w:t>
      </w:r>
      <w:r w:rsidRPr="00391950">
        <w:rPr>
          <w:rFonts w:ascii="Arial" w:eastAsia="Times New Roman" w:hAnsi="Arial" w:cs="Arial"/>
          <w:color w:val="000000"/>
          <w:sz w:val="21"/>
          <w:szCs w:val="21"/>
          <w:lang w:eastAsia="es-ES" w:bidi="hi-IN"/>
        </w:rPr>
        <w:t xml:space="preserve">de publicar las sanciones por infracciones graves o muy graves en el </w:t>
      </w:r>
      <w:r w:rsidRPr="00391950">
        <w:rPr>
          <w:rFonts w:ascii="Arial" w:eastAsia="Times New Roman" w:hAnsi="Arial" w:cs="Arial"/>
          <w:i/>
          <w:iCs/>
          <w:color w:val="000000"/>
          <w:sz w:val="21"/>
          <w:szCs w:val="21"/>
          <w:lang w:eastAsia="es-ES" w:bidi="hi-IN"/>
        </w:rPr>
        <w:t>Diari Oficial de la Generalitat Valenciana</w:t>
      </w:r>
      <w:r w:rsidRPr="00391950">
        <w:rPr>
          <w:rFonts w:ascii="Arial" w:eastAsia="Times New Roman" w:hAnsi="Arial" w:cs="Arial"/>
          <w:color w:val="000000"/>
          <w:sz w:val="21"/>
          <w:szCs w:val="21"/>
          <w:lang w:eastAsia="es-ES" w:bidi="hi-IN"/>
        </w:rPr>
        <w:t xml:space="preserve"> para conocimiento general. </w:t>
      </w:r>
    </w:p>
    <w:p w14:paraId="021784FF" w14:textId="77777777" w:rsidR="00446E4D" w:rsidRPr="00882604" w:rsidRDefault="00446E4D" w:rsidP="001F6C7C">
      <w:pPr>
        <w:widowControl w:val="0"/>
        <w:suppressAutoHyphens/>
        <w:spacing w:after="240" w:line="276" w:lineRule="auto"/>
        <w:jc w:val="both"/>
        <w:rPr>
          <w:rFonts w:ascii="Arial" w:eastAsia="Times New Roman" w:hAnsi="Arial" w:cs="Arial"/>
          <w:color w:val="000000"/>
          <w:sz w:val="21"/>
          <w:szCs w:val="21"/>
          <w:lang w:eastAsia="es-ES" w:bidi="hi-IN"/>
        </w:rPr>
      </w:pPr>
      <w:r w:rsidRPr="00391950">
        <w:rPr>
          <w:rFonts w:ascii="Arial" w:eastAsia="Times New Roman" w:hAnsi="Arial" w:cs="Arial"/>
          <w:color w:val="000000"/>
          <w:sz w:val="21"/>
          <w:szCs w:val="21"/>
          <w:lang w:eastAsia="es-ES" w:bidi="hi-IN"/>
        </w:rPr>
        <w:t xml:space="preserve">En desarrollo de los </w:t>
      </w:r>
      <w:r>
        <w:rPr>
          <w:rFonts w:ascii="Arial" w:eastAsia="Times New Roman" w:hAnsi="Arial" w:cs="Arial"/>
          <w:color w:val="000000"/>
          <w:sz w:val="21"/>
          <w:szCs w:val="21"/>
          <w:lang w:eastAsia="es-ES" w:bidi="hi-IN"/>
        </w:rPr>
        <w:t>mencionados</w:t>
      </w:r>
      <w:r w:rsidRPr="00391950">
        <w:rPr>
          <w:rFonts w:ascii="Arial" w:eastAsia="Times New Roman" w:hAnsi="Arial" w:cs="Arial"/>
          <w:color w:val="000000"/>
          <w:sz w:val="21"/>
          <w:szCs w:val="21"/>
          <w:lang w:eastAsia="es-ES" w:bidi="hi-IN"/>
        </w:rPr>
        <w:t xml:space="preserve"> </w:t>
      </w:r>
      <w:r>
        <w:rPr>
          <w:rFonts w:ascii="Arial" w:eastAsia="Times New Roman" w:hAnsi="Arial" w:cs="Arial"/>
          <w:color w:val="000000"/>
          <w:sz w:val="21"/>
          <w:szCs w:val="21"/>
          <w:lang w:eastAsia="es-ES" w:bidi="hi-IN"/>
        </w:rPr>
        <w:t>precepto</w:t>
      </w:r>
      <w:r w:rsidRPr="00391950">
        <w:rPr>
          <w:rFonts w:ascii="Arial" w:eastAsia="Times New Roman" w:hAnsi="Arial" w:cs="Arial"/>
          <w:color w:val="000000"/>
          <w:sz w:val="21"/>
          <w:szCs w:val="21"/>
          <w:lang w:eastAsia="es-ES" w:bidi="hi-IN"/>
        </w:rPr>
        <w:t xml:space="preserve">s, el </w:t>
      </w:r>
      <w:hyperlink r:id="rId395" w:history="1">
        <w:r w:rsidRPr="009040D5">
          <w:rPr>
            <w:rFonts w:ascii="Arial" w:eastAsia="Times New Roman" w:hAnsi="Arial" w:cs="Arial"/>
            <w:color w:val="000080"/>
            <w:sz w:val="21"/>
            <w:szCs w:val="21"/>
            <w:u w:val="single"/>
            <w:lang w:eastAsia="es-ES" w:bidi="hi-IN"/>
          </w:rPr>
          <w:t>Reglamento de funcionamiento y régimen interior de la Agencia</w:t>
        </w:r>
      </w:hyperlink>
      <w:r w:rsidRPr="00391950">
        <w:rPr>
          <w:rFonts w:ascii="Arial" w:eastAsia="Times New Roman" w:hAnsi="Arial" w:cs="Arial"/>
          <w:color w:val="000000"/>
          <w:sz w:val="21"/>
          <w:szCs w:val="21"/>
          <w:lang w:eastAsia="es-ES" w:bidi="hi-IN"/>
        </w:rPr>
        <w:t xml:space="preserve"> desarrolla el procedimiento sancionador en su título VIII (artículos 49 a 57)</w:t>
      </w:r>
      <w:r>
        <w:rPr>
          <w:rFonts w:ascii="Arial" w:eastAsia="Times New Roman" w:hAnsi="Arial" w:cs="Arial"/>
          <w:color w:val="000000"/>
          <w:sz w:val="21"/>
          <w:szCs w:val="21"/>
          <w:lang w:eastAsia="es-ES" w:bidi="hi-IN"/>
        </w:rPr>
        <w:t xml:space="preserve">, </w:t>
      </w:r>
      <w:r w:rsidRPr="00391950">
        <w:rPr>
          <w:rFonts w:ascii="Arial" w:eastAsia="Times New Roman" w:hAnsi="Arial" w:cs="Arial"/>
          <w:color w:val="000000"/>
          <w:sz w:val="21"/>
          <w:szCs w:val="21"/>
          <w:lang w:eastAsia="es-ES" w:bidi="hi-IN"/>
        </w:rPr>
        <w:t xml:space="preserve">que </w:t>
      </w:r>
      <w:r>
        <w:rPr>
          <w:rFonts w:ascii="Arial" w:eastAsia="Times New Roman" w:hAnsi="Arial" w:cs="Arial"/>
          <w:color w:val="000000"/>
          <w:sz w:val="21"/>
          <w:szCs w:val="21"/>
          <w:lang w:eastAsia="es-ES" w:bidi="hi-IN"/>
        </w:rPr>
        <w:t xml:space="preserve">contempla </w:t>
      </w:r>
      <w:r w:rsidRPr="00391950">
        <w:rPr>
          <w:rFonts w:ascii="Arial" w:eastAsia="Times New Roman" w:hAnsi="Arial" w:cs="Arial"/>
          <w:color w:val="000000"/>
          <w:sz w:val="21"/>
          <w:szCs w:val="21"/>
          <w:lang w:eastAsia="es-ES" w:bidi="hi-IN"/>
        </w:rPr>
        <w:t>los principios procedimentales, la regulación de las actuaciones previas y de la adopción del acuerdo de iniciación del procedimiento, la posibilidad de adoptar medidas</w:t>
      </w:r>
      <w:r w:rsidRPr="00882604">
        <w:rPr>
          <w:rFonts w:ascii="Arial" w:eastAsia="Times New Roman" w:hAnsi="Arial" w:cs="Arial"/>
          <w:color w:val="000000"/>
          <w:sz w:val="21"/>
          <w:szCs w:val="21"/>
          <w:lang w:eastAsia="es-ES" w:bidi="hi-IN"/>
        </w:rPr>
        <w:t xml:space="preserve"> de carácter provisional, la instrucción, la propuesta de resolución y audiencia, la resolución del procedimiento y sus efectos y la ejecutoriedad</w:t>
      </w:r>
      <w:r>
        <w:rPr>
          <w:rFonts w:ascii="Arial" w:eastAsia="Times New Roman" w:hAnsi="Arial" w:cs="Arial"/>
          <w:color w:val="000000"/>
          <w:sz w:val="21"/>
          <w:szCs w:val="21"/>
          <w:lang w:eastAsia="es-ES" w:bidi="hi-IN"/>
        </w:rPr>
        <w:t xml:space="preserve">, </w:t>
      </w:r>
      <w:r w:rsidRPr="00882604">
        <w:rPr>
          <w:rFonts w:ascii="Arial" w:eastAsia="Times New Roman" w:hAnsi="Arial" w:cs="Arial"/>
          <w:color w:val="000000"/>
          <w:sz w:val="21"/>
          <w:szCs w:val="21"/>
          <w:lang w:eastAsia="es-ES" w:bidi="hi-IN"/>
        </w:rPr>
        <w:t>y también la posibilidad de realizar una tramitación simplificada en caso de infracciones leves.</w:t>
      </w:r>
    </w:p>
    <w:p w14:paraId="085F0E67" w14:textId="77777777" w:rsidR="00446E4D" w:rsidRPr="00882604" w:rsidRDefault="00446E4D" w:rsidP="001F6C7C">
      <w:pPr>
        <w:widowControl w:val="0"/>
        <w:suppressAutoHyphens/>
        <w:spacing w:after="240" w:line="276" w:lineRule="auto"/>
        <w:jc w:val="both"/>
        <w:rPr>
          <w:rFonts w:ascii="Arial" w:eastAsia="Times New Roman" w:hAnsi="Arial" w:cs="Arial"/>
          <w:color w:val="000000"/>
          <w:sz w:val="21"/>
          <w:szCs w:val="21"/>
          <w:lang w:eastAsia="es-ES" w:bidi="hi-IN"/>
        </w:rPr>
      </w:pPr>
      <w:r w:rsidRPr="00882604">
        <w:rPr>
          <w:rFonts w:ascii="Arial" w:eastAsia="Times New Roman" w:hAnsi="Arial" w:cs="Arial"/>
          <w:color w:val="000000"/>
          <w:sz w:val="21"/>
          <w:szCs w:val="21"/>
          <w:lang w:eastAsia="es-ES" w:bidi="hi-IN"/>
        </w:rPr>
        <w:t xml:space="preserve">Esta potestad sancionadora queda claramente diferenciada de la potestad disciplinaria, incluida en la normativa administrativa de nuestro ordenamiento jurídico y que resulta plenamente respetada en la Ley 11/2016, que diseña un sistema en que la potestad sancionadora es ejercida por </w:t>
      </w:r>
      <w:r>
        <w:rPr>
          <w:rFonts w:ascii="Arial" w:eastAsia="Times New Roman" w:hAnsi="Arial" w:cs="Arial"/>
          <w:color w:val="000000"/>
          <w:sz w:val="21"/>
          <w:szCs w:val="21"/>
          <w:lang w:eastAsia="es-ES" w:bidi="hi-IN"/>
        </w:rPr>
        <w:t xml:space="preserve">la </w:t>
      </w:r>
      <w:r w:rsidRPr="00882604">
        <w:rPr>
          <w:rFonts w:ascii="Arial" w:eastAsia="Times New Roman" w:hAnsi="Arial" w:cs="Arial"/>
          <w:color w:val="000000"/>
          <w:sz w:val="21"/>
          <w:szCs w:val="21"/>
          <w:lang w:eastAsia="es-ES" w:bidi="hi-IN"/>
        </w:rPr>
        <w:t xml:space="preserve">propia Agencia, mientras que en supuestos en que </w:t>
      </w:r>
      <w:r>
        <w:rPr>
          <w:rFonts w:ascii="Arial" w:eastAsia="Times New Roman" w:hAnsi="Arial" w:cs="Arial"/>
          <w:color w:val="000000"/>
          <w:sz w:val="21"/>
          <w:szCs w:val="21"/>
          <w:lang w:eastAsia="es-ES" w:bidi="hi-IN"/>
        </w:rPr>
        <w:t>esta</w:t>
      </w:r>
      <w:r w:rsidRPr="00882604">
        <w:rPr>
          <w:rFonts w:ascii="Arial" w:eastAsia="Times New Roman" w:hAnsi="Arial" w:cs="Arial"/>
          <w:color w:val="000000"/>
          <w:sz w:val="21"/>
          <w:szCs w:val="21"/>
          <w:lang w:eastAsia="es-ES" w:bidi="hi-IN"/>
        </w:rPr>
        <w:t xml:space="preserve"> aprecie responsabilidad disciplinaria se remit</w:t>
      </w:r>
      <w:r>
        <w:rPr>
          <w:rFonts w:ascii="Arial" w:eastAsia="Times New Roman" w:hAnsi="Arial" w:cs="Arial"/>
          <w:color w:val="000000"/>
          <w:sz w:val="21"/>
          <w:szCs w:val="21"/>
          <w:lang w:eastAsia="es-ES" w:bidi="hi-IN"/>
        </w:rPr>
        <w:t xml:space="preserve">en las actuaciones, de acuerdo igualmente con la Ley 11/2016, </w:t>
      </w:r>
      <w:r w:rsidRPr="00882604">
        <w:rPr>
          <w:rFonts w:ascii="Arial" w:eastAsia="Times New Roman" w:hAnsi="Arial" w:cs="Arial"/>
          <w:color w:val="000000"/>
          <w:sz w:val="21"/>
          <w:szCs w:val="21"/>
          <w:lang w:eastAsia="es-ES" w:bidi="hi-IN"/>
        </w:rPr>
        <w:t xml:space="preserve">a la administración titular de tal potestad disciplinaria. </w:t>
      </w:r>
      <w:r>
        <w:rPr>
          <w:rFonts w:ascii="Arial" w:eastAsia="Times New Roman" w:hAnsi="Arial" w:cs="Arial"/>
          <w:color w:val="000000"/>
          <w:sz w:val="21"/>
          <w:szCs w:val="21"/>
          <w:lang w:eastAsia="es-ES" w:bidi="hi-IN"/>
        </w:rPr>
        <w:t>Una y otra,</w:t>
      </w:r>
      <w:r w:rsidRPr="00882604">
        <w:rPr>
          <w:rFonts w:ascii="Arial" w:eastAsia="Times New Roman" w:hAnsi="Arial" w:cs="Arial"/>
          <w:color w:val="000000"/>
          <w:sz w:val="21"/>
          <w:szCs w:val="21"/>
          <w:lang w:eastAsia="es-ES" w:bidi="hi-IN"/>
        </w:rPr>
        <w:t xml:space="preserve"> constituyen </w:t>
      </w:r>
      <w:r>
        <w:rPr>
          <w:rFonts w:ascii="Arial" w:eastAsia="Times New Roman" w:hAnsi="Arial" w:cs="Arial"/>
          <w:color w:val="000000"/>
          <w:sz w:val="21"/>
          <w:szCs w:val="21"/>
          <w:lang w:eastAsia="es-ES" w:bidi="hi-IN"/>
        </w:rPr>
        <w:t xml:space="preserve">obviamente </w:t>
      </w:r>
      <w:r w:rsidRPr="00882604">
        <w:rPr>
          <w:rFonts w:ascii="Arial" w:eastAsia="Times New Roman" w:hAnsi="Arial" w:cs="Arial"/>
          <w:color w:val="000000"/>
          <w:sz w:val="21"/>
          <w:szCs w:val="21"/>
          <w:lang w:eastAsia="es-ES" w:bidi="hi-IN"/>
        </w:rPr>
        <w:t xml:space="preserve">regímenes distintos y diferenciados. </w:t>
      </w:r>
      <w:r>
        <w:rPr>
          <w:rFonts w:ascii="Arial" w:eastAsia="Times New Roman" w:hAnsi="Arial" w:cs="Arial"/>
          <w:color w:val="000000"/>
          <w:sz w:val="21"/>
          <w:szCs w:val="21"/>
          <w:lang w:eastAsia="es-ES" w:bidi="hi-IN"/>
        </w:rPr>
        <w:t>Dicha</w:t>
      </w:r>
      <w:r w:rsidRPr="00882604">
        <w:rPr>
          <w:rFonts w:ascii="Arial" w:eastAsia="Times New Roman" w:hAnsi="Arial" w:cs="Arial"/>
          <w:color w:val="000000"/>
          <w:sz w:val="21"/>
          <w:szCs w:val="21"/>
          <w:lang w:eastAsia="es-ES" w:bidi="hi-IN"/>
        </w:rPr>
        <w:t xml:space="preserve"> dualidad viene establecida con rango legal en el vigente artículo 25 de la Ley 40/2015, que distingue entra la potestad sancionadora de las Administraciones Públicas y la potestad disciplinaria respecto del personal a su servicio.</w:t>
      </w:r>
    </w:p>
    <w:p w14:paraId="53E7154D" w14:textId="77777777" w:rsidR="00446E4D" w:rsidRPr="00882604" w:rsidRDefault="00446E4D" w:rsidP="001F6C7C">
      <w:pPr>
        <w:widowControl w:val="0"/>
        <w:suppressAutoHyphens/>
        <w:spacing w:after="240" w:line="276" w:lineRule="auto"/>
        <w:jc w:val="both"/>
        <w:rPr>
          <w:rFonts w:ascii="Arial" w:eastAsia="Times New Roman" w:hAnsi="Arial" w:cs="Arial"/>
          <w:color w:val="000000"/>
          <w:sz w:val="21"/>
          <w:szCs w:val="21"/>
          <w:lang w:eastAsia="es-ES" w:bidi="hi-IN"/>
        </w:rPr>
      </w:pPr>
      <w:r w:rsidRPr="00882604">
        <w:rPr>
          <w:rFonts w:ascii="Arial" w:eastAsia="Times New Roman" w:hAnsi="Arial" w:cs="Arial"/>
          <w:sz w:val="21"/>
          <w:szCs w:val="21"/>
          <w:lang w:eastAsia="es-ES" w:bidi="hi-IN"/>
        </w:rPr>
        <w:t xml:space="preserve">El objetivo de la potestad sancionadora es garantizar el cumplimiento efectivo del orden jurídico vigente, en concreto </w:t>
      </w:r>
      <w:r>
        <w:rPr>
          <w:rFonts w:ascii="Arial" w:eastAsia="Times New Roman" w:hAnsi="Arial" w:cs="Arial"/>
          <w:sz w:val="21"/>
          <w:szCs w:val="21"/>
          <w:lang w:eastAsia="es-ES" w:bidi="hi-IN"/>
        </w:rPr>
        <w:t>de</w:t>
      </w:r>
      <w:r w:rsidRPr="00882604">
        <w:rPr>
          <w:rFonts w:ascii="Arial" w:eastAsia="Times New Roman" w:hAnsi="Arial" w:cs="Arial"/>
          <w:sz w:val="21"/>
          <w:szCs w:val="21"/>
          <w:lang w:eastAsia="es-ES" w:bidi="hi-IN"/>
        </w:rPr>
        <w:t xml:space="preserve"> la Ley 11/2016, mediante la posibilidad de imponer sanciones a </w:t>
      </w:r>
      <w:r>
        <w:rPr>
          <w:rFonts w:ascii="Arial" w:eastAsia="Times New Roman" w:hAnsi="Arial" w:cs="Arial"/>
          <w:sz w:val="21"/>
          <w:szCs w:val="21"/>
          <w:lang w:eastAsia="es-ES" w:bidi="hi-IN"/>
        </w:rPr>
        <w:t xml:space="preserve">aquellos </w:t>
      </w:r>
      <w:r w:rsidRPr="00882604">
        <w:rPr>
          <w:rFonts w:ascii="Arial" w:eastAsia="Times New Roman" w:hAnsi="Arial" w:cs="Arial"/>
          <w:sz w:val="21"/>
          <w:szCs w:val="21"/>
          <w:lang w:eastAsia="es-ES" w:bidi="hi-IN"/>
        </w:rPr>
        <w:t xml:space="preserve">responsables </w:t>
      </w:r>
      <w:r>
        <w:rPr>
          <w:rFonts w:ascii="Arial" w:eastAsia="Times New Roman" w:hAnsi="Arial" w:cs="Arial"/>
          <w:sz w:val="21"/>
          <w:szCs w:val="21"/>
          <w:lang w:eastAsia="es-ES" w:bidi="hi-IN"/>
        </w:rPr>
        <w:t xml:space="preserve">que </w:t>
      </w:r>
      <w:r w:rsidRPr="00882604">
        <w:rPr>
          <w:rFonts w:ascii="Arial" w:eastAsia="Times New Roman" w:hAnsi="Arial" w:cs="Arial"/>
          <w:sz w:val="21"/>
          <w:szCs w:val="21"/>
          <w:lang w:eastAsia="es-ES" w:bidi="hi-IN"/>
        </w:rPr>
        <w:t>impid</w:t>
      </w:r>
      <w:r>
        <w:rPr>
          <w:rFonts w:ascii="Arial" w:eastAsia="Times New Roman" w:hAnsi="Arial" w:cs="Arial"/>
          <w:sz w:val="21"/>
          <w:szCs w:val="21"/>
          <w:lang w:eastAsia="es-ES" w:bidi="hi-IN"/>
        </w:rPr>
        <w:t xml:space="preserve">en la </w:t>
      </w:r>
      <w:r w:rsidRPr="00882604">
        <w:rPr>
          <w:rFonts w:ascii="Arial" w:eastAsia="Times New Roman" w:hAnsi="Arial" w:cs="Arial"/>
          <w:sz w:val="21"/>
          <w:szCs w:val="21"/>
          <w:lang w:eastAsia="es-ES" w:bidi="hi-IN"/>
        </w:rPr>
        <w:t>represión de actuaciones y omisiones que contravienen la legalidad jurídica</w:t>
      </w:r>
      <w:r>
        <w:rPr>
          <w:rFonts w:ascii="Arial" w:eastAsia="Times New Roman" w:hAnsi="Arial" w:cs="Arial"/>
          <w:sz w:val="21"/>
          <w:szCs w:val="21"/>
          <w:lang w:eastAsia="es-ES" w:bidi="hi-IN"/>
        </w:rPr>
        <w:t>,</w:t>
      </w:r>
      <w:r w:rsidRPr="00882604">
        <w:rPr>
          <w:rFonts w:ascii="Arial" w:eastAsia="Times New Roman" w:hAnsi="Arial" w:cs="Arial"/>
          <w:sz w:val="21"/>
          <w:szCs w:val="21"/>
          <w:lang w:eastAsia="es-ES" w:bidi="hi-IN"/>
        </w:rPr>
        <w:t xml:space="preserve"> como</w:t>
      </w:r>
      <w:r>
        <w:rPr>
          <w:rFonts w:ascii="Arial" w:eastAsia="Times New Roman" w:hAnsi="Arial" w:cs="Arial"/>
          <w:sz w:val="21"/>
          <w:szCs w:val="21"/>
          <w:lang w:eastAsia="es-ES" w:bidi="hi-IN"/>
        </w:rPr>
        <w:t xml:space="preserve"> son</w:t>
      </w:r>
      <w:r w:rsidRPr="00882604">
        <w:rPr>
          <w:rFonts w:ascii="Arial" w:eastAsia="Times New Roman" w:hAnsi="Arial" w:cs="Arial"/>
          <w:sz w:val="21"/>
          <w:szCs w:val="21"/>
          <w:lang w:eastAsia="es-ES" w:bidi="hi-IN"/>
        </w:rPr>
        <w:t xml:space="preserve"> la</w:t>
      </w:r>
      <w:r>
        <w:rPr>
          <w:rFonts w:ascii="Arial" w:eastAsia="Times New Roman" w:hAnsi="Arial" w:cs="Arial"/>
          <w:sz w:val="21"/>
          <w:szCs w:val="21"/>
          <w:lang w:eastAsia="es-ES" w:bidi="hi-IN"/>
        </w:rPr>
        <w:t xml:space="preserve"> realización de</w:t>
      </w:r>
      <w:r w:rsidRPr="00882604">
        <w:rPr>
          <w:rFonts w:ascii="Arial" w:eastAsia="Times New Roman" w:hAnsi="Arial" w:cs="Arial"/>
          <w:sz w:val="21"/>
          <w:szCs w:val="21"/>
          <w:lang w:eastAsia="es-ES" w:bidi="hi-IN"/>
        </w:rPr>
        <w:t xml:space="preserve"> filtraciones en procedimientos de investigación, la presentación de denuncias falsas o la falta del deber de colaborar con la Agencia en procedimientos de investigación</w:t>
      </w:r>
      <w:r>
        <w:rPr>
          <w:rFonts w:ascii="Arial" w:eastAsia="Times New Roman" w:hAnsi="Arial" w:cs="Arial"/>
          <w:sz w:val="21"/>
          <w:szCs w:val="21"/>
          <w:lang w:eastAsia="es-ES" w:bidi="hi-IN"/>
        </w:rPr>
        <w:t>,</w:t>
      </w:r>
      <w:r w:rsidRPr="00882604">
        <w:rPr>
          <w:rFonts w:ascii="Arial" w:eastAsia="Times New Roman" w:hAnsi="Arial" w:cs="Arial"/>
          <w:sz w:val="21"/>
          <w:szCs w:val="21"/>
          <w:lang w:eastAsia="es-ES" w:bidi="hi-IN"/>
        </w:rPr>
        <w:t xml:space="preserve"> traducida en obstáculos a</w:t>
      </w:r>
      <w:r>
        <w:rPr>
          <w:rFonts w:ascii="Arial" w:eastAsia="Times New Roman" w:hAnsi="Arial" w:cs="Arial"/>
          <w:sz w:val="21"/>
          <w:szCs w:val="21"/>
          <w:lang w:eastAsia="es-ES" w:bidi="hi-IN"/>
        </w:rPr>
        <w:t xml:space="preserve"> sus actuaciones</w:t>
      </w:r>
      <w:r w:rsidRPr="00882604">
        <w:rPr>
          <w:rFonts w:ascii="Arial" w:eastAsia="Times New Roman" w:hAnsi="Arial" w:cs="Arial"/>
          <w:sz w:val="21"/>
          <w:szCs w:val="21"/>
          <w:lang w:eastAsia="es-ES" w:bidi="hi-IN"/>
        </w:rPr>
        <w:t xml:space="preserve">, la negativa a proporcionar información, el retraso en la entrega o la aportación de documentación incompleta, así como </w:t>
      </w:r>
      <w:r>
        <w:rPr>
          <w:rFonts w:ascii="Arial" w:eastAsia="Times New Roman" w:hAnsi="Arial" w:cs="Arial"/>
          <w:sz w:val="21"/>
          <w:szCs w:val="21"/>
          <w:lang w:eastAsia="es-ES" w:bidi="hi-IN"/>
        </w:rPr>
        <w:t xml:space="preserve">también </w:t>
      </w:r>
      <w:r w:rsidRPr="00882604">
        <w:rPr>
          <w:rFonts w:ascii="Arial" w:eastAsia="Times New Roman" w:hAnsi="Arial" w:cs="Arial"/>
          <w:sz w:val="21"/>
          <w:szCs w:val="21"/>
          <w:lang w:eastAsia="es-ES" w:bidi="hi-IN"/>
        </w:rPr>
        <w:t>el incumplimiento de las medidas de protección de las personas denunciantes.</w:t>
      </w:r>
    </w:p>
    <w:p w14:paraId="39C9B8CB" w14:textId="77777777" w:rsidR="00446E4D" w:rsidRPr="00882604" w:rsidRDefault="00446E4D" w:rsidP="003240D6">
      <w:pPr>
        <w:suppressAutoHyphens/>
        <w:spacing w:after="240" w:line="276" w:lineRule="auto"/>
        <w:jc w:val="both"/>
        <w:rPr>
          <w:rFonts w:ascii="Arial" w:eastAsia="Times New Roman" w:hAnsi="Arial" w:cs="Arial"/>
          <w:kern w:val="2"/>
          <w:sz w:val="21"/>
          <w:szCs w:val="21"/>
          <w:lang w:eastAsia="es-ES" w:bidi="hi-IN"/>
        </w:rPr>
      </w:pPr>
      <w:r w:rsidRPr="00882604">
        <w:rPr>
          <w:rFonts w:ascii="Arial" w:eastAsia="Times New Roman" w:hAnsi="Arial" w:cs="Arial"/>
          <w:kern w:val="2"/>
          <w:sz w:val="21"/>
          <w:szCs w:val="21"/>
          <w:lang w:eastAsia="es-ES" w:bidi="hi-IN"/>
        </w:rPr>
        <w:t xml:space="preserve">La Ley 11/2016 recoge como posibles responsables a las personas físicas o jurídicas, cualquiera que sea su naturaleza, </w:t>
      </w:r>
      <w:r>
        <w:rPr>
          <w:rFonts w:ascii="Arial" w:eastAsia="Times New Roman" w:hAnsi="Arial" w:cs="Arial"/>
          <w:kern w:val="2"/>
          <w:sz w:val="21"/>
          <w:szCs w:val="21"/>
          <w:lang w:eastAsia="es-ES" w:bidi="hi-IN"/>
        </w:rPr>
        <w:t>y</w:t>
      </w:r>
      <w:r w:rsidRPr="00882604">
        <w:rPr>
          <w:rFonts w:ascii="Arial" w:eastAsia="Times New Roman" w:hAnsi="Arial" w:cs="Arial"/>
          <w:kern w:val="2"/>
          <w:sz w:val="21"/>
          <w:szCs w:val="21"/>
          <w:lang w:eastAsia="es-ES" w:bidi="hi-IN"/>
        </w:rPr>
        <w:t xml:space="preserve"> las autoridades, directivos y el personal al servicio de las entidades previstas en el artículo 3 de la citada Ley</w:t>
      </w:r>
      <w:r>
        <w:rPr>
          <w:rFonts w:ascii="Arial" w:eastAsia="Times New Roman" w:hAnsi="Arial" w:cs="Arial"/>
          <w:kern w:val="2"/>
          <w:sz w:val="21"/>
          <w:szCs w:val="21"/>
          <w:lang w:eastAsia="es-ES" w:bidi="hi-IN"/>
        </w:rPr>
        <w:t xml:space="preserve"> (</w:t>
      </w:r>
      <w:r w:rsidRPr="00882604">
        <w:rPr>
          <w:rFonts w:ascii="Arial" w:eastAsia="Times New Roman" w:hAnsi="Arial" w:cs="Arial"/>
          <w:kern w:val="2"/>
          <w:sz w:val="21"/>
          <w:szCs w:val="21"/>
          <w:lang w:eastAsia="es-ES" w:bidi="hi-IN"/>
        </w:rPr>
        <w:t>ámbito subjetivo de actuación de la A</w:t>
      </w:r>
      <w:r>
        <w:rPr>
          <w:rFonts w:ascii="Arial" w:eastAsia="Times New Roman" w:hAnsi="Arial" w:cs="Arial"/>
          <w:kern w:val="2"/>
          <w:sz w:val="21"/>
          <w:szCs w:val="21"/>
          <w:lang w:eastAsia="es-ES" w:bidi="hi-IN"/>
        </w:rPr>
        <w:t>VAF)</w:t>
      </w:r>
      <w:r w:rsidRPr="00882604">
        <w:rPr>
          <w:rFonts w:ascii="Arial" w:eastAsia="Times New Roman" w:hAnsi="Arial" w:cs="Arial"/>
          <w:kern w:val="2"/>
          <w:sz w:val="21"/>
          <w:szCs w:val="21"/>
          <w:lang w:eastAsia="es-ES" w:bidi="hi-IN"/>
        </w:rPr>
        <w:t>, que realicen acciones o que incurran en las omisiones tipificadas en esta Ley, con dolo, culpa o negligencia, incluso a título de simple inobservancia.</w:t>
      </w:r>
    </w:p>
    <w:p w14:paraId="788409FB" w14:textId="77777777" w:rsidR="00446E4D" w:rsidRPr="003240D6" w:rsidRDefault="00446E4D" w:rsidP="003240D6">
      <w:pPr>
        <w:suppressAutoHyphens/>
        <w:spacing w:after="240" w:line="276" w:lineRule="auto"/>
        <w:jc w:val="both"/>
        <w:rPr>
          <w:rFonts w:ascii="Arial" w:eastAsia="SimSun" w:hAnsi="Arial" w:cs="Arial"/>
          <w:kern w:val="2"/>
          <w:sz w:val="21"/>
          <w:szCs w:val="21"/>
          <w:lang w:eastAsia="zh-CN" w:bidi="hi-IN"/>
        </w:rPr>
      </w:pPr>
      <w:r w:rsidRPr="00882604">
        <w:rPr>
          <w:rFonts w:ascii="Arial" w:eastAsia="Times New Roman" w:hAnsi="Arial" w:cs="Arial"/>
          <w:kern w:val="2"/>
          <w:sz w:val="21"/>
          <w:szCs w:val="21"/>
          <w:lang w:eastAsia="es-ES" w:bidi="hi-IN"/>
        </w:rPr>
        <w:t xml:space="preserve">El artículo 17 de la Ley 11/2016, </w:t>
      </w:r>
      <w:r>
        <w:rPr>
          <w:rFonts w:ascii="Arial" w:eastAsia="Times New Roman" w:hAnsi="Arial" w:cs="Arial"/>
          <w:kern w:val="2"/>
          <w:sz w:val="21"/>
          <w:szCs w:val="21"/>
          <w:lang w:eastAsia="es-ES" w:bidi="hi-IN"/>
        </w:rPr>
        <w:t xml:space="preserve">precepto que enmarca el </w:t>
      </w:r>
      <w:r w:rsidRPr="00882604">
        <w:rPr>
          <w:rFonts w:ascii="Arial" w:eastAsia="Times New Roman" w:hAnsi="Arial" w:cs="Arial"/>
          <w:kern w:val="2"/>
          <w:sz w:val="21"/>
          <w:szCs w:val="21"/>
          <w:lang w:eastAsia="es-ES" w:bidi="hi-IN"/>
        </w:rPr>
        <w:t xml:space="preserve">régimen sancionador, señala que corresponderá la imposición de sanciones cuando </w:t>
      </w:r>
      <w:r>
        <w:rPr>
          <w:rFonts w:ascii="Arial" w:eastAsia="Times New Roman" w:hAnsi="Arial" w:cs="Arial"/>
          <w:kern w:val="2"/>
          <w:sz w:val="21"/>
          <w:szCs w:val="21"/>
          <w:lang w:eastAsia="es-ES" w:bidi="hi-IN"/>
        </w:rPr>
        <w:t xml:space="preserve">en </w:t>
      </w:r>
      <w:r w:rsidRPr="00882604">
        <w:rPr>
          <w:rFonts w:ascii="Arial" w:eastAsia="SimSun" w:hAnsi="Arial" w:cs="Arial"/>
          <w:kern w:val="2"/>
          <w:sz w:val="21"/>
          <w:szCs w:val="21"/>
          <w:lang w:eastAsia="zh-CN" w:bidi="hi-IN"/>
        </w:rPr>
        <w:t xml:space="preserve">las acciones u omisiones de los actos típicos de la infracción </w:t>
      </w:r>
      <w:r>
        <w:rPr>
          <w:rFonts w:ascii="Arial" w:eastAsia="SimSun" w:hAnsi="Arial" w:cs="Arial"/>
          <w:kern w:val="2"/>
          <w:sz w:val="21"/>
          <w:szCs w:val="21"/>
          <w:lang w:eastAsia="zh-CN" w:bidi="hi-IN"/>
        </w:rPr>
        <w:t xml:space="preserve">se </w:t>
      </w:r>
      <w:r w:rsidRPr="00882604">
        <w:rPr>
          <w:rFonts w:ascii="Arial" w:eastAsia="SimSun" w:hAnsi="Arial" w:cs="Arial"/>
          <w:kern w:val="2"/>
          <w:sz w:val="21"/>
          <w:szCs w:val="21"/>
          <w:lang w:eastAsia="zh-CN" w:bidi="hi-IN"/>
        </w:rPr>
        <w:t xml:space="preserve">incurra en dolo, culpa o negligencia. En consecuencia, dichas actuaciones u omisiones deben ser contrarias a los principios del ordenamiento </w:t>
      </w:r>
      <w:r>
        <w:rPr>
          <w:rFonts w:ascii="Arial" w:eastAsia="SimSun" w:hAnsi="Arial" w:cs="Arial"/>
          <w:kern w:val="2"/>
          <w:sz w:val="21"/>
          <w:szCs w:val="21"/>
          <w:lang w:eastAsia="zh-CN" w:bidi="hi-IN"/>
        </w:rPr>
        <w:t>jurídico</w:t>
      </w:r>
      <w:r w:rsidRPr="00882604">
        <w:rPr>
          <w:rFonts w:ascii="Arial" w:eastAsia="SimSun" w:hAnsi="Arial" w:cs="Arial"/>
          <w:kern w:val="2"/>
          <w:sz w:val="21"/>
          <w:szCs w:val="21"/>
          <w:lang w:eastAsia="zh-CN" w:bidi="hi-IN"/>
        </w:rPr>
        <w:t xml:space="preserve"> constituyendo una realización arbitraria del </w:t>
      </w:r>
      <w:r>
        <w:rPr>
          <w:rFonts w:ascii="Arial" w:eastAsia="SimSun" w:hAnsi="Arial" w:cs="Arial"/>
          <w:kern w:val="2"/>
          <w:sz w:val="21"/>
          <w:szCs w:val="21"/>
          <w:lang w:eastAsia="zh-CN" w:bidi="hi-IN"/>
        </w:rPr>
        <w:t>D</w:t>
      </w:r>
      <w:r w:rsidRPr="00882604">
        <w:rPr>
          <w:rFonts w:ascii="Arial" w:eastAsia="SimSun" w:hAnsi="Arial" w:cs="Arial"/>
          <w:kern w:val="2"/>
          <w:sz w:val="21"/>
          <w:szCs w:val="21"/>
          <w:lang w:eastAsia="zh-CN" w:bidi="hi-IN"/>
        </w:rPr>
        <w:t xml:space="preserve">erecho </w:t>
      </w:r>
      <w:r>
        <w:rPr>
          <w:rFonts w:ascii="Arial" w:eastAsia="SimSun" w:hAnsi="Arial" w:cs="Arial"/>
          <w:kern w:val="2"/>
          <w:sz w:val="21"/>
          <w:szCs w:val="21"/>
          <w:lang w:eastAsia="zh-CN" w:bidi="hi-IN"/>
        </w:rPr>
        <w:t>A</w:t>
      </w:r>
      <w:r w:rsidRPr="00882604">
        <w:rPr>
          <w:rFonts w:ascii="Arial" w:eastAsia="SimSun" w:hAnsi="Arial" w:cs="Arial"/>
          <w:kern w:val="2"/>
          <w:sz w:val="21"/>
          <w:szCs w:val="21"/>
          <w:lang w:eastAsia="zh-CN" w:bidi="hi-IN"/>
        </w:rPr>
        <w:t>dministrativo. A modo de ejemplo, desatender requerimientos de información realizados con amparo en una norma legal vigente</w:t>
      </w:r>
      <w:r>
        <w:rPr>
          <w:rFonts w:ascii="Arial" w:eastAsia="SimSun" w:hAnsi="Arial" w:cs="Arial"/>
          <w:kern w:val="2"/>
          <w:sz w:val="21"/>
          <w:szCs w:val="21"/>
          <w:lang w:eastAsia="zh-CN" w:bidi="hi-IN"/>
        </w:rPr>
        <w:t>,</w:t>
      </w:r>
      <w:r w:rsidRPr="00882604">
        <w:rPr>
          <w:rFonts w:ascii="Arial" w:eastAsia="SimSun" w:hAnsi="Arial" w:cs="Arial"/>
          <w:kern w:val="2"/>
          <w:sz w:val="21"/>
          <w:szCs w:val="21"/>
          <w:lang w:eastAsia="zh-CN" w:bidi="hi-IN"/>
        </w:rPr>
        <w:t xml:space="preserve"> como </w:t>
      </w:r>
      <w:r>
        <w:rPr>
          <w:rFonts w:ascii="Arial" w:eastAsia="SimSun" w:hAnsi="Arial" w:cs="Arial"/>
          <w:kern w:val="2"/>
          <w:sz w:val="21"/>
          <w:szCs w:val="21"/>
          <w:lang w:eastAsia="zh-CN" w:bidi="hi-IN"/>
        </w:rPr>
        <w:t>lo es</w:t>
      </w:r>
      <w:r w:rsidRPr="00882604">
        <w:rPr>
          <w:rFonts w:ascii="Arial" w:eastAsia="SimSun" w:hAnsi="Arial" w:cs="Arial"/>
          <w:kern w:val="2"/>
          <w:sz w:val="21"/>
          <w:szCs w:val="21"/>
          <w:lang w:eastAsia="zh-CN" w:bidi="hi-IN"/>
        </w:rPr>
        <w:t xml:space="preserve"> la Ley 11/2016, supone desobedecer la</w:t>
      </w:r>
      <w:r>
        <w:rPr>
          <w:rFonts w:ascii="Arial" w:eastAsia="SimSun" w:hAnsi="Arial" w:cs="Arial"/>
          <w:kern w:val="2"/>
          <w:sz w:val="21"/>
          <w:szCs w:val="21"/>
          <w:lang w:eastAsia="zh-CN" w:bidi="hi-IN"/>
        </w:rPr>
        <w:t xml:space="preserve"> misma</w:t>
      </w:r>
      <w:r w:rsidRPr="00882604">
        <w:rPr>
          <w:rFonts w:ascii="Arial" w:eastAsia="SimSun" w:hAnsi="Arial" w:cs="Arial"/>
          <w:kern w:val="2"/>
          <w:sz w:val="21"/>
          <w:szCs w:val="21"/>
          <w:lang w:eastAsia="zh-CN" w:bidi="hi-IN"/>
        </w:rPr>
        <w:t>, y con ello el Estado de Derecho que emana de la Constitución.</w:t>
      </w:r>
    </w:p>
    <w:p w14:paraId="52BD8EE2" w14:textId="7B252697" w:rsidR="00446E4D" w:rsidRPr="00204EC8" w:rsidRDefault="00B37FE8" w:rsidP="003240D6">
      <w:pPr>
        <w:widowControl w:val="0"/>
        <w:suppressAutoHyphens/>
        <w:spacing w:after="240" w:line="276" w:lineRule="auto"/>
        <w:jc w:val="both"/>
        <w:rPr>
          <w:rFonts w:ascii="Arial" w:eastAsia="NSimSun" w:hAnsi="Arial" w:cs="Arial"/>
          <w:sz w:val="21"/>
          <w:szCs w:val="21"/>
          <w:lang w:eastAsia="zh-CN" w:bidi="hi-IN"/>
        </w:rPr>
      </w:pPr>
      <w:r w:rsidRPr="00B37FE8">
        <w:rPr>
          <w:rFonts w:ascii="Arial" w:eastAsia="Times New Roman" w:hAnsi="Arial" w:cs="Arial"/>
          <w:sz w:val="21"/>
          <w:szCs w:val="21"/>
          <w:lang w:eastAsia="es-ES" w:bidi="hi-IN"/>
        </w:rPr>
        <w:t xml:space="preserve">Durante 2021, la Agencia ha tenido que incoar y tramitar un procedimiento sancionador, que ha dado lugar a la imposición de una sanción por infracción grave a un secretario municipal de la Administración Local. La resolución sancionadora ha sido objeto de recurso contencioso-administrativo, al que se ha adicionado una solicitud de medida cautelar, consistente en que no se publique en el </w:t>
      </w:r>
      <w:r w:rsidRPr="00B37FE8">
        <w:rPr>
          <w:rFonts w:ascii="Arial" w:eastAsia="Times New Roman" w:hAnsi="Arial" w:cs="Arial"/>
          <w:i/>
          <w:iCs/>
          <w:sz w:val="21"/>
          <w:szCs w:val="21"/>
          <w:lang w:eastAsia="es-ES" w:bidi="hi-IN"/>
        </w:rPr>
        <w:t>Diari Oficial de la Generalitat</w:t>
      </w:r>
      <w:r w:rsidRPr="00B37FE8">
        <w:rPr>
          <w:rFonts w:ascii="Arial" w:eastAsia="Times New Roman" w:hAnsi="Arial" w:cs="Arial"/>
          <w:sz w:val="21"/>
          <w:szCs w:val="21"/>
          <w:lang w:eastAsia="es-ES" w:bidi="hi-IN"/>
        </w:rPr>
        <w:t xml:space="preserve"> Valenciana la sanción impuesta. A fecha de publicación de esta Memoria la indicada medida cautelar se encuentra pendiente de enjuiciamiento, razón por la que no procede, hasta que el órgano judicial resuelva la misma, especificar más detalles de este expediente sancionador, respecto del que, en su caso, se dará cuenta en la próxima Memoria de actividades, si bien se destaca que dicho expediente se incoó por incumplimiento del artículo 7 de la Ley 1/2016, que recoge el deber de colaboración con la Agencia, en relación con la infracción grave contemplada en el artículo 18.1.a), negarse injustificadamente al envío de la información requerida por la AVAF, y con imposición de multa de 5.000 euros conforme al artículo 19.1.2, y publicación en el </w:t>
      </w:r>
      <w:r w:rsidRPr="00B37FE8">
        <w:rPr>
          <w:rFonts w:ascii="Arial" w:eastAsia="Times New Roman" w:hAnsi="Arial" w:cs="Arial"/>
          <w:i/>
          <w:iCs/>
          <w:sz w:val="21"/>
          <w:szCs w:val="21"/>
          <w:lang w:eastAsia="es-ES" w:bidi="hi-IN"/>
        </w:rPr>
        <w:t>Diari Oficial de la Generalitat Valenciana</w:t>
      </w:r>
      <w:r w:rsidR="00204EC8" w:rsidRPr="00B37FE8">
        <w:rPr>
          <w:rFonts w:ascii="Arial" w:eastAsia="NSimSun" w:hAnsi="Arial" w:cs="Arial"/>
          <w:i/>
          <w:iCs/>
          <w:sz w:val="21"/>
          <w:szCs w:val="21"/>
          <w:lang w:eastAsia="zh-CN" w:bidi="hi-IN"/>
        </w:rPr>
        <w:t>.</w:t>
      </w:r>
    </w:p>
    <w:p w14:paraId="4D1F5DD3" w14:textId="77777777" w:rsidR="00446E4D" w:rsidRPr="00882604" w:rsidRDefault="00446E4D" w:rsidP="00A51BD4">
      <w:pPr>
        <w:pStyle w:val="Prrafodelista"/>
        <w:keepNext/>
        <w:numPr>
          <w:ilvl w:val="2"/>
          <w:numId w:val="16"/>
        </w:numPr>
        <w:suppressAutoHyphens/>
        <w:spacing w:before="360" w:after="240" w:line="276" w:lineRule="auto"/>
        <w:ind w:left="993" w:hanging="993"/>
        <w:jc w:val="both"/>
        <w:outlineLvl w:val="2"/>
        <w:rPr>
          <w:rFonts w:ascii="Arial" w:eastAsia="Times New Roman" w:hAnsi="Arial" w:cs="Arial"/>
          <w:b/>
          <w:color w:val="9D2235"/>
          <w:sz w:val="28"/>
          <w:szCs w:val="28"/>
        </w:rPr>
      </w:pPr>
      <w:bookmarkStart w:id="105" w:name="_Toc67646252"/>
      <w:bookmarkStart w:id="106" w:name="_Toc99107005"/>
      <w:r w:rsidRPr="00446E4D">
        <w:rPr>
          <w:rFonts w:ascii="Arial" w:eastAsia="Times New Roman" w:hAnsi="Arial" w:cs="Arial"/>
          <w:b/>
          <w:color w:val="9D2235"/>
          <w:sz w:val="28"/>
          <w:szCs w:val="28"/>
        </w:rPr>
        <w:t>Procedimientos judiciales</w:t>
      </w:r>
      <w:bookmarkEnd w:id="105"/>
      <w:bookmarkEnd w:id="106"/>
    </w:p>
    <w:p w14:paraId="2E125CEB" w14:textId="77777777" w:rsidR="00446E4D" w:rsidRPr="00882604" w:rsidRDefault="00446E4D" w:rsidP="003240D6">
      <w:pPr>
        <w:spacing w:after="240" w:line="276" w:lineRule="auto"/>
        <w:jc w:val="both"/>
        <w:rPr>
          <w:rFonts w:ascii="Arial" w:eastAsia="Times New Roman" w:hAnsi="Arial" w:cs="Arial"/>
          <w:color w:val="000000"/>
          <w:sz w:val="21"/>
          <w:szCs w:val="21"/>
          <w:lang w:eastAsia="es-ES"/>
        </w:rPr>
      </w:pPr>
      <w:r w:rsidRPr="00882604">
        <w:rPr>
          <w:rFonts w:ascii="Arial" w:eastAsia="Times New Roman" w:hAnsi="Arial" w:cs="Arial"/>
          <w:color w:val="000000"/>
          <w:sz w:val="21"/>
          <w:szCs w:val="21"/>
          <w:lang w:eastAsia="es-ES"/>
        </w:rPr>
        <w:t xml:space="preserve">Como consecuencia de la impugnación efectuada por diferentes personas físicas o jurídicas de algunas de las actuaciones y resoluciones realizadas por la AVAF en el ejercicio de sus funciones, esta ha tenido que defenderse en diferentes </w:t>
      </w:r>
      <w:r w:rsidRPr="00882604">
        <w:rPr>
          <w:rFonts w:ascii="Arial" w:eastAsia="Times New Roman" w:hAnsi="Arial" w:cs="Arial"/>
          <w:b/>
          <w:bCs/>
          <w:color w:val="000000"/>
          <w:sz w:val="21"/>
          <w:szCs w:val="21"/>
          <w:lang w:eastAsia="es-ES"/>
        </w:rPr>
        <w:t xml:space="preserve">procedimientos judiciales. </w:t>
      </w:r>
      <w:r w:rsidRPr="00882604">
        <w:rPr>
          <w:rFonts w:ascii="Arial" w:eastAsia="Times New Roman" w:hAnsi="Arial" w:cs="Arial"/>
          <w:color w:val="000000"/>
          <w:sz w:val="21"/>
          <w:szCs w:val="21"/>
          <w:lang w:eastAsia="es-ES"/>
        </w:rPr>
        <w:t>En los mismos</w:t>
      </w:r>
      <w:r>
        <w:rPr>
          <w:rFonts w:ascii="Arial" w:eastAsia="Times New Roman" w:hAnsi="Arial" w:cs="Arial"/>
          <w:color w:val="000000"/>
          <w:sz w:val="21"/>
          <w:szCs w:val="21"/>
          <w:lang w:eastAsia="es-ES"/>
        </w:rPr>
        <w:t>,</w:t>
      </w:r>
      <w:r w:rsidRPr="00882604">
        <w:rPr>
          <w:rFonts w:ascii="Arial" w:eastAsia="Times New Roman" w:hAnsi="Arial" w:cs="Arial"/>
          <w:color w:val="000000"/>
          <w:sz w:val="21"/>
          <w:szCs w:val="21"/>
          <w:lang w:eastAsia="es-ES"/>
        </w:rPr>
        <w:t xml:space="preserve"> la Agencia ha comparecido en los autos como parte demandada, presentando los correspondientes escritos procesales y realizando las actuaciones oportunas en defensa de la validez de los actos recurridos.</w:t>
      </w:r>
    </w:p>
    <w:p w14:paraId="1183744C" w14:textId="6E03401B" w:rsidR="00446E4D" w:rsidRPr="003240D6" w:rsidRDefault="00446E4D" w:rsidP="003240D6">
      <w:pPr>
        <w:spacing w:after="240" w:line="276" w:lineRule="auto"/>
        <w:jc w:val="both"/>
        <w:rPr>
          <w:rFonts w:ascii="Arial" w:eastAsia="SimSun" w:hAnsi="Arial" w:cs="Arial"/>
          <w:kern w:val="2"/>
          <w:sz w:val="21"/>
          <w:szCs w:val="21"/>
          <w:lang w:eastAsia="zh-CN" w:bidi="hi-IN"/>
        </w:rPr>
      </w:pPr>
      <w:bookmarkStart w:id="107" w:name="_Hlk65153946"/>
      <w:r w:rsidRPr="00882604">
        <w:rPr>
          <w:rFonts w:ascii="Arial" w:eastAsia="Times New Roman" w:hAnsi="Arial" w:cs="Arial"/>
          <w:color w:val="000000"/>
          <w:sz w:val="21"/>
          <w:szCs w:val="21"/>
          <w:lang w:eastAsia="es-ES"/>
        </w:rPr>
        <w:t>Respecto a las gestiones y medios electrónicos para agilizar la tramitación en vía judicial, la Agencia dispon</w:t>
      </w:r>
      <w:r>
        <w:rPr>
          <w:rFonts w:ascii="Arial" w:eastAsia="Times New Roman" w:hAnsi="Arial" w:cs="Arial"/>
          <w:color w:val="000000"/>
          <w:sz w:val="21"/>
          <w:szCs w:val="21"/>
          <w:lang w:eastAsia="es-ES"/>
        </w:rPr>
        <w:t>e</w:t>
      </w:r>
      <w:r w:rsidRPr="00882604">
        <w:rPr>
          <w:rFonts w:ascii="Arial" w:eastAsia="Times New Roman" w:hAnsi="Arial" w:cs="Arial"/>
          <w:color w:val="000000"/>
          <w:sz w:val="21"/>
          <w:szCs w:val="21"/>
          <w:lang w:eastAsia="es-ES"/>
        </w:rPr>
        <w:t xml:space="preserve"> del sistema de gestión de notificaciones telemáticas y envío de escritos desarrollado por el Ministerio de </w:t>
      </w:r>
      <w:r w:rsidRPr="00391950">
        <w:rPr>
          <w:rFonts w:ascii="Arial" w:eastAsia="Times New Roman" w:hAnsi="Arial" w:cs="Arial"/>
          <w:color w:val="000000"/>
          <w:sz w:val="21"/>
          <w:szCs w:val="21"/>
          <w:lang w:eastAsia="es-ES"/>
        </w:rPr>
        <w:t>Justicia (</w:t>
      </w:r>
      <w:hyperlink r:id="rId396" w:history="1">
        <w:r w:rsidRPr="009040D5">
          <w:rPr>
            <w:rFonts w:ascii="Arial" w:eastAsia="Times New Roman" w:hAnsi="Arial" w:cs="Arial"/>
            <w:color w:val="000080"/>
            <w:sz w:val="21"/>
            <w:szCs w:val="21"/>
            <w:u w:val="single"/>
            <w:lang w:eastAsia="es-ES"/>
          </w:rPr>
          <w:t>LexNET</w:t>
        </w:r>
      </w:hyperlink>
      <w:r w:rsidRPr="00391950">
        <w:rPr>
          <w:rFonts w:ascii="Arial" w:eastAsia="Times New Roman" w:hAnsi="Arial" w:cs="Arial"/>
          <w:color w:val="000000"/>
          <w:sz w:val="21"/>
          <w:szCs w:val="21"/>
          <w:lang w:eastAsia="es-ES"/>
        </w:rPr>
        <w:t>), cuyo</w:t>
      </w:r>
      <w:r w:rsidRPr="00882604">
        <w:rPr>
          <w:rFonts w:ascii="Arial" w:eastAsia="Times New Roman" w:hAnsi="Arial" w:cs="Arial"/>
          <w:color w:val="000000"/>
          <w:sz w:val="21"/>
          <w:szCs w:val="21"/>
          <w:lang w:eastAsia="es-ES"/>
        </w:rPr>
        <w:t xml:space="preserve"> uso se encuentra regulado en el </w:t>
      </w:r>
      <w:r w:rsidRPr="00882604">
        <w:rPr>
          <w:rFonts w:ascii="Arial" w:eastAsia="SimSun" w:hAnsi="Arial" w:cs="Arial"/>
          <w:kern w:val="2"/>
          <w:sz w:val="21"/>
          <w:szCs w:val="21"/>
          <w:lang w:eastAsia="es-ES" w:bidi="hi-IN"/>
        </w:rPr>
        <w:t>Real Decreto 84/2007, de 26 de enero, sobre implantación en la Administración de Justicia del sistema informático de telecomunicaciones Lexnet para la presentación de escritos y documentos, el traslado de copias y la realización de actos de comunicación procesal por medios telemáticos</w:t>
      </w:r>
      <w:r w:rsidRPr="009C4C47">
        <w:rPr>
          <w:rFonts w:ascii="Arial" w:eastAsia="SimSun" w:hAnsi="Arial" w:cs="Arial"/>
          <w:b/>
          <w:bCs/>
          <w:kern w:val="2"/>
          <w:sz w:val="21"/>
          <w:szCs w:val="21"/>
          <w:lang w:eastAsia="zh-CN" w:bidi="hi-IN"/>
        </w:rPr>
        <w:t>.</w:t>
      </w:r>
    </w:p>
    <w:bookmarkEnd w:id="107"/>
    <w:p w14:paraId="30591683" w14:textId="7FE433FD" w:rsidR="00DC4E57" w:rsidRDefault="00446E4D" w:rsidP="00446E4D">
      <w:pPr>
        <w:spacing w:after="240" w:line="276" w:lineRule="auto"/>
        <w:jc w:val="both"/>
        <w:rPr>
          <w:rFonts w:ascii="Arial" w:eastAsia="Times New Roman" w:hAnsi="Arial" w:cs="Arial"/>
          <w:color w:val="000000"/>
          <w:sz w:val="21"/>
          <w:szCs w:val="21"/>
          <w:lang w:eastAsia="es-ES"/>
        </w:rPr>
      </w:pPr>
      <w:r w:rsidRPr="00882604">
        <w:rPr>
          <w:rFonts w:ascii="Arial" w:eastAsia="Times New Roman" w:hAnsi="Arial" w:cs="Arial"/>
          <w:color w:val="000000"/>
          <w:sz w:val="21"/>
          <w:szCs w:val="21"/>
          <w:lang w:eastAsia="es-ES"/>
        </w:rPr>
        <w:t xml:space="preserve">Los procedimientos judiciales que han sido tramitados </w:t>
      </w:r>
      <w:r>
        <w:rPr>
          <w:rFonts w:ascii="Arial" w:eastAsia="Times New Roman" w:hAnsi="Arial" w:cs="Arial"/>
          <w:color w:val="000000"/>
          <w:sz w:val="21"/>
          <w:szCs w:val="21"/>
          <w:lang w:eastAsia="es-ES"/>
        </w:rPr>
        <w:t xml:space="preserve">y resueltos durante 2021 </w:t>
      </w:r>
      <w:r w:rsidRPr="00882604">
        <w:rPr>
          <w:rFonts w:ascii="Arial" w:eastAsia="Times New Roman" w:hAnsi="Arial" w:cs="Arial"/>
          <w:color w:val="000000"/>
          <w:sz w:val="21"/>
          <w:szCs w:val="21"/>
          <w:lang w:eastAsia="es-ES"/>
        </w:rPr>
        <w:t>o que se encuentran en tramitación a 31 de diciembre se concretan de forma resumida en la siguiente tabla:</w:t>
      </w:r>
    </w:p>
    <w:p w14:paraId="45A728B0" w14:textId="2D97BCF8" w:rsidR="001F6C7C" w:rsidRPr="001F6C7C" w:rsidRDefault="001F6C7C" w:rsidP="001F6C7C">
      <w:pPr>
        <w:pStyle w:val="Descripcin"/>
        <w:keepNext/>
        <w:rPr>
          <w:rFonts w:ascii="Arial" w:hAnsi="Arial" w:cs="Arial"/>
          <w:smallCaps w:val="0"/>
          <w:sz w:val="18"/>
          <w:szCs w:val="18"/>
        </w:rPr>
      </w:pPr>
      <w:bookmarkStart w:id="108" w:name="_Toc99107145"/>
      <w:r w:rsidRPr="001F6C7C">
        <w:rPr>
          <w:rFonts w:ascii="Arial" w:hAnsi="Arial" w:cs="Arial"/>
          <w:smallCaps w:val="0"/>
          <w:color w:val="9D2235" w:themeColor="accent1"/>
          <w:sz w:val="18"/>
          <w:szCs w:val="18"/>
        </w:rPr>
        <w:t xml:space="preserve">Tabla </w:t>
      </w:r>
      <w:r w:rsidRPr="001F6C7C">
        <w:rPr>
          <w:rFonts w:ascii="Arial" w:hAnsi="Arial" w:cs="Arial"/>
          <w:smallCaps w:val="0"/>
          <w:color w:val="9D2235" w:themeColor="accent1"/>
          <w:sz w:val="18"/>
          <w:szCs w:val="18"/>
        </w:rPr>
        <w:fldChar w:fldCharType="begin" w:fldLock="1"/>
      </w:r>
      <w:r w:rsidRPr="001F6C7C">
        <w:rPr>
          <w:rFonts w:ascii="Arial" w:hAnsi="Arial" w:cs="Arial"/>
          <w:smallCaps w:val="0"/>
          <w:color w:val="9D2235" w:themeColor="accent1"/>
          <w:sz w:val="18"/>
          <w:szCs w:val="18"/>
        </w:rPr>
        <w:instrText xml:space="preserve"> SEQ Tabla \* ARABIC </w:instrText>
      </w:r>
      <w:r w:rsidRPr="001F6C7C">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7</w:t>
      </w:r>
      <w:r w:rsidRPr="001F6C7C">
        <w:rPr>
          <w:rFonts w:ascii="Arial" w:hAnsi="Arial" w:cs="Arial"/>
          <w:smallCaps w:val="0"/>
          <w:color w:val="9D2235" w:themeColor="accent1"/>
          <w:sz w:val="18"/>
          <w:szCs w:val="18"/>
        </w:rPr>
        <w:fldChar w:fldCharType="end"/>
      </w:r>
      <w:r w:rsidRPr="001F6C7C">
        <w:rPr>
          <w:rFonts w:ascii="Arial" w:hAnsi="Arial" w:cs="Arial"/>
          <w:smallCaps w:val="0"/>
          <w:color w:val="9D2235" w:themeColor="accent1"/>
          <w:sz w:val="18"/>
          <w:szCs w:val="18"/>
        </w:rPr>
        <w:t xml:space="preserve">. </w:t>
      </w:r>
      <w:r w:rsidRPr="001F6C7C">
        <w:rPr>
          <w:rFonts w:ascii="Arial" w:hAnsi="Arial" w:cs="Arial"/>
          <w:smallCaps w:val="0"/>
          <w:sz w:val="18"/>
          <w:szCs w:val="18"/>
        </w:rPr>
        <w:t>Procedimientos judiciales</w:t>
      </w:r>
      <w:bookmarkEnd w:id="108"/>
    </w:p>
    <w:tbl>
      <w:tblPr>
        <w:tblW w:w="5000" w:type="pct"/>
        <w:tblCellMar>
          <w:left w:w="70" w:type="dxa"/>
          <w:right w:w="70" w:type="dxa"/>
        </w:tblCellMar>
        <w:tblLook w:val="04A0" w:firstRow="1" w:lastRow="0" w:firstColumn="1" w:lastColumn="0" w:noHBand="0" w:noVBand="1"/>
      </w:tblPr>
      <w:tblGrid>
        <w:gridCol w:w="502"/>
        <w:gridCol w:w="1094"/>
        <w:gridCol w:w="1235"/>
        <w:gridCol w:w="1512"/>
        <w:gridCol w:w="2333"/>
        <w:gridCol w:w="1828"/>
      </w:tblGrid>
      <w:tr w:rsidR="001F6C7C" w:rsidRPr="001F6C7C" w14:paraId="2CDE7B87" w14:textId="77777777" w:rsidTr="00EC073F">
        <w:trPr>
          <w:trHeight w:val="462"/>
          <w:tblHeader/>
        </w:trPr>
        <w:tc>
          <w:tcPr>
            <w:tcW w:w="295" w:type="pct"/>
            <w:tcBorders>
              <w:top w:val="nil"/>
              <w:left w:val="nil"/>
              <w:right w:val="nil"/>
            </w:tcBorders>
            <w:shd w:val="clear" w:color="auto" w:fill="auto"/>
            <w:vAlign w:val="center"/>
            <w:hideMark/>
          </w:tcPr>
          <w:p w14:paraId="4802271F" w14:textId="77777777" w:rsidR="001F6C7C" w:rsidRPr="001F6C7C" w:rsidRDefault="001F6C7C" w:rsidP="001F6C7C">
            <w:pPr>
              <w:spacing w:after="0" w:line="240" w:lineRule="auto"/>
              <w:jc w:val="center"/>
              <w:rPr>
                <w:rFonts w:ascii="Arial" w:eastAsia="Times New Roman" w:hAnsi="Arial" w:cs="Arial"/>
                <w:b/>
                <w:bCs/>
                <w:color w:val="9D2235"/>
                <w:sz w:val="12"/>
                <w:szCs w:val="12"/>
                <w:lang w:eastAsia="es-ES"/>
              </w:rPr>
            </w:pPr>
            <w:r w:rsidRPr="001F6C7C">
              <w:rPr>
                <w:rFonts w:ascii="Arial" w:eastAsia="Times New Roman" w:hAnsi="Arial" w:cs="Arial"/>
                <w:b/>
                <w:bCs/>
                <w:color w:val="9D2235"/>
                <w:sz w:val="12"/>
                <w:szCs w:val="12"/>
                <w:lang w:eastAsia="es-ES"/>
              </w:rPr>
              <w:t>Expte. AVAF</w:t>
            </w:r>
          </w:p>
        </w:tc>
        <w:tc>
          <w:tcPr>
            <w:tcW w:w="643" w:type="pct"/>
            <w:tcBorders>
              <w:top w:val="nil"/>
              <w:left w:val="nil"/>
              <w:right w:val="nil"/>
            </w:tcBorders>
            <w:shd w:val="clear" w:color="auto" w:fill="auto"/>
            <w:vAlign w:val="center"/>
            <w:hideMark/>
          </w:tcPr>
          <w:p w14:paraId="15A3A9CE" w14:textId="77777777" w:rsidR="001F6C7C" w:rsidRPr="001F6C7C" w:rsidRDefault="001F6C7C" w:rsidP="001F6C7C">
            <w:pPr>
              <w:spacing w:after="0" w:line="240" w:lineRule="auto"/>
              <w:jc w:val="center"/>
              <w:rPr>
                <w:rFonts w:ascii="Arial" w:eastAsia="Times New Roman" w:hAnsi="Arial" w:cs="Arial"/>
                <w:b/>
                <w:bCs/>
                <w:color w:val="9D2235"/>
                <w:sz w:val="12"/>
                <w:szCs w:val="12"/>
                <w:lang w:eastAsia="es-ES"/>
              </w:rPr>
            </w:pPr>
            <w:r w:rsidRPr="001F6C7C">
              <w:rPr>
                <w:rFonts w:ascii="Arial" w:eastAsia="Times New Roman" w:hAnsi="Arial" w:cs="Arial"/>
                <w:b/>
                <w:bCs/>
                <w:color w:val="9D2235"/>
                <w:sz w:val="12"/>
                <w:szCs w:val="12"/>
                <w:lang w:eastAsia="es-ES"/>
              </w:rPr>
              <w:t>Demandante</w:t>
            </w:r>
          </w:p>
        </w:tc>
        <w:tc>
          <w:tcPr>
            <w:tcW w:w="726" w:type="pct"/>
            <w:tcBorders>
              <w:top w:val="nil"/>
              <w:left w:val="nil"/>
              <w:right w:val="nil"/>
            </w:tcBorders>
            <w:shd w:val="clear" w:color="auto" w:fill="auto"/>
            <w:vAlign w:val="center"/>
            <w:hideMark/>
          </w:tcPr>
          <w:p w14:paraId="42B5F9A2" w14:textId="77777777" w:rsidR="001F6C7C" w:rsidRPr="001F6C7C" w:rsidRDefault="001F6C7C" w:rsidP="001F6C7C">
            <w:pPr>
              <w:spacing w:after="0" w:line="240" w:lineRule="auto"/>
              <w:jc w:val="center"/>
              <w:rPr>
                <w:rFonts w:ascii="Arial" w:eastAsia="Times New Roman" w:hAnsi="Arial" w:cs="Arial"/>
                <w:b/>
                <w:bCs/>
                <w:color w:val="9D2235"/>
                <w:sz w:val="12"/>
                <w:szCs w:val="12"/>
                <w:lang w:eastAsia="es-ES"/>
              </w:rPr>
            </w:pPr>
            <w:r w:rsidRPr="001F6C7C">
              <w:rPr>
                <w:rFonts w:ascii="Arial" w:eastAsia="Times New Roman" w:hAnsi="Arial" w:cs="Arial"/>
                <w:b/>
                <w:bCs/>
                <w:color w:val="9D2235"/>
                <w:sz w:val="12"/>
                <w:szCs w:val="12"/>
                <w:lang w:eastAsia="es-ES"/>
              </w:rPr>
              <w:t>Procedimiento judicial</w:t>
            </w:r>
          </w:p>
        </w:tc>
        <w:tc>
          <w:tcPr>
            <w:tcW w:w="889" w:type="pct"/>
            <w:tcBorders>
              <w:top w:val="nil"/>
              <w:left w:val="nil"/>
              <w:right w:val="nil"/>
            </w:tcBorders>
            <w:shd w:val="clear" w:color="auto" w:fill="auto"/>
            <w:vAlign w:val="center"/>
            <w:hideMark/>
          </w:tcPr>
          <w:p w14:paraId="5A36A5B9" w14:textId="77777777" w:rsidR="001F6C7C" w:rsidRPr="001F6C7C" w:rsidRDefault="001F6C7C" w:rsidP="001F6C7C">
            <w:pPr>
              <w:spacing w:after="0" w:line="240" w:lineRule="auto"/>
              <w:jc w:val="center"/>
              <w:rPr>
                <w:rFonts w:ascii="Arial" w:eastAsia="Times New Roman" w:hAnsi="Arial" w:cs="Arial"/>
                <w:b/>
                <w:bCs/>
                <w:color w:val="9D2235"/>
                <w:sz w:val="12"/>
                <w:szCs w:val="12"/>
                <w:lang w:eastAsia="es-ES"/>
              </w:rPr>
            </w:pPr>
            <w:r w:rsidRPr="001F6C7C">
              <w:rPr>
                <w:rFonts w:ascii="Arial" w:eastAsia="Times New Roman" w:hAnsi="Arial" w:cs="Arial"/>
                <w:b/>
                <w:bCs/>
                <w:color w:val="9D2235"/>
                <w:sz w:val="12"/>
                <w:szCs w:val="12"/>
                <w:lang w:eastAsia="es-ES"/>
              </w:rPr>
              <w:t>Órgano judicial</w:t>
            </w:r>
          </w:p>
        </w:tc>
        <w:tc>
          <w:tcPr>
            <w:tcW w:w="1372" w:type="pct"/>
            <w:tcBorders>
              <w:top w:val="nil"/>
              <w:left w:val="nil"/>
              <w:right w:val="nil"/>
            </w:tcBorders>
            <w:shd w:val="clear" w:color="auto" w:fill="auto"/>
            <w:vAlign w:val="center"/>
            <w:hideMark/>
          </w:tcPr>
          <w:p w14:paraId="7D809D4B" w14:textId="77777777" w:rsidR="001F6C7C" w:rsidRPr="001F6C7C" w:rsidRDefault="001F6C7C" w:rsidP="001F6C7C">
            <w:pPr>
              <w:spacing w:after="0" w:line="240" w:lineRule="auto"/>
              <w:jc w:val="center"/>
              <w:rPr>
                <w:rFonts w:ascii="Arial" w:eastAsia="Times New Roman" w:hAnsi="Arial" w:cs="Arial"/>
                <w:b/>
                <w:bCs/>
                <w:color w:val="9D2235"/>
                <w:sz w:val="12"/>
                <w:szCs w:val="12"/>
                <w:lang w:eastAsia="es-ES"/>
              </w:rPr>
            </w:pPr>
            <w:r w:rsidRPr="001F6C7C">
              <w:rPr>
                <w:rFonts w:ascii="Arial" w:eastAsia="Times New Roman" w:hAnsi="Arial" w:cs="Arial"/>
                <w:b/>
                <w:bCs/>
                <w:color w:val="9D2235"/>
                <w:sz w:val="12"/>
                <w:szCs w:val="12"/>
                <w:lang w:eastAsia="es-ES"/>
              </w:rPr>
              <w:t>Objeto del recurso</w:t>
            </w:r>
          </w:p>
        </w:tc>
        <w:tc>
          <w:tcPr>
            <w:tcW w:w="1075" w:type="pct"/>
            <w:tcBorders>
              <w:top w:val="nil"/>
              <w:left w:val="nil"/>
              <w:right w:val="nil"/>
            </w:tcBorders>
            <w:shd w:val="clear" w:color="auto" w:fill="auto"/>
            <w:vAlign w:val="center"/>
            <w:hideMark/>
          </w:tcPr>
          <w:p w14:paraId="4A1F4673" w14:textId="77777777" w:rsidR="001F6C7C" w:rsidRPr="001F6C7C" w:rsidRDefault="001F6C7C" w:rsidP="001F6C7C">
            <w:pPr>
              <w:spacing w:after="0" w:line="240" w:lineRule="auto"/>
              <w:jc w:val="center"/>
              <w:rPr>
                <w:rFonts w:ascii="Arial" w:eastAsia="Times New Roman" w:hAnsi="Arial" w:cs="Arial"/>
                <w:b/>
                <w:bCs/>
                <w:color w:val="9D2235"/>
                <w:sz w:val="12"/>
                <w:szCs w:val="12"/>
                <w:lang w:eastAsia="es-ES"/>
              </w:rPr>
            </w:pPr>
            <w:r w:rsidRPr="001F6C7C">
              <w:rPr>
                <w:rFonts w:ascii="Arial" w:eastAsia="Times New Roman" w:hAnsi="Arial" w:cs="Arial"/>
                <w:b/>
                <w:bCs/>
                <w:color w:val="9D2235"/>
                <w:sz w:val="12"/>
                <w:szCs w:val="12"/>
                <w:lang w:eastAsia="es-ES"/>
              </w:rPr>
              <w:t>Estado</w:t>
            </w:r>
          </w:p>
        </w:tc>
      </w:tr>
      <w:tr w:rsidR="001F6C7C" w:rsidRPr="001F6C7C" w14:paraId="2BD29F0B" w14:textId="77777777" w:rsidTr="001F6C7C">
        <w:trPr>
          <w:trHeight w:val="675"/>
        </w:trPr>
        <w:tc>
          <w:tcPr>
            <w:tcW w:w="295" w:type="pct"/>
            <w:tcBorders>
              <w:left w:val="nil"/>
              <w:bottom w:val="nil"/>
              <w:right w:val="nil"/>
            </w:tcBorders>
            <w:shd w:val="clear" w:color="auto" w:fill="D9D9D9"/>
            <w:vAlign w:val="center"/>
            <w:hideMark/>
          </w:tcPr>
          <w:p w14:paraId="6E35A409" w14:textId="77777777" w:rsidR="001F6C7C" w:rsidRPr="001F6C7C" w:rsidRDefault="001F6C7C" w:rsidP="001F6C7C">
            <w:pPr>
              <w:spacing w:after="0" w:line="240" w:lineRule="auto"/>
              <w:jc w:val="both"/>
              <w:rPr>
                <w:rFonts w:ascii="Arial" w:eastAsia="Times New Roman" w:hAnsi="Arial" w:cs="Arial"/>
                <w:b/>
                <w:bCs/>
                <w:sz w:val="12"/>
                <w:szCs w:val="12"/>
                <w:lang w:eastAsia="es-ES"/>
              </w:rPr>
            </w:pPr>
            <w:r w:rsidRPr="001F6C7C">
              <w:rPr>
                <w:rFonts w:ascii="Arial" w:eastAsia="Times New Roman" w:hAnsi="Arial" w:cs="Arial"/>
                <w:b/>
                <w:bCs/>
                <w:sz w:val="12"/>
                <w:szCs w:val="12"/>
                <w:lang w:eastAsia="es-ES"/>
              </w:rPr>
              <w:t>4-2019 y 5-2019</w:t>
            </w:r>
          </w:p>
        </w:tc>
        <w:tc>
          <w:tcPr>
            <w:tcW w:w="643" w:type="pct"/>
            <w:tcBorders>
              <w:left w:val="nil"/>
              <w:bottom w:val="nil"/>
              <w:right w:val="nil"/>
            </w:tcBorders>
            <w:shd w:val="clear" w:color="auto" w:fill="D9D9D9"/>
            <w:vAlign w:val="center"/>
            <w:hideMark/>
          </w:tcPr>
          <w:p w14:paraId="1AE2DDBD"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AYUNTAMIENTO DE LOS MONTESINOS Y ALCALDE</w:t>
            </w:r>
          </w:p>
        </w:tc>
        <w:tc>
          <w:tcPr>
            <w:tcW w:w="726" w:type="pct"/>
            <w:tcBorders>
              <w:left w:val="nil"/>
              <w:bottom w:val="nil"/>
              <w:right w:val="nil"/>
            </w:tcBorders>
            <w:shd w:val="clear" w:color="auto" w:fill="D9D9D9"/>
            <w:vAlign w:val="center"/>
            <w:hideMark/>
          </w:tcPr>
          <w:p w14:paraId="0C6167DE"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C-A. Procedimiento ordinario 99-2019 acumulado al Procedimiento Ordinario 427-2018</w:t>
            </w:r>
          </w:p>
        </w:tc>
        <w:tc>
          <w:tcPr>
            <w:tcW w:w="889" w:type="pct"/>
            <w:tcBorders>
              <w:left w:val="nil"/>
              <w:bottom w:val="nil"/>
              <w:right w:val="nil"/>
            </w:tcBorders>
            <w:shd w:val="clear" w:color="auto" w:fill="D9D9D9"/>
            <w:vAlign w:val="center"/>
            <w:hideMark/>
          </w:tcPr>
          <w:p w14:paraId="0FDA58B6"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Tribunal Superior de Justicia Comunitat Valenciana, Sala de lo Contencioso-administrativo, Sección Cuarta</w:t>
            </w:r>
          </w:p>
        </w:tc>
        <w:tc>
          <w:tcPr>
            <w:tcW w:w="1372" w:type="pct"/>
            <w:tcBorders>
              <w:left w:val="nil"/>
              <w:bottom w:val="nil"/>
              <w:right w:val="nil"/>
            </w:tcBorders>
            <w:shd w:val="clear" w:color="auto" w:fill="D9D9D9"/>
            <w:vAlign w:val="center"/>
            <w:hideMark/>
          </w:tcPr>
          <w:p w14:paraId="468A0646"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Resolución por la que se acuerda otorgar el estatuto de protección de persona denunciante</w:t>
            </w:r>
          </w:p>
        </w:tc>
        <w:tc>
          <w:tcPr>
            <w:tcW w:w="1075" w:type="pct"/>
            <w:tcBorders>
              <w:left w:val="nil"/>
              <w:bottom w:val="nil"/>
              <w:right w:val="nil"/>
            </w:tcBorders>
            <w:shd w:val="clear" w:color="auto" w:fill="D9D9D9"/>
            <w:vAlign w:val="center"/>
            <w:hideMark/>
          </w:tcPr>
          <w:p w14:paraId="381F8233"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Sentencia núm. 574/2021, de 16 de noviembre (no firme). Recurrida mediante interposición de recursos de casación estatal y autonómico</w:t>
            </w:r>
          </w:p>
        </w:tc>
      </w:tr>
      <w:tr w:rsidR="001F6C7C" w:rsidRPr="001F6C7C" w14:paraId="1B6BFF1C" w14:textId="77777777" w:rsidTr="001F6C7C">
        <w:trPr>
          <w:trHeight w:val="450"/>
        </w:trPr>
        <w:tc>
          <w:tcPr>
            <w:tcW w:w="295" w:type="pct"/>
            <w:tcBorders>
              <w:top w:val="nil"/>
              <w:left w:val="nil"/>
              <w:right w:val="nil"/>
            </w:tcBorders>
            <w:shd w:val="clear" w:color="auto" w:fill="FFFFFF"/>
            <w:vAlign w:val="center"/>
            <w:hideMark/>
          </w:tcPr>
          <w:p w14:paraId="4A2C2B88" w14:textId="77777777" w:rsidR="001F6C7C" w:rsidRPr="001F6C7C" w:rsidRDefault="001F6C7C" w:rsidP="001F6C7C">
            <w:pPr>
              <w:spacing w:after="0" w:line="240" w:lineRule="auto"/>
              <w:jc w:val="both"/>
              <w:rPr>
                <w:rFonts w:ascii="Arial" w:eastAsia="Times New Roman" w:hAnsi="Arial" w:cs="Arial"/>
                <w:b/>
                <w:bCs/>
                <w:sz w:val="12"/>
                <w:szCs w:val="12"/>
                <w:lang w:eastAsia="es-ES"/>
              </w:rPr>
            </w:pPr>
            <w:r w:rsidRPr="001F6C7C">
              <w:rPr>
                <w:rFonts w:ascii="Arial" w:eastAsia="Times New Roman" w:hAnsi="Arial" w:cs="Arial"/>
                <w:b/>
                <w:bCs/>
                <w:sz w:val="12"/>
                <w:szCs w:val="12"/>
                <w:lang w:eastAsia="es-ES"/>
              </w:rPr>
              <w:t>7-2019</w:t>
            </w:r>
          </w:p>
        </w:tc>
        <w:tc>
          <w:tcPr>
            <w:tcW w:w="643" w:type="pct"/>
            <w:tcBorders>
              <w:top w:val="nil"/>
              <w:left w:val="nil"/>
              <w:right w:val="nil"/>
            </w:tcBorders>
            <w:shd w:val="clear" w:color="auto" w:fill="FFFFFF"/>
            <w:vAlign w:val="center"/>
            <w:hideMark/>
          </w:tcPr>
          <w:p w14:paraId="1B8EE5A3"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FUNCIONARIO/A</w:t>
            </w:r>
          </w:p>
        </w:tc>
        <w:tc>
          <w:tcPr>
            <w:tcW w:w="726" w:type="pct"/>
            <w:tcBorders>
              <w:top w:val="nil"/>
              <w:left w:val="nil"/>
              <w:right w:val="nil"/>
            </w:tcBorders>
            <w:shd w:val="clear" w:color="auto" w:fill="FFFFFF"/>
            <w:vAlign w:val="center"/>
            <w:hideMark/>
          </w:tcPr>
          <w:p w14:paraId="540C60E6"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C-A. Procedimiento abreviado 305-2020</w:t>
            </w:r>
          </w:p>
        </w:tc>
        <w:tc>
          <w:tcPr>
            <w:tcW w:w="889" w:type="pct"/>
            <w:tcBorders>
              <w:top w:val="nil"/>
              <w:left w:val="nil"/>
              <w:right w:val="nil"/>
            </w:tcBorders>
            <w:shd w:val="clear" w:color="auto" w:fill="FFFFFF"/>
            <w:vAlign w:val="center"/>
            <w:hideMark/>
          </w:tcPr>
          <w:p w14:paraId="79EE4AB7"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Juzgado Contencioso-administrativo núm. 5 València</w:t>
            </w:r>
          </w:p>
        </w:tc>
        <w:tc>
          <w:tcPr>
            <w:tcW w:w="1372" w:type="pct"/>
            <w:tcBorders>
              <w:top w:val="nil"/>
              <w:left w:val="nil"/>
              <w:right w:val="nil"/>
            </w:tcBorders>
            <w:shd w:val="clear" w:color="auto" w:fill="FFFFFF"/>
            <w:vAlign w:val="center"/>
            <w:hideMark/>
          </w:tcPr>
          <w:p w14:paraId="45B555A7"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Cese de un puesto de trabajo de la AVAF</w:t>
            </w:r>
          </w:p>
        </w:tc>
        <w:tc>
          <w:tcPr>
            <w:tcW w:w="1075" w:type="pct"/>
            <w:tcBorders>
              <w:top w:val="nil"/>
              <w:left w:val="nil"/>
              <w:right w:val="nil"/>
            </w:tcBorders>
            <w:shd w:val="clear" w:color="auto" w:fill="FFFFFF"/>
            <w:vAlign w:val="center"/>
            <w:hideMark/>
          </w:tcPr>
          <w:p w14:paraId="58A3B538"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Sentencia núm. 345/2021, de 3 de junio.</w:t>
            </w:r>
          </w:p>
        </w:tc>
      </w:tr>
      <w:tr w:rsidR="001F6C7C" w:rsidRPr="001F6C7C" w14:paraId="22E0DA8E" w14:textId="77777777" w:rsidTr="001F6C7C">
        <w:trPr>
          <w:trHeight w:val="900"/>
        </w:trPr>
        <w:tc>
          <w:tcPr>
            <w:tcW w:w="295" w:type="pct"/>
            <w:tcBorders>
              <w:top w:val="nil"/>
              <w:left w:val="nil"/>
              <w:bottom w:val="nil"/>
              <w:right w:val="nil"/>
            </w:tcBorders>
            <w:shd w:val="clear" w:color="auto" w:fill="D9D9D9"/>
            <w:vAlign w:val="center"/>
            <w:hideMark/>
          </w:tcPr>
          <w:p w14:paraId="19269FE1" w14:textId="77777777" w:rsidR="001F6C7C" w:rsidRPr="001F6C7C" w:rsidRDefault="001F6C7C" w:rsidP="001F6C7C">
            <w:pPr>
              <w:spacing w:after="0" w:line="240" w:lineRule="auto"/>
              <w:jc w:val="both"/>
              <w:rPr>
                <w:rFonts w:ascii="Arial" w:eastAsia="Times New Roman" w:hAnsi="Arial" w:cs="Arial"/>
                <w:b/>
                <w:bCs/>
                <w:sz w:val="12"/>
                <w:szCs w:val="12"/>
                <w:lang w:eastAsia="es-ES"/>
              </w:rPr>
            </w:pPr>
            <w:r w:rsidRPr="001F6C7C">
              <w:rPr>
                <w:rFonts w:ascii="Arial" w:eastAsia="Times New Roman" w:hAnsi="Arial" w:cs="Arial"/>
                <w:b/>
                <w:bCs/>
                <w:sz w:val="12"/>
                <w:szCs w:val="12"/>
                <w:lang w:eastAsia="es-ES"/>
              </w:rPr>
              <w:t>8-2019</w:t>
            </w:r>
          </w:p>
        </w:tc>
        <w:tc>
          <w:tcPr>
            <w:tcW w:w="643" w:type="pct"/>
            <w:tcBorders>
              <w:top w:val="nil"/>
              <w:left w:val="nil"/>
              <w:bottom w:val="nil"/>
              <w:right w:val="nil"/>
            </w:tcBorders>
            <w:shd w:val="clear" w:color="auto" w:fill="D9D9D9"/>
            <w:vAlign w:val="center"/>
            <w:hideMark/>
          </w:tcPr>
          <w:p w14:paraId="79D031E2"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AVAF</w:t>
            </w:r>
          </w:p>
        </w:tc>
        <w:tc>
          <w:tcPr>
            <w:tcW w:w="726" w:type="pct"/>
            <w:tcBorders>
              <w:top w:val="nil"/>
              <w:left w:val="nil"/>
              <w:bottom w:val="nil"/>
              <w:right w:val="nil"/>
            </w:tcBorders>
            <w:shd w:val="clear" w:color="auto" w:fill="D9D9D9"/>
            <w:vAlign w:val="center"/>
            <w:hideMark/>
          </w:tcPr>
          <w:p w14:paraId="43169F51"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C-A. Procedimiento especial derechos fundamentales</w:t>
            </w:r>
            <w:r w:rsidRPr="001F6C7C">
              <w:rPr>
                <w:rFonts w:ascii="Arial" w:eastAsia="Times New Roman" w:hAnsi="Arial" w:cs="Arial"/>
                <w:sz w:val="12"/>
                <w:szCs w:val="12"/>
                <w:lang w:eastAsia="es-ES"/>
              </w:rPr>
              <w:br/>
              <w:t>347-2019</w:t>
            </w:r>
          </w:p>
        </w:tc>
        <w:tc>
          <w:tcPr>
            <w:tcW w:w="889" w:type="pct"/>
            <w:tcBorders>
              <w:top w:val="nil"/>
              <w:left w:val="nil"/>
              <w:bottom w:val="nil"/>
              <w:right w:val="nil"/>
            </w:tcBorders>
            <w:shd w:val="clear" w:color="auto" w:fill="D9D9D9"/>
            <w:vAlign w:val="center"/>
            <w:hideMark/>
          </w:tcPr>
          <w:p w14:paraId="55EAB5C6"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Tribunal Superior de Justicia Comunitat Valenciana, Sala de lo Contencioso-administrativo, Sección Cuarta</w:t>
            </w:r>
          </w:p>
        </w:tc>
        <w:tc>
          <w:tcPr>
            <w:tcW w:w="1372" w:type="pct"/>
            <w:tcBorders>
              <w:top w:val="nil"/>
              <w:left w:val="nil"/>
              <w:bottom w:val="nil"/>
              <w:right w:val="nil"/>
            </w:tcBorders>
            <w:shd w:val="clear" w:color="auto" w:fill="D9D9D9"/>
            <w:vAlign w:val="center"/>
            <w:hideMark/>
          </w:tcPr>
          <w:p w14:paraId="284C547B"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Auto de la Sección de Admisión de la Sala Especial de lo Contencioso Administrativo del Tribunal Superior de Justicia Comunitat Valenciana, en recurso de casación autonómica núm. 235/21</w:t>
            </w:r>
          </w:p>
        </w:tc>
        <w:tc>
          <w:tcPr>
            <w:tcW w:w="1075" w:type="pct"/>
            <w:tcBorders>
              <w:top w:val="nil"/>
              <w:left w:val="nil"/>
              <w:bottom w:val="nil"/>
              <w:right w:val="nil"/>
            </w:tcBorders>
            <w:shd w:val="clear" w:color="auto" w:fill="D9D9D9"/>
            <w:vAlign w:val="center"/>
            <w:hideMark/>
          </w:tcPr>
          <w:p w14:paraId="1351CD93"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Inadmitido recurso de casación</w:t>
            </w:r>
          </w:p>
          <w:p w14:paraId="4448408B"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Interpuesto recurso de amparo núm. 5834-2021, ante Sección Segunda, Sala Primera del Tribunal Constitucional (art. 24CE)</w:t>
            </w:r>
          </w:p>
        </w:tc>
      </w:tr>
      <w:tr w:rsidR="001F6C7C" w:rsidRPr="001F6C7C" w14:paraId="28C5F0C4" w14:textId="77777777" w:rsidTr="001F6C7C">
        <w:trPr>
          <w:trHeight w:val="675"/>
        </w:trPr>
        <w:tc>
          <w:tcPr>
            <w:tcW w:w="295" w:type="pct"/>
            <w:tcBorders>
              <w:top w:val="nil"/>
              <w:left w:val="nil"/>
              <w:right w:val="nil"/>
            </w:tcBorders>
            <w:shd w:val="clear" w:color="auto" w:fill="FFFFFF"/>
            <w:vAlign w:val="center"/>
            <w:hideMark/>
          </w:tcPr>
          <w:p w14:paraId="272D4D0F" w14:textId="77777777" w:rsidR="001F6C7C" w:rsidRPr="001F6C7C" w:rsidRDefault="001F6C7C" w:rsidP="001F6C7C">
            <w:pPr>
              <w:spacing w:after="0" w:line="240" w:lineRule="auto"/>
              <w:jc w:val="both"/>
              <w:rPr>
                <w:rFonts w:ascii="Arial" w:eastAsia="Times New Roman" w:hAnsi="Arial" w:cs="Arial"/>
                <w:b/>
                <w:bCs/>
                <w:sz w:val="12"/>
                <w:szCs w:val="12"/>
                <w:lang w:eastAsia="es-ES"/>
              </w:rPr>
            </w:pPr>
            <w:r w:rsidRPr="001F6C7C">
              <w:rPr>
                <w:rFonts w:ascii="Arial" w:eastAsia="Times New Roman" w:hAnsi="Arial" w:cs="Arial"/>
                <w:b/>
                <w:bCs/>
                <w:sz w:val="12"/>
                <w:szCs w:val="12"/>
                <w:lang w:eastAsia="es-ES"/>
              </w:rPr>
              <w:t>1-2020</w:t>
            </w:r>
          </w:p>
        </w:tc>
        <w:tc>
          <w:tcPr>
            <w:tcW w:w="643" w:type="pct"/>
            <w:tcBorders>
              <w:top w:val="nil"/>
              <w:left w:val="nil"/>
              <w:right w:val="nil"/>
            </w:tcBorders>
            <w:shd w:val="clear" w:color="auto" w:fill="FFFFFF"/>
            <w:vAlign w:val="center"/>
            <w:hideMark/>
          </w:tcPr>
          <w:p w14:paraId="0FF1F944"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SINDICATO DE POLICIAS</w:t>
            </w:r>
          </w:p>
        </w:tc>
        <w:tc>
          <w:tcPr>
            <w:tcW w:w="726" w:type="pct"/>
            <w:tcBorders>
              <w:top w:val="nil"/>
              <w:left w:val="nil"/>
              <w:right w:val="nil"/>
            </w:tcBorders>
            <w:shd w:val="clear" w:color="auto" w:fill="FFFFFF"/>
            <w:vAlign w:val="center"/>
            <w:hideMark/>
          </w:tcPr>
          <w:p w14:paraId="50F45DC0"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C-A. Procedimiento abreviado 642-2020</w:t>
            </w:r>
          </w:p>
        </w:tc>
        <w:tc>
          <w:tcPr>
            <w:tcW w:w="889" w:type="pct"/>
            <w:tcBorders>
              <w:top w:val="nil"/>
              <w:left w:val="nil"/>
              <w:right w:val="nil"/>
            </w:tcBorders>
            <w:shd w:val="clear" w:color="auto" w:fill="FFFFFF"/>
            <w:vAlign w:val="center"/>
            <w:hideMark/>
          </w:tcPr>
          <w:p w14:paraId="49BD637E"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Juzgado Contencioso-administrativo núm.10 València</w:t>
            </w:r>
          </w:p>
        </w:tc>
        <w:tc>
          <w:tcPr>
            <w:tcW w:w="1372" w:type="pct"/>
            <w:tcBorders>
              <w:top w:val="nil"/>
              <w:left w:val="nil"/>
              <w:right w:val="nil"/>
            </w:tcBorders>
            <w:shd w:val="clear" w:color="auto" w:fill="FFFFFF"/>
            <w:vAlign w:val="center"/>
            <w:hideMark/>
          </w:tcPr>
          <w:p w14:paraId="019EC353"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Resolución desestimación por silencio negativo de la solicitud de estatuto de protección</w:t>
            </w:r>
          </w:p>
        </w:tc>
        <w:tc>
          <w:tcPr>
            <w:tcW w:w="1075" w:type="pct"/>
            <w:tcBorders>
              <w:top w:val="nil"/>
              <w:left w:val="nil"/>
              <w:right w:val="nil"/>
            </w:tcBorders>
            <w:shd w:val="clear" w:color="auto" w:fill="FFFFFF"/>
            <w:vAlign w:val="center"/>
            <w:hideMark/>
          </w:tcPr>
          <w:p w14:paraId="42B805DE"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Sentencia núm. 242/2021, de 24 de mayo. Desestimación del recurso</w:t>
            </w:r>
          </w:p>
        </w:tc>
      </w:tr>
      <w:tr w:rsidR="001F6C7C" w:rsidRPr="001F6C7C" w14:paraId="1C9E5964" w14:textId="77777777" w:rsidTr="001F6C7C">
        <w:trPr>
          <w:trHeight w:val="675"/>
        </w:trPr>
        <w:tc>
          <w:tcPr>
            <w:tcW w:w="295" w:type="pct"/>
            <w:tcBorders>
              <w:top w:val="nil"/>
              <w:left w:val="nil"/>
              <w:right w:val="nil"/>
            </w:tcBorders>
            <w:shd w:val="clear" w:color="auto" w:fill="D9D9D9"/>
            <w:vAlign w:val="center"/>
            <w:hideMark/>
          </w:tcPr>
          <w:p w14:paraId="4CB24959" w14:textId="77777777" w:rsidR="001F6C7C" w:rsidRPr="001F6C7C" w:rsidRDefault="001F6C7C" w:rsidP="001F6C7C">
            <w:pPr>
              <w:spacing w:after="0" w:line="240" w:lineRule="auto"/>
              <w:jc w:val="both"/>
              <w:rPr>
                <w:rFonts w:ascii="Arial" w:eastAsia="Times New Roman" w:hAnsi="Arial" w:cs="Arial"/>
                <w:b/>
                <w:bCs/>
                <w:sz w:val="12"/>
                <w:szCs w:val="12"/>
                <w:lang w:eastAsia="es-ES"/>
              </w:rPr>
            </w:pPr>
            <w:r w:rsidRPr="001F6C7C">
              <w:rPr>
                <w:rFonts w:ascii="Arial" w:eastAsia="Times New Roman" w:hAnsi="Arial" w:cs="Arial"/>
                <w:b/>
                <w:bCs/>
                <w:sz w:val="12"/>
                <w:szCs w:val="12"/>
                <w:lang w:eastAsia="es-ES"/>
              </w:rPr>
              <w:t>2-2020</w:t>
            </w:r>
          </w:p>
        </w:tc>
        <w:tc>
          <w:tcPr>
            <w:tcW w:w="643" w:type="pct"/>
            <w:tcBorders>
              <w:top w:val="nil"/>
              <w:left w:val="nil"/>
              <w:right w:val="nil"/>
            </w:tcBorders>
            <w:shd w:val="clear" w:color="auto" w:fill="D9D9D9"/>
            <w:vAlign w:val="center"/>
            <w:hideMark/>
          </w:tcPr>
          <w:p w14:paraId="6EB4B35F"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DIPUTADO/A CORTS VALENCIANES</w:t>
            </w:r>
          </w:p>
        </w:tc>
        <w:tc>
          <w:tcPr>
            <w:tcW w:w="726" w:type="pct"/>
            <w:tcBorders>
              <w:top w:val="nil"/>
              <w:left w:val="nil"/>
              <w:right w:val="nil"/>
            </w:tcBorders>
            <w:shd w:val="clear" w:color="auto" w:fill="D9D9D9"/>
            <w:vAlign w:val="center"/>
            <w:hideMark/>
          </w:tcPr>
          <w:p w14:paraId="25522DC3"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C-A. Procedimiento ordinario 225-2020</w:t>
            </w:r>
          </w:p>
        </w:tc>
        <w:tc>
          <w:tcPr>
            <w:tcW w:w="889" w:type="pct"/>
            <w:tcBorders>
              <w:top w:val="nil"/>
              <w:left w:val="nil"/>
              <w:right w:val="nil"/>
            </w:tcBorders>
            <w:shd w:val="clear" w:color="auto" w:fill="D9D9D9"/>
            <w:vAlign w:val="center"/>
            <w:hideMark/>
          </w:tcPr>
          <w:p w14:paraId="5CB25B31"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Tribunal Superior de Justicia Comunitat Valenciana, Sala Contenciosa administrativa, Sección Cuarta</w:t>
            </w:r>
          </w:p>
        </w:tc>
        <w:tc>
          <w:tcPr>
            <w:tcW w:w="1372" w:type="pct"/>
            <w:tcBorders>
              <w:top w:val="nil"/>
              <w:left w:val="nil"/>
              <w:right w:val="nil"/>
            </w:tcBorders>
            <w:shd w:val="clear" w:color="auto" w:fill="D9D9D9"/>
            <w:vAlign w:val="center"/>
            <w:hideMark/>
          </w:tcPr>
          <w:p w14:paraId="41616056"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Acceso a documentación expedientes de investigación</w:t>
            </w:r>
          </w:p>
        </w:tc>
        <w:tc>
          <w:tcPr>
            <w:tcW w:w="1075" w:type="pct"/>
            <w:tcBorders>
              <w:top w:val="nil"/>
              <w:left w:val="nil"/>
              <w:right w:val="nil"/>
            </w:tcBorders>
            <w:shd w:val="clear" w:color="auto" w:fill="D9D9D9"/>
            <w:vAlign w:val="center"/>
            <w:hideMark/>
          </w:tcPr>
          <w:p w14:paraId="4FB98E8B" w14:textId="77777777" w:rsidR="001F6C7C" w:rsidRPr="001F6C7C" w:rsidRDefault="001F6C7C" w:rsidP="001F6C7C">
            <w:pPr>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 xml:space="preserve">Satisfacción extraprocesal Auto de archivo núm. 258/2021 de 7 de julio. </w:t>
            </w:r>
          </w:p>
        </w:tc>
      </w:tr>
      <w:tr w:rsidR="001F6C7C" w:rsidRPr="001F6C7C" w14:paraId="53BB501A" w14:textId="77777777" w:rsidTr="001F6C7C">
        <w:trPr>
          <w:trHeight w:val="675"/>
        </w:trPr>
        <w:tc>
          <w:tcPr>
            <w:tcW w:w="295" w:type="pct"/>
            <w:tcBorders>
              <w:top w:val="nil"/>
              <w:left w:val="nil"/>
              <w:right w:val="nil"/>
            </w:tcBorders>
            <w:shd w:val="clear" w:color="auto" w:fill="FFFFFF"/>
            <w:vAlign w:val="center"/>
            <w:hideMark/>
          </w:tcPr>
          <w:p w14:paraId="01D82494" w14:textId="77777777" w:rsidR="001F6C7C" w:rsidRPr="001F6C7C" w:rsidRDefault="001F6C7C" w:rsidP="001F6C7C">
            <w:pPr>
              <w:suppressAutoHyphens/>
              <w:spacing w:after="0" w:line="240" w:lineRule="auto"/>
              <w:jc w:val="both"/>
              <w:rPr>
                <w:rFonts w:ascii="Arial" w:eastAsia="Times New Roman" w:hAnsi="Arial" w:cs="Arial"/>
                <w:b/>
                <w:bCs/>
                <w:sz w:val="12"/>
                <w:szCs w:val="12"/>
                <w:lang w:eastAsia="es-ES"/>
              </w:rPr>
            </w:pPr>
            <w:r w:rsidRPr="001F6C7C">
              <w:rPr>
                <w:rFonts w:ascii="Arial" w:eastAsia="Times New Roman" w:hAnsi="Arial" w:cs="Arial"/>
                <w:b/>
                <w:bCs/>
                <w:sz w:val="12"/>
                <w:szCs w:val="12"/>
                <w:lang w:eastAsia="es-ES"/>
              </w:rPr>
              <w:t>3-2020</w:t>
            </w:r>
          </w:p>
        </w:tc>
        <w:tc>
          <w:tcPr>
            <w:tcW w:w="643" w:type="pct"/>
            <w:tcBorders>
              <w:top w:val="nil"/>
              <w:left w:val="nil"/>
              <w:right w:val="nil"/>
            </w:tcBorders>
            <w:shd w:val="clear" w:color="auto" w:fill="FFFFFF"/>
            <w:vAlign w:val="center"/>
            <w:hideMark/>
          </w:tcPr>
          <w:p w14:paraId="5BFFEDAC"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DIPUTADO/A CORTS VALENCIANES</w:t>
            </w:r>
          </w:p>
        </w:tc>
        <w:tc>
          <w:tcPr>
            <w:tcW w:w="726" w:type="pct"/>
            <w:tcBorders>
              <w:top w:val="nil"/>
              <w:left w:val="nil"/>
              <w:right w:val="nil"/>
            </w:tcBorders>
            <w:shd w:val="clear" w:color="auto" w:fill="FFFFFF"/>
            <w:vAlign w:val="center"/>
            <w:hideMark/>
          </w:tcPr>
          <w:p w14:paraId="044DCA43"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C-A. Procedimiento ordinario 275-2020</w:t>
            </w:r>
          </w:p>
        </w:tc>
        <w:tc>
          <w:tcPr>
            <w:tcW w:w="889" w:type="pct"/>
            <w:tcBorders>
              <w:top w:val="nil"/>
              <w:left w:val="nil"/>
              <w:right w:val="nil"/>
            </w:tcBorders>
            <w:shd w:val="clear" w:color="auto" w:fill="FFFFFF"/>
            <w:vAlign w:val="center"/>
            <w:hideMark/>
          </w:tcPr>
          <w:p w14:paraId="3755309A"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Tribunal Superior de Justicia Comunitat Valenciana, Sala Contenciosa administrativa, Sección Cuarta</w:t>
            </w:r>
          </w:p>
        </w:tc>
        <w:tc>
          <w:tcPr>
            <w:tcW w:w="1372" w:type="pct"/>
            <w:tcBorders>
              <w:top w:val="nil"/>
              <w:left w:val="nil"/>
              <w:right w:val="nil"/>
            </w:tcBorders>
            <w:shd w:val="clear" w:color="auto" w:fill="FFFFFF"/>
            <w:vAlign w:val="center"/>
            <w:hideMark/>
          </w:tcPr>
          <w:p w14:paraId="5A3649A1"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Acceso a documentación expedientes de investigación</w:t>
            </w:r>
          </w:p>
        </w:tc>
        <w:tc>
          <w:tcPr>
            <w:tcW w:w="1075" w:type="pct"/>
            <w:tcBorders>
              <w:top w:val="nil"/>
              <w:left w:val="nil"/>
              <w:right w:val="nil"/>
            </w:tcBorders>
            <w:shd w:val="clear" w:color="auto" w:fill="FFFFFF"/>
            <w:vAlign w:val="center"/>
            <w:hideMark/>
          </w:tcPr>
          <w:p w14:paraId="6FB37C7A"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 xml:space="preserve">Satisfacción extraprocesal. Auto de archivo núm. 257/2021, de 7 de julio. </w:t>
            </w:r>
          </w:p>
        </w:tc>
      </w:tr>
      <w:tr w:rsidR="001F6C7C" w:rsidRPr="001F6C7C" w14:paraId="63CA030F" w14:textId="77777777" w:rsidTr="001F6C7C">
        <w:trPr>
          <w:trHeight w:val="675"/>
        </w:trPr>
        <w:tc>
          <w:tcPr>
            <w:tcW w:w="295" w:type="pct"/>
            <w:tcBorders>
              <w:top w:val="nil"/>
              <w:left w:val="nil"/>
              <w:bottom w:val="nil"/>
              <w:right w:val="nil"/>
            </w:tcBorders>
            <w:shd w:val="clear" w:color="auto" w:fill="D9D9D9"/>
            <w:vAlign w:val="center"/>
          </w:tcPr>
          <w:p w14:paraId="53FCD1FB" w14:textId="77777777" w:rsidR="001F6C7C" w:rsidRPr="001F6C7C" w:rsidRDefault="001F6C7C" w:rsidP="001F6C7C">
            <w:pPr>
              <w:suppressAutoHyphens/>
              <w:spacing w:after="0" w:line="240" w:lineRule="auto"/>
              <w:jc w:val="both"/>
              <w:rPr>
                <w:rFonts w:ascii="Arial" w:eastAsia="Times New Roman" w:hAnsi="Arial" w:cs="Arial"/>
                <w:b/>
                <w:bCs/>
                <w:sz w:val="12"/>
                <w:szCs w:val="12"/>
                <w:lang w:eastAsia="es-ES"/>
              </w:rPr>
            </w:pPr>
            <w:r w:rsidRPr="001F6C7C">
              <w:rPr>
                <w:rFonts w:ascii="Arial" w:eastAsia="Times New Roman" w:hAnsi="Arial" w:cs="Arial"/>
                <w:b/>
                <w:bCs/>
                <w:sz w:val="12"/>
                <w:szCs w:val="12"/>
                <w:lang w:eastAsia="es-ES"/>
              </w:rPr>
              <w:t>1-2021</w:t>
            </w:r>
          </w:p>
        </w:tc>
        <w:tc>
          <w:tcPr>
            <w:tcW w:w="643" w:type="pct"/>
            <w:tcBorders>
              <w:top w:val="nil"/>
              <w:left w:val="nil"/>
              <w:bottom w:val="nil"/>
              <w:right w:val="nil"/>
            </w:tcBorders>
            <w:shd w:val="clear" w:color="auto" w:fill="D9D9D9"/>
            <w:vAlign w:val="center"/>
          </w:tcPr>
          <w:p w14:paraId="2510708A"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DIPUTADO/A CORTS VALENCIANES</w:t>
            </w:r>
          </w:p>
        </w:tc>
        <w:tc>
          <w:tcPr>
            <w:tcW w:w="726" w:type="pct"/>
            <w:tcBorders>
              <w:top w:val="nil"/>
              <w:left w:val="nil"/>
              <w:bottom w:val="nil"/>
              <w:right w:val="nil"/>
            </w:tcBorders>
            <w:shd w:val="clear" w:color="auto" w:fill="D9D9D9"/>
            <w:vAlign w:val="center"/>
          </w:tcPr>
          <w:p w14:paraId="02BA1642"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C-A. Procedimiento especial derechos fundamentales</w:t>
            </w:r>
            <w:r w:rsidRPr="001F6C7C">
              <w:rPr>
                <w:rFonts w:ascii="Arial" w:eastAsia="Times New Roman" w:hAnsi="Arial" w:cs="Arial"/>
                <w:sz w:val="12"/>
                <w:szCs w:val="12"/>
                <w:lang w:eastAsia="es-ES"/>
              </w:rPr>
              <w:br/>
              <w:t>50-2021</w:t>
            </w:r>
          </w:p>
        </w:tc>
        <w:tc>
          <w:tcPr>
            <w:tcW w:w="889" w:type="pct"/>
            <w:tcBorders>
              <w:top w:val="nil"/>
              <w:left w:val="nil"/>
              <w:bottom w:val="nil"/>
              <w:right w:val="nil"/>
            </w:tcBorders>
            <w:shd w:val="clear" w:color="auto" w:fill="D9D9D9"/>
            <w:vAlign w:val="center"/>
          </w:tcPr>
          <w:p w14:paraId="37F49754"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Tribunal Superior de Justicia Comunitat Valenciana, Sala Contenciosa administrativa, Sección Cuarta</w:t>
            </w:r>
          </w:p>
        </w:tc>
        <w:tc>
          <w:tcPr>
            <w:tcW w:w="1372" w:type="pct"/>
            <w:tcBorders>
              <w:top w:val="nil"/>
              <w:left w:val="nil"/>
              <w:bottom w:val="nil"/>
              <w:right w:val="nil"/>
            </w:tcBorders>
            <w:shd w:val="clear" w:color="auto" w:fill="D9D9D9"/>
            <w:vAlign w:val="center"/>
          </w:tcPr>
          <w:p w14:paraId="3D5E3195"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Acceso a documentación expedientes de investigación</w:t>
            </w:r>
          </w:p>
        </w:tc>
        <w:tc>
          <w:tcPr>
            <w:tcW w:w="1075" w:type="pct"/>
            <w:tcBorders>
              <w:top w:val="nil"/>
              <w:left w:val="nil"/>
              <w:bottom w:val="nil"/>
              <w:right w:val="nil"/>
            </w:tcBorders>
            <w:shd w:val="clear" w:color="auto" w:fill="D9D9D9"/>
            <w:vAlign w:val="center"/>
          </w:tcPr>
          <w:p w14:paraId="61A0F738"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Satisfacción extraprocesal.</w:t>
            </w:r>
          </w:p>
          <w:p w14:paraId="7739143B" w14:textId="77777777" w:rsidR="001F6C7C" w:rsidRPr="001F6C7C" w:rsidRDefault="001F6C7C" w:rsidP="001F6C7C">
            <w:pPr>
              <w:suppressAutoHyphens/>
              <w:spacing w:after="0" w:line="240" w:lineRule="auto"/>
              <w:jc w:val="both"/>
              <w:rPr>
                <w:rFonts w:ascii="Arial" w:eastAsia="Times New Roman" w:hAnsi="Arial" w:cs="Arial"/>
                <w:sz w:val="12"/>
                <w:szCs w:val="12"/>
                <w:highlight w:val="cyan"/>
                <w:lang w:eastAsia="es-ES"/>
              </w:rPr>
            </w:pPr>
            <w:r w:rsidRPr="001F6C7C">
              <w:rPr>
                <w:rFonts w:ascii="Arial" w:eastAsia="Times New Roman" w:hAnsi="Arial" w:cs="Arial"/>
                <w:sz w:val="12"/>
                <w:szCs w:val="12"/>
                <w:lang w:eastAsia="es-ES"/>
              </w:rPr>
              <w:t xml:space="preserve">Auto de archivo núm. 324/2021, de 6 de septiembre. </w:t>
            </w:r>
          </w:p>
        </w:tc>
      </w:tr>
      <w:tr w:rsidR="001F6C7C" w:rsidRPr="001F6C7C" w14:paraId="238DD007" w14:textId="77777777" w:rsidTr="001F6C7C">
        <w:trPr>
          <w:trHeight w:val="675"/>
        </w:trPr>
        <w:tc>
          <w:tcPr>
            <w:tcW w:w="295" w:type="pct"/>
            <w:tcBorders>
              <w:top w:val="nil"/>
              <w:left w:val="nil"/>
              <w:right w:val="nil"/>
            </w:tcBorders>
            <w:shd w:val="clear" w:color="auto" w:fill="FFFFFF"/>
            <w:vAlign w:val="center"/>
          </w:tcPr>
          <w:p w14:paraId="57E43861" w14:textId="77777777" w:rsidR="001F6C7C" w:rsidRPr="001F6C7C" w:rsidRDefault="001F6C7C" w:rsidP="001F6C7C">
            <w:pPr>
              <w:suppressAutoHyphens/>
              <w:spacing w:after="0" w:line="240" w:lineRule="auto"/>
              <w:jc w:val="both"/>
              <w:rPr>
                <w:rFonts w:ascii="Arial" w:eastAsia="Times New Roman" w:hAnsi="Arial" w:cs="Arial"/>
                <w:b/>
                <w:bCs/>
                <w:sz w:val="12"/>
                <w:szCs w:val="12"/>
                <w:lang w:eastAsia="es-ES"/>
              </w:rPr>
            </w:pPr>
            <w:r w:rsidRPr="001F6C7C">
              <w:rPr>
                <w:rFonts w:ascii="Arial" w:eastAsia="Times New Roman" w:hAnsi="Arial" w:cs="Arial"/>
                <w:b/>
                <w:bCs/>
                <w:sz w:val="12"/>
                <w:szCs w:val="12"/>
                <w:lang w:eastAsia="es-ES"/>
              </w:rPr>
              <w:t>2-2021</w:t>
            </w:r>
          </w:p>
        </w:tc>
        <w:tc>
          <w:tcPr>
            <w:tcW w:w="643" w:type="pct"/>
            <w:tcBorders>
              <w:top w:val="nil"/>
              <w:left w:val="nil"/>
              <w:right w:val="nil"/>
            </w:tcBorders>
            <w:shd w:val="clear" w:color="auto" w:fill="FFFFFF"/>
            <w:vAlign w:val="center"/>
          </w:tcPr>
          <w:p w14:paraId="6953CA96" w14:textId="77777777" w:rsidR="001F6C7C" w:rsidRPr="001F6C7C" w:rsidRDefault="001F6C7C" w:rsidP="001F6C7C">
            <w:pPr>
              <w:suppressAutoHyphens/>
              <w:spacing w:after="0" w:line="240" w:lineRule="auto"/>
              <w:rPr>
                <w:rFonts w:ascii="Arial" w:eastAsia="Times New Roman" w:hAnsi="Arial" w:cs="Arial"/>
                <w:sz w:val="12"/>
                <w:szCs w:val="12"/>
                <w:highlight w:val="cyan"/>
                <w:lang w:eastAsia="es-ES"/>
              </w:rPr>
            </w:pPr>
            <w:r w:rsidRPr="001F6C7C">
              <w:rPr>
                <w:rFonts w:ascii="Arial" w:eastAsia="Times New Roman" w:hAnsi="Arial" w:cs="Arial"/>
                <w:sz w:val="12"/>
                <w:szCs w:val="12"/>
                <w:lang w:eastAsia="es-ES"/>
              </w:rPr>
              <w:t xml:space="preserve">ALCALDE AYUNTAMIENTO ORIHUELA </w:t>
            </w:r>
          </w:p>
        </w:tc>
        <w:tc>
          <w:tcPr>
            <w:tcW w:w="726" w:type="pct"/>
            <w:tcBorders>
              <w:top w:val="nil"/>
              <w:left w:val="nil"/>
              <w:right w:val="nil"/>
            </w:tcBorders>
            <w:shd w:val="clear" w:color="auto" w:fill="FFFFFF"/>
            <w:vAlign w:val="center"/>
          </w:tcPr>
          <w:p w14:paraId="4E8FC52B"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C-A. Procedimiento ordinario</w:t>
            </w:r>
          </w:p>
        </w:tc>
        <w:tc>
          <w:tcPr>
            <w:tcW w:w="889" w:type="pct"/>
            <w:tcBorders>
              <w:top w:val="nil"/>
              <w:left w:val="nil"/>
              <w:right w:val="nil"/>
            </w:tcBorders>
            <w:shd w:val="clear" w:color="auto" w:fill="FFFFFF"/>
            <w:vAlign w:val="center"/>
          </w:tcPr>
          <w:p w14:paraId="7C8BD2F1"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Tribunal Superior de Justicia Comunitat Valenciana, Sala Contenciosa administrativa, Sección Quinta</w:t>
            </w:r>
          </w:p>
        </w:tc>
        <w:tc>
          <w:tcPr>
            <w:tcW w:w="1372" w:type="pct"/>
            <w:tcBorders>
              <w:top w:val="nil"/>
              <w:left w:val="nil"/>
              <w:right w:val="nil"/>
            </w:tcBorders>
            <w:shd w:val="clear" w:color="auto" w:fill="FFFFFF"/>
            <w:vAlign w:val="center"/>
          </w:tcPr>
          <w:p w14:paraId="1B285CF7"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Informe pericial AVAF</w:t>
            </w:r>
          </w:p>
        </w:tc>
        <w:tc>
          <w:tcPr>
            <w:tcW w:w="1075" w:type="pct"/>
            <w:tcBorders>
              <w:top w:val="nil"/>
              <w:left w:val="nil"/>
              <w:right w:val="nil"/>
            </w:tcBorders>
            <w:shd w:val="clear" w:color="auto" w:fill="FFFFFF"/>
            <w:vAlign w:val="center"/>
          </w:tcPr>
          <w:p w14:paraId="76833B7B"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 xml:space="preserve">Inadmisión recurso por Auto núm. 117/2021, de 1 de junio. Desestimado recurso de reposición interpuesto por el demandante por Auto de 15 de julio. </w:t>
            </w:r>
          </w:p>
        </w:tc>
      </w:tr>
      <w:tr w:rsidR="001F6C7C" w:rsidRPr="001F6C7C" w14:paraId="07A98B54" w14:textId="77777777" w:rsidTr="001F6C7C">
        <w:trPr>
          <w:trHeight w:val="675"/>
        </w:trPr>
        <w:tc>
          <w:tcPr>
            <w:tcW w:w="295" w:type="pct"/>
            <w:tcBorders>
              <w:top w:val="nil"/>
              <w:left w:val="nil"/>
              <w:bottom w:val="nil"/>
              <w:right w:val="nil"/>
            </w:tcBorders>
            <w:shd w:val="clear" w:color="auto" w:fill="D9D9D9"/>
            <w:vAlign w:val="center"/>
          </w:tcPr>
          <w:p w14:paraId="12725737" w14:textId="77777777" w:rsidR="001F6C7C" w:rsidRPr="001F6C7C" w:rsidRDefault="001F6C7C" w:rsidP="001F6C7C">
            <w:pPr>
              <w:suppressAutoHyphens/>
              <w:spacing w:after="0" w:line="240" w:lineRule="auto"/>
              <w:jc w:val="both"/>
              <w:rPr>
                <w:rFonts w:ascii="Arial" w:eastAsia="Times New Roman" w:hAnsi="Arial" w:cs="Arial"/>
                <w:b/>
                <w:bCs/>
                <w:sz w:val="12"/>
                <w:szCs w:val="12"/>
                <w:lang w:eastAsia="es-ES"/>
              </w:rPr>
            </w:pPr>
            <w:r w:rsidRPr="001F6C7C">
              <w:rPr>
                <w:rFonts w:ascii="Arial" w:eastAsia="Times New Roman" w:hAnsi="Arial" w:cs="Arial"/>
                <w:b/>
                <w:bCs/>
                <w:sz w:val="12"/>
                <w:szCs w:val="12"/>
                <w:lang w:eastAsia="es-ES"/>
              </w:rPr>
              <w:t>3-2021</w:t>
            </w:r>
          </w:p>
        </w:tc>
        <w:tc>
          <w:tcPr>
            <w:tcW w:w="643" w:type="pct"/>
            <w:tcBorders>
              <w:top w:val="nil"/>
              <w:left w:val="nil"/>
              <w:bottom w:val="nil"/>
              <w:right w:val="nil"/>
            </w:tcBorders>
            <w:shd w:val="clear" w:color="auto" w:fill="D9D9D9"/>
            <w:vAlign w:val="center"/>
          </w:tcPr>
          <w:p w14:paraId="47889513"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ALCALDE Y AYUNTAMIENTO</w:t>
            </w:r>
          </w:p>
          <w:p w14:paraId="5DCBC74D"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DE BENIDORM</w:t>
            </w:r>
          </w:p>
        </w:tc>
        <w:tc>
          <w:tcPr>
            <w:tcW w:w="726" w:type="pct"/>
            <w:tcBorders>
              <w:top w:val="nil"/>
              <w:left w:val="nil"/>
              <w:bottom w:val="nil"/>
              <w:right w:val="nil"/>
            </w:tcBorders>
            <w:shd w:val="clear" w:color="auto" w:fill="D9D9D9"/>
            <w:vAlign w:val="center"/>
          </w:tcPr>
          <w:p w14:paraId="6DA9C729"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PENAL. Diligencias Penales 783/2021</w:t>
            </w:r>
          </w:p>
        </w:tc>
        <w:tc>
          <w:tcPr>
            <w:tcW w:w="889" w:type="pct"/>
            <w:tcBorders>
              <w:top w:val="nil"/>
              <w:left w:val="nil"/>
              <w:bottom w:val="nil"/>
              <w:right w:val="nil"/>
            </w:tcBorders>
            <w:shd w:val="clear" w:color="auto" w:fill="D9D9D9"/>
            <w:vAlign w:val="center"/>
          </w:tcPr>
          <w:p w14:paraId="254A6935"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Juzgado de Instrucción núm. 3 de Benidorm</w:t>
            </w:r>
          </w:p>
        </w:tc>
        <w:tc>
          <w:tcPr>
            <w:tcW w:w="1372" w:type="pct"/>
            <w:tcBorders>
              <w:top w:val="nil"/>
              <w:left w:val="nil"/>
              <w:bottom w:val="nil"/>
              <w:right w:val="nil"/>
            </w:tcBorders>
            <w:shd w:val="clear" w:color="auto" w:fill="D9D9D9"/>
            <w:vAlign w:val="center"/>
          </w:tcPr>
          <w:p w14:paraId="32B2CCBA"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Operativo de intervención ex artículo 6 Ley 11/2016</w:t>
            </w:r>
          </w:p>
        </w:tc>
        <w:tc>
          <w:tcPr>
            <w:tcW w:w="1075" w:type="pct"/>
            <w:tcBorders>
              <w:top w:val="nil"/>
              <w:left w:val="nil"/>
              <w:bottom w:val="nil"/>
              <w:right w:val="nil"/>
            </w:tcBorders>
            <w:shd w:val="clear" w:color="auto" w:fill="D9D9D9"/>
            <w:vAlign w:val="center"/>
          </w:tcPr>
          <w:p w14:paraId="1064D770"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Auto de 8 de febrero de 2022 de sobreseimiento provisional y archivo. Recurrido en reforma y solicitado sobreseimiento libre.</w:t>
            </w:r>
          </w:p>
        </w:tc>
      </w:tr>
      <w:tr w:rsidR="001F6C7C" w:rsidRPr="001F6C7C" w14:paraId="303C204C" w14:textId="77777777" w:rsidTr="001F6C7C">
        <w:trPr>
          <w:trHeight w:val="675"/>
        </w:trPr>
        <w:tc>
          <w:tcPr>
            <w:tcW w:w="295" w:type="pct"/>
            <w:tcBorders>
              <w:top w:val="nil"/>
              <w:left w:val="nil"/>
              <w:right w:val="nil"/>
            </w:tcBorders>
            <w:shd w:val="clear" w:color="auto" w:fill="FFFFFF"/>
            <w:vAlign w:val="center"/>
          </w:tcPr>
          <w:p w14:paraId="0E52CC5E" w14:textId="77777777" w:rsidR="001F6C7C" w:rsidRPr="001F6C7C" w:rsidRDefault="001F6C7C" w:rsidP="001F6C7C">
            <w:pPr>
              <w:suppressAutoHyphens/>
              <w:spacing w:after="0" w:line="240" w:lineRule="auto"/>
              <w:jc w:val="both"/>
              <w:rPr>
                <w:rFonts w:ascii="Arial" w:eastAsia="Times New Roman" w:hAnsi="Arial" w:cs="Arial"/>
                <w:b/>
                <w:bCs/>
                <w:sz w:val="12"/>
                <w:szCs w:val="12"/>
                <w:lang w:eastAsia="es-ES"/>
              </w:rPr>
            </w:pPr>
            <w:r w:rsidRPr="001F6C7C">
              <w:rPr>
                <w:rFonts w:ascii="Arial" w:eastAsia="Times New Roman" w:hAnsi="Arial" w:cs="Arial"/>
                <w:b/>
                <w:bCs/>
                <w:sz w:val="12"/>
                <w:szCs w:val="12"/>
                <w:lang w:eastAsia="es-ES"/>
              </w:rPr>
              <w:t>4-2021</w:t>
            </w:r>
          </w:p>
        </w:tc>
        <w:tc>
          <w:tcPr>
            <w:tcW w:w="643" w:type="pct"/>
            <w:tcBorders>
              <w:top w:val="nil"/>
              <w:left w:val="nil"/>
              <w:right w:val="nil"/>
            </w:tcBorders>
            <w:shd w:val="clear" w:color="auto" w:fill="FFFFFF"/>
            <w:vAlign w:val="center"/>
          </w:tcPr>
          <w:p w14:paraId="1976E421" w14:textId="77777777" w:rsidR="001F6C7C" w:rsidRPr="001F6C7C" w:rsidRDefault="001F6C7C" w:rsidP="001F6C7C">
            <w:pPr>
              <w:suppressAutoHyphens/>
              <w:spacing w:after="0" w:line="240" w:lineRule="auto"/>
              <w:rPr>
                <w:rFonts w:ascii="Arial" w:eastAsia="Calibri" w:hAnsi="Arial" w:cs="Arial"/>
                <w:color w:val="000000"/>
                <w:sz w:val="12"/>
                <w:szCs w:val="12"/>
              </w:rPr>
            </w:pPr>
            <w:r w:rsidRPr="001F6C7C">
              <w:rPr>
                <w:rFonts w:ascii="Arial" w:eastAsia="Calibri" w:hAnsi="Arial" w:cs="Arial"/>
                <w:color w:val="000000"/>
                <w:sz w:val="12"/>
                <w:szCs w:val="12"/>
              </w:rPr>
              <w:t>AVAF</w:t>
            </w:r>
          </w:p>
        </w:tc>
        <w:tc>
          <w:tcPr>
            <w:tcW w:w="726" w:type="pct"/>
            <w:tcBorders>
              <w:top w:val="nil"/>
              <w:left w:val="nil"/>
              <w:right w:val="nil"/>
            </w:tcBorders>
            <w:shd w:val="clear" w:color="auto" w:fill="FFFFFF"/>
            <w:vAlign w:val="center"/>
          </w:tcPr>
          <w:p w14:paraId="011A7F63"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CONSTITUCIONAL. 5834/2021</w:t>
            </w:r>
          </w:p>
          <w:p w14:paraId="7095B1AF"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Recurso de amparo</w:t>
            </w:r>
          </w:p>
        </w:tc>
        <w:tc>
          <w:tcPr>
            <w:tcW w:w="889" w:type="pct"/>
            <w:tcBorders>
              <w:top w:val="nil"/>
              <w:left w:val="nil"/>
              <w:right w:val="nil"/>
            </w:tcBorders>
            <w:shd w:val="clear" w:color="auto" w:fill="FFFFFF"/>
            <w:vAlign w:val="center"/>
          </w:tcPr>
          <w:p w14:paraId="39CE73AC"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Tribunal Constitucional</w:t>
            </w:r>
          </w:p>
        </w:tc>
        <w:tc>
          <w:tcPr>
            <w:tcW w:w="1372" w:type="pct"/>
            <w:tcBorders>
              <w:top w:val="nil"/>
              <w:left w:val="nil"/>
              <w:right w:val="nil"/>
            </w:tcBorders>
            <w:shd w:val="clear" w:color="auto" w:fill="FFFFFF"/>
            <w:vAlign w:val="center"/>
          </w:tcPr>
          <w:p w14:paraId="40385E7B" w14:textId="77777777" w:rsidR="001F6C7C" w:rsidRPr="001F6C7C" w:rsidRDefault="001F6C7C" w:rsidP="001F6C7C">
            <w:pPr>
              <w:spacing w:after="0" w:line="240" w:lineRule="auto"/>
              <w:jc w:val="both"/>
              <w:rPr>
                <w:rFonts w:ascii="Arial" w:eastAsia="SimSun" w:hAnsi="Arial" w:cs="Arial"/>
                <w:color w:val="000000"/>
                <w:kern w:val="2"/>
                <w:sz w:val="12"/>
                <w:szCs w:val="12"/>
                <w:lang w:eastAsia="zh-CN" w:bidi="hi-IN"/>
              </w:rPr>
            </w:pPr>
            <w:r w:rsidRPr="001F6C7C">
              <w:rPr>
                <w:rFonts w:ascii="Arial" w:eastAsia="SimSun" w:hAnsi="Arial" w:cs="Arial"/>
                <w:color w:val="000000"/>
                <w:kern w:val="2"/>
                <w:sz w:val="12"/>
                <w:szCs w:val="12"/>
                <w:lang w:eastAsia="zh-CN" w:bidi="hi-IN"/>
              </w:rPr>
              <w:t>Auto núm. 143/21, de 28 de junio de 2021 del Tribunal Superior de Justicia Comunitat Valenciana, Sala Especial Contenciosa administrativa. Casación Autonómica 1/235/2021.</w:t>
            </w:r>
          </w:p>
          <w:p w14:paraId="4D8D7C16" w14:textId="77777777" w:rsidR="001F6C7C" w:rsidRPr="001F6C7C" w:rsidRDefault="001F6C7C" w:rsidP="001F6C7C">
            <w:pPr>
              <w:spacing w:after="0" w:line="240" w:lineRule="auto"/>
              <w:jc w:val="both"/>
              <w:rPr>
                <w:rFonts w:ascii="Liberation Sans" w:eastAsia="Times New Roman" w:hAnsi="Liberation Sans" w:cs="Liberation Sans"/>
                <w:sz w:val="12"/>
                <w:szCs w:val="12"/>
                <w:lang w:eastAsia="es-ES"/>
              </w:rPr>
            </w:pPr>
            <w:r w:rsidRPr="001F6C7C">
              <w:rPr>
                <w:rFonts w:ascii="Arial" w:eastAsia="SimSun" w:hAnsi="Arial" w:cs="Arial"/>
                <w:color w:val="000000"/>
                <w:kern w:val="2"/>
                <w:sz w:val="12"/>
                <w:szCs w:val="12"/>
                <w:lang w:eastAsia="zh-CN" w:bidi="hi-IN"/>
              </w:rPr>
              <w:t>Derecho al recurso denegado: artículo 24 CE.</w:t>
            </w:r>
          </w:p>
        </w:tc>
        <w:tc>
          <w:tcPr>
            <w:tcW w:w="1075" w:type="pct"/>
            <w:tcBorders>
              <w:top w:val="nil"/>
              <w:left w:val="nil"/>
              <w:right w:val="nil"/>
            </w:tcBorders>
            <w:shd w:val="clear" w:color="auto" w:fill="FFFFFF"/>
            <w:vAlign w:val="center"/>
          </w:tcPr>
          <w:p w14:paraId="47DE24F2"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En trámite</w:t>
            </w:r>
          </w:p>
        </w:tc>
      </w:tr>
      <w:tr w:rsidR="001F6C7C" w:rsidRPr="001F6C7C" w14:paraId="0C6CBFEA" w14:textId="77777777" w:rsidTr="001F6C7C">
        <w:trPr>
          <w:trHeight w:val="675"/>
        </w:trPr>
        <w:tc>
          <w:tcPr>
            <w:tcW w:w="295" w:type="pct"/>
            <w:tcBorders>
              <w:top w:val="nil"/>
              <w:left w:val="nil"/>
              <w:bottom w:val="nil"/>
              <w:right w:val="nil"/>
            </w:tcBorders>
            <w:shd w:val="clear" w:color="auto" w:fill="D9D9D9"/>
            <w:vAlign w:val="center"/>
          </w:tcPr>
          <w:p w14:paraId="0DAFC8EC" w14:textId="77777777" w:rsidR="001F6C7C" w:rsidRPr="001F6C7C" w:rsidRDefault="001F6C7C" w:rsidP="001F6C7C">
            <w:pPr>
              <w:suppressAutoHyphens/>
              <w:spacing w:after="0" w:line="240" w:lineRule="auto"/>
              <w:jc w:val="both"/>
              <w:rPr>
                <w:rFonts w:ascii="Arial" w:eastAsia="Times New Roman" w:hAnsi="Arial" w:cs="Arial"/>
                <w:b/>
                <w:bCs/>
                <w:sz w:val="12"/>
                <w:szCs w:val="12"/>
                <w:lang w:eastAsia="es-ES"/>
              </w:rPr>
            </w:pPr>
            <w:r w:rsidRPr="001F6C7C">
              <w:rPr>
                <w:rFonts w:ascii="Arial" w:eastAsia="Times New Roman" w:hAnsi="Arial" w:cs="Arial"/>
                <w:b/>
                <w:bCs/>
                <w:sz w:val="12"/>
                <w:szCs w:val="12"/>
                <w:lang w:eastAsia="es-ES"/>
              </w:rPr>
              <w:t>5-2021</w:t>
            </w:r>
          </w:p>
        </w:tc>
        <w:tc>
          <w:tcPr>
            <w:tcW w:w="643" w:type="pct"/>
            <w:tcBorders>
              <w:top w:val="nil"/>
              <w:left w:val="nil"/>
              <w:bottom w:val="nil"/>
              <w:right w:val="nil"/>
            </w:tcBorders>
            <w:shd w:val="clear" w:color="auto" w:fill="D9D9D9"/>
            <w:vAlign w:val="center"/>
          </w:tcPr>
          <w:p w14:paraId="2BBBB9E3"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ALCALDE Y AYUNTAMIENTO</w:t>
            </w:r>
          </w:p>
          <w:p w14:paraId="5BD6FD20"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DE BENIDORM</w:t>
            </w:r>
          </w:p>
        </w:tc>
        <w:tc>
          <w:tcPr>
            <w:tcW w:w="726" w:type="pct"/>
            <w:tcBorders>
              <w:top w:val="nil"/>
              <w:left w:val="nil"/>
              <w:bottom w:val="nil"/>
              <w:right w:val="nil"/>
            </w:tcBorders>
            <w:shd w:val="clear" w:color="auto" w:fill="D9D9D9"/>
            <w:vAlign w:val="center"/>
          </w:tcPr>
          <w:p w14:paraId="61B98F49"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C-A. Procedimiento ordinario 356/2021</w:t>
            </w:r>
          </w:p>
        </w:tc>
        <w:tc>
          <w:tcPr>
            <w:tcW w:w="889" w:type="pct"/>
            <w:tcBorders>
              <w:top w:val="nil"/>
              <w:left w:val="nil"/>
              <w:bottom w:val="nil"/>
              <w:right w:val="nil"/>
            </w:tcBorders>
            <w:shd w:val="clear" w:color="auto" w:fill="D9D9D9"/>
            <w:vAlign w:val="center"/>
          </w:tcPr>
          <w:p w14:paraId="26BADB7B"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Juzgado Contencioso-administrativo núm. 5 de València</w:t>
            </w:r>
          </w:p>
        </w:tc>
        <w:tc>
          <w:tcPr>
            <w:tcW w:w="1372" w:type="pct"/>
            <w:tcBorders>
              <w:top w:val="nil"/>
              <w:left w:val="nil"/>
              <w:bottom w:val="nil"/>
              <w:right w:val="nil"/>
            </w:tcBorders>
            <w:shd w:val="clear" w:color="auto" w:fill="D9D9D9"/>
            <w:vAlign w:val="center"/>
          </w:tcPr>
          <w:p w14:paraId="6982D01A"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Resolución del director de la AVAF expediente de investigación</w:t>
            </w:r>
          </w:p>
        </w:tc>
        <w:tc>
          <w:tcPr>
            <w:tcW w:w="1075" w:type="pct"/>
            <w:tcBorders>
              <w:top w:val="nil"/>
              <w:left w:val="nil"/>
              <w:bottom w:val="nil"/>
              <w:right w:val="nil"/>
            </w:tcBorders>
            <w:shd w:val="clear" w:color="auto" w:fill="D9D9D9"/>
            <w:vAlign w:val="center"/>
          </w:tcPr>
          <w:p w14:paraId="5A766E27"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En trámite</w:t>
            </w:r>
          </w:p>
        </w:tc>
      </w:tr>
      <w:tr w:rsidR="001F6C7C" w:rsidRPr="001F6C7C" w14:paraId="423DEDE9" w14:textId="77777777" w:rsidTr="001F6C7C">
        <w:trPr>
          <w:trHeight w:val="675"/>
        </w:trPr>
        <w:tc>
          <w:tcPr>
            <w:tcW w:w="295" w:type="pct"/>
            <w:tcBorders>
              <w:top w:val="nil"/>
              <w:left w:val="nil"/>
              <w:right w:val="nil"/>
            </w:tcBorders>
            <w:shd w:val="clear" w:color="auto" w:fill="FFFFFF"/>
            <w:vAlign w:val="center"/>
          </w:tcPr>
          <w:p w14:paraId="430B1D25" w14:textId="77777777" w:rsidR="001F6C7C" w:rsidRPr="001F6C7C" w:rsidRDefault="001F6C7C" w:rsidP="001F6C7C">
            <w:pPr>
              <w:suppressAutoHyphens/>
              <w:spacing w:after="0" w:line="240" w:lineRule="auto"/>
              <w:jc w:val="both"/>
              <w:rPr>
                <w:rFonts w:ascii="Arial" w:eastAsia="Times New Roman" w:hAnsi="Arial" w:cs="Arial"/>
                <w:b/>
                <w:bCs/>
                <w:sz w:val="12"/>
                <w:szCs w:val="12"/>
                <w:lang w:eastAsia="es-ES"/>
              </w:rPr>
            </w:pPr>
            <w:r w:rsidRPr="001F6C7C">
              <w:rPr>
                <w:rFonts w:ascii="Arial" w:eastAsia="Times New Roman" w:hAnsi="Arial" w:cs="Arial"/>
                <w:b/>
                <w:bCs/>
                <w:sz w:val="12"/>
                <w:szCs w:val="12"/>
                <w:lang w:eastAsia="es-ES"/>
              </w:rPr>
              <w:t>6-2021</w:t>
            </w:r>
          </w:p>
        </w:tc>
        <w:tc>
          <w:tcPr>
            <w:tcW w:w="643" w:type="pct"/>
            <w:tcBorders>
              <w:top w:val="nil"/>
              <w:left w:val="nil"/>
              <w:right w:val="nil"/>
            </w:tcBorders>
            <w:shd w:val="clear" w:color="auto" w:fill="FFFFFF"/>
            <w:vAlign w:val="center"/>
          </w:tcPr>
          <w:p w14:paraId="1C69E391"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DIPUTADO/A CORTS VALENCIANES</w:t>
            </w:r>
          </w:p>
        </w:tc>
        <w:tc>
          <w:tcPr>
            <w:tcW w:w="726" w:type="pct"/>
            <w:tcBorders>
              <w:top w:val="nil"/>
              <w:left w:val="nil"/>
              <w:right w:val="nil"/>
            </w:tcBorders>
            <w:shd w:val="clear" w:color="auto" w:fill="FFFFFF"/>
            <w:vAlign w:val="center"/>
          </w:tcPr>
          <w:p w14:paraId="254C0453"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C-A. Procedimiento especial derechos fundamentales</w:t>
            </w:r>
            <w:r w:rsidRPr="001F6C7C">
              <w:rPr>
                <w:rFonts w:ascii="Arial" w:eastAsia="Times New Roman" w:hAnsi="Arial" w:cs="Arial"/>
                <w:sz w:val="12"/>
                <w:szCs w:val="12"/>
                <w:lang w:eastAsia="es-ES"/>
              </w:rPr>
              <w:br/>
              <w:t>277-2021</w:t>
            </w:r>
          </w:p>
        </w:tc>
        <w:tc>
          <w:tcPr>
            <w:tcW w:w="889" w:type="pct"/>
            <w:tcBorders>
              <w:top w:val="nil"/>
              <w:left w:val="nil"/>
              <w:right w:val="nil"/>
            </w:tcBorders>
            <w:shd w:val="clear" w:color="auto" w:fill="FFFFFF"/>
            <w:vAlign w:val="center"/>
          </w:tcPr>
          <w:p w14:paraId="704EA50A"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Tribunal Superior de Justicia Comunitat Valenciana, Sala Contenciosa administrativa, Sección Cuarta</w:t>
            </w:r>
          </w:p>
        </w:tc>
        <w:tc>
          <w:tcPr>
            <w:tcW w:w="1372" w:type="pct"/>
            <w:tcBorders>
              <w:top w:val="nil"/>
              <w:left w:val="nil"/>
              <w:right w:val="nil"/>
            </w:tcBorders>
            <w:shd w:val="clear" w:color="auto" w:fill="FFFFFF"/>
            <w:vAlign w:val="center"/>
          </w:tcPr>
          <w:p w14:paraId="141E5604"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Desestimación presunta solicitud acceso a la información artículo 12 del Reglamento de las Corts Valencianes</w:t>
            </w:r>
          </w:p>
        </w:tc>
        <w:tc>
          <w:tcPr>
            <w:tcW w:w="1075" w:type="pct"/>
            <w:tcBorders>
              <w:top w:val="nil"/>
              <w:left w:val="nil"/>
              <w:right w:val="nil"/>
            </w:tcBorders>
            <w:shd w:val="clear" w:color="auto" w:fill="FFFFFF"/>
            <w:vAlign w:val="center"/>
          </w:tcPr>
          <w:p w14:paraId="6AD681C9"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En trámite. Solicitada satisfacción extraprocesal.</w:t>
            </w:r>
          </w:p>
        </w:tc>
      </w:tr>
      <w:tr w:rsidR="001F6C7C" w:rsidRPr="001F6C7C" w14:paraId="26A970C5" w14:textId="77777777" w:rsidTr="001F6C7C">
        <w:trPr>
          <w:trHeight w:val="675"/>
        </w:trPr>
        <w:tc>
          <w:tcPr>
            <w:tcW w:w="295" w:type="pct"/>
            <w:tcBorders>
              <w:top w:val="nil"/>
              <w:left w:val="nil"/>
              <w:bottom w:val="nil"/>
              <w:right w:val="nil"/>
            </w:tcBorders>
            <w:shd w:val="clear" w:color="auto" w:fill="D9D9D9"/>
            <w:vAlign w:val="center"/>
          </w:tcPr>
          <w:p w14:paraId="5CDCE114" w14:textId="77777777" w:rsidR="001F6C7C" w:rsidRPr="001F6C7C" w:rsidRDefault="001F6C7C" w:rsidP="001F6C7C">
            <w:pPr>
              <w:suppressAutoHyphens/>
              <w:spacing w:after="0" w:line="240" w:lineRule="auto"/>
              <w:jc w:val="both"/>
              <w:rPr>
                <w:rFonts w:ascii="Arial" w:eastAsia="Times New Roman" w:hAnsi="Arial" w:cs="Arial"/>
                <w:b/>
                <w:bCs/>
                <w:sz w:val="12"/>
                <w:szCs w:val="12"/>
                <w:lang w:eastAsia="es-ES"/>
              </w:rPr>
            </w:pPr>
            <w:r w:rsidRPr="001F6C7C">
              <w:rPr>
                <w:rFonts w:ascii="Arial" w:eastAsia="Times New Roman" w:hAnsi="Arial" w:cs="Arial"/>
                <w:b/>
                <w:bCs/>
                <w:sz w:val="12"/>
                <w:szCs w:val="12"/>
                <w:lang w:eastAsia="es-ES"/>
              </w:rPr>
              <w:t>7-2021</w:t>
            </w:r>
          </w:p>
        </w:tc>
        <w:tc>
          <w:tcPr>
            <w:tcW w:w="643" w:type="pct"/>
            <w:tcBorders>
              <w:top w:val="nil"/>
              <w:left w:val="nil"/>
              <w:bottom w:val="nil"/>
              <w:right w:val="nil"/>
            </w:tcBorders>
            <w:shd w:val="clear" w:color="auto" w:fill="D9D9D9"/>
            <w:vAlign w:val="center"/>
          </w:tcPr>
          <w:p w14:paraId="20B3A983"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FUNCIONARIO/A</w:t>
            </w:r>
          </w:p>
        </w:tc>
        <w:tc>
          <w:tcPr>
            <w:tcW w:w="726" w:type="pct"/>
            <w:tcBorders>
              <w:top w:val="nil"/>
              <w:left w:val="nil"/>
              <w:bottom w:val="nil"/>
              <w:right w:val="nil"/>
            </w:tcBorders>
            <w:shd w:val="clear" w:color="auto" w:fill="D9D9D9"/>
            <w:vAlign w:val="center"/>
          </w:tcPr>
          <w:p w14:paraId="277AD9FD" w14:textId="77777777" w:rsidR="001F6C7C" w:rsidRPr="001F6C7C" w:rsidRDefault="001F6C7C" w:rsidP="001F6C7C">
            <w:pPr>
              <w:suppressAutoHyphens/>
              <w:spacing w:after="0" w:line="240" w:lineRule="auto"/>
              <w:rPr>
                <w:rFonts w:ascii="Arial" w:eastAsia="Times New Roman" w:hAnsi="Arial" w:cs="Arial"/>
                <w:sz w:val="12"/>
                <w:szCs w:val="12"/>
                <w:lang w:eastAsia="es-ES"/>
              </w:rPr>
            </w:pPr>
            <w:r w:rsidRPr="001F6C7C">
              <w:rPr>
                <w:rFonts w:ascii="Arial" w:eastAsia="Times New Roman" w:hAnsi="Arial" w:cs="Arial"/>
                <w:sz w:val="12"/>
                <w:szCs w:val="12"/>
                <w:lang w:eastAsia="es-ES"/>
              </w:rPr>
              <w:t>C-A. Procedimiento Abreviado 437/2021</w:t>
            </w:r>
          </w:p>
        </w:tc>
        <w:tc>
          <w:tcPr>
            <w:tcW w:w="889" w:type="pct"/>
            <w:tcBorders>
              <w:top w:val="nil"/>
              <w:left w:val="nil"/>
              <w:bottom w:val="nil"/>
              <w:right w:val="nil"/>
            </w:tcBorders>
            <w:shd w:val="clear" w:color="auto" w:fill="D9D9D9"/>
            <w:vAlign w:val="center"/>
          </w:tcPr>
          <w:p w14:paraId="2F0978C2"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Juzgado Contencioso-administrativo núm. 8 València</w:t>
            </w:r>
          </w:p>
        </w:tc>
        <w:tc>
          <w:tcPr>
            <w:tcW w:w="1372" w:type="pct"/>
            <w:tcBorders>
              <w:top w:val="nil"/>
              <w:left w:val="nil"/>
              <w:bottom w:val="nil"/>
              <w:right w:val="nil"/>
            </w:tcBorders>
            <w:shd w:val="clear" w:color="auto" w:fill="D9D9D9"/>
            <w:vAlign w:val="center"/>
          </w:tcPr>
          <w:p w14:paraId="196A66A6"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Sanción disciplinaria Generalitat Valenciana</w:t>
            </w:r>
          </w:p>
        </w:tc>
        <w:tc>
          <w:tcPr>
            <w:tcW w:w="1075" w:type="pct"/>
            <w:tcBorders>
              <w:top w:val="nil"/>
              <w:left w:val="nil"/>
              <w:bottom w:val="nil"/>
              <w:right w:val="nil"/>
            </w:tcBorders>
            <w:shd w:val="clear" w:color="auto" w:fill="D9D9D9"/>
            <w:vAlign w:val="center"/>
          </w:tcPr>
          <w:p w14:paraId="21F09C50" w14:textId="77777777" w:rsidR="001F6C7C" w:rsidRPr="001F6C7C" w:rsidRDefault="001F6C7C" w:rsidP="001F6C7C">
            <w:pPr>
              <w:suppressAutoHyphens/>
              <w:spacing w:after="0" w:line="240" w:lineRule="auto"/>
              <w:jc w:val="both"/>
              <w:rPr>
                <w:rFonts w:ascii="Arial" w:eastAsia="Times New Roman" w:hAnsi="Arial" w:cs="Arial"/>
                <w:sz w:val="12"/>
                <w:szCs w:val="12"/>
                <w:lang w:eastAsia="es-ES"/>
              </w:rPr>
            </w:pPr>
            <w:r w:rsidRPr="001F6C7C">
              <w:rPr>
                <w:rFonts w:ascii="Arial" w:eastAsia="Times New Roman" w:hAnsi="Arial" w:cs="Arial"/>
                <w:sz w:val="12"/>
                <w:szCs w:val="12"/>
                <w:lang w:eastAsia="es-ES"/>
              </w:rPr>
              <w:t>En trámite</w:t>
            </w:r>
          </w:p>
        </w:tc>
      </w:tr>
    </w:tbl>
    <w:p w14:paraId="4C4A7C64" w14:textId="6092EDDB" w:rsidR="00446E4D" w:rsidRDefault="00446E4D" w:rsidP="00460454">
      <w:pPr>
        <w:spacing w:after="240" w:line="276" w:lineRule="auto"/>
        <w:jc w:val="both"/>
        <w:rPr>
          <w:rFonts w:ascii="Arial" w:hAnsi="Arial"/>
          <w:sz w:val="21"/>
          <w:szCs w:val="21"/>
        </w:rPr>
      </w:pPr>
    </w:p>
    <w:p w14:paraId="245E81C6" w14:textId="77777777" w:rsidR="001F6C7C" w:rsidRPr="001F6C7C" w:rsidRDefault="001F6C7C" w:rsidP="00A51BD4">
      <w:pPr>
        <w:pStyle w:val="Prrafodelista"/>
        <w:keepNext/>
        <w:numPr>
          <w:ilvl w:val="2"/>
          <w:numId w:val="16"/>
        </w:numPr>
        <w:suppressAutoHyphens/>
        <w:spacing w:before="360" w:after="240" w:line="276" w:lineRule="auto"/>
        <w:ind w:left="993" w:hanging="993"/>
        <w:jc w:val="both"/>
        <w:outlineLvl w:val="2"/>
        <w:rPr>
          <w:rFonts w:ascii="Arial" w:eastAsia="Times New Roman" w:hAnsi="Arial" w:cs="Arial"/>
          <w:b/>
          <w:color w:val="9D2235"/>
          <w:sz w:val="28"/>
          <w:szCs w:val="28"/>
        </w:rPr>
      </w:pPr>
      <w:bookmarkStart w:id="109" w:name="_Toc67646253"/>
      <w:bookmarkStart w:id="110" w:name="_Toc99107006"/>
      <w:r w:rsidRPr="001F6C7C">
        <w:rPr>
          <w:rFonts w:ascii="Arial" w:eastAsia="Times New Roman" w:hAnsi="Arial" w:cs="Arial"/>
          <w:b/>
          <w:color w:val="9D2235"/>
          <w:sz w:val="28"/>
          <w:szCs w:val="28"/>
        </w:rPr>
        <w:t>Relaciones con las Corts Valencianes</w:t>
      </w:r>
      <w:bookmarkEnd w:id="109"/>
      <w:bookmarkEnd w:id="110"/>
    </w:p>
    <w:p w14:paraId="58C5B407" w14:textId="77777777" w:rsidR="001F6C7C" w:rsidRPr="00882604" w:rsidRDefault="001F6C7C" w:rsidP="001F6C7C">
      <w:pPr>
        <w:suppressAutoHyphens/>
        <w:spacing w:after="240" w:line="276" w:lineRule="auto"/>
        <w:jc w:val="both"/>
        <w:rPr>
          <w:rFonts w:ascii="Arial" w:eastAsia="SimSun" w:hAnsi="Arial" w:cs="Arial"/>
          <w:kern w:val="2"/>
          <w:sz w:val="21"/>
          <w:szCs w:val="21"/>
          <w:lang w:eastAsia="zh-CN" w:bidi="hi-IN"/>
        </w:rPr>
      </w:pPr>
      <w:r w:rsidRPr="00882604">
        <w:rPr>
          <w:rFonts w:ascii="Arial" w:eastAsia="SimSun" w:hAnsi="Arial" w:cs="Arial"/>
          <w:kern w:val="2"/>
          <w:sz w:val="21"/>
          <w:szCs w:val="21"/>
          <w:lang w:eastAsia="zh-CN" w:bidi="hi-IN"/>
        </w:rPr>
        <w:t>Los Grupos Parlamentarios de las Corts Valencianes han venido solicitando desde la creación de la Agencia distinta información por la vía del artículo 12 de su Reglamento. En concreto, durante este ejercicio 2021 y en contestación a dichas solicitudes, la Agencia ha hecho entrega efectiva de la documentación referenciada en la siguiente tabla, que se ha agrupado por materia</w:t>
      </w:r>
      <w:r>
        <w:rPr>
          <w:rFonts w:ascii="Arial" w:eastAsia="SimSun" w:hAnsi="Arial" w:cs="Arial"/>
          <w:kern w:val="2"/>
          <w:sz w:val="21"/>
          <w:szCs w:val="21"/>
          <w:lang w:eastAsia="zh-CN" w:bidi="hi-IN"/>
        </w:rPr>
        <w:t>s y Grupos Parlamentarios</w:t>
      </w:r>
      <w:r w:rsidRPr="00882604">
        <w:rPr>
          <w:rFonts w:ascii="Arial" w:eastAsia="SimSun" w:hAnsi="Arial" w:cs="Arial"/>
          <w:kern w:val="2"/>
          <w:sz w:val="21"/>
          <w:szCs w:val="21"/>
          <w:lang w:eastAsia="zh-CN" w:bidi="hi-IN"/>
        </w:rPr>
        <w:t>.</w:t>
      </w:r>
    </w:p>
    <w:p w14:paraId="73C0CAE7" w14:textId="43C8BE0E" w:rsidR="001F6C7C" w:rsidRPr="009040D5" w:rsidRDefault="001F6C7C" w:rsidP="001F6C7C">
      <w:pPr>
        <w:suppressAutoHyphens/>
        <w:spacing w:after="240" w:line="276" w:lineRule="auto"/>
        <w:jc w:val="both"/>
        <w:rPr>
          <w:rFonts w:ascii="Arial" w:eastAsia="SimSun" w:hAnsi="Arial" w:cs="Arial"/>
          <w:color w:val="000080"/>
          <w:kern w:val="2"/>
          <w:sz w:val="21"/>
          <w:szCs w:val="21"/>
          <w:u w:val="single"/>
          <w:lang w:eastAsia="es-ES" w:bidi="hi-IN"/>
        </w:rPr>
      </w:pPr>
      <w:r w:rsidRPr="00882604">
        <w:rPr>
          <w:rFonts w:ascii="Arial" w:eastAsia="SimSun" w:hAnsi="Arial" w:cs="Arial"/>
          <w:kern w:val="2"/>
          <w:sz w:val="21"/>
          <w:szCs w:val="21"/>
          <w:lang w:eastAsia="zh-CN" w:bidi="hi-IN"/>
        </w:rPr>
        <w:t xml:space="preserve">Las contestaciones a las citadas solicitudes de información presentadas por los distintos Grupos Parlamentarios se encuentran publicadas en el Portal de Transparencia de la AVAF, en concreto en </w:t>
      </w:r>
      <w:r w:rsidRPr="00882604">
        <w:rPr>
          <w:rFonts w:ascii="Arial" w:eastAsia="SimSun" w:hAnsi="Arial" w:cs="Arial"/>
          <w:b/>
          <w:bCs/>
          <w:kern w:val="2"/>
          <w:sz w:val="21"/>
          <w:szCs w:val="21"/>
          <w:lang w:eastAsia="zh-CN" w:bidi="hi-IN"/>
        </w:rPr>
        <w:t>Información jurídica de relevancia,</w:t>
      </w:r>
      <w:r w:rsidRPr="00882604">
        <w:rPr>
          <w:rFonts w:ascii="Arial" w:eastAsia="SimSun" w:hAnsi="Arial" w:cs="Arial"/>
          <w:kern w:val="2"/>
          <w:sz w:val="21"/>
          <w:szCs w:val="21"/>
          <w:lang w:eastAsia="zh-CN" w:bidi="hi-IN"/>
        </w:rPr>
        <w:t xml:space="preserve"> apartado </w:t>
      </w:r>
      <w:r w:rsidRPr="00882604">
        <w:rPr>
          <w:rFonts w:ascii="Arial" w:eastAsia="SimSun" w:hAnsi="Arial" w:cs="Arial"/>
          <w:b/>
          <w:bCs/>
          <w:kern w:val="2"/>
          <w:sz w:val="21"/>
          <w:szCs w:val="21"/>
          <w:lang w:eastAsia="zh-CN" w:bidi="hi-IN"/>
        </w:rPr>
        <w:t>Relaciones con las Corts Valencian</w:t>
      </w:r>
      <w:r w:rsidR="00CC7691">
        <w:rPr>
          <w:rFonts w:ascii="Arial" w:eastAsia="SimSun" w:hAnsi="Arial" w:cs="Arial"/>
          <w:b/>
          <w:bCs/>
          <w:kern w:val="2"/>
          <w:sz w:val="21"/>
          <w:szCs w:val="21"/>
          <w:lang w:eastAsia="zh-CN" w:bidi="hi-IN"/>
        </w:rPr>
        <w:t>e</w:t>
      </w:r>
      <w:r w:rsidRPr="00882604">
        <w:rPr>
          <w:rFonts w:ascii="Arial" w:eastAsia="SimSun" w:hAnsi="Arial" w:cs="Arial"/>
          <w:b/>
          <w:bCs/>
          <w:kern w:val="2"/>
          <w:sz w:val="21"/>
          <w:szCs w:val="21"/>
          <w:lang w:eastAsia="zh-CN" w:bidi="hi-IN"/>
        </w:rPr>
        <w:t>s</w:t>
      </w:r>
      <w:r w:rsidRPr="00882604">
        <w:rPr>
          <w:rFonts w:ascii="Arial" w:eastAsia="SimSun" w:hAnsi="Arial" w:cs="Arial"/>
          <w:kern w:val="2"/>
          <w:sz w:val="21"/>
          <w:szCs w:val="21"/>
          <w:lang w:eastAsia="zh-CN" w:bidi="hi-IN"/>
        </w:rPr>
        <w:t xml:space="preserve"> </w:t>
      </w:r>
      <w:hyperlink r:id="rId397" w:history="1">
        <w:r w:rsidR="00EC073F" w:rsidRPr="007B70FD">
          <w:rPr>
            <w:rStyle w:val="Hipervnculo"/>
            <w:rFonts w:ascii="Arial" w:eastAsia="SimSun" w:hAnsi="Arial" w:cs="Arial"/>
            <w:kern w:val="2"/>
            <w:sz w:val="21"/>
            <w:szCs w:val="21"/>
            <w:lang w:eastAsia="es-ES" w:bidi="hi-IN"/>
          </w:rPr>
          <w:t>https://www.antifraucv.es/informacion-de-relevancia-juridica/</w:t>
        </w:r>
      </w:hyperlink>
    </w:p>
    <w:p w14:paraId="2425592E" w14:textId="79591A08" w:rsidR="00A1367E" w:rsidRPr="00A1367E" w:rsidRDefault="00A1367E" w:rsidP="00A1367E">
      <w:pPr>
        <w:pStyle w:val="Descripcin"/>
        <w:keepNext/>
        <w:rPr>
          <w:rFonts w:ascii="Arial" w:hAnsi="Arial" w:cs="Arial"/>
          <w:smallCaps w:val="0"/>
          <w:sz w:val="18"/>
          <w:szCs w:val="18"/>
        </w:rPr>
      </w:pPr>
      <w:bookmarkStart w:id="111" w:name="_Toc99107146"/>
      <w:r w:rsidRPr="00A1367E">
        <w:rPr>
          <w:rFonts w:ascii="Arial" w:hAnsi="Arial" w:cs="Arial"/>
          <w:smallCaps w:val="0"/>
          <w:color w:val="9D2235" w:themeColor="accent1"/>
          <w:sz w:val="18"/>
          <w:szCs w:val="18"/>
        </w:rPr>
        <w:t xml:space="preserve">Tabla </w:t>
      </w:r>
      <w:r w:rsidRPr="00A1367E">
        <w:rPr>
          <w:rFonts w:ascii="Arial" w:hAnsi="Arial" w:cs="Arial"/>
          <w:smallCaps w:val="0"/>
          <w:color w:val="9D2235" w:themeColor="accent1"/>
          <w:sz w:val="18"/>
          <w:szCs w:val="18"/>
        </w:rPr>
        <w:fldChar w:fldCharType="begin" w:fldLock="1"/>
      </w:r>
      <w:r w:rsidRPr="00A1367E">
        <w:rPr>
          <w:rFonts w:ascii="Arial" w:hAnsi="Arial" w:cs="Arial"/>
          <w:smallCaps w:val="0"/>
          <w:color w:val="9D2235" w:themeColor="accent1"/>
          <w:sz w:val="18"/>
          <w:szCs w:val="18"/>
        </w:rPr>
        <w:instrText xml:space="preserve"> SEQ Tabla \* ARABIC </w:instrText>
      </w:r>
      <w:r w:rsidRPr="00A1367E">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8</w:t>
      </w:r>
      <w:r w:rsidRPr="00A1367E">
        <w:rPr>
          <w:rFonts w:ascii="Arial" w:hAnsi="Arial" w:cs="Arial"/>
          <w:smallCaps w:val="0"/>
          <w:color w:val="9D2235" w:themeColor="accent1"/>
          <w:sz w:val="18"/>
          <w:szCs w:val="18"/>
        </w:rPr>
        <w:fldChar w:fldCharType="end"/>
      </w:r>
      <w:r w:rsidRPr="00A1367E">
        <w:rPr>
          <w:rFonts w:ascii="Arial" w:hAnsi="Arial" w:cs="Arial"/>
          <w:smallCaps w:val="0"/>
          <w:color w:val="9D2235" w:themeColor="accent1"/>
          <w:sz w:val="18"/>
          <w:szCs w:val="18"/>
        </w:rPr>
        <w:t xml:space="preserve">. </w:t>
      </w:r>
      <w:r w:rsidRPr="00A1367E">
        <w:rPr>
          <w:rFonts w:ascii="Arial" w:hAnsi="Arial" w:cs="Arial"/>
          <w:smallCaps w:val="0"/>
          <w:sz w:val="18"/>
          <w:szCs w:val="18"/>
        </w:rPr>
        <w:t>Solicitudes de información por el cauce parlamentario del artículo 12 del RCV</w:t>
      </w:r>
      <w:bookmarkEnd w:id="111"/>
    </w:p>
    <w:tbl>
      <w:tblPr>
        <w:tblStyle w:val="Tablaconcuadrcula12"/>
        <w:tblW w:w="0" w:type="auto"/>
        <w:tblLook w:val="04A0" w:firstRow="1" w:lastRow="0" w:firstColumn="1" w:lastColumn="0" w:noHBand="0" w:noVBand="1"/>
      </w:tblPr>
      <w:tblGrid>
        <w:gridCol w:w="1284"/>
        <w:gridCol w:w="4771"/>
        <w:gridCol w:w="1040"/>
        <w:gridCol w:w="1399"/>
      </w:tblGrid>
      <w:tr w:rsidR="00A1367E" w:rsidRPr="00A1367E" w14:paraId="51EBBC2C" w14:textId="77777777" w:rsidTr="00A1367E">
        <w:tc>
          <w:tcPr>
            <w:tcW w:w="8494" w:type="dxa"/>
            <w:gridSpan w:val="4"/>
            <w:tcBorders>
              <w:bottom w:val="nil"/>
            </w:tcBorders>
            <w:shd w:val="clear" w:color="auto" w:fill="9D2235"/>
          </w:tcPr>
          <w:p w14:paraId="43B355B4" w14:textId="77777777" w:rsidR="00A1367E" w:rsidRPr="00A1367E" w:rsidRDefault="00A1367E" w:rsidP="00A1367E">
            <w:pPr>
              <w:spacing w:before="100" w:beforeAutospacing="1"/>
              <w:jc w:val="center"/>
              <w:rPr>
                <w:rFonts w:ascii="Arial" w:eastAsia="Times New Roman" w:hAnsi="Arial" w:cs="Arial"/>
                <w:b/>
                <w:bCs/>
                <w:color w:val="FFFFFF"/>
                <w:sz w:val="16"/>
                <w:szCs w:val="16"/>
                <w:lang w:eastAsia="es-ES"/>
              </w:rPr>
            </w:pPr>
            <w:r w:rsidRPr="00A1367E">
              <w:rPr>
                <w:rFonts w:ascii="Arial" w:eastAsia="Times New Roman" w:hAnsi="Arial" w:cs="Arial"/>
                <w:b/>
                <w:bCs/>
                <w:color w:val="FFFFFF"/>
                <w:sz w:val="16"/>
                <w:szCs w:val="16"/>
                <w:lang w:eastAsia="es-ES"/>
              </w:rPr>
              <w:t>EXPEDIENTES DE INVESTIGACIÓN Y RELACIONADOS CON PERSONAS DENUNCIANTES</w:t>
            </w:r>
          </w:p>
        </w:tc>
      </w:tr>
      <w:tr w:rsidR="00A1367E" w:rsidRPr="00A1367E" w14:paraId="2812F62A" w14:textId="77777777" w:rsidTr="00A1367E">
        <w:tc>
          <w:tcPr>
            <w:tcW w:w="1284" w:type="dxa"/>
            <w:tcBorders>
              <w:top w:val="nil"/>
            </w:tcBorders>
            <w:shd w:val="clear" w:color="auto" w:fill="9D2235"/>
          </w:tcPr>
          <w:p w14:paraId="5B9EBF65" w14:textId="77777777" w:rsidR="00A1367E" w:rsidRPr="00A1367E" w:rsidRDefault="00A1367E" w:rsidP="00A1367E">
            <w:pPr>
              <w:spacing w:before="100" w:beforeAutospacing="1"/>
              <w:jc w:val="center"/>
              <w:rPr>
                <w:rFonts w:ascii="Arial" w:eastAsia="Times New Roman" w:hAnsi="Arial" w:cs="Arial"/>
                <w:b/>
                <w:bCs/>
                <w:color w:val="FFFFFF"/>
                <w:sz w:val="16"/>
                <w:szCs w:val="16"/>
                <w:lang w:eastAsia="es-ES"/>
              </w:rPr>
            </w:pPr>
            <w:r w:rsidRPr="00A1367E">
              <w:rPr>
                <w:rFonts w:ascii="Arial" w:eastAsia="Times New Roman" w:hAnsi="Arial" w:cs="Arial"/>
                <w:b/>
                <w:bCs/>
                <w:color w:val="FFFFFF"/>
                <w:sz w:val="16"/>
                <w:szCs w:val="16"/>
                <w:lang w:eastAsia="es-ES"/>
              </w:rPr>
              <w:t>Grupo Parlamentario</w:t>
            </w:r>
          </w:p>
        </w:tc>
        <w:tc>
          <w:tcPr>
            <w:tcW w:w="4771" w:type="dxa"/>
            <w:tcBorders>
              <w:top w:val="nil"/>
            </w:tcBorders>
            <w:shd w:val="clear" w:color="auto" w:fill="9D2235"/>
          </w:tcPr>
          <w:p w14:paraId="7421769B" w14:textId="77777777" w:rsidR="00A1367E" w:rsidRPr="00A1367E" w:rsidRDefault="00A1367E" w:rsidP="00A1367E">
            <w:pPr>
              <w:spacing w:before="100" w:beforeAutospacing="1"/>
              <w:jc w:val="center"/>
              <w:rPr>
                <w:rFonts w:ascii="Arial" w:eastAsia="Times New Roman" w:hAnsi="Arial" w:cs="Arial"/>
                <w:b/>
                <w:bCs/>
                <w:color w:val="FFFFFF"/>
                <w:sz w:val="16"/>
                <w:szCs w:val="16"/>
                <w:lang w:eastAsia="es-ES"/>
              </w:rPr>
            </w:pPr>
            <w:r w:rsidRPr="00A1367E">
              <w:rPr>
                <w:rFonts w:ascii="Arial" w:eastAsia="Times New Roman" w:hAnsi="Arial" w:cs="Arial"/>
                <w:b/>
                <w:bCs/>
                <w:color w:val="FFFFFF"/>
                <w:sz w:val="16"/>
                <w:szCs w:val="16"/>
                <w:lang w:eastAsia="es-ES"/>
              </w:rPr>
              <w:t>Asunto</w:t>
            </w:r>
          </w:p>
        </w:tc>
        <w:tc>
          <w:tcPr>
            <w:tcW w:w="1040" w:type="dxa"/>
            <w:tcBorders>
              <w:top w:val="nil"/>
            </w:tcBorders>
            <w:shd w:val="clear" w:color="auto" w:fill="9D2235"/>
          </w:tcPr>
          <w:p w14:paraId="42D00E3F" w14:textId="77777777" w:rsidR="00A1367E" w:rsidRPr="00A1367E" w:rsidRDefault="00A1367E" w:rsidP="00A1367E">
            <w:pPr>
              <w:spacing w:before="100" w:beforeAutospacing="1"/>
              <w:jc w:val="center"/>
              <w:rPr>
                <w:rFonts w:ascii="Arial" w:eastAsia="Times New Roman" w:hAnsi="Arial" w:cs="Arial"/>
                <w:b/>
                <w:bCs/>
                <w:color w:val="FFFFFF"/>
                <w:sz w:val="16"/>
                <w:szCs w:val="16"/>
                <w:lang w:eastAsia="es-ES"/>
              </w:rPr>
            </w:pPr>
            <w:r w:rsidRPr="00A1367E">
              <w:rPr>
                <w:rFonts w:ascii="Arial" w:eastAsia="Times New Roman" w:hAnsi="Arial" w:cs="Arial"/>
                <w:b/>
                <w:bCs/>
                <w:color w:val="FFFFFF"/>
                <w:sz w:val="16"/>
                <w:szCs w:val="16"/>
                <w:lang w:eastAsia="es-ES"/>
              </w:rPr>
              <w:t>Solicitud</w:t>
            </w:r>
          </w:p>
        </w:tc>
        <w:tc>
          <w:tcPr>
            <w:tcW w:w="1399" w:type="dxa"/>
            <w:tcBorders>
              <w:top w:val="nil"/>
            </w:tcBorders>
            <w:shd w:val="clear" w:color="auto" w:fill="9D2235"/>
          </w:tcPr>
          <w:p w14:paraId="42BF5D21" w14:textId="77777777" w:rsidR="00A1367E" w:rsidRPr="00A1367E" w:rsidRDefault="00A1367E" w:rsidP="00A1367E">
            <w:pPr>
              <w:jc w:val="center"/>
              <w:rPr>
                <w:rFonts w:ascii="Arial" w:eastAsia="Times New Roman" w:hAnsi="Arial" w:cs="Arial"/>
                <w:b/>
                <w:bCs/>
                <w:color w:val="FFFFFF"/>
                <w:sz w:val="16"/>
                <w:szCs w:val="16"/>
                <w:lang w:eastAsia="es-ES"/>
              </w:rPr>
            </w:pPr>
            <w:r w:rsidRPr="00A1367E">
              <w:rPr>
                <w:rFonts w:ascii="Arial" w:eastAsia="Times New Roman" w:hAnsi="Arial" w:cs="Arial"/>
                <w:b/>
                <w:bCs/>
                <w:color w:val="FFFFFF"/>
                <w:sz w:val="16"/>
                <w:szCs w:val="16"/>
                <w:lang w:eastAsia="es-ES"/>
              </w:rPr>
              <w:t>Contestación /</w:t>
            </w:r>
          </w:p>
          <w:p w14:paraId="42649773" w14:textId="77777777" w:rsidR="00A1367E" w:rsidRPr="00A1367E" w:rsidRDefault="00A1367E" w:rsidP="00A1367E">
            <w:pPr>
              <w:jc w:val="center"/>
              <w:rPr>
                <w:rFonts w:ascii="Arial" w:eastAsia="Times New Roman" w:hAnsi="Arial" w:cs="Arial"/>
                <w:b/>
                <w:bCs/>
                <w:color w:val="FFFFFF"/>
                <w:sz w:val="16"/>
                <w:szCs w:val="16"/>
                <w:lang w:eastAsia="es-ES"/>
              </w:rPr>
            </w:pPr>
            <w:r w:rsidRPr="00A1367E">
              <w:rPr>
                <w:rFonts w:ascii="Arial" w:eastAsia="Times New Roman" w:hAnsi="Arial" w:cs="Arial"/>
                <w:b/>
                <w:bCs/>
                <w:color w:val="FFFFFF"/>
                <w:sz w:val="16"/>
                <w:szCs w:val="16"/>
                <w:lang w:eastAsia="es-ES"/>
              </w:rPr>
              <w:t>Remisión documentación</w:t>
            </w:r>
          </w:p>
        </w:tc>
      </w:tr>
      <w:tr w:rsidR="00A1367E" w:rsidRPr="00A1367E" w14:paraId="64D2803E" w14:textId="77777777" w:rsidTr="00A1367E">
        <w:tc>
          <w:tcPr>
            <w:tcW w:w="1284" w:type="dxa"/>
            <w:vMerge w:val="restart"/>
          </w:tcPr>
          <w:p w14:paraId="7A7A657F" w14:textId="77777777" w:rsidR="00A1367E" w:rsidRPr="00A1367E" w:rsidRDefault="00A1367E" w:rsidP="00A1367E">
            <w:pPr>
              <w:spacing w:before="100" w:beforeAutospacing="1"/>
              <w:rPr>
                <w:rFonts w:ascii="Arial" w:eastAsia="Times New Roman" w:hAnsi="Arial" w:cs="Arial"/>
                <w:b/>
                <w:bCs/>
                <w:color w:val="9D2235"/>
                <w:sz w:val="16"/>
                <w:szCs w:val="16"/>
                <w:lang w:eastAsia="es-ES"/>
              </w:rPr>
            </w:pPr>
            <w:r w:rsidRPr="00A1367E">
              <w:rPr>
                <w:rFonts w:ascii="Arial" w:eastAsia="Times New Roman" w:hAnsi="Arial" w:cs="Arial"/>
                <w:b/>
                <w:bCs/>
                <w:color w:val="9D2235"/>
                <w:sz w:val="16"/>
                <w:szCs w:val="16"/>
                <w:lang w:eastAsia="es-ES"/>
              </w:rPr>
              <w:t>Grupo Popular</w:t>
            </w:r>
          </w:p>
        </w:tc>
        <w:tc>
          <w:tcPr>
            <w:tcW w:w="4771" w:type="dxa"/>
          </w:tcPr>
          <w:p w14:paraId="4494BAD6" w14:textId="77777777" w:rsidR="00A1367E" w:rsidRPr="00A1367E" w:rsidRDefault="00A1367E" w:rsidP="00A1367E">
            <w:pPr>
              <w:spacing w:before="100" w:beforeAutospacing="1"/>
              <w:jc w:val="both"/>
              <w:rPr>
                <w:rFonts w:ascii="Arial" w:eastAsia="Times New Roman" w:hAnsi="Arial" w:cs="Arial"/>
                <w:sz w:val="16"/>
                <w:szCs w:val="16"/>
                <w:lang w:eastAsia="es-ES"/>
              </w:rPr>
            </w:pPr>
            <w:r w:rsidRPr="00A1367E">
              <w:rPr>
                <w:rFonts w:ascii="Arial" w:eastAsia="Times New Roman" w:hAnsi="Arial" w:cs="Arial"/>
                <w:sz w:val="16"/>
                <w:szCs w:val="16"/>
                <w:lang w:eastAsia="es-ES"/>
              </w:rPr>
              <w:t>Sobre concesión de ayudas públicas para la promoción del valenciano por parte de las mercantiles Kriol Produccions, SL y Canal Maestral, SL</w:t>
            </w:r>
          </w:p>
        </w:tc>
        <w:tc>
          <w:tcPr>
            <w:tcW w:w="1040" w:type="dxa"/>
          </w:tcPr>
          <w:p w14:paraId="18D08DC5"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10/09/2019</w:t>
            </w:r>
          </w:p>
        </w:tc>
        <w:tc>
          <w:tcPr>
            <w:tcW w:w="1399" w:type="dxa"/>
          </w:tcPr>
          <w:p w14:paraId="13DB72DF"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22/07/2021</w:t>
            </w:r>
          </w:p>
        </w:tc>
      </w:tr>
      <w:tr w:rsidR="00A1367E" w:rsidRPr="00A1367E" w14:paraId="24CBC6E9" w14:textId="77777777" w:rsidTr="00A1367E">
        <w:tc>
          <w:tcPr>
            <w:tcW w:w="1284" w:type="dxa"/>
            <w:vMerge/>
          </w:tcPr>
          <w:p w14:paraId="7A8EC34E" w14:textId="77777777" w:rsidR="00A1367E" w:rsidRPr="00A1367E" w:rsidRDefault="00A1367E" w:rsidP="00A1367E">
            <w:pPr>
              <w:spacing w:before="100" w:beforeAutospacing="1"/>
              <w:rPr>
                <w:rFonts w:ascii="Arial" w:eastAsia="Times New Roman" w:hAnsi="Arial" w:cs="Arial"/>
                <w:sz w:val="16"/>
                <w:szCs w:val="16"/>
                <w:lang w:eastAsia="es-ES"/>
              </w:rPr>
            </w:pPr>
          </w:p>
        </w:tc>
        <w:tc>
          <w:tcPr>
            <w:tcW w:w="4771" w:type="dxa"/>
            <w:shd w:val="clear" w:color="auto" w:fill="F2F2F2"/>
          </w:tcPr>
          <w:p w14:paraId="51E7800B" w14:textId="77777777" w:rsidR="00A1367E" w:rsidRPr="00A1367E" w:rsidRDefault="00A1367E" w:rsidP="00A1367E">
            <w:pPr>
              <w:spacing w:before="100" w:beforeAutospacing="1"/>
              <w:jc w:val="both"/>
              <w:rPr>
                <w:rFonts w:ascii="Arial" w:eastAsia="Times New Roman" w:hAnsi="Arial" w:cs="Arial"/>
                <w:sz w:val="16"/>
                <w:szCs w:val="16"/>
                <w:lang w:eastAsia="es-ES"/>
              </w:rPr>
            </w:pPr>
            <w:r w:rsidRPr="00A1367E">
              <w:rPr>
                <w:rFonts w:ascii="Arial" w:eastAsia="Times New Roman" w:hAnsi="Arial" w:cs="Arial"/>
                <w:sz w:val="16"/>
                <w:szCs w:val="16"/>
                <w:lang w:eastAsia="es-ES"/>
              </w:rPr>
              <w:t>Sobre subvenciones otorgadas por la Agencia Valenciana de Fomento y Garantía Agraria (AVFGA) a Comunicacions dels Ports SA</w:t>
            </w:r>
          </w:p>
        </w:tc>
        <w:tc>
          <w:tcPr>
            <w:tcW w:w="1040" w:type="dxa"/>
            <w:shd w:val="clear" w:color="auto" w:fill="F2F2F2"/>
          </w:tcPr>
          <w:p w14:paraId="392817D0"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20/03/2020</w:t>
            </w:r>
          </w:p>
        </w:tc>
        <w:tc>
          <w:tcPr>
            <w:tcW w:w="1399" w:type="dxa"/>
            <w:shd w:val="clear" w:color="auto" w:fill="F2F2F2"/>
          </w:tcPr>
          <w:p w14:paraId="52265D07"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25/06/2021</w:t>
            </w:r>
          </w:p>
        </w:tc>
      </w:tr>
      <w:tr w:rsidR="00A1367E" w:rsidRPr="00A1367E" w14:paraId="66C35B5A" w14:textId="77777777" w:rsidTr="00A1367E">
        <w:tc>
          <w:tcPr>
            <w:tcW w:w="1284" w:type="dxa"/>
            <w:vMerge/>
          </w:tcPr>
          <w:p w14:paraId="389AABAA" w14:textId="77777777" w:rsidR="00A1367E" w:rsidRPr="00A1367E" w:rsidRDefault="00A1367E" w:rsidP="00A1367E">
            <w:pPr>
              <w:spacing w:before="100" w:beforeAutospacing="1"/>
              <w:rPr>
                <w:rFonts w:ascii="Arial" w:eastAsia="Times New Roman" w:hAnsi="Arial" w:cs="Arial"/>
                <w:sz w:val="16"/>
                <w:szCs w:val="16"/>
                <w:lang w:eastAsia="es-ES"/>
              </w:rPr>
            </w:pPr>
          </w:p>
        </w:tc>
        <w:tc>
          <w:tcPr>
            <w:tcW w:w="4771" w:type="dxa"/>
          </w:tcPr>
          <w:p w14:paraId="20B87C7D" w14:textId="346BA145" w:rsidR="00A1367E" w:rsidRPr="00A1367E" w:rsidRDefault="00A1367E" w:rsidP="00A1367E">
            <w:pPr>
              <w:spacing w:before="100" w:beforeAutospacing="1"/>
              <w:rPr>
                <w:rFonts w:ascii="Arial" w:eastAsia="Times New Roman" w:hAnsi="Arial" w:cs="Arial"/>
                <w:sz w:val="16"/>
                <w:szCs w:val="16"/>
                <w:lang w:eastAsia="es-ES"/>
              </w:rPr>
            </w:pPr>
            <w:r w:rsidRPr="00A1367E">
              <w:rPr>
                <w:rFonts w:ascii="Arial" w:eastAsia="Times New Roman" w:hAnsi="Arial" w:cs="Arial"/>
                <w:sz w:val="16"/>
                <w:szCs w:val="16"/>
                <w:lang w:eastAsia="es-ES"/>
              </w:rPr>
              <w:t>Sobre subvenciones otorgadas RTL-10-02-010 Ayudas Ruralter-LEADER (GAL ZONA 2) a la mercantil Comunicacions del</w:t>
            </w:r>
            <w:r w:rsidR="009C4C47">
              <w:rPr>
                <w:rFonts w:ascii="Arial" w:eastAsia="Times New Roman" w:hAnsi="Arial" w:cs="Arial"/>
                <w:sz w:val="16"/>
                <w:szCs w:val="16"/>
                <w:lang w:eastAsia="es-ES"/>
              </w:rPr>
              <w:t>s</w:t>
            </w:r>
            <w:r w:rsidRPr="00A1367E">
              <w:rPr>
                <w:rFonts w:ascii="Arial" w:eastAsia="Times New Roman" w:hAnsi="Arial" w:cs="Arial"/>
                <w:sz w:val="16"/>
                <w:szCs w:val="16"/>
                <w:lang w:eastAsia="es-ES"/>
              </w:rPr>
              <w:t xml:space="preserve"> Ports SA</w:t>
            </w:r>
          </w:p>
        </w:tc>
        <w:tc>
          <w:tcPr>
            <w:tcW w:w="1040" w:type="dxa"/>
          </w:tcPr>
          <w:p w14:paraId="608C982E"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10/07/2020</w:t>
            </w:r>
          </w:p>
        </w:tc>
        <w:tc>
          <w:tcPr>
            <w:tcW w:w="1399" w:type="dxa"/>
          </w:tcPr>
          <w:p w14:paraId="0CB71593"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25/06/2021</w:t>
            </w:r>
          </w:p>
        </w:tc>
      </w:tr>
      <w:tr w:rsidR="00A1367E" w:rsidRPr="00A1367E" w14:paraId="6D603FBD" w14:textId="77777777" w:rsidTr="00A1367E">
        <w:tc>
          <w:tcPr>
            <w:tcW w:w="1284" w:type="dxa"/>
            <w:vMerge/>
          </w:tcPr>
          <w:p w14:paraId="6F947950" w14:textId="77777777" w:rsidR="00A1367E" w:rsidRPr="00A1367E" w:rsidRDefault="00A1367E" w:rsidP="00A1367E">
            <w:pPr>
              <w:spacing w:before="100" w:beforeAutospacing="1"/>
              <w:rPr>
                <w:rFonts w:ascii="Arial" w:eastAsia="Times New Roman" w:hAnsi="Arial" w:cs="Arial"/>
                <w:sz w:val="16"/>
                <w:szCs w:val="16"/>
                <w:lang w:eastAsia="es-ES"/>
              </w:rPr>
            </w:pPr>
          </w:p>
        </w:tc>
        <w:tc>
          <w:tcPr>
            <w:tcW w:w="4771" w:type="dxa"/>
            <w:shd w:val="clear" w:color="auto" w:fill="F2F2F2"/>
          </w:tcPr>
          <w:p w14:paraId="2DFEE84D" w14:textId="77777777" w:rsidR="00A1367E" w:rsidRPr="00A1367E" w:rsidRDefault="00A1367E" w:rsidP="00A1367E">
            <w:pPr>
              <w:spacing w:before="100" w:beforeAutospacing="1"/>
              <w:jc w:val="both"/>
              <w:rPr>
                <w:rFonts w:ascii="Arial" w:eastAsia="Times New Roman" w:hAnsi="Arial" w:cs="Arial"/>
                <w:sz w:val="16"/>
                <w:szCs w:val="16"/>
                <w:lang w:eastAsia="es-ES"/>
              </w:rPr>
            </w:pPr>
            <w:r w:rsidRPr="00A1367E">
              <w:rPr>
                <w:rFonts w:ascii="Arial" w:eastAsia="Times New Roman" w:hAnsi="Arial" w:cs="Arial"/>
                <w:sz w:val="16"/>
                <w:szCs w:val="16"/>
                <w:lang w:eastAsia="es-ES"/>
              </w:rPr>
              <w:t>Sobre la investigación incoada de oficio por la AVAF sobre el uso de fondos públicos para financiar residencias de mayores durante la crisis del coronavirus</w:t>
            </w:r>
          </w:p>
        </w:tc>
        <w:tc>
          <w:tcPr>
            <w:tcW w:w="1040" w:type="dxa"/>
            <w:shd w:val="clear" w:color="auto" w:fill="F2F2F2"/>
          </w:tcPr>
          <w:p w14:paraId="27229DBA"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23/12/2020</w:t>
            </w:r>
          </w:p>
        </w:tc>
        <w:tc>
          <w:tcPr>
            <w:tcW w:w="1399" w:type="dxa"/>
            <w:shd w:val="clear" w:color="auto" w:fill="F2F2F2"/>
          </w:tcPr>
          <w:p w14:paraId="7609B48B"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12/07/2021</w:t>
            </w:r>
          </w:p>
        </w:tc>
      </w:tr>
      <w:tr w:rsidR="00A1367E" w:rsidRPr="00A1367E" w14:paraId="65379F7F" w14:textId="77777777" w:rsidTr="00A1367E">
        <w:tc>
          <w:tcPr>
            <w:tcW w:w="1284" w:type="dxa"/>
            <w:vMerge/>
          </w:tcPr>
          <w:p w14:paraId="207A309F" w14:textId="77777777" w:rsidR="00A1367E" w:rsidRPr="00A1367E" w:rsidRDefault="00A1367E" w:rsidP="00A1367E">
            <w:pPr>
              <w:spacing w:before="100" w:beforeAutospacing="1"/>
              <w:rPr>
                <w:rFonts w:ascii="Arial" w:eastAsia="Times New Roman" w:hAnsi="Arial" w:cs="Arial"/>
                <w:sz w:val="16"/>
                <w:szCs w:val="16"/>
                <w:lang w:eastAsia="es-ES"/>
              </w:rPr>
            </w:pPr>
          </w:p>
        </w:tc>
        <w:tc>
          <w:tcPr>
            <w:tcW w:w="4771" w:type="dxa"/>
          </w:tcPr>
          <w:p w14:paraId="0AA7FA17" w14:textId="77777777" w:rsidR="00A1367E" w:rsidRPr="00A1367E" w:rsidRDefault="00A1367E" w:rsidP="00A1367E">
            <w:pPr>
              <w:spacing w:before="100" w:beforeAutospacing="1"/>
              <w:rPr>
                <w:rFonts w:ascii="Arial" w:eastAsia="Times New Roman" w:hAnsi="Arial" w:cs="Arial"/>
                <w:sz w:val="16"/>
                <w:szCs w:val="16"/>
                <w:lang w:eastAsia="es-ES"/>
              </w:rPr>
            </w:pPr>
            <w:r w:rsidRPr="00A1367E">
              <w:rPr>
                <w:rFonts w:ascii="Arial" w:eastAsia="Times New Roman" w:hAnsi="Arial" w:cs="Arial"/>
                <w:sz w:val="16"/>
                <w:szCs w:val="16"/>
                <w:lang w:eastAsia="es-ES"/>
              </w:rPr>
              <w:t xml:space="preserve">Sobre investigaciones de la AVAF </w:t>
            </w:r>
            <w:r w:rsidRPr="00A1367E">
              <w:rPr>
                <w:rFonts w:ascii="Arial" w:eastAsia="SimSun" w:hAnsi="Arial" w:cs="Arial"/>
                <w:kern w:val="2"/>
                <w:sz w:val="16"/>
                <w:szCs w:val="16"/>
                <w:lang w:eastAsia="zh-CN" w:bidi="hi-IN"/>
              </w:rPr>
              <w:t>en relación con el Cuerpo de Policía local de Torrevieja</w:t>
            </w:r>
          </w:p>
        </w:tc>
        <w:tc>
          <w:tcPr>
            <w:tcW w:w="1040" w:type="dxa"/>
          </w:tcPr>
          <w:p w14:paraId="6931EBEA"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3/02/2021</w:t>
            </w:r>
          </w:p>
        </w:tc>
        <w:tc>
          <w:tcPr>
            <w:tcW w:w="1399" w:type="dxa"/>
          </w:tcPr>
          <w:p w14:paraId="3B346C9D"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2/03/2021</w:t>
            </w:r>
          </w:p>
        </w:tc>
      </w:tr>
      <w:tr w:rsidR="00A1367E" w:rsidRPr="00A1367E" w14:paraId="4F47D61B" w14:textId="77777777" w:rsidTr="00A1367E">
        <w:tc>
          <w:tcPr>
            <w:tcW w:w="1284" w:type="dxa"/>
            <w:vMerge/>
          </w:tcPr>
          <w:p w14:paraId="21EEAA86" w14:textId="77777777" w:rsidR="00A1367E" w:rsidRPr="00A1367E" w:rsidRDefault="00A1367E" w:rsidP="00A1367E">
            <w:pPr>
              <w:spacing w:before="100" w:beforeAutospacing="1"/>
              <w:rPr>
                <w:rFonts w:ascii="Arial" w:eastAsia="Times New Roman" w:hAnsi="Arial" w:cs="Arial"/>
                <w:sz w:val="16"/>
                <w:szCs w:val="16"/>
                <w:lang w:eastAsia="es-ES"/>
              </w:rPr>
            </w:pPr>
          </w:p>
        </w:tc>
        <w:tc>
          <w:tcPr>
            <w:tcW w:w="4771" w:type="dxa"/>
            <w:shd w:val="clear" w:color="auto" w:fill="F2F2F2"/>
          </w:tcPr>
          <w:p w14:paraId="5C1092EC" w14:textId="77777777" w:rsidR="00A1367E" w:rsidRPr="00A1367E" w:rsidRDefault="00A1367E" w:rsidP="00A1367E">
            <w:pPr>
              <w:spacing w:before="100" w:beforeAutospacing="1"/>
              <w:jc w:val="both"/>
              <w:rPr>
                <w:rFonts w:ascii="Arial" w:eastAsia="Times New Roman" w:hAnsi="Arial" w:cs="Arial"/>
                <w:sz w:val="16"/>
                <w:szCs w:val="16"/>
                <w:lang w:eastAsia="es-ES"/>
              </w:rPr>
            </w:pPr>
            <w:r w:rsidRPr="00A1367E">
              <w:rPr>
                <w:rFonts w:ascii="Arial" w:eastAsia="Times New Roman" w:hAnsi="Arial" w:cs="Arial"/>
                <w:sz w:val="16"/>
                <w:szCs w:val="16"/>
                <w:lang w:eastAsia="es-ES"/>
              </w:rPr>
              <w:t>Sobre supuesta inacción en relación con una operación urbanística entre el Ayuntamiento de Orihuela y el Obispado de Orihuela (Alicante), entre los años 2003 y 2007</w:t>
            </w:r>
          </w:p>
        </w:tc>
        <w:tc>
          <w:tcPr>
            <w:tcW w:w="1040" w:type="dxa"/>
            <w:shd w:val="clear" w:color="auto" w:fill="F2F2F2"/>
          </w:tcPr>
          <w:p w14:paraId="02E14313"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10/02/2021</w:t>
            </w:r>
          </w:p>
        </w:tc>
        <w:tc>
          <w:tcPr>
            <w:tcW w:w="1399" w:type="dxa"/>
            <w:shd w:val="clear" w:color="auto" w:fill="F2F2F2"/>
          </w:tcPr>
          <w:p w14:paraId="16D6F37E"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10/03/2021</w:t>
            </w:r>
          </w:p>
        </w:tc>
      </w:tr>
      <w:tr w:rsidR="00A1367E" w:rsidRPr="00A1367E" w14:paraId="3E42B435" w14:textId="77777777" w:rsidTr="00A1367E">
        <w:tc>
          <w:tcPr>
            <w:tcW w:w="1284" w:type="dxa"/>
            <w:vMerge/>
          </w:tcPr>
          <w:p w14:paraId="11EDB688" w14:textId="77777777" w:rsidR="00A1367E" w:rsidRPr="00A1367E" w:rsidRDefault="00A1367E" w:rsidP="00A1367E">
            <w:pPr>
              <w:spacing w:before="100" w:beforeAutospacing="1"/>
              <w:rPr>
                <w:rFonts w:ascii="Arial" w:eastAsia="Times New Roman" w:hAnsi="Arial" w:cs="Arial"/>
                <w:sz w:val="16"/>
                <w:szCs w:val="16"/>
                <w:lang w:eastAsia="es-ES"/>
              </w:rPr>
            </w:pPr>
          </w:p>
        </w:tc>
        <w:tc>
          <w:tcPr>
            <w:tcW w:w="4771" w:type="dxa"/>
          </w:tcPr>
          <w:p w14:paraId="67804862" w14:textId="77777777" w:rsidR="00A1367E" w:rsidRPr="00A1367E" w:rsidRDefault="00A1367E" w:rsidP="00A1367E">
            <w:pPr>
              <w:spacing w:before="100" w:beforeAutospacing="1"/>
              <w:jc w:val="both"/>
              <w:rPr>
                <w:rFonts w:ascii="Arial" w:eastAsia="Times New Roman" w:hAnsi="Arial" w:cs="Arial"/>
                <w:sz w:val="16"/>
                <w:szCs w:val="16"/>
                <w:lang w:eastAsia="es-ES"/>
              </w:rPr>
            </w:pPr>
            <w:r w:rsidRPr="00A1367E">
              <w:rPr>
                <w:rFonts w:ascii="Arial" w:eastAsia="Times New Roman" w:hAnsi="Arial" w:cs="Arial"/>
                <w:sz w:val="16"/>
                <w:szCs w:val="16"/>
                <w:lang w:eastAsia="es-ES"/>
              </w:rPr>
              <w:t>Requerimientos formulados por la Agencia al Ayuntamiento de Santa Pola desde su creación y hasta la fecha de respuesta a esta iniciativa</w:t>
            </w:r>
          </w:p>
        </w:tc>
        <w:tc>
          <w:tcPr>
            <w:tcW w:w="1040" w:type="dxa"/>
          </w:tcPr>
          <w:p w14:paraId="3F65D4A8"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7/09/2021</w:t>
            </w:r>
          </w:p>
        </w:tc>
        <w:tc>
          <w:tcPr>
            <w:tcW w:w="1399" w:type="dxa"/>
          </w:tcPr>
          <w:p w14:paraId="409C10F1"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1/10/2021</w:t>
            </w:r>
          </w:p>
        </w:tc>
      </w:tr>
      <w:tr w:rsidR="00A1367E" w:rsidRPr="00A1367E" w14:paraId="0F51149D" w14:textId="77777777" w:rsidTr="00A1367E">
        <w:tc>
          <w:tcPr>
            <w:tcW w:w="1284" w:type="dxa"/>
            <w:vMerge/>
          </w:tcPr>
          <w:p w14:paraId="20083A1C" w14:textId="77777777" w:rsidR="00A1367E" w:rsidRPr="00A1367E" w:rsidRDefault="00A1367E" w:rsidP="00A1367E">
            <w:pPr>
              <w:spacing w:before="100" w:beforeAutospacing="1"/>
              <w:rPr>
                <w:rFonts w:ascii="Arial" w:eastAsia="Times New Roman" w:hAnsi="Arial" w:cs="Arial"/>
                <w:sz w:val="16"/>
                <w:szCs w:val="16"/>
                <w:lang w:eastAsia="es-ES"/>
              </w:rPr>
            </w:pPr>
          </w:p>
        </w:tc>
        <w:tc>
          <w:tcPr>
            <w:tcW w:w="4771" w:type="dxa"/>
            <w:shd w:val="clear" w:color="auto" w:fill="F2F2F2"/>
          </w:tcPr>
          <w:p w14:paraId="76AA0A60" w14:textId="77777777" w:rsidR="00A1367E" w:rsidRPr="00A1367E" w:rsidRDefault="00A1367E" w:rsidP="00A1367E">
            <w:pPr>
              <w:spacing w:before="100" w:beforeAutospacing="1"/>
              <w:jc w:val="both"/>
              <w:rPr>
                <w:rFonts w:ascii="Arial" w:eastAsia="Times New Roman" w:hAnsi="Arial" w:cs="Arial"/>
                <w:sz w:val="16"/>
                <w:szCs w:val="16"/>
                <w:lang w:eastAsia="es-ES"/>
              </w:rPr>
            </w:pPr>
            <w:r w:rsidRPr="00A1367E">
              <w:rPr>
                <w:rFonts w:ascii="Arial" w:eastAsia="Times New Roman" w:hAnsi="Arial" w:cs="Arial"/>
                <w:sz w:val="16"/>
                <w:szCs w:val="16"/>
                <w:lang w:eastAsia="es-ES"/>
              </w:rPr>
              <w:t>Expedientes de investigación en curso relativos a actuaciones administrativas del Ayuntamiento de Santa Pola</w:t>
            </w:r>
          </w:p>
        </w:tc>
        <w:tc>
          <w:tcPr>
            <w:tcW w:w="1040" w:type="dxa"/>
            <w:shd w:val="clear" w:color="auto" w:fill="F2F2F2"/>
          </w:tcPr>
          <w:p w14:paraId="745D0CA4"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7/09/2021</w:t>
            </w:r>
          </w:p>
        </w:tc>
        <w:tc>
          <w:tcPr>
            <w:tcW w:w="1399" w:type="dxa"/>
            <w:shd w:val="clear" w:color="auto" w:fill="F2F2F2"/>
          </w:tcPr>
          <w:p w14:paraId="30BAF4E0"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1/10/2021</w:t>
            </w:r>
          </w:p>
        </w:tc>
      </w:tr>
      <w:tr w:rsidR="00A1367E" w:rsidRPr="00A1367E" w14:paraId="3DB84030" w14:textId="77777777" w:rsidTr="00A1367E">
        <w:tc>
          <w:tcPr>
            <w:tcW w:w="1284" w:type="dxa"/>
            <w:vMerge/>
          </w:tcPr>
          <w:p w14:paraId="34907958" w14:textId="77777777" w:rsidR="00A1367E" w:rsidRPr="00A1367E" w:rsidRDefault="00A1367E" w:rsidP="00A1367E">
            <w:pPr>
              <w:spacing w:before="100" w:beforeAutospacing="1"/>
              <w:rPr>
                <w:rFonts w:ascii="Arial" w:eastAsia="Times New Roman" w:hAnsi="Arial" w:cs="Arial"/>
                <w:sz w:val="16"/>
                <w:szCs w:val="16"/>
                <w:lang w:eastAsia="es-ES"/>
              </w:rPr>
            </w:pPr>
          </w:p>
        </w:tc>
        <w:tc>
          <w:tcPr>
            <w:tcW w:w="4771" w:type="dxa"/>
          </w:tcPr>
          <w:p w14:paraId="258BE230" w14:textId="77777777" w:rsidR="00A1367E" w:rsidRPr="00A1367E" w:rsidRDefault="00A1367E" w:rsidP="00A1367E">
            <w:pPr>
              <w:spacing w:before="100" w:beforeAutospacing="1"/>
              <w:jc w:val="both"/>
              <w:rPr>
                <w:rFonts w:ascii="Arial" w:eastAsia="Times New Roman" w:hAnsi="Arial" w:cs="Arial"/>
                <w:sz w:val="16"/>
                <w:szCs w:val="16"/>
                <w:lang w:eastAsia="es-ES"/>
              </w:rPr>
            </w:pPr>
            <w:r w:rsidRPr="00A1367E">
              <w:rPr>
                <w:rFonts w:ascii="Arial" w:eastAsia="Times New Roman" w:hAnsi="Arial" w:cs="Arial"/>
                <w:sz w:val="16"/>
                <w:szCs w:val="16"/>
                <w:lang w:eastAsia="es-ES"/>
              </w:rPr>
              <w:t>Expedientes administrativos en relación con cualquier nombramiento, designaciones, contratos o relación de cualquier otra naturaleza entre la agencia y Sr. Baltasar Garzón Real, directamente o a través de cualquier personas jurídicas, así como una relación de todos los pagos realizados en virtud de estas relaciones, incluso aquellos que se deban al resarcimiento de dietas o desplazamientos, y copia de todos los documentos que ordenan o acreditan pagos a este, incluyendo facturas, justificantes y cualquier otros</w:t>
            </w:r>
          </w:p>
        </w:tc>
        <w:tc>
          <w:tcPr>
            <w:tcW w:w="1040" w:type="dxa"/>
          </w:tcPr>
          <w:p w14:paraId="02710E47"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13/10/2021</w:t>
            </w:r>
          </w:p>
        </w:tc>
        <w:tc>
          <w:tcPr>
            <w:tcW w:w="1399" w:type="dxa"/>
          </w:tcPr>
          <w:p w14:paraId="463D6E2B"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14/10/2021</w:t>
            </w:r>
          </w:p>
        </w:tc>
      </w:tr>
      <w:tr w:rsidR="00A1367E" w:rsidRPr="00A1367E" w14:paraId="694F0C1E" w14:textId="77777777" w:rsidTr="00A1367E">
        <w:tc>
          <w:tcPr>
            <w:tcW w:w="1284" w:type="dxa"/>
            <w:vMerge w:val="restart"/>
          </w:tcPr>
          <w:p w14:paraId="608356BD" w14:textId="77777777" w:rsidR="00A1367E" w:rsidRPr="00A1367E" w:rsidRDefault="00A1367E" w:rsidP="00A1367E">
            <w:pPr>
              <w:spacing w:before="100" w:beforeAutospacing="1"/>
              <w:rPr>
                <w:rFonts w:ascii="Arial" w:eastAsia="Times New Roman" w:hAnsi="Arial" w:cs="Arial"/>
                <w:b/>
                <w:bCs/>
                <w:color w:val="9D2235"/>
                <w:sz w:val="16"/>
                <w:szCs w:val="16"/>
                <w:lang w:eastAsia="es-ES"/>
              </w:rPr>
            </w:pPr>
            <w:r w:rsidRPr="00A1367E">
              <w:rPr>
                <w:rFonts w:ascii="Arial" w:eastAsia="Times New Roman" w:hAnsi="Arial" w:cs="Arial"/>
                <w:b/>
                <w:bCs/>
                <w:color w:val="9D2235"/>
                <w:sz w:val="16"/>
                <w:szCs w:val="16"/>
                <w:lang w:eastAsia="es-ES"/>
              </w:rPr>
              <w:t>Grupo Socialista</w:t>
            </w:r>
          </w:p>
        </w:tc>
        <w:tc>
          <w:tcPr>
            <w:tcW w:w="4771" w:type="dxa"/>
            <w:shd w:val="clear" w:color="auto" w:fill="F2F2F2"/>
          </w:tcPr>
          <w:p w14:paraId="29A380AE" w14:textId="77777777" w:rsidR="00A1367E" w:rsidRPr="00A1367E" w:rsidRDefault="00A1367E" w:rsidP="00A1367E">
            <w:pPr>
              <w:spacing w:before="100" w:beforeAutospacing="1"/>
              <w:jc w:val="both"/>
              <w:rPr>
                <w:rFonts w:ascii="Arial" w:eastAsia="Times New Roman" w:hAnsi="Arial" w:cs="Arial"/>
                <w:sz w:val="16"/>
                <w:szCs w:val="16"/>
                <w:lang w:eastAsia="es-ES"/>
              </w:rPr>
            </w:pPr>
            <w:r w:rsidRPr="00A1367E">
              <w:rPr>
                <w:rFonts w:ascii="Arial" w:eastAsia="Times New Roman" w:hAnsi="Arial" w:cs="Arial"/>
                <w:sz w:val="16"/>
                <w:szCs w:val="16"/>
                <w:lang w:eastAsia="es-ES"/>
              </w:rPr>
              <w:t>Sobre subvenciones otorgadas RTL-10-02-010 Ayudas Ruralter-LEADER (GAL ZONA 2) a la mercantil Comunicacions dels Ports SA</w:t>
            </w:r>
          </w:p>
        </w:tc>
        <w:tc>
          <w:tcPr>
            <w:tcW w:w="1040" w:type="dxa"/>
            <w:shd w:val="clear" w:color="auto" w:fill="F2F2F2"/>
          </w:tcPr>
          <w:p w14:paraId="008C5BE5"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10/03/2021</w:t>
            </w:r>
          </w:p>
        </w:tc>
        <w:tc>
          <w:tcPr>
            <w:tcW w:w="1399" w:type="dxa"/>
            <w:shd w:val="clear" w:color="auto" w:fill="F2F2F2"/>
          </w:tcPr>
          <w:p w14:paraId="23AE1B03"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25/06/2021</w:t>
            </w:r>
          </w:p>
        </w:tc>
      </w:tr>
      <w:tr w:rsidR="00A1367E" w:rsidRPr="00A1367E" w14:paraId="6CADBE52" w14:textId="77777777" w:rsidTr="00A1367E">
        <w:tc>
          <w:tcPr>
            <w:tcW w:w="1284" w:type="dxa"/>
            <w:vMerge/>
          </w:tcPr>
          <w:p w14:paraId="1890D1ED" w14:textId="77777777" w:rsidR="00A1367E" w:rsidRPr="00A1367E" w:rsidRDefault="00A1367E" w:rsidP="00A1367E">
            <w:pPr>
              <w:spacing w:before="100" w:beforeAutospacing="1"/>
              <w:rPr>
                <w:rFonts w:ascii="Arial" w:eastAsia="Times New Roman" w:hAnsi="Arial" w:cs="Arial"/>
                <w:sz w:val="16"/>
                <w:szCs w:val="16"/>
                <w:lang w:eastAsia="es-ES"/>
              </w:rPr>
            </w:pPr>
          </w:p>
        </w:tc>
        <w:tc>
          <w:tcPr>
            <w:tcW w:w="4771" w:type="dxa"/>
          </w:tcPr>
          <w:p w14:paraId="06D22600" w14:textId="77777777" w:rsidR="00A1367E" w:rsidRPr="00A1367E" w:rsidRDefault="00A1367E" w:rsidP="00A1367E">
            <w:pPr>
              <w:spacing w:before="100" w:beforeAutospacing="1"/>
              <w:rPr>
                <w:rFonts w:ascii="Arial" w:eastAsia="Times New Roman" w:hAnsi="Arial" w:cs="Arial"/>
                <w:sz w:val="16"/>
                <w:szCs w:val="16"/>
                <w:lang w:eastAsia="es-ES"/>
              </w:rPr>
            </w:pPr>
            <w:r w:rsidRPr="00A1367E">
              <w:rPr>
                <w:rFonts w:ascii="Arial" w:eastAsia="Times New Roman" w:hAnsi="Arial" w:cs="Arial"/>
                <w:sz w:val="16"/>
                <w:szCs w:val="16"/>
                <w:lang w:eastAsia="es-ES"/>
              </w:rPr>
              <w:t>Sobre subvenciones otorgadas por la Agencia Valenciana de Fomento y Garantía Agraria (AVFGA) a Comunicacions dels Ports SA</w:t>
            </w:r>
          </w:p>
        </w:tc>
        <w:tc>
          <w:tcPr>
            <w:tcW w:w="1040" w:type="dxa"/>
          </w:tcPr>
          <w:p w14:paraId="47088A9E"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10/03/2021</w:t>
            </w:r>
          </w:p>
        </w:tc>
        <w:tc>
          <w:tcPr>
            <w:tcW w:w="1399" w:type="dxa"/>
          </w:tcPr>
          <w:p w14:paraId="2DBAA737"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25/06/2021</w:t>
            </w:r>
          </w:p>
        </w:tc>
      </w:tr>
      <w:tr w:rsidR="00A1367E" w:rsidRPr="00A1367E" w14:paraId="60A87B70" w14:textId="77777777" w:rsidTr="00A1367E">
        <w:tc>
          <w:tcPr>
            <w:tcW w:w="1284" w:type="dxa"/>
            <w:vMerge/>
          </w:tcPr>
          <w:p w14:paraId="606B4BB8" w14:textId="77777777" w:rsidR="00A1367E" w:rsidRPr="00A1367E" w:rsidRDefault="00A1367E" w:rsidP="00A1367E">
            <w:pPr>
              <w:spacing w:before="100" w:beforeAutospacing="1"/>
              <w:rPr>
                <w:rFonts w:ascii="Arial" w:eastAsia="Times New Roman" w:hAnsi="Arial" w:cs="Arial"/>
                <w:sz w:val="16"/>
                <w:szCs w:val="16"/>
                <w:lang w:eastAsia="es-ES"/>
              </w:rPr>
            </w:pPr>
          </w:p>
        </w:tc>
        <w:tc>
          <w:tcPr>
            <w:tcW w:w="4771" w:type="dxa"/>
            <w:shd w:val="clear" w:color="auto" w:fill="F2F2F2"/>
          </w:tcPr>
          <w:p w14:paraId="0F44BC78" w14:textId="77777777" w:rsidR="00A1367E" w:rsidRPr="00A1367E" w:rsidRDefault="00A1367E" w:rsidP="00A1367E">
            <w:pPr>
              <w:spacing w:before="100" w:beforeAutospacing="1"/>
              <w:rPr>
                <w:rFonts w:ascii="Arial" w:eastAsia="Times New Roman" w:hAnsi="Arial" w:cs="Arial"/>
                <w:sz w:val="16"/>
                <w:szCs w:val="16"/>
                <w:lang w:eastAsia="es-ES"/>
              </w:rPr>
            </w:pPr>
            <w:r w:rsidRPr="00A1367E">
              <w:rPr>
                <w:rFonts w:ascii="Arial" w:eastAsia="Times New Roman" w:hAnsi="Arial" w:cs="Arial"/>
                <w:sz w:val="16"/>
                <w:szCs w:val="16"/>
                <w:lang w:eastAsia="es-ES"/>
              </w:rPr>
              <w:t>Sobre concesión de ayudas públicas para la promoción del valenciano por parte de las mercantiles Kriol Produccions, SL y Canal Maestral, SL</w:t>
            </w:r>
          </w:p>
        </w:tc>
        <w:tc>
          <w:tcPr>
            <w:tcW w:w="1040" w:type="dxa"/>
            <w:shd w:val="clear" w:color="auto" w:fill="F2F2F2"/>
          </w:tcPr>
          <w:p w14:paraId="5AFF0D47"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10/03/2021</w:t>
            </w:r>
          </w:p>
        </w:tc>
        <w:tc>
          <w:tcPr>
            <w:tcW w:w="1399" w:type="dxa"/>
            <w:shd w:val="clear" w:color="auto" w:fill="F2F2F2"/>
          </w:tcPr>
          <w:p w14:paraId="05AD33CA"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22/07/2021</w:t>
            </w:r>
          </w:p>
        </w:tc>
      </w:tr>
      <w:tr w:rsidR="00A1367E" w:rsidRPr="00A1367E" w14:paraId="2B367833" w14:textId="77777777" w:rsidTr="00A1367E">
        <w:tc>
          <w:tcPr>
            <w:tcW w:w="1284" w:type="dxa"/>
            <w:vMerge/>
          </w:tcPr>
          <w:p w14:paraId="3A945439" w14:textId="77777777" w:rsidR="00A1367E" w:rsidRPr="00A1367E" w:rsidRDefault="00A1367E" w:rsidP="00A1367E">
            <w:pPr>
              <w:spacing w:before="100" w:beforeAutospacing="1"/>
              <w:rPr>
                <w:rFonts w:ascii="Arial" w:eastAsia="Times New Roman" w:hAnsi="Arial" w:cs="Arial"/>
                <w:sz w:val="16"/>
                <w:szCs w:val="16"/>
                <w:lang w:eastAsia="es-ES"/>
              </w:rPr>
            </w:pPr>
          </w:p>
        </w:tc>
        <w:tc>
          <w:tcPr>
            <w:tcW w:w="4771" w:type="dxa"/>
          </w:tcPr>
          <w:p w14:paraId="676FF50F" w14:textId="77777777" w:rsidR="00A1367E" w:rsidRPr="00A1367E" w:rsidRDefault="00A1367E" w:rsidP="00A1367E">
            <w:pPr>
              <w:spacing w:before="100" w:beforeAutospacing="1"/>
              <w:rPr>
                <w:rFonts w:ascii="Arial" w:eastAsia="Times New Roman" w:hAnsi="Arial" w:cs="Arial"/>
                <w:sz w:val="16"/>
                <w:szCs w:val="16"/>
                <w:lang w:eastAsia="es-ES"/>
              </w:rPr>
            </w:pPr>
            <w:r w:rsidRPr="00A1367E">
              <w:rPr>
                <w:rFonts w:ascii="Arial" w:eastAsia="Times New Roman" w:hAnsi="Arial" w:cs="Arial"/>
                <w:sz w:val="16"/>
                <w:szCs w:val="16"/>
                <w:lang w:eastAsia="es-ES"/>
              </w:rPr>
              <w:t xml:space="preserve">Sobre investigaciones de la AVAF </w:t>
            </w:r>
            <w:r w:rsidRPr="00A1367E">
              <w:rPr>
                <w:rFonts w:ascii="Arial" w:eastAsia="SimSun" w:hAnsi="Arial" w:cs="Arial"/>
                <w:kern w:val="2"/>
                <w:sz w:val="16"/>
                <w:szCs w:val="16"/>
                <w:lang w:eastAsia="zh-CN" w:bidi="hi-IN"/>
              </w:rPr>
              <w:t>en relación con el Cuerpo de Policía local de Torrevieja</w:t>
            </w:r>
          </w:p>
        </w:tc>
        <w:tc>
          <w:tcPr>
            <w:tcW w:w="1040" w:type="dxa"/>
          </w:tcPr>
          <w:p w14:paraId="4D191EEF"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10/03/2021</w:t>
            </w:r>
          </w:p>
        </w:tc>
        <w:tc>
          <w:tcPr>
            <w:tcW w:w="1399" w:type="dxa"/>
          </w:tcPr>
          <w:p w14:paraId="57C49289"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13/04/2021</w:t>
            </w:r>
          </w:p>
        </w:tc>
      </w:tr>
      <w:tr w:rsidR="00A1367E" w:rsidRPr="00A1367E" w14:paraId="18E80CB6" w14:textId="77777777" w:rsidTr="00A1367E">
        <w:tc>
          <w:tcPr>
            <w:tcW w:w="1284" w:type="dxa"/>
          </w:tcPr>
          <w:p w14:paraId="63ADFB9D" w14:textId="77777777" w:rsidR="00A1367E" w:rsidRPr="00A1367E" w:rsidRDefault="00A1367E" w:rsidP="00A1367E">
            <w:pPr>
              <w:spacing w:before="100" w:beforeAutospacing="1"/>
              <w:rPr>
                <w:rFonts w:ascii="Arial" w:eastAsia="Times New Roman" w:hAnsi="Arial" w:cs="Arial"/>
                <w:b/>
                <w:bCs/>
                <w:color w:val="9D2235"/>
                <w:sz w:val="16"/>
                <w:szCs w:val="16"/>
                <w:lang w:eastAsia="es-ES"/>
              </w:rPr>
            </w:pPr>
            <w:r w:rsidRPr="00A1367E">
              <w:rPr>
                <w:rFonts w:ascii="Arial" w:eastAsia="Times New Roman" w:hAnsi="Arial" w:cs="Arial"/>
                <w:b/>
                <w:bCs/>
                <w:color w:val="9D2235"/>
                <w:sz w:val="16"/>
                <w:szCs w:val="16"/>
                <w:lang w:eastAsia="es-ES"/>
              </w:rPr>
              <w:t>Grupo VOX</w:t>
            </w:r>
          </w:p>
        </w:tc>
        <w:tc>
          <w:tcPr>
            <w:tcW w:w="4771" w:type="dxa"/>
            <w:shd w:val="clear" w:color="auto" w:fill="F2F2F2"/>
          </w:tcPr>
          <w:p w14:paraId="249AB3FE" w14:textId="77777777" w:rsidR="00A1367E" w:rsidRPr="00A1367E" w:rsidRDefault="00A1367E" w:rsidP="00A1367E">
            <w:pPr>
              <w:spacing w:before="100" w:beforeAutospacing="1"/>
              <w:rPr>
                <w:rFonts w:ascii="Arial" w:eastAsia="Times New Roman" w:hAnsi="Arial" w:cs="Arial"/>
                <w:sz w:val="16"/>
                <w:szCs w:val="16"/>
                <w:lang w:eastAsia="es-ES"/>
              </w:rPr>
            </w:pPr>
            <w:r w:rsidRPr="00A1367E">
              <w:rPr>
                <w:rFonts w:ascii="Arial" w:eastAsia="Times New Roman" w:hAnsi="Arial" w:cs="Arial"/>
                <w:sz w:val="16"/>
                <w:szCs w:val="16"/>
                <w:lang w:eastAsia="es-ES"/>
              </w:rPr>
              <w:t>Sobre concesión de ayudas públicas para la promoción del valenciano por parte de las mercantiles Kriol Produccions, SL y Canal Maestral, SL</w:t>
            </w:r>
          </w:p>
        </w:tc>
        <w:tc>
          <w:tcPr>
            <w:tcW w:w="1040" w:type="dxa"/>
            <w:shd w:val="clear" w:color="auto" w:fill="F2F2F2"/>
          </w:tcPr>
          <w:p w14:paraId="5DF7D7B6"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29/07/2021</w:t>
            </w:r>
          </w:p>
        </w:tc>
        <w:tc>
          <w:tcPr>
            <w:tcW w:w="1399" w:type="dxa"/>
            <w:shd w:val="clear" w:color="auto" w:fill="F2F2F2"/>
          </w:tcPr>
          <w:p w14:paraId="081B430D" w14:textId="77777777" w:rsidR="00A1367E" w:rsidRPr="00A1367E" w:rsidRDefault="00A1367E" w:rsidP="00A1367E">
            <w:pPr>
              <w:spacing w:before="100" w:beforeAutospacing="1"/>
              <w:jc w:val="right"/>
              <w:rPr>
                <w:rFonts w:ascii="Arial" w:eastAsia="Times New Roman" w:hAnsi="Arial" w:cs="Arial"/>
                <w:sz w:val="16"/>
                <w:szCs w:val="16"/>
                <w:lang w:eastAsia="es-ES"/>
              </w:rPr>
            </w:pPr>
            <w:r w:rsidRPr="00A1367E">
              <w:rPr>
                <w:rFonts w:ascii="Arial" w:eastAsia="Times New Roman" w:hAnsi="Arial" w:cs="Arial"/>
                <w:sz w:val="16"/>
                <w:szCs w:val="16"/>
                <w:lang w:eastAsia="es-ES"/>
              </w:rPr>
              <w:t>24/08/2021</w:t>
            </w:r>
          </w:p>
        </w:tc>
      </w:tr>
    </w:tbl>
    <w:p w14:paraId="54401A1C" w14:textId="6C315D25" w:rsidR="00446E4D" w:rsidRDefault="00446E4D" w:rsidP="00EC073F">
      <w:pPr>
        <w:spacing w:after="80" w:line="276" w:lineRule="auto"/>
        <w:jc w:val="both"/>
        <w:rPr>
          <w:rFonts w:ascii="Arial" w:hAnsi="Arial"/>
          <w:sz w:val="21"/>
          <w:szCs w:val="21"/>
        </w:rPr>
      </w:pPr>
    </w:p>
    <w:p w14:paraId="3CCF48A8" w14:textId="77777777" w:rsidR="00F70C70" w:rsidRDefault="00F70C70" w:rsidP="00EC073F">
      <w:pPr>
        <w:spacing w:after="80" w:line="276" w:lineRule="auto"/>
        <w:jc w:val="both"/>
        <w:rPr>
          <w:rFonts w:ascii="Arial" w:hAnsi="Arial"/>
          <w:sz w:val="21"/>
          <w:szCs w:val="21"/>
        </w:rPr>
      </w:pPr>
    </w:p>
    <w:tbl>
      <w:tblPr>
        <w:tblStyle w:val="Tablaconcuadrcula13"/>
        <w:tblW w:w="0" w:type="auto"/>
        <w:tblLook w:val="04A0" w:firstRow="1" w:lastRow="0" w:firstColumn="1" w:lastColumn="0" w:noHBand="0" w:noVBand="1"/>
      </w:tblPr>
      <w:tblGrid>
        <w:gridCol w:w="1284"/>
        <w:gridCol w:w="4963"/>
        <w:gridCol w:w="1017"/>
        <w:gridCol w:w="1230"/>
      </w:tblGrid>
      <w:tr w:rsidR="00087531" w:rsidRPr="00087531" w14:paraId="1446FF55" w14:textId="77777777" w:rsidTr="00E32A80">
        <w:trPr>
          <w:tblHeader/>
        </w:trPr>
        <w:tc>
          <w:tcPr>
            <w:tcW w:w="9628" w:type="dxa"/>
            <w:gridSpan w:val="4"/>
            <w:tcBorders>
              <w:bottom w:val="nil"/>
            </w:tcBorders>
            <w:shd w:val="clear" w:color="auto" w:fill="9D2235"/>
          </w:tcPr>
          <w:p w14:paraId="488E4056" w14:textId="77777777" w:rsidR="00087531" w:rsidRPr="00087531" w:rsidRDefault="00087531" w:rsidP="00087531">
            <w:pPr>
              <w:spacing w:before="100" w:beforeAutospacing="1"/>
              <w:jc w:val="center"/>
              <w:rPr>
                <w:rFonts w:ascii="Arial" w:eastAsia="Times New Roman" w:hAnsi="Arial" w:cs="Arial"/>
                <w:b/>
                <w:bCs/>
                <w:color w:val="FFFFFF"/>
                <w:sz w:val="16"/>
                <w:szCs w:val="16"/>
                <w:lang w:eastAsia="es-ES"/>
              </w:rPr>
            </w:pPr>
            <w:r w:rsidRPr="00087531">
              <w:rPr>
                <w:rFonts w:ascii="Arial" w:eastAsia="Times New Roman" w:hAnsi="Arial" w:cs="Arial"/>
                <w:b/>
                <w:bCs/>
                <w:color w:val="FFFFFF"/>
                <w:sz w:val="16"/>
                <w:szCs w:val="16"/>
                <w:lang w:eastAsia="es-ES"/>
              </w:rPr>
              <w:t xml:space="preserve">ACTIVIDAD ADMINISTRATIVA, CONTRATACIÓN, RECURSOS HUMANOS E INFORMES JURÍDICOS </w:t>
            </w:r>
          </w:p>
        </w:tc>
      </w:tr>
      <w:tr w:rsidR="00087531" w:rsidRPr="00087531" w14:paraId="1DA3FCF0" w14:textId="77777777" w:rsidTr="00E32A80">
        <w:trPr>
          <w:tblHeader/>
        </w:trPr>
        <w:tc>
          <w:tcPr>
            <w:tcW w:w="1284" w:type="dxa"/>
            <w:tcBorders>
              <w:top w:val="nil"/>
            </w:tcBorders>
            <w:shd w:val="clear" w:color="auto" w:fill="9D2235"/>
          </w:tcPr>
          <w:p w14:paraId="02BE1C6D" w14:textId="77777777" w:rsidR="00087531" w:rsidRPr="00087531" w:rsidRDefault="00087531" w:rsidP="00087531">
            <w:pPr>
              <w:spacing w:before="100" w:beforeAutospacing="1"/>
              <w:jc w:val="center"/>
              <w:rPr>
                <w:rFonts w:ascii="Arial" w:eastAsia="Times New Roman" w:hAnsi="Arial" w:cs="Arial"/>
                <w:b/>
                <w:bCs/>
                <w:color w:val="FFFFFF"/>
                <w:sz w:val="16"/>
                <w:szCs w:val="16"/>
                <w:lang w:eastAsia="es-ES"/>
              </w:rPr>
            </w:pPr>
            <w:r w:rsidRPr="00087531">
              <w:rPr>
                <w:rFonts w:ascii="Arial" w:eastAsia="Times New Roman" w:hAnsi="Arial" w:cs="Arial"/>
                <w:b/>
                <w:bCs/>
                <w:color w:val="FFFFFF"/>
                <w:sz w:val="16"/>
                <w:szCs w:val="16"/>
                <w:lang w:eastAsia="es-ES"/>
              </w:rPr>
              <w:t>Grupo Parlamentario</w:t>
            </w:r>
          </w:p>
        </w:tc>
        <w:tc>
          <w:tcPr>
            <w:tcW w:w="6310" w:type="dxa"/>
            <w:tcBorders>
              <w:top w:val="nil"/>
            </w:tcBorders>
            <w:shd w:val="clear" w:color="auto" w:fill="9D2235"/>
          </w:tcPr>
          <w:p w14:paraId="52552C15" w14:textId="77777777" w:rsidR="00087531" w:rsidRPr="00087531" w:rsidRDefault="00087531" w:rsidP="00087531">
            <w:pPr>
              <w:spacing w:before="100" w:beforeAutospacing="1"/>
              <w:jc w:val="center"/>
              <w:rPr>
                <w:rFonts w:ascii="Arial" w:eastAsia="Times New Roman" w:hAnsi="Arial" w:cs="Arial"/>
                <w:b/>
                <w:bCs/>
                <w:color w:val="FFFFFF"/>
                <w:sz w:val="16"/>
                <w:szCs w:val="16"/>
                <w:lang w:eastAsia="es-ES"/>
              </w:rPr>
            </w:pPr>
            <w:r w:rsidRPr="00087531">
              <w:rPr>
                <w:rFonts w:ascii="Arial" w:eastAsia="Times New Roman" w:hAnsi="Arial" w:cs="Arial"/>
                <w:b/>
                <w:bCs/>
                <w:color w:val="FFFFFF"/>
                <w:sz w:val="16"/>
                <w:szCs w:val="16"/>
                <w:lang w:eastAsia="es-ES"/>
              </w:rPr>
              <w:t>Asunto</w:t>
            </w:r>
          </w:p>
        </w:tc>
        <w:tc>
          <w:tcPr>
            <w:tcW w:w="1017" w:type="dxa"/>
            <w:tcBorders>
              <w:top w:val="nil"/>
            </w:tcBorders>
            <w:shd w:val="clear" w:color="auto" w:fill="9D2235"/>
          </w:tcPr>
          <w:p w14:paraId="2888FB19" w14:textId="77777777" w:rsidR="00087531" w:rsidRPr="00087531" w:rsidRDefault="00087531" w:rsidP="00087531">
            <w:pPr>
              <w:spacing w:before="100" w:beforeAutospacing="1"/>
              <w:jc w:val="center"/>
              <w:rPr>
                <w:rFonts w:ascii="Arial" w:eastAsia="Times New Roman" w:hAnsi="Arial" w:cs="Arial"/>
                <w:b/>
                <w:bCs/>
                <w:color w:val="FFFFFF"/>
                <w:sz w:val="16"/>
                <w:szCs w:val="16"/>
                <w:lang w:eastAsia="es-ES"/>
              </w:rPr>
            </w:pPr>
            <w:r w:rsidRPr="00087531">
              <w:rPr>
                <w:rFonts w:ascii="Arial" w:eastAsia="Times New Roman" w:hAnsi="Arial" w:cs="Arial"/>
                <w:b/>
                <w:bCs/>
                <w:color w:val="FFFFFF"/>
                <w:sz w:val="16"/>
                <w:szCs w:val="16"/>
                <w:lang w:eastAsia="es-ES"/>
              </w:rPr>
              <w:t>Solicitud</w:t>
            </w:r>
          </w:p>
        </w:tc>
        <w:tc>
          <w:tcPr>
            <w:tcW w:w="1017" w:type="dxa"/>
            <w:tcBorders>
              <w:top w:val="nil"/>
            </w:tcBorders>
            <w:shd w:val="clear" w:color="auto" w:fill="9D2235"/>
          </w:tcPr>
          <w:p w14:paraId="2A15B3EB" w14:textId="77777777" w:rsidR="00087531" w:rsidRPr="00087531" w:rsidRDefault="00087531" w:rsidP="00087531">
            <w:pPr>
              <w:spacing w:before="100" w:beforeAutospacing="1"/>
              <w:jc w:val="center"/>
              <w:rPr>
                <w:rFonts w:ascii="Arial" w:eastAsia="Times New Roman" w:hAnsi="Arial" w:cs="Arial"/>
                <w:b/>
                <w:bCs/>
                <w:color w:val="FFFFFF"/>
                <w:sz w:val="16"/>
                <w:szCs w:val="16"/>
                <w:lang w:eastAsia="es-ES"/>
              </w:rPr>
            </w:pPr>
            <w:r w:rsidRPr="00087531">
              <w:rPr>
                <w:rFonts w:ascii="Arial" w:eastAsia="Times New Roman" w:hAnsi="Arial" w:cs="Arial"/>
                <w:b/>
                <w:bCs/>
                <w:color w:val="FFFFFF"/>
                <w:sz w:val="16"/>
                <w:szCs w:val="16"/>
                <w:lang w:eastAsia="es-ES"/>
              </w:rPr>
              <w:t>Contestación</w:t>
            </w:r>
          </w:p>
        </w:tc>
      </w:tr>
      <w:tr w:rsidR="00087531" w:rsidRPr="00087531" w14:paraId="7F120D4B" w14:textId="77777777" w:rsidTr="00E32A80">
        <w:tc>
          <w:tcPr>
            <w:tcW w:w="1284" w:type="dxa"/>
            <w:vMerge w:val="restart"/>
          </w:tcPr>
          <w:p w14:paraId="372B505D" w14:textId="77777777" w:rsidR="00087531" w:rsidRPr="00087531" w:rsidRDefault="00087531" w:rsidP="00087531">
            <w:pPr>
              <w:spacing w:before="100" w:beforeAutospacing="1"/>
              <w:rPr>
                <w:rFonts w:ascii="Arial" w:eastAsia="Times New Roman" w:hAnsi="Arial" w:cs="Arial"/>
                <w:b/>
                <w:bCs/>
                <w:color w:val="9D2235"/>
                <w:sz w:val="16"/>
                <w:szCs w:val="16"/>
                <w:lang w:eastAsia="es-ES"/>
              </w:rPr>
            </w:pPr>
            <w:r w:rsidRPr="00087531">
              <w:rPr>
                <w:rFonts w:ascii="Arial" w:eastAsia="Times New Roman" w:hAnsi="Arial" w:cs="Arial"/>
                <w:b/>
                <w:bCs/>
                <w:color w:val="9D2235"/>
                <w:sz w:val="16"/>
                <w:szCs w:val="16"/>
                <w:lang w:eastAsia="es-ES"/>
              </w:rPr>
              <w:t>Grupo Popular</w:t>
            </w:r>
          </w:p>
        </w:tc>
        <w:tc>
          <w:tcPr>
            <w:tcW w:w="6310" w:type="dxa"/>
            <w:shd w:val="clear" w:color="auto" w:fill="F2F2F2"/>
          </w:tcPr>
          <w:p w14:paraId="13B6DD13"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Expedientes administrativos relativos a todos y cada uno de los nombramientos por libre designación de personal entre la constitución de la Agencia y la fecha de respuesta a esta iniciativa, incluyendo las bases, la documentación relativa a los candidatos y la valoración de los méritos alegados</w:t>
            </w:r>
          </w:p>
        </w:tc>
        <w:tc>
          <w:tcPr>
            <w:tcW w:w="1017" w:type="dxa"/>
            <w:shd w:val="clear" w:color="auto" w:fill="F2F2F2"/>
          </w:tcPr>
          <w:p w14:paraId="694BDAD8"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2/03/2021</w:t>
            </w:r>
          </w:p>
        </w:tc>
        <w:tc>
          <w:tcPr>
            <w:tcW w:w="1017" w:type="dxa"/>
            <w:shd w:val="clear" w:color="auto" w:fill="F2F2F2"/>
          </w:tcPr>
          <w:p w14:paraId="1E179279" w14:textId="77777777" w:rsidR="00087531" w:rsidRPr="00087531" w:rsidRDefault="00087531" w:rsidP="00087531">
            <w:pPr>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31/03/2021</w:t>
            </w:r>
          </w:p>
          <w:p w14:paraId="095AE50E" w14:textId="77777777" w:rsidR="00087531" w:rsidRPr="00087531" w:rsidRDefault="00087531" w:rsidP="00087531">
            <w:pPr>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1/04/2021 9/04/2021 26/04/2021</w:t>
            </w:r>
          </w:p>
        </w:tc>
      </w:tr>
      <w:tr w:rsidR="00087531" w:rsidRPr="00087531" w14:paraId="7142BF8F" w14:textId="77777777" w:rsidTr="00E32A80">
        <w:tc>
          <w:tcPr>
            <w:tcW w:w="1284" w:type="dxa"/>
            <w:vMerge/>
          </w:tcPr>
          <w:p w14:paraId="7294F3D3"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tcPr>
          <w:p w14:paraId="575ACFF9"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Facturas o documentos que justifiquen todos los pagos librados con cargo a fondos de las cajas fijas desde su creación; copia de las cuentas justificativas formuladas por los cuentadantes y habilitados</w:t>
            </w:r>
          </w:p>
        </w:tc>
        <w:tc>
          <w:tcPr>
            <w:tcW w:w="1017" w:type="dxa"/>
          </w:tcPr>
          <w:p w14:paraId="51E97A11"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10/03/2021</w:t>
            </w:r>
          </w:p>
        </w:tc>
        <w:tc>
          <w:tcPr>
            <w:tcW w:w="1017" w:type="dxa"/>
          </w:tcPr>
          <w:p w14:paraId="04FCCCA0"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1/04/2021</w:t>
            </w:r>
          </w:p>
        </w:tc>
      </w:tr>
      <w:tr w:rsidR="00087531" w:rsidRPr="00087531" w14:paraId="7F62AB1C" w14:textId="77777777" w:rsidTr="00E32A80">
        <w:tc>
          <w:tcPr>
            <w:tcW w:w="1284" w:type="dxa"/>
            <w:vMerge/>
          </w:tcPr>
          <w:p w14:paraId="28BBBBF3"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shd w:val="clear" w:color="auto" w:fill="F2F2F2"/>
          </w:tcPr>
          <w:p w14:paraId="45261B70"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Contratos no menores autorizados o celebrados, desde la creación hasta el 28 de febrero de 2021</w:t>
            </w:r>
          </w:p>
        </w:tc>
        <w:tc>
          <w:tcPr>
            <w:tcW w:w="1017" w:type="dxa"/>
            <w:shd w:val="clear" w:color="auto" w:fill="F2F2F2"/>
          </w:tcPr>
          <w:p w14:paraId="61F7806F"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10/03/2021</w:t>
            </w:r>
          </w:p>
        </w:tc>
        <w:tc>
          <w:tcPr>
            <w:tcW w:w="1017" w:type="dxa"/>
            <w:shd w:val="clear" w:color="auto" w:fill="F2F2F2"/>
          </w:tcPr>
          <w:p w14:paraId="6F071FFA"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13/04/2021</w:t>
            </w:r>
          </w:p>
        </w:tc>
      </w:tr>
      <w:tr w:rsidR="00087531" w:rsidRPr="00087531" w14:paraId="7E46A231" w14:textId="77777777" w:rsidTr="00E32A80">
        <w:tc>
          <w:tcPr>
            <w:tcW w:w="1284" w:type="dxa"/>
            <w:vMerge/>
          </w:tcPr>
          <w:p w14:paraId="074B4397"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tcPr>
          <w:p w14:paraId="6D6CB96A"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Contratos menores autorizados o celebrados, desde la creación hasta el 28 de febrero de 2021</w:t>
            </w:r>
          </w:p>
        </w:tc>
        <w:tc>
          <w:tcPr>
            <w:tcW w:w="1017" w:type="dxa"/>
          </w:tcPr>
          <w:p w14:paraId="7F12153C"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10/03/2021</w:t>
            </w:r>
          </w:p>
        </w:tc>
        <w:tc>
          <w:tcPr>
            <w:tcW w:w="1017" w:type="dxa"/>
          </w:tcPr>
          <w:p w14:paraId="73C59734"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13/04/2021</w:t>
            </w:r>
          </w:p>
        </w:tc>
      </w:tr>
      <w:tr w:rsidR="00087531" w:rsidRPr="00087531" w14:paraId="667B538D" w14:textId="77777777" w:rsidTr="00E32A80">
        <w:tc>
          <w:tcPr>
            <w:tcW w:w="1284" w:type="dxa"/>
            <w:vMerge/>
          </w:tcPr>
          <w:p w14:paraId="76C93F30"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shd w:val="clear" w:color="auto" w:fill="F2F2F2"/>
          </w:tcPr>
          <w:p w14:paraId="218A0B5A"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Contratos negociados sin publicidad, desde la creación de la Agencia</w:t>
            </w:r>
          </w:p>
        </w:tc>
        <w:tc>
          <w:tcPr>
            <w:tcW w:w="1017" w:type="dxa"/>
            <w:shd w:val="clear" w:color="auto" w:fill="F2F2F2"/>
          </w:tcPr>
          <w:p w14:paraId="47E2395C"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10/03/2021</w:t>
            </w:r>
          </w:p>
        </w:tc>
        <w:tc>
          <w:tcPr>
            <w:tcW w:w="1017" w:type="dxa"/>
            <w:shd w:val="clear" w:color="auto" w:fill="F2F2F2"/>
          </w:tcPr>
          <w:p w14:paraId="4CBF6B11"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1/04/2021</w:t>
            </w:r>
          </w:p>
        </w:tc>
      </w:tr>
      <w:tr w:rsidR="00087531" w:rsidRPr="00087531" w14:paraId="0E663D4D" w14:textId="77777777" w:rsidTr="00E32A80">
        <w:tc>
          <w:tcPr>
            <w:tcW w:w="1284" w:type="dxa"/>
            <w:vMerge/>
          </w:tcPr>
          <w:p w14:paraId="2441230A"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tcPr>
          <w:p w14:paraId="71E9EFCD"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Informes jurídicos emitidos y suscritos en relación con cualquiera actividad de la Agencia desde su creación</w:t>
            </w:r>
          </w:p>
        </w:tc>
        <w:tc>
          <w:tcPr>
            <w:tcW w:w="1017" w:type="dxa"/>
          </w:tcPr>
          <w:p w14:paraId="36A17C04"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10/03/2021</w:t>
            </w:r>
          </w:p>
        </w:tc>
        <w:tc>
          <w:tcPr>
            <w:tcW w:w="1017" w:type="dxa"/>
          </w:tcPr>
          <w:p w14:paraId="6C1F78B2"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1/04/2021</w:t>
            </w:r>
          </w:p>
        </w:tc>
      </w:tr>
      <w:tr w:rsidR="00087531" w:rsidRPr="00087531" w14:paraId="79DC8002" w14:textId="77777777" w:rsidTr="00E32A80">
        <w:tc>
          <w:tcPr>
            <w:tcW w:w="1284" w:type="dxa"/>
            <w:vMerge/>
          </w:tcPr>
          <w:p w14:paraId="034A7789"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shd w:val="clear" w:color="auto" w:fill="F2F2F2"/>
          </w:tcPr>
          <w:p w14:paraId="5AD87DF6"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Balance de situación y cuenta de resultados y documentación de las áreas que lo componen, en particular, el inmovilizado, impuestos, contabilidad, tesorería, deudores, periodificaciones, proveedores, personal, cuenta de pérdidas y ganancias, desde la creación de la Agencia</w:t>
            </w:r>
          </w:p>
        </w:tc>
        <w:tc>
          <w:tcPr>
            <w:tcW w:w="1017" w:type="dxa"/>
            <w:shd w:val="clear" w:color="auto" w:fill="F2F2F2"/>
          </w:tcPr>
          <w:p w14:paraId="3E65333E"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10/03/2021</w:t>
            </w:r>
          </w:p>
        </w:tc>
        <w:tc>
          <w:tcPr>
            <w:tcW w:w="1017" w:type="dxa"/>
            <w:shd w:val="clear" w:color="auto" w:fill="F2F2F2"/>
          </w:tcPr>
          <w:p w14:paraId="4B6B9914"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6/04/2021</w:t>
            </w:r>
          </w:p>
        </w:tc>
      </w:tr>
      <w:tr w:rsidR="00087531" w:rsidRPr="00087531" w14:paraId="5B687ED7" w14:textId="77777777" w:rsidTr="00E32A80">
        <w:tc>
          <w:tcPr>
            <w:tcW w:w="1284" w:type="dxa"/>
            <w:vMerge/>
          </w:tcPr>
          <w:p w14:paraId="1B27D493"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tcPr>
          <w:p w14:paraId="6212CB04"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Subvenciones otorgadas desde la creación de la Agencia</w:t>
            </w:r>
          </w:p>
        </w:tc>
        <w:tc>
          <w:tcPr>
            <w:tcW w:w="1017" w:type="dxa"/>
          </w:tcPr>
          <w:p w14:paraId="06033A77"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10/03/2021</w:t>
            </w:r>
          </w:p>
        </w:tc>
        <w:tc>
          <w:tcPr>
            <w:tcW w:w="1017" w:type="dxa"/>
          </w:tcPr>
          <w:p w14:paraId="44E68AD2"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7/04/2021</w:t>
            </w:r>
          </w:p>
        </w:tc>
      </w:tr>
      <w:tr w:rsidR="00087531" w:rsidRPr="00087531" w14:paraId="72E5132C" w14:textId="77777777" w:rsidTr="00E32A80">
        <w:tc>
          <w:tcPr>
            <w:tcW w:w="1284" w:type="dxa"/>
            <w:vMerge/>
          </w:tcPr>
          <w:p w14:paraId="52D6F52A"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shd w:val="clear" w:color="auto" w:fill="F2F2F2"/>
          </w:tcPr>
          <w:p w14:paraId="1B883E27"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Subvenciones otorgadas desde el 1 de marzo de 2021 hasta el 30 de junio de 2021</w:t>
            </w:r>
          </w:p>
        </w:tc>
        <w:tc>
          <w:tcPr>
            <w:tcW w:w="1017" w:type="dxa"/>
            <w:shd w:val="clear" w:color="auto" w:fill="F2F2F2"/>
          </w:tcPr>
          <w:p w14:paraId="54C5153D"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21/07/2021</w:t>
            </w:r>
          </w:p>
        </w:tc>
        <w:tc>
          <w:tcPr>
            <w:tcW w:w="1017" w:type="dxa"/>
            <w:shd w:val="clear" w:color="auto" w:fill="F2F2F2"/>
          </w:tcPr>
          <w:p w14:paraId="27CCB268"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27/07/2021</w:t>
            </w:r>
          </w:p>
        </w:tc>
      </w:tr>
      <w:tr w:rsidR="00087531" w:rsidRPr="00087531" w14:paraId="70FCF73F" w14:textId="77777777" w:rsidTr="00E32A80">
        <w:tc>
          <w:tcPr>
            <w:tcW w:w="1284" w:type="dxa"/>
            <w:vMerge/>
          </w:tcPr>
          <w:p w14:paraId="591D858E"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tcPr>
          <w:p w14:paraId="5C997B1D"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Balance de situación y cuenta de resultados y documentación de las áreas que lo componen, en particular, el inmovilizado, impuestos, contabilidad, tesorería, deudores, periodificaciones, proveedores, personal, cuenta de pérdidas y ganancias, desde el 1 de marzo de 2021 hasta el 30 de junio de 2021</w:t>
            </w:r>
          </w:p>
        </w:tc>
        <w:tc>
          <w:tcPr>
            <w:tcW w:w="1017" w:type="dxa"/>
          </w:tcPr>
          <w:p w14:paraId="07150246"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21/07/2021</w:t>
            </w:r>
          </w:p>
        </w:tc>
        <w:tc>
          <w:tcPr>
            <w:tcW w:w="1017" w:type="dxa"/>
          </w:tcPr>
          <w:p w14:paraId="4C04D8C6"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29/07/2021</w:t>
            </w:r>
          </w:p>
        </w:tc>
      </w:tr>
      <w:tr w:rsidR="00087531" w:rsidRPr="00087531" w14:paraId="2B6123CD" w14:textId="77777777" w:rsidTr="00E32A80">
        <w:tc>
          <w:tcPr>
            <w:tcW w:w="1284" w:type="dxa"/>
            <w:vMerge/>
          </w:tcPr>
          <w:p w14:paraId="33A62B7E"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shd w:val="clear" w:color="auto" w:fill="F2F2F2"/>
          </w:tcPr>
          <w:p w14:paraId="08DF4124"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Contratos negociados sin publicidad, desde el 1 de marzo de 2021 hasta el 30 de junio de 2021</w:t>
            </w:r>
          </w:p>
        </w:tc>
        <w:tc>
          <w:tcPr>
            <w:tcW w:w="1017" w:type="dxa"/>
            <w:shd w:val="clear" w:color="auto" w:fill="F2F2F2"/>
          </w:tcPr>
          <w:p w14:paraId="77D2B6AD"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21/07/2021</w:t>
            </w:r>
          </w:p>
        </w:tc>
        <w:tc>
          <w:tcPr>
            <w:tcW w:w="1017" w:type="dxa"/>
            <w:shd w:val="clear" w:color="auto" w:fill="F2F2F2"/>
          </w:tcPr>
          <w:p w14:paraId="69B6F851"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27/07/2021</w:t>
            </w:r>
          </w:p>
        </w:tc>
      </w:tr>
      <w:tr w:rsidR="00087531" w:rsidRPr="00087531" w14:paraId="679148CE" w14:textId="77777777" w:rsidTr="00E32A80">
        <w:tc>
          <w:tcPr>
            <w:tcW w:w="1284" w:type="dxa"/>
            <w:vMerge/>
          </w:tcPr>
          <w:p w14:paraId="48A74A49"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tcPr>
          <w:p w14:paraId="54D9B20D"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Informes jurídicos emitidos y suscritos en relación con cualquiera actividad desde el 1 de marzo de 2021 hasta el 30 de junio de 2021</w:t>
            </w:r>
          </w:p>
        </w:tc>
        <w:tc>
          <w:tcPr>
            <w:tcW w:w="1017" w:type="dxa"/>
          </w:tcPr>
          <w:p w14:paraId="3E908D44"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21/07/2021</w:t>
            </w:r>
          </w:p>
        </w:tc>
        <w:tc>
          <w:tcPr>
            <w:tcW w:w="1017" w:type="dxa"/>
          </w:tcPr>
          <w:p w14:paraId="4A883CCC"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21/08/2021</w:t>
            </w:r>
          </w:p>
        </w:tc>
      </w:tr>
      <w:tr w:rsidR="00087531" w:rsidRPr="00087531" w14:paraId="3FEE02EB" w14:textId="77777777" w:rsidTr="00E32A80">
        <w:tc>
          <w:tcPr>
            <w:tcW w:w="1284" w:type="dxa"/>
            <w:vMerge/>
          </w:tcPr>
          <w:p w14:paraId="4BA2F9DA"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shd w:val="clear" w:color="auto" w:fill="F2F2F2"/>
          </w:tcPr>
          <w:p w14:paraId="4657F311"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Contratos no menores autorizados o celebrados, desde el 1 de marzo de 2021 hasta el 30 de junio de 2021</w:t>
            </w:r>
          </w:p>
        </w:tc>
        <w:tc>
          <w:tcPr>
            <w:tcW w:w="1017" w:type="dxa"/>
            <w:shd w:val="clear" w:color="auto" w:fill="F2F2F2"/>
          </w:tcPr>
          <w:p w14:paraId="3714A8F8"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21/07/2021</w:t>
            </w:r>
          </w:p>
        </w:tc>
        <w:tc>
          <w:tcPr>
            <w:tcW w:w="1017" w:type="dxa"/>
            <w:shd w:val="clear" w:color="auto" w:fill="F2F2F2"/>
          </w:tcPr>
          <w:p w14:paraId="2EA30B1C"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29/07/2021</w:t>
            </w:r>
          </w:p>
        </w:tc>
      </w:tr>
      <w:tr w:rsidR="00087531" w:rsidRPr="00087531" w14:paraId="10B820E4" w14:textId="77777777" w:rsidTr="00E32A80">
        <w:tc>
          <w:tcPr>
            <w:tcW w:w="1284" w:type="dxa"/>
            <w:vMerge/>
          </w:tcPr>
          <w:p w14:paraId="28F2D1BB"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tcPr>
          <w:p w14:paraId="0664BD0B"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Contratos menores autorizados o celebrados, desde el 1 de marzo de 2021 hasta el 30 de junio de 2021</w:t>
            </w:r>
          </w:p>
        </w:tc>
        <w:tc>
          <w:tcPr>
            <w:tcW w:w="1017" w:type="dxa"/>
          </w:tcPr>
          <w:p w14:paraId="61B4F4C2"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21/07/2021</w:t>
            </w:r>
          </w:p>
        </w:tc>
        <w:tc>
          <w:tcPr>
            <w:tcW w:w="1017" w:type="dxa"/>
          </w:tcPr>
          <w:p w14:paraId="761EA54B"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31/08/2021</w:t>
            </w:r>
          </w:p>
        </w:tc>
      </w:tr>
      <w:tr w:rsidR="00087531" w:rsidRPr="00087531" w14:paraId="3F8C4270" w14:textId="77777777" w:rsidTr="00E32A80">
        <w:tc>
          <w:tcPr>
            <w:tcW w:w="1284" w:type="dxa"/>
            <w:vMerge/>
          </w:tcPr>
          <w:p w14:paraId="02D27B03"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shd w:val="clear" w:color="auto" w:fill="F2F2F2"/>
          </w:tcPr>
          <w:p w14:paraId="5FC5CDB2"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Facturas o documentos que justifiquen todos los pagos librados con cargo a fondos de las cajas fijas desde el 1 de marzo de 2021 hasta el 30 de junio de 2021; copia de las cuentas justificativas formuladas por los cuentadantes y habilitados</w:t>
            </w:r>
          </w:p>
        </w:tc>
        <w:tc>
          <w:tcPr>
            <w:tcW w:w="1017" w:type="dxa"/>
            <w:shd w:val="clear" w:color="auto" w:fill="F2F2F2"/>
          </w:tcPr>
          <w:p w14:paraId="42711AEE"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21/07/2021</w:t>
            </w:r>
          </w:p>
        </w:tc>
        <w:tc>
          <w:tcPr>
            <w:tcW w:w="1017" w:type="dxa"/>
            <w:shd w:val="clear" w:color="auto" w:fill="F2F2F2"/>
          </w:tcPr>
          <w:p w14:paraId="0822F135"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27/07/2021</w:t>
            </w:r>
          </w:p>
        </w:tc>
      </w:tr>
      <w:tr w:rsidR="00087531" w:rsidRPr="00087531" w14:paraId="034BB78D" w14:textId="77777777" w:rsidTr="00E32A80">
        <w:tc>
          <w:tcPr>
            <w:tcW w:w="1284" w:type="dxa"/>
            <w:vMerge/>
          </w:tcPr>
          <w:p w14:paraId="02DDA7C5"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tcPr>
          <w:p w14:paraId="0C79E552"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Contratos no menores autorizados o celebrados, desde el 1 de julio de 2021 hasta el 30 de septiembre de 2021</w:t>
            </w:r>
          </w:p>
        </w:tc>
        <w:tc>
          <w:tcPr>
            <w:tcW w:w="1017" w:type="dxa"/>
          </w:tcPr>
          <w:p w14:paraId="3B5F2979"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28/10/2021</w:t>
            </w:r>
          </w:p>
        </w:tc>
        <w:tc>
          <w:tcPr>
            <w:tcW w:w="1017" w:type="dxa"/>
          </w:tcPr>
          <w:p w14:paraId="4CC6D7A5"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23/11/2021</w:t>
            </w:r>
          </w:p>
        </w:tc>
      </w:tr>
      <w:tr w:rsidR="00087531" w:rsidRPr="00087531" w14:paraId="5A1C7E7F" w14:textId="77777777" w:rsidTr="00E32A80">
        <w:tc>
          <w:tcPr>
            <w:tcW w:w="1284" w:type="dxa"/>
            <w:vMerge/>
          </w:tcPr>
          <w:p w14:paraId="0ACD5133"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shd w:val="clear" w:color="auto" w:fill="F2F2F2"/>
          </w:tcPr>
          <w:p w14:paraId="01B0D51E"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Contratos menores autorizados o celebrados, desde el 1 de julio de 2021 hasta el 30 de septiembre de 2021</w:t>
            </w:r>
          </w:p>
        </w:tc>
        <w:tc>
          <w:tcPr>
            <w:tcW w:w="1017" w:type="dxa"/>
            <w:shd w:val="clear" w:color="auto" w:fill="F2F2F2"/>
          </w:tcPr>
          <w:p w14:paraId="77ECA438"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28/10/2021</w:t>
            </w:r>
          </w:p>
        </w:tc>
        <w:tc>
          <w:tcPr>
            <w:tcW w:w="1017" w:type="dxa"/>
            <w:shd w:val="clear" w:color="auto" w:fill="F2F2F2"/>
          </w:tcPr>
          <w:p w14:paraId="4C650277"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23/11/2021</w:t>
            </w:r>
          </w:p>
        </w:tc>
      </w:tr>
      <w:tr w:rsidR="00087531" w:rsidRPr="00087531" w14:paraId="054D3D87" w14:textId="77777777" w:rsidTr="00E32A80">
        <w:tc>
          <w:tcPr>
            <w:tcW w:w="1284" w:type="dxa"/>
            <w:vMerge/>
          </w:tcPr>
          <w:p w14:paraId="122DC43A"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tcPr>
          <w:p w14:paraId="00CDA2BE"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Contratos negociados sin publicidad, desde el 1 de julio de 2021 hasta el 30 de septiembre de 2021</w:t>
            </w:r>
          </w:p>
        </w:tc>
        <w:tc>
          <w:tcPr>
            <w:tcW w:w="1017" w:type="dxa"/>
          </w:tcPr>
          <w:p w14:paraId="6BE8F2F1"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28/10/2021</w:t>
            </w:r>
          </w:p>
        </w:tc>
        <w:tc>
          <w:tcPr>
            <w:tcW w:w="1017" w:type="dxa"/>
          </w:tcPr>
          <w:p w14:paraId="62BCEFED"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23/11/2021</w:t>
            </w:r>
          </w:p>
        </w:tc>
      </w:tr>
      <w:tr w:rsidR="00087531" w:rsidRPr="00087531" w14:paraId="1A44D55E" w14:textId="77777777" w:rsidTr="00E32A80">
        <w:tc>
          <w:tcPr>
            <w:tcW w:w="1284" w:type="dxa"/>
            <w:vMerge/>
          </w:tcPr>
          <w:p w14:paraId="7F3E2321"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shd w:val="clear" w:color="auto" w:fill="F2F2F2"/>
          </w:tcPr>
          <w:p w14:paraId="0DD6A6F2"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Informes jurídicos emitidos y suscritos en relación con cualquiera actividad desde el 1 de julio de 2021 hasta el 30 de septiembre de 2021</w:t>
            </w:r>
          </w:p>
        </w:tc>
        <w:tc>
          <w:tcPr>
            <w:tcW w:w="1017" w:type="dxa"/>
            <w:shd w:val="clear" w:color="auto" w:fill="F2F2F2"/>
          </w:tcPr>
          <w:p w14:paraId="7ECF526C"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28/10/2021</w:t>
            </w:r>
          </w:p>
        </w:tc>
        <w:tc>
          <w:tcPr>
            <w:tcW w:w="1017" w:type="dxa"/>
            <w:shd w:val="clear" w:color="auto" w:fill="F2F2F2"/>
          </w:tcPr>
          <w:p w14:paraId="729A087F"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17/11/2021</w:t>
            </w:r>
          </w:p>
        </w:tc>
      </w:tr>
      <w:tr w:rsidR="00087531" w:rsidRPr="00087531" w14:paraId="78A31A98" w14:textId="77777777" w:rsidTr="00E32A80">
        <w:tc>
          <w:tcPr>
            <w:tcW w:w="1284" w:type="dxa"/>
            <w:vMerge/>
          </w:tcPr>
          <w:p w14:paraId="5DBA39E8"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tcPr>
          <w:p w14:paraId="4C4C736A"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Balance de situación y cuenta de resultados y documentación de las áreas que lo componen, en particular, el inmovilizado, impuestos, contabilidad, tesorería, deudores, periodificaciones, proveedores, personal, cuenta de pérdidas y ganancias, desde el 1 de julio de 2021 hasta el 30 de septiembre de 2021</w:t>
            </w:r>
          </w:p>
        </w:tc>
        <w:tc>
          <w:tcPr>
            <w:tcW w:w="1017" w:type="dxa"/>
          </w:tcPr>
          <w:p w14:paraId="2BF48632"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28/10/2021</w:t>
            </w:r>
          </w:p>
        </w:tc>
        <w:tc>
          <w:tcPr>
            <w:tcW w:w="1017" w:type="dxa"/>
          </w:tcPr>
          <w:p w14:paraId="5ECCFA17"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23/11/2021</w:t>
            </w:r>
          </w:p>
        </w:tc>
      </w:tr>
      <w:tr w:rsidR="00087531" w:rsidRPr="00087531" w14:paraId="01F3B632" w14:textId="77777777" w:rsidTr="00E32A80">
        <w:tc>
          <w:tcPr>
            <w:tcW w:w="1284" w:type="dxa"/>
            <w:vMerge/>
          </w:tcPr>
          <w:p w14:paraId="24403C0C"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shd w:val="clear" w:color="auto" w:fill="F2F2F2"/>
          </w:tcPr>
          <w:p w14:paraId="4F4C5187"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Times New Roman" w:hAnsi="Arial" w:cs="Arial"/>
                <w:sz w:val="16"/>
                <w:szCs w:val="16"/>
                <w:lang w:eastAsia="es-ES"/>
              </w:rPr>
              <w:t>Subvenciones otorgadas desde el 1 de julio de 2021 hasta el 30 de septiembre de 2021</w:t>
            </w:r>
          </w:p>
        </w:tc>
        <w:tc>
          <w:tcPr>
            <w:tcW w:w="1017" w:type="dxa"/>
            <w:shd w:val="clear" w:color="auto" w:fill="F2F2F2"/>
          </w:tcPr>
          <w:p w14:paraId="3DE09896"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28/10/2021</w:t>
            </w:r>
          </w:p>
        </w:tc>
        <w:tc>
          <w:tcPr>
            <w:tcW w:w="1017" w:type="dxa"/>
            <w:shd w:val="clear" w:color="auto" w:fill="F2F2F2"/>
          </w:tcPr>
          <w:p w14:paraId="6C4A8596"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23/11/2021</w:t>
            </w:r>
          </w:p>
        </w:tc>
      </w:tr>
      <w:tr w:rsidR="00087531" w:rsidRPr="00087531" w14:paraId="5CB4A4F8" w14:textId="77777777" w:rsidTr="00E32A80">
        <w:tc>
          <w:tcPr>
            <w:tcW w:w="1284" w:type="dxa"/>
            <w:vMerge/>
          </w:tcPr>
          <w:p w14:paraId="7DA14273" w14:textId="77777777" w:rsidR="00087531" w:rsidRPr="00087531" w:rsidRDefault="00087531" w:rsidP="00087531">
            <w:pPr>
              <w:spacing w:before="100" w:beforeAutospacing="1"/>
              <w:rPr>
                <w:rFonts w:ascii="Arial" w:eastAsia="Times New Roman" w:hAnsi="Arial" w:cs="Arial"/>
                <w:sz w:val="16"/>
                <w:szCs w:val="16"/>
                <w:lang w:eastAsia="es-ES"/>
              </w:rPr>
            </w:pPr>
          </w:p>
        </w:tc>
        <w:tc>
          <w:tcPr>
            <w:tcW w:w="6310" w:type="dxa"/>
          </w:tcPr>
          <w:p w14:paraId="2E7F2F04" w14:textId="77777777" w:rsidR="00087531" w:rsidRPr="00087531" w:rsidRDefault="00087531" w:rsidP="00087531">
            <w:pPr>
              <w:spacing w:before="100" w:beforeAutospacing="1"/>
              <w:jc w:val="both"/>
              <w:rPr>
                <w:rFonts w:ascii="Arial" w:eastAsia="Times New Roman" w:hAnsi="Arial" w:cs="Arial"/>
                <w:sz w:val="16"/>
                <w:szCs w:val="16"/>
                <w:lang w:eastAsia="es-ES"/>
              </w:rPr>
            </w:pPr>
            <w:r w:rsidRPr="00087531">
              <w:rPr>
                <w:rFonts w:ascii="Arial" w:eastAsia="SimSun" w:hAnsi="Arial" w:cs="Lucida Sans"/>
                <w:color w:val="000000"/>
                <w:kern w:val="2"/>
                <w:sz w:val="16"/>
                <w:szCs w:val="16"/>
                <w:lang w:eastAsia="zh-CN" w:bidi="hi-IN"/>
              </w:rPr>
              <w:t xml:space="preserve">Facturas o documentos que justifiquen todos los pagos librados con cargo a fondos de las cajas fijas </w:t>
            </w:r>
            <w:r w:rsidRPr="00087531">
              <w:rPr>
                <w:rFonts w:ascii="Arial" w:eastAsia="SimSun" w:hAnsi="Arial" w:cs="Lucida Sans"/>
                <w:kern w:val="2"/>
                <w:sz w:val="16"/>
                <w:szCs w:val="16"/>
                <w:lang w:eastAsia="zh-CN" w:bidi="hi-IN"/>
              </w:rPr>
              <w:t>desde el 1 de julio de 2021 hasta el 30 de septiembre de 2021 y que se deriven de los gastos correspondientes a todos los subconceptos económicos susceptibles de pago por este mecanismo; así mismo copia de las cuentas justificativas formuladas por los cuentadantes y habilitados correspondientes a los anexos incluidos en la Orden 2/2017, de 29 de marzo, y en aplicación de la normativa reguladora de los fondos de caja fija</w:t>
            </w:r>
          </w:p>
        </w:tc>
        <w:tc>
          <w:tcPr>
            <w:tcW w:w="1017" w:type="dxa"/>
          </w:tcPr>
          <w:p w14:paraId="603B72F6"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10/11/2021</w:t>
            </w:r>
          </w:p>
        </w:tc>
        <w:tc>
          <w:tcPr>
            <w:tcW w:w="1017" w:type="dxa"/>
          </w:tcPr>
          <w:p w14:paraId="63B61E48" w14:textId="77777777" w:rsidR="00087531" w:rsidRPr="00087531" w:rsidRDefault="00087531" w:rsidP="00087531">
            <w:pPr>
              <w:spacing w:before="100" w:beforeAutospacing="1"/>
              <w:jc w:val="right"/>
              <w:rPr>
                <w:rFonts w:ascii="Arial" w:eastAsia="Times New Roman" w:hAnsi="Arial" w:cs="Arial"/>
                <w:sz w:val="16"/>
                <w:szCs w:val="16"/>
                <w:lang w:eastAsia="es-ES"/>
              </w:rPr>
            </w:pPr>
            <w:r w:rsidRPr="00087531">
              <w:rPr>
                <w:rFonts w:ascii="Arial" w:eastAsia="Times New Roman" w:hAnsi="Arial" w:cs="Arial"/>
                <w:sz w:val="16"/>
                <w:szCs w:val="16"/>
                <w:lang w:eastAsia="es-ES"/>
              </w:rPr>
              <w:t>15/11/2021</w:t>
            </w:r>
          </w:p>
        </w:tc>
      </w:tr>
    </w:tbl>
    <w:p w14:paraId="5F189106" w14:textId="56452F94" w:rsidR="00087531" w:rsidRPr="00391950" w:rsidRDefault="00087531" w:rsidP="00087531">
      <w:pPr>
        <w:suppressAutoHyphens/>
        <w:spacing w:after="240" w:line="276" w:lineRule="auto"/>
        <w:jc w:val="both"/>
        <w:rPr>
          <w:rFonts w:ascii="Arial" w:eastAsia="SimSun" w:hAnsi="Arial" w:cs="Arial"/>
          <w:kern w:val="2"/>
          <w:sz w:val="21"/>
          <w:szCs w:val="21"/>
          <w:lang w:eastAsia="zh-CN" w:bidi="hi-IN"/>
        </w:rPr>
      </w:pPr>
      <w:r w:rsidRPr="00882604">
        <w:rPr>
          <w:rFonts w:ascii="Arial" w:eastAsia="SimSun" w:hAnsi="Arial" w:cs="Arial"/>
          <w:kern w:val="2"/>
          <w:sz w:val="21"/>
          <w:szCs w:val="21"/>
          <w:lang w:eastAsia="zh-CN" w:bidi="hi-IN"/>
        </w:rPr>
        <w:t>En relación con las solicitudes de documentación de los Grupos Parlamentarios de las Corts</w:t>
      </w:r>
      <w:r>
        <w:rPr>
          <w:rFonts w:ascii="Arial" w:eastAsia="SimSun" w:hAnsi="Arial" w:cs="Arial"/>
          <w:kern w:val="2"/>
          <w:sz w:val="21"/>
          <w:szCs w:val="21"/>
          <w:lang w:eastAsia="zh-CN" w:bidi="hi-IN"/>
        </w:rPr>
        <w:t>,</w:t>
      </w:r>
      <w:r w:rsidRPr="00882604">
        <w:rPr>
          <w:rFonts w:ascii="Arial" w:eastAsia="SimSun" w:hAnsi="Arial" w:cs="Arial"/>
          <w:kern w:val="2"/>
          <w:sz w:val="21"/>
          <w:szCs w:val="21"/>
          <w:lang w:eastAsia="zh-CN" w:bidi="hi-IN"/>
        </w:rPr>
        <w:t xml:space="preserve"> distintas a las referidas a la actividad administrativa y presupuestaria de la Agencia, resulta necesario destacar que por parte de las personas miembros del Consejo de Participación de la AVAF, órgano representativo de la sociedad civil ante el que</w:t>
      </w:r>
      <w:r>
        <w:rPr>
          <w:rFonts w:ascii="Arial" w:eastAsia="SimSun" w:hAnsi="Arial" w:cs="Arial"/>
          <w:kern w:val="2"/>
          <w:sz w:val="21"/>
          <w:szCs w:val="21"/>
          <w:lang w:eastAsia="zh-CN" w:bidi="hi-IN"/>
        </w:rPr>
        <w:t xml:space="preserve"> conforme a lo dispuesto en el artículo 25 de la Ley 11/2016,</w:t>
      </w:r>
      <w:r w:rsidRPr="00882604">
        <w:rPr>
          <w:rFonts w:ascii="Arial" w:eastAsia="SimSun" w:hAnsi="Arial" w:cs="Arial"/>
          <w:kern w:val="2"/>
          <w:sz w:val="21"/>
          <w:szCs w:val="21"/>
          <w:lang w:eastAsia="zh-CN" w:bidi="hi-IN"/>
        </w:rPr>
        <w:t xml:space="preserve"> rinde cuentas esta Agencia,</w:t>
      </w:r>
      <w:r>
        <w:rPr>
          <w:rFonts w:ascii="Arial" w:eastAsia="SimSun" w:hAnsi="Arial" w:cs="Arial"/>
          <w:kern w:val="2"/>
          <w:sz w:val="21"/>
          <w:szCs w:val="21"/>
          <w:lang w:eastAsia="zh-CN" w:bidi="hi-IN"/>
        </w:rPr>
        <w:t xml:space="preserve"> </w:t>
      </w:r>
      <w:r w:rsidRPr="00882604">
        <w:rPr>
          <w:rFonts w:ascii="Arial" w:eastAsia="SimSun" w:hAnsi="Arial" w:cs="Arial"/>
          <w:kern w:val="2"/>
          <w:sz w:val="21"/>
          <w:szCs w:val="21"/>
          <w:lang w:eastAsia="zh-CN" w:bidi="hi-IN"/>
        </w:rPr>
        <w:t>se trasladó a la opinión pública, durante el mes de mayo de</w:t>
      </w:r>
      <w:r>
        <w:rPr>
          <w:rFonts w:ascii="Arial" w:eastAsia="SimSun" w:hAnsi="Arial" w:cs="Arial"/>
          <w:kern w:val="2"/>
          <w:sz w:val="21"/>
          <w:szCs w:val="21"/>
          <w:lang w:eastAsia="zh-CN" w:bidi="hi-IN"/>
        </w:rPr>
        <w:t xml:space="preserve"> </w:t>
      </w:r>
      <w:r w:rsidRPr="00882604">
        <w:rPr>
          <w:rFonts w:ascii="Arial" w:eastAsia="SimSun" w:hAnsi="Arial" w:cs="Arial"/>
          <w:kern w:val="2"/>
          <w:sz w:val="21"/>
          <w:szCs w:val="21"/>
          <w:lang w:eastAsia="zh-CN" w:bidi="hi-IN"/>
        </w:rPr>
        <w:t xml:space="preserve">2021, </w:t>
      </w:r>
      <w:r w:rsidRPr="00391950">
        <w:rPr>
          <w:rFonts w:ascii="Arial" w:eastAsia="SimSun" w:hAnsi="Arial" w:cs="Arial"/>
          <w:kern w:val="2"/>
          <w:sz w:val="21"/>
          <w:szCs w:val="21"/>
          <w:lang w:eastAsia="zh-CN" w:bidi="hi-IN"/>
        </w:rPr>
        <w:t xml:space="preserve">un </w:t>
      </w:r>
      <w:hyperlink r:id="rId398" w:history="1">
        <w:r w:rsidRPr="009040D5">
          <w:rPr>
            <w:rFonts w:ascii="Arial" w:eastAsia="SimSun" w:hAnsi="Arial" w:cs="Arial"/>
            <w:color w:val="000080"/>
            <w:kern w:val="2"/>
            <w:sz w:val="21"/>
            <w:szCs w:val="21"/>
            <w:u w:val="single"/>
            <w:lang w:eastAsia="zh-CN" w:bidi="hi-IN"/>
          </w:rPr>
          <w:t>pronunciamiento</w:t>
        </w:r>
      </w:hyperlink>
      <w:r w:rsidRPr="00391950">
        <w:rPr>
          <w:rFonts w:ascii="Arial" w:eastAsia="SimSun" w:hAnsi="Arial" w:cs="Arial"/>
          <w:kern w:val="2"/>
          <w:sz w:val="21"/>
          <w:szCs w:val="21"/>
          <w:lang w:eastAsia="zh-CN" w:bidi="hi-IN"/>
        </w:rPr>
        <w:t xml:space="preserve"> en el que </w:t>
      </w:r>
      <w:r>
        <w:rPr>
          <w:rFonts w:ascii="Arial" w:eastAsia="SimSun" w:hAnsi="Arial" w:cs="Arial"/>
          <w:kern w:val="2"/>
          <w:sz w:val="21"/>
          <w:szCs w:val="21"/>
          <w:lang w:eastAsia="zh-CN" w:bidi="hi-IN"/>
        </w:rPr>
        <w:t xml:space="preserve">se </w:t>
      </w:r>
      <w:r w:rsidRPr="00391950">
        <w:rPr>
          <w:rFonts w:ascii="Arial" w:eastAsia="SimSun" w:hAnsi="Arial" w:cs="Arial"/>
          <w:kern w:val="2"/>
          <w:sz w:val="21"/>
          <w:szCs w:val="21"/>
          <w:lang w:eastAsia="zh-CN" w:bidi="hi-IN"/>
        </w:rPr>
        <w:t>expresaba una honda preocupación ante la situación provocada por la</w:t>
      </w:r>
      <w:r>
        <w:rPr>
          <w:rFonts w:ascii="Arial" w:eastAsia="SimSun" w:hAnsi="Arial" w:cs="Arial"/>
          <w:kern w:val="2"/>
          <w:sz w:val="21"/>
          <w:szCs w:val="21"/>
          <w:lang w:eastAsia="zh-CN" w:bidi="hi-IN"/>
        </w:rPr>
        <w:t>s numerosas</w:t>
      </w:r>
      <w:r w:rsidRPr="00391950">
        <w:rPr>
          <w:rFonts w:ascii="Arial" w:eastAsia="SimSun" w:hAnsi="Arial" w:cs="Arial"/>
          <w:kern w:val="2"/>
          <w:sz w:val="21"/>
          <w:szCs w:val="21"/>
          <w:lang w:eastAsia="zh-CN" w:bidi="hi-IN"/>
        </w:rPr>
        <w:t xml:space="preserve"> solicitudes </w:t>
      </w:r>
      <w:r>
        <w:rPr>
          <w:rFonts w:ascii="Arial" w:eastAsia="SimSun" w:hAnsi="Arial" w:cs="Arial"/>
          <w:kern w:val="2"/>
          <w:sz w:val="21"/>
          <w:szCs w:val="21"/>
          <w:lang w:eastAsia="zh-CN" w:bidi="hi-IN"/>
        </w:rPr>
        <w:t xml:space="preserve">realizadas </w:t>
      </w:r>
      <w:r w:rsidRPr="00391950">
        <w:rPr>
          <w:rFonts w:ascii="Arial" w:eastAsia="SimSun" w:hAnsi="Arial" w:cs="Arial"/>
          <w:kern w:val="2"/>
          <w:sz w:val="21"/>
          <w:szCs w:val="21"/>
          <w:lang w:eastAsia="zh-CN" w:bidi="hi-IN"/>
        </w:rPr>
        <w:t>que</w:t>
      </w:r>
      <w:r>
        <w:rPr>
          <w:rFonts w:ascii="Arial" w:eastAsia="SimSun" w:hAnsi="Arial" w:cs="Arial"/>
          <w:kern w:val="2"/>
          <w:sz w:val="21"/>
          <w:szCs w:val="21"/>
          <w:lang w:eastAsia="zh-CN" w:bidi="hi-IN"/>
        </w:rPr>
        <w:t>,</w:t>
      </w:r>
      <w:r w:rsidRPr="00391950">
        <w:rPr>
          <w:rFonts w:ascii="Arial" w:eastAsia="SimSun" w:hAnsi="Arial" w:cs="Arial"/>
          <w:kern w:val="2"/>
          <w:sz w:val="21"/>
          <w:szCs w:val="21"/>
          <w:lang w:eastAsia="zh-CN" w:bidi="hi-IN"/>
        </w:rPr>
        <w:t xml:space="preserve"> por parte </w:t>
      </w:r>
      <w:r>
        <w:rPr>
          <w:rFonts w:ascii="Arial" w:eastAsia="SimSun" w:hAnsi="Arial" w:cs="Arial"/>
          <w:kern w:val="2"/>
          <w:sz w:val="21"/>
          <w:szCs w:val="21"/>
          <w:lang w:eastAsia="zh-CN" w:bidi="hi-IN"/>
        </w:rPr>
        <w:t>algunos diputados de l</w:t>
      </w:r>
      <w:r w:rsidR="00CC7691">
        <w:rPr>
          <w:rFonts w:ascii="Arial" w:eastAsia="SimSun" w:hAnsi="Arial" w:cs="Arial"/>
          <w:kern w:val="2"/>
          <w:sz w:val="21"/>
          <w:szCs w:val="21"/>
          <w:lang w:eastAsia="zh-CN" w:bidi="hi-IN"/>
        </w:rPr>
        <w:t>a</w:t>
      </w:r>
      <w:r>
        <w:rPr>
          <w:rFonts w:ascii="Arial" w:eastAsia="SimSun" w:hAnsi="Arial" w:cs="Arial"/>
          <w:kern w:val="2"/>
          <w:sz w:val="21"/>
          <w:szCs w:val="21"/>
          <w:lang w:eastAsia="zh-CN" w:bidi="hi-IN"/>
        </w:rPr>
        <w:t xml:space="preserve">s Corts, se han venido presentando </w:t>
      </w:r>
      <w:r w:rsidRPr="00391950">
        <w:rPr>
          <w:rFonts w:ascii="Arial" w:eastAsia="SimSun" w:hAnsi="Arial" w:cs="Arial"/>
          <w:kern w:val="2"/>
          <w:sz w:val="21"/>
          <w:szCs w:val="21"/>
          <w:lang w:eastAsia="zh-CN" w:bidi="hi-IN"/>
        </w:rPr>
        <w:t>con el propósito de acceder al contenido de determinados expedientes de denuncias llegadas a la Agencia y cuya investigación no está concluida o está judicializada.</w:t>
      </w:r>
    </w:p>
    <w:p w14:paraId="78A36ACD" w14:textId="7B30CD7A" w:rsidR="00087531" w:rsidRPr="00882604" w:rsidRDefault="00087531" w:rsidP="00087531">
      <w:pPr>
        <w:suppressAutoHyphens/>
        <w:spacing w:after="240" w:line="276" w:lineRule="auto"/>
        <w:jc w:val="both"/>
        <w:rPr>
          <w:rFonts w:ascii="Arial" w:eastAsia="SimSun" w:hAnsi="Arial" w:cs="Arial"/>
          <w:kern w:val="2"/>
          <w:sz w:val="21"/>
          <w:szCs w:val="21"/>
          <w:lang w:eastAsia="zh-CN" w:bidi="hi-IN"/>
        </w:rPr>
      </w:pPr>
      <w:r w:rsidRPr="00391950">
        <w:rPr>
          <w:rFonts w:ascii="Arial" w:eastAsia="SimSun" w:hAnsi="Arial" w:cs="Arial"/>
          <w:kern w:val="2"/>
          <w:sz w:val="21"/>
          <w:szCs w:val="21"/>
          <w:lang w:eastAsia="zh-CN" w:bidi="hi-IN"/>
        </w:rPr>
        <w:t xml:space="preserve">Al efecto, como hemos señalado anteriormente, la gran mayoría de los Grupos Parlamentarios han adoptado la </w:t>
      </w:r>
      <w:hyperlink r:id="rId399" w:history="1">
        <w:r w:rsidRPr="009040D5">
          <w:rPr>
            <w:rFonts w:ascii="Arial" w:eastAsia="SimSun" w:hAnsi="Arial" w:cs="Arial"/>
            <w:color w:val="000080"/>
            <w:kern w:val="2"/>
            <w:sz w:val="21"/>
            <w:szCs w:val="21"/>
            <w:u w:val="single"/>
            <w:lang w:eastAsia="zh-CN" w:bidi="hi-IN"/>
          </w:rPr>
          <w:t xml:space="preserve">Resolución </w:t>
        </w:r>
        <w:r w:rsidR="00DD6F16" w:rsidRPr="009040D5">
          <w:rPr>
            <w:rFonts w:ascii="Arial" w:eastAsia="SimSun" w:hAnsi="Arial" w:cs="Arial"/>
            <w:color w:val="000080"/>
            <w:kern w:val="2"/>
            <w:sz w:val="21"/>
            <w:szCs w:val="21"/>
            <w:u w:val="single"/>
            <w:lang w:eastAsia="zh-CN" w:bidi="hi-IN"/>
          </w:rPr>
          <w:t xml:space="preserve">núm. </w:t>
        </w:r>
        <w:r w:rsidRPr="009040D5">
          <w:rPr>
            <w:rFonts w:ascii="Arial" w:eastAsia="SimSun" w:hAnsi="Arial" w:cs="Arial"/>
            <w:color w:val="000080"/>
            <w:kern w:val="2"/>
            <w:sz w:val="21"/>
            <w:szCs w:val="21"/>
            <w:u w:val="single"/>
            <w:lang w:eastAsia="zh-CN" w:bidi="hi-IN"/>
          </w:rPr>
          <w:t xml:space="preserve">350/X, sobre apoyo al trabajo de investigación de la corrupción y </w:t>
        </w:r>
        <w:r w:rsidRPr="004807A2">
          <w:rPr>
            <w:rFonts w:ascii="Arial" w:eastAsia="SimSun" w:hAnsi="Arial" w:cs="Arial"/>
            <w:color w:val="000080"/>
            <w:kern w:val="2"/>
            <w:sz w:val="21"/>
            <w:szCs w:val="21"/>
            <w:u w:val="single"/>
            <w:lang w:eastAsia="zh-CN" w:bidi="hi-IN"/>
          </w:rPr>
          <w:t>prevención</w:t>
        </w:r>
        <w:r w:rsidRPr="009040D5">
          <w:rPr>
            <w:rFonts w:ascii="Arial" w:eastAsia="SimSun" w:hAnsi="Arial" w:cs="Arial"/>
            <w:color w:val="000080"/>
            <w:kern w:val="2"/>
            <w:sz w:val="21"/>
            <w:szCs w:val="21"/>
            <w:u w:val="single"/>
            <w:lang w:eastAsia="zh-CN" w:bidi="hi-IN"/>
          </w:rPr>
          <w:t xml:space="preserve"> del fraude de la Agencia Valenciana Antifrau</w:t>
        </w:r>
        <w:r w:rsidRPr="004807A2">
          <w:rPr>
            <w:rFonts w:ascii="Arial" w:eastAsia="SimSun" w:hAnsi="Arial" w:cs="Arial"/>
            <w:color w:val="000080"/>
            <w:kern w:val="2"/>
            <w:sz w:val="21"/>
            <w:szCs w:val="21"/>
            <w:u w:val="single"/>
            <w:lang w:eastAsia="zh-CN" w:bidi="hi-IN"/>
          </w:rPr>
          <w:t>de</w:t>
        </w:r>
      </w:hyperlink>
      <w:r w:rsidRPr="00391950">
        <w:rPr>
          <w:rFonts w:ascii="Arial" w:eastAsia="SimSun" w:hAnsi="Arial" w:cs="Arial"/>
          <w:kern w:val="2"/>
          <w:sz w:val="21"/>
          <w:szCs w:val="21"/>
          <w:lang w:eastAsia="zh-CN" w:bidi="hi-IN"/>
        </w:rPr>
        <w:t>, aprobada por el Pleno de las Corts Valencianes en la sesión de 27 de mayo de 2021 (BOCV núm</w:t>
      </w:r>
      <w:r w:rsidRPr="00882604">
        <w:rPr>
          <w:rFonts w:ascii="Arial" w:eastAsia="SimSun" w:hAnsi="Arial" w:cs="Arial"/>
          <w:kern w:val="2"/>
          <w:sz w:val="21"/>
          <w:szCs w:val="21"/>
          <w:lang w:eastAsia="zh-CN" w:bidi="hi-IN"/>
        </w:rPr>
        <w:t>. 170 de 2.06.2021).</w:t>
      </w:r>
    </w:p>
    <w:p w14:paraId="4F8AF631" w14:textId="2113A0BA" w:rsidR="00446E4D" w:rsidRDefault="00446E4D" w:rsidP="00460454">
      <w:pPr>
        <w:spacing w:after="240" w:line="276" w:lineRule="auto"/>
        <w:jc w:val="both"/>
        <w:rPr>
          <w:rFonts w:ascii="Arial" w:hAnsi="Arial"/>
          <w:sz w:val="21"/>
          <w:szCs w:val="21"/>
        </w:rPr>
      </w:pPr>
    </w:p>
    <w:p w14:paraId="0909BAC4" w14:textId="554EB7B6" w:rsidR="00446E4D" w:rsidRDefault="00446E4D" w:rsidP="00460454">
      <w:pPr>
        <w:spacing w:after="240" w:line="276" w:lineRule="auto"/>
        <w:jc w:val="both"/>
        <w:rPr>
          <w:rFonts w:ascii="Arial" w:hAnsi="Arial"/>
          <w:sz w:val="21"/>
          <w:szCs w:val="21"/>
        </w:rPr>
      </w:pPr>
    </w:p>
    <w:p w14:paraId="68F29575" w14:textId="3D5C8B36" w:rsidR="00DC4E57" w:rsidRDefault="00DC4E57" w:rsidP="00460454">
      <w:pPr>
        <w:spacing w:after="240" w:line="276" w:lineRule="auto"/>
        <w:jc w:val="both"/>
        <w:rPr>
          <w:rFonts w:ascii="Arial" w:hAnsi="Arial"/>
          <w:sz w:val="21"/>
          <w:szCs w:val="21"/>
        </w:rPr>
      </w:pPr>
    </w:p>
    <w:p w14:paraId="22556B10" w14:textId="77777777" w:rsidR="00DC4E57" w:rsidRDefault="00DC4E57" w:rsidP="00460454">
      <w:pPr>
        <w:spacing w:after="240" w:line="276" w:lineRule="auto"/>
        <w:jc w:val="both"/>
        <w:rPr>
          <w:rFonts w:ascii="Arial" w:hAnsi="Arial"/>
          <w:sz w:val="21"/>
          <w:szCs w:val="21"/>
        </w:rPr>
      </w:pPr>
    </w:p>
    <w:p w14:paraId="25A2B313" w14:textId="77777777" w:rsidR="00AD1EF3" w:rsidRPr="00973028" w:rsidRDefault="00AD1EF3" w:rsidP="00460454">
      <w:pPr>
        <w:spacing w:after="240" w:line="276" w:lineRule="auto"/>
        <w:jc w:val="both"/>
        <w:rPr>
          <w:rFonts w:ascii="Arial" w:hAnsi="Arial"/>
          <w:sz w:val="21"/>
          <w:szCs w:val="21"/>
        </w:rPr>
      </w:pPr>
    </w:p>
    <w:bookmarkEnd w:id="59"/>
    <w:bookmarkEnd w:id="65"/>
    <w:bookmarkEnd w:id="66"/>
    <w:p w14:paraId="204A7A5B" w14:textId="6444BB6A" w:rsidR="00D60C98" w:rsidRPr="009040D5" w:rsidRDefault="00D60C98" w:rsidP="00460454">
      <w:pPr>
        <w:rPr>
          <w:rFonts w:ascii="Arial" w:eastAsia="Times New Roman" w:hAnsi="Arial" w:cs="Arial"/>
          <w:b/>
          <w:bCs/>
          <w:smallCaps/>
          <w:spacing w:val="-14"/>
          <w:kern w:val="2"/>
          <w:sz w:val="20"/>
          <w:szCs w:val="20"/>
          <w:lang w:eastAsia="es-ES"/>
        </w:rPr>
      </w:pPr>
    </w:p>
    <w:p w14:paraId="3BD6C0DA" w14:textId="38B141E3" w:rsidR="00D60C98" w:rsidRPr="009040D5" w:rsidRDefault="00D60C98" w:rsidP="001D3907">
      <w:pPr>
        <w:spacing w:after="240" w:line="276" w:lineRule="auto"/>
        <w:outlineLvl w:val="3"/>
        <w:rPr>
          <w:rFonts w:ascii="Arial" w:eastAsia="Times New Roman" w:hAnsi="Arial" w:cs="Arial"/>
          <w:b/>
          <w:bCs/>
          <w:smallCaps/>
          <w:spacing w:val="-14"/>
          <w:kern w:val="2"/>
          <w:sz w:val="20"/>
          <w:szCs w:val="20"/>
          <w:lang w:eastAsia="es-ES"/>
        </w:rPr>
      </w:pPr>
      <w:r w:rsidRPr="009040D5">
        <w:rPr>
          <w:rFonts w:ascii="Arial" w:eastAsia="Times New Roman" w:hAnsi="Arial" w:cs="Arial"/>
          <w:b/>
          <w:bCs/>
          <w:smallCaps/>
          <w:spacing w:val="-14"/>
          <w:kern w:val="2"/>
          <w:sz w:val="20"/>
          <w:szCs w:val="20"/>
          <w:lang w:eastAsia="es-ES"/>
        </w:rPr>
        <w:br w:type="page"/>
      </w:r>
    </w:p>
    <w:p w14:paraId="27C87353" w14:textId="4FFCF977" w:rsidR="004522FD" w:rsidRPr="00973028" w:rsidRDefault="004522FD" w:rsidP="00460454">
      <w:pPr>
        <w:rPr>
          <w:rFonts w:ascii="Arial" w:eastAsia="Times New Roman" w:hAnsi="Arial" w:cs="Arial"/>
          <w:b/>
          <w:bCs/>
          <w:smallCaps/>
          <w:color w:val="9D2235"/>
          <w:spacing w:val="-14"/>
          <w:kern w:val="2"/>
          <w:sz w:val="20"/>
          <w:szCs w:val="20"/>
          <w:lang w:eastAsia="es-ES"/>
        </w:rPr>
      </w:pPr>
    </w:p>
    <w:p w14:paraId="36FB1A8E" w14:textId="5A3688A2" w:rsidR="004522FD" w:rsidRPr="00973028" w:rsidRDefault="004522FD" w:rsidP="00460454">
      <w:pPr>
        <w:rPr>
          <w:rFonts w:ascii="Arial" w:eastAsia="Times New Roman" w:hAnsi="Arial" w:cs="Arial"/>
          <w:b/>
          <w:bCs/>
          <w:smallCaps/>
          <w:color w:val="9D2235"/>
          <w:spacing w:val="-14"/>
          <w:kern w:val="2"/>
          <w:sz w:val="20"/>
          <w:szCs w:val="20"/>
          <w:lang w:eastAsia="es-ES"/>
        </w:rPr>
      </w:pPr>
    </w:p>
    <w:p w14:paraId="0BFD4448" w14:textId="0E31463E" w:rsidR="004522FD" w:rsidRPr="00973028" w:rsidRDefault="004522FD" w:rsidP="00460454">
      <w:pPr>
        <w:rPr>
          <w:rFonts w:ascii="Arial" w:eastAsia="Times New Roman" w:hAnsi="Arial" w:cs="Arial"/>
          <w:b/>
          <w:bCs/>
          <w:smallCaps/>
          <w:color w:val="9D2235"/>
          <w:spacing w:val="-14"/>
          <w:kern w:val="2"/>
          <w:sz w:val="20"/>
          <w:szCs w:val="20"/>
          <w:lang w:eastAsia="es-ES"/>
        </w:rPr>
      </w:pPr>
    </w:p>
    <w:p w14:paraId="2909AAE8" w14:textId="2D3EE60F" w:rsidR="0078230B" w:rsidRPr="0078230B" w:rsidRDefault="004522FD" w:rsidP="00AC1A12">
      <w:pPr>
        <w:pStyle w:val="Prrafodelista"/>
        <w:keepNext/>
        <w:numPr>
          <w:ilvl w:val="0"/>
          <w:numId w:val="17"/>
        </w:numPr>
        <w:spacing w:after="0" w:line="240" w:lineRule="auto"/>
        <w:ind w:left="0" w:firstLine="0"/>
        <w:outlineLvl w:val="0"/>
        <w:rPr>
          <w:rFonts w:ascii="Arial" w:eastAsia="Times New Roman" w:hAnsi="Arial" w:cs="Arial"/>
          <w:b/>
          <w:bCs/>
          <w:color w:val="9D2235"/>
          <w:spacing w:val="-24"/>
          <w:kern w:val="2"/>
          <w:sz w:val="80"/>
          <w:szCs w:val="80"/>
          <w:lang w:eastAsia="es-ES"/>
        </w:rPr>
      </w:pPr>
      <w:r w:rsidRPr="00973028">
        <w:rPr>
          <w:rFonts w:ascii="Arial" w:eastAsia="Times New Roman" w:hAnsi="Arial" w:cs="Arial"/>
          <w:b/>
          <w:bCs/>
          <w:color w:val="9D2235"/>
          <w:spacing w:val="-24"/>
          <w:kern w:val="2"/>
          <w:sz w:val="80"/>
          <w:szCs w:val="80"/>
          <w:lang w:eastAsia="es-ES"/>
        </w:rPr>
        <w:br/>
      </w:r>
      <w:bookmarkStart w:id="112" w:name="_Toc64984210"/>
      <w:bookmarkStart w:id="113" w:name="_Toc64988200"/>
      <w:bookmarkStart w:id="114" w:name="_Toc64988525"/>
      <w:bookmarkStart w:id="115" w:name="_Toc65239413"/>
      <w:bookmarkStart w:id="116" w:name="_Toc65239529"/>
      <w:bookmarkStart w:id="117" w:name="_Toc65239641"/>
      <w:bookmarkStart w:id="118" w:name="_Toc65746393"/>
      <w:bookmarkStart w:id="119" w:name="_Toc65746515"/>
      <w:bookmarkStart w:id="120" w:name="_Toc65746677"/>
      <w:bookmarkStart w:id="121" w:name="_Toc65759233"/>
      <w:bookmarkStart w:id="122" w:name="_Toc65759475"/>
      <w:bookmarkStart w:id="123" w:name="_Toc66450191"/>
      <w:bookmarkStart w:id="124" w:name="_Toc66450314"/>
      <w:bookmarkStart w:id="125" w:name="_Toc66451261"/>
      <w:bookmarkStart w:id="126" w:name="_Toc66451634"/>
      <w:bookmarkStart w:id="127" w:name="_Toc66451774"/>
      <w:bookmarkStart w:id="128" w:name="_Toc66451913"/>
      <w:bookmarkStart w:id="129" w:name="_Toc66452116"/>
      <w:bookmarkStart w:id="130" w:name="_Toc66689570"/>
      <w:bookmarkStart w:id="131" w:name="_Toc66873935"/>
      <w:bookmarkStart w:id="132" w:name="_Toc66874164"/>
      <w:bookmarkStart w:id="133" w:name="_Toc66874309"/>
      <w:bookmarkStart w:id="134" w:name="_Toc99107007"/>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r w:rsidR="00B930CE" w:rsidRPr="00973028">
        <w:rPr>
          <w:rFonts w:ascii="Arial" w:eastAsia="Times New Roman" w:hAnsi="Arial" w:cs="Arial"/>
          <w:b/>
          <w:bCs/>
          <w:color w:val="9D2235"/>
          <w:spacing w:val="-24"/>
          <w:kern w:val="2"/>
          <w:sz w:val="80"/>
          <w:szCs w:val="80"/>
          <w:lang w:eastAsia="es-ES" w:bidi="hi-IN"/>
        </w:rPr>
        <w:t>Análisis e</w:t>
      </w:r>
      <w:r w:rsidR="00B930CE">
        <w:rPr>
          <w:rFonts w:ascii="Arial" w:eastAsia="Times New Roman" w:hAnsi="Arial" w:cs="Arial"/>
          <w:b/>
          <w:bCs/>
          <w:color w:val="9D2235"/>
          <w:spacing w:val="-24"/>
          <w:kern w:val="2"/>
          <w:sz w:val="80"/>
          <w:szCs w:val="80"/>
          <w:lang w:eastAsia="es-ES" w:bidi="hi-IN"/>
        </w:rPr>
        <w:t xml:space="preserve"> </w:t>
      </w:r>
      <w:r w:rsidR="00B930CE" w:rsidRPr="00973028">
        <w:rPr>
          <w:rFonts w:ascii="Arial" w:eastAsia="Times New Roman" w:hAnsi="Arial" w:cs="Arial"/>
          <w:b/>
          <w:bCs/>
          <w:color w:val="9D2235"/>
          <w:spacing w:val="-24"/>
          <w:kern w:val="2"/>
          <w:sz w:val="80"/>
          <w:szCs w:val="80"/>
          <w:lang w:eastAsia="es-ES" w:bidi="hi-IN"/>
        </w:rPr>
        <w:br/>
      </w:r>
      <w:r w:rsidR="00982941">
        <w:rPr>
          <w:rFonts w:ascii="Arial" w:eastAsia="Times New Roman" w:hAnsi="Arial" w:cs="Arial"/>
          <w:b/>
          <w:bCs/>
          <w:color w:val="9D2235"/>
          <w:spacing w:val="-24"/>
          <w:kern w:val="2"/>
          <w:sz w:val="80"/>
          <w:szCs w:val="80"/>
          <w:lang w:eastAsia="es-ES" w:bidi="hi-IN"/>
        </w:rPr>
        <w:t>i</w:t>
      </w:r>
      <w:r w:rsidR="00B930CE" w:rsidRPr="00973028">
        <w:rPr>
          <w:rFonts w:ascii="Arial" w:eastAsia="Times New Roman" w:hAnsi="Arial" w:cs="Arial"/>
          <w:b/>
          <w:bCs/>
          <w:color w:val="9D2235"/>
          <w:spacing w:val="-24"/>
          <w:kern w:val="2"/>
          <w:sz w:val="80"/>
          <w:szCs w:val="80"/>
          <w:lang w:eastAsia="es-ES" w:bidi="hi-IN"/>
        </w:rPr>
        <w:t>nvestigación</w:t>
      </w:r>
      <w:bookmarkStart w:id="135" w:name="_Hlk98918711"/>
      <w:bookmarkEnd w:id="134"/>
      <w:r w:rsidR="0078230B">
        <w:rPr>
          <w:rFonts w:ascii="Arial" w:eastAsia="Times New Roman" w:hAnsi="Arial" w:cs="Arial"/>
          <w:b/>
          <w:bCs/>
          <w:color w:val="9D2235"/>
          <w:spacing w:val="-24"/>
          <w:kern w:val="2"/>
          <w:sz w:val="80"/>
          <w:szCs w:val="80"/>
          <w:lang w:eastAsia="es-ES"/>
        </w:rPr>
        <w:br/>
      </w:r>
      <w:bookmarkEnd w:id="135"/>
    </w:p>
    <w:p w14:paraId="40C1D593" w14:textId="436250B5" w:rsidR="006B510A" w:rsidRPr="00E973F1" w:rsidRDefault="00AC0845" w:rsidP="00AC1A12">
      <w:pPr>
        <w:pStyle w:val="Prrafodelista"/>
        <w:keepNext/>
        <w:numPr>
          <w:ilvl w:val="1"/>
          <w:numId w:val="17"/>
        </w:numPr>
        <w:spacing w:before="360" w:after="240" w:line="276" w:lineRule="auto"/>
        <w:ind w:left="851" w:hanging="851"/>
        <w:jc w:val="both"/>
        <w:outlineLvl w:val="1"/>
        <w:rPr>
          <w:rFonts w:ascii="Arial" w:eastAsia="Times New Roman" w:hAnsi="Arial" w:cs="Arial"/>
          <w:b/>
          <w:bCs/>
          <w:color w:val="9D2235" w:themeColor="accent1"/>
          <w:spacing w:val="-24"/>
          <w:kern w:val="2"/>
          <w:sz w:val="32"/>
          <w:szCs w:val="32"/>
          <w:lang w:eastAsia="es-ES"/>
        </w:rPr>
      </w:pPr>
      <w:bookmarkStart w:id="136" w:name="_Toc99107008"/>
      <w:r>
        <w:rPr>
          <w:rFonts w:ascii="Arial" w:eastAsia="Times New Roman" w:hAnsi="Arial" w:cs="Arial"/>
          <w:b/>
          <w:color w:val="9D2235" w:themeColor="accent1"/>
          <w:sz w:val="32"/>
          <w:szCs w:val="32"/>
        </w:rPr>
        <w:t>Presentación</w:t>
      </w:r>
      <w:bookmarkEnd w:id="136"/>
      <w:r w:rsidR="006B510A" w:rsidRPr="00E973F1">
        <w:rPr>
          <w:rFonts w:ascii="Arial" w:eastAsia="Times New Roman" w:hAnsi="Arial" w:cs="Arial"/>
          <w:b/>
          <w:color w:val="9D2235" w:themeColor="accent1"/>
          <w:sz w:val="32"/>
          <w:szCs w:val="32"/>
        </w:rPr>
        <w:t xml:space="preserve"> </w:t>
      </w:r>
    </w:p>
    <w:p w14:paraId="68BDE976" w14:textId="77777777" w:rsidR="00586007" w:rsidRPr="002D7EF4" w:rsidRDefault="00586007" w:rsidP="005C75BC">
      <w:pPr>
        <w:spacing w:after="240" w:line="276" w:lineRule="auto"/>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A la Dirección de Análisis e Investigación le corresponde</w:t>
      </w:r>
      <w:r>
        <w:rPr>
          <w:rFonts w:ascii="Arial" w:eastAsia="Times New Roman" w:hAnsi="Arial" w:cs="Arial"/>
          <w:sz w:val="21"/>
          <w:szCs w:val="21"/>
          <w:lang w:eastAsia="es-ES"/>
        </w:rPr>
        <w:t>n</w:t>
      </w:r>
      <w:r w:rsidRPr="002D7EF4">
        <w:rPr>
          <w:rFonts w:ascii="Arial" w:eastAsia="Times New Roman" w:hAnsi="Arial" w:cs="Arial"/>
          <w:sz w:val="21"/>
          <w:szCs w:val="21"/>
          <w:lang w:eastAsia="es-ES"/>
        </w:rPr>
        <w:t xml:space="preserve"> las siguientes funciones, conforme a lo regulado en el artículo 20 del Reglamento de funcionamiento y régimen interior de la AVAF:</w:t>
      </w:r>
    </w:p>
    <w:p w14:paraId="58B24635" w14:textId="77777777" w:rsidR="00586007" w:rsidRPr="002D7EF4" w:rsidRDefault="00586007" w:rsidP="005C75BC">
      <w:pPr>
        <w:numPr>
          <w:ilvl w:val="0"/>
          <w:numId w:val="32"/>
        </w:numPr>
        <w:spacing w:after="120" w:line="276" w:lineRule="auto"/>
        <w:ind w:left="714" w:hanging="357"/>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Dirigir, coordinar y supervisar el funcionamiento y la organización de las unidades y equipos de análisis e investigación dependientes.</w:t>
      </w:r>
    </w:p>
    <w:p w14:paraId="4A3C4023" w14:textId="77777777" w:rsidR="00586007" w:rsidRPr="002D7EF4" w:rsidRDefault="00586007" w:rsidP="005C75BC">
      <w:pPr>
        <w:numPr>
          <w:ilvl w:val="0"/>
          <w:numId w:val="32"/>
        </w:numPr>
        <w:spacing w:after="120" w:line="276" w:lineRule="auto"/>
        <w:ind w:left="714" w:hanging="357"/>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 xml:space="preserve">Recibir y analizar las solicitudes, las denuncias y las comunicaciones presentadas por personas físicas o jurídicas, públicas o privadas, órganos o instituciones de carácter público. </w:t>
      </w:r>
    </w:p>
    <w:p w14:paraId="0475533D" w14:textId="77777777" w:rsidR="00586007" w:rsidRPr="002D7EF4" w:rsidRDefault="00586007" w:rsidP="005C75BC">
      <w:pPr>
        <w:numPr>
          <w:ilvl w:val="0"/>
          <w:numId w:val="32"/>
        </w:numPr>
        <w:spacing w:after="120" w:line="276" w:lineRule="auto"/>
        <w:ind w:left="714" w:hanging="357"/>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 xml:space="preserve">Supervisar y velar por el correcto funcionamiento del Buzón de denuncias de la Agencia. </w:t>
      </w:r>
    </w:p>
    <w:p w14:paraId="2406FA71" w14:textId="77777777" w:rsidR="00586007" w:rsidRPr="002D7EF4" w:rsidRDefault="00586007" w:rsidP="005C75BC">
      <w:pPr>
        <w:numPr>
          <w:ilvl w:val="0"/>
          <w:numId w:val="32"/>
        </w:numPr>
        <w:spacing w:after="120" w:line="276" w:lineRule="auto"/>
        <w:ind w:left="714" w:hanging="357"/>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 xml:space="preserve">Efectuar el tratamiento y el análisis de la información de que tenga conocimiento que sea susceptible de dar lugar a actuaciones de investigación. </w:t>
      </w:r>
    </w:p>
    <w:p w14:paraId="3AC28C21" w14:textId="77777777" w:rsidR="00586007" w:rsidRPr="002D7EF4" w:rsidRDefault="00586007" w:rsidP="005C75BC">
      <w:pPr>
        <w:numPr>
          <w:ilvl w:val="0"/>
          <w:numId w:val="32"/>
        </w:numPr>
        <w:spacing w:after="120" w:line="276" w:lineRule="auto"/>
        <w:ind w:left="714" w:hanging="357"/>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 xml:space="preserve">Evaluar la verosimilitud de las denuncias practicando las actuaciones necesarias para ello y emitiendo el informe de verosimilitud de denuncias o comunicaciones. </w:t>
      </w:r>
    </w:p>
    <w:p w14:paraId="5486A7FA" w14:textId="77777777" w:rsidR="00586007" w:rsidRPr="002D7EF4" w:rsidRDefault="00586007" w:rsidP="005C75BC">
      <w:pPr>
        <w:numPr>
          <w:ilvl w:val="0"/>
          <w:numId w:val="32"/>
        </w:numPr>
        <w:spacing w:after="120" w:line="276" w:lineRule="auto"/>
        <w:ind w:left="714" w:hanging="357"/>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 xml:space="preserve">Elaborar las propuestas de iniciación de actuaciones de investigación, de remisión al órgano competente o de archivo, y someterlas a la aprobación de la dirección de la Agencia. </w:t>
      </w:r>
    </w:p>
    <w:p w14:paraId="4CE7016E" w14:textId="77777777" w:rsidR="00586007" w:rsidRPr="002D7EF4" w:rsidRDefault="00586007" w:rsidP="005C75BC">
      <w:pPr>
        <w:numPr>
          <w:ilvl w:val="0"/>
          <w:numId w:val="32"/>
        </w:numPr>
        <w:spacing w:after="120" w:line="276" w:lineRule="auto"/>
        <w:ind w:left="714" w:hanging="357"/>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 xml:space="preserve">Ejercer la dirección técnica superior del análisis, la investigación y la inspección. </w:t>
      </w:r>
    </w:p>
    <w:p w14:paraId="552EAA1B" w14:textId="77777777" w:rsidR="00586007" w:rsidRPr="002D7EF4" w:rsidRDefault="00586007" w:rsidP="005C75BC">
      <w:pPr>
        <w:numPr>
          <w:ilvl w:val="0"/>
          <w:numId w:val="32"/>
        </w:numPr>
        <w:spacing w:after="120" w:line="276" w:lineRule="auto"/>
        <w:ind w:left="714" w:hanging="357"/>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 xml:space="preserve">Proponer a la dirección de la Agencia la conclusión o la reapertura de los expedientes de investigación, así como realizar el seguimiento de las actuaciones y recomendaciones adoptadas. </w:t>
      </w:r>
    </w:p>
    <w:p w14:paraId="7A40C325" w14:textId="77777777" w:rsidR="00586007" w:rsidRPr="002D7EF4" w:rsidRDefault="00586007" w:rsidP="005C75BC">
      <w:pPr>
        <w:numPr>
          <w:ilvl w:val="0"/>
          <w:numId w:val="32"/>
        </w:numPr>
        <w:spacing w:after="120" w:line="276" w:lineRule="auto"/>
        <w:ind w:left="714" w:hanging="357"/>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 xml:space="preserve">Proponer el establecimiento y aplicar o supervisar la aplicación de normativas de uso de recursos tecnológicos, políticas de seguridad e interoperabilidad, planes de despliegue de sistemas de información y demás criterios en relación con los sistemas y las tecnologías de la información y las comunicaciones. </w:t>
      </w:r>
    </w:p>
    <w:p w14:paraId="218B4D84" w14:textId="77777777" w:rsidR="00586007" w:rsidRPr="002D7EF4" w:rsidRDefault="00586007" w:rsidP="005C75BC">
      <w:pPr>
        <w:numPr>
          <w:ilvl w:val="0"/>
          <w:numId w:val="32"/>
        </w:numPr>
        <w:spacing w:after="120" w:line="276" w:lineRule="auto"/>
        <w:ind w:left="714" w:hanging="357"/>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 xml:space="preserve">Desarrollar sistemas y planificar estrategias para obtener, organizar y centralizar la recogida y explotación de información que permita identificar conductas susceptibles de fraude y corrupción. </w:t>
      </w:r>
    </w:p>
    <w:p w14:paraId="78298A28" w14:textId="77777777" w:rsidR="00586007" w:rsidRPr="002D7EF4" w:rsidRDefault="00586007" w:rsidP="005C75BC">
      <w:pPr>
        <w:numPr>
          <w:ilvl w:val="0"/>
          <w:numId w:val="32"/>
        </w:numPr>
        <w:spacing w:after="120" w:line="276" w:lineRule="auto"/>
        <w:ind w:left="714" w:hanging="357"/>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Gestionar el mantenimiento de las bases de datos, las aplicaciones informáticas y las comunicaciones, así como controlar la seguridad de los sistemas de información.</w:t>
      </w:r>
    </w:p>
    <w:p w14:paraId="6CA60C20" w14:textId="77777777" w:rsidR="00586007" w:rsidRPr="002D7EF4" w:rsidRDefault="00586007" w:rsidP="00586007">
      <w:pPr>
        <w:numPr>
          <w:ilvl w:val="0"/>
          <w:numId w:val="32"/>
        </w:numPr>
        <w:spacing w:after="240" w:line="276" w:lineRule="auto"/>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 xml:space="preserve">Aquellas otras que se le asignen por la directora o director de la Agencia. </w:t>
      </w:r>
    </w:p>
    <w:p w14:paraId="392C2189" w14:textId="6F2430B9" w:rsidR="00586007" w:rsidRPr="002D7EF4" w:rsidRDefault="00586007" w:rsidP="00586007">
      <w:pPr>
        <w:spacing w:after="240" w:line="276" w:lineRule="auto"/>
        <w:jc w:val="both"/>
        <w:rPr>
          <w:rFonts w:ascii="Arial" w:eastAsia="Times New Roman" w:hAnsi="Arial" w:cs="Arial"/>
          <w:sz w:val="21"/>
          <w:szCs w:val="21"/>
          <w:lang w:eastAsia="es-ES"/>
        </w:rPr>
      </w:pPr>
      <w:r>
        <w:rPr>
          <w:rFonts w:ascii="Arial" w:eastAsia="Times New Roman" w:hAnsi="Arial" w:cs="Arial"/>
          <w:sz w:val="21"/>
          <w:szCs w:val="21"/>
          <w:lang w:eastAsia="es-ES"/>
        </w:rPr>
        <w:t>E</w:t>
      </w:r>
      <w:r w:rsidRPr="002D7EF4">
        <w:rPr>
          <w:rFonts w:ascii="Arial" w:eastAsia="Times New Roman" w:hAnsi="Arial" w:cs="Arial"/>
          <w:sz w:val="21"/>
          <w:szCs w:val="21"/>
          <w:lang w:eastAsia="es-ES"/>
        </w:rPr>
        <w:t>ste año 2021</w:t>
      </w:r>
      <w:r>
        <w:rPr>
          <w:rFonts w:ascii="Arial" w:eastAsia="Times New Roman" w:hAnsi="Arial" w:cs="Arial"/>
          <w:sz w:val="21"/>
          <w:szCs w:val="21"/>
          <w:lang w:eastAsia="es-ES"/>
        </w:rPr>
        <w:t>,</w:t>
      </w:r>
      <w:r w:rsidRPr="002D7EF4">
        <w:rPr>
          <w:rFonts w:ascii="Arial" w:eastAsia="Times New Roman" w:hAnsi="Arial" w:cs="Arial"/>
          <w:sz w:val="21"/>
          <w:szCs w:val="21"/>
          <w:lang w:eastAsia="es-ES"/>
        </w:rPr>
        <w:t xml:space="preserve"> quinto ejercicio de funcionamiento de la Agencia ha significado la consolidación del trabajo de la Dirección de Análisis e Investigación basado en la fijación de objetivos globales e individuales, y en la planificación establecida en el Plan Estratégico 2021-2022 de la propia dirección. Si el año 2020 fue el año de consolidación de la forma de actuación de la Dirección, el año 2021 ha sido el ejercicio en el que ha puesto en marcha el seguimiento constante de cumplimiento de objetivos, planificando los resultados a alcanzar y la medición del grado de consecución de los mismos, así como el análisis de las medidas correctoras necesarias. Todo ello para poder lograr un nivel de resolución de expedientes, en los ejercicios venideros, que permita alcanzar el punto de equilibrio de gestión, definido este como la finalización de expedientes</w:t>
      </w:r>
      <w:r>
        <w:rPr>
          <w:rFonts w:ascii="Arial" w:eastAsia="Times New Roman" w:hAnsi="Arial" w:cs="Arial"/>
          <w:sz w:val="21"/>
          <w:szCs w:val="21"/>
          <w:lang w:eastAsia="es-ES"/>
        </w:rPr>
        <w:t>,</w:t>
      </w:r>
      <w:r w:rsidRPr="002D7EF4">
        <w:rPr>
          <w:rFonts w:ascii="Arial" w:eastAsia="Times New Roman" w:hAnsi="Arial" w:cs="Arial"/>
          <w:sz w:val="21"/>
          <w:szCs w:val="21"/>
          <w:lang w:eastAsia="es-ES"/>
        </w:rPr>
        <w:t xml:space="preserve"> tanto en la fase de análisis como de investigación</w:t>
      </w:r>
      <w:r>
        <w:rPr>
          <w:rFonts w:ascii="Arial" w:eastAsia="Times New Roman" w:hAnsi="Arial" w:cs="Arial"/>
          <w:sz w:val="21"/>
          <w:szCs w:val="21"/>
          <w:lang w:eastAsia="es-ES"/>
        </w:rPr>
        <w:t>,</w:t>
      </w:r>
      <w:r w:rsidRPr="002D7EF4">
        <w:rPr>
          <w:rFonts w:ascii="Arial" w:eastAsia="Times New Roman" w:hAnsi="Arial" w:cs="Arial"/>
          <w:sz w:val="21"/>
          <w:szCs w:val="21"/>
          <w:lang w:eastAsia="es-ES"/>
        </w:rPr>
        <w:t xml:space="preserve"> en cantidad igual o superior al volumen de denuncias anuales que se presentan en la Agencia. </w:t>
      </w:r>
    </w:p>
    <w:p w14:paraId="6D0F4CA0" w14:textId="77777777" w:rsidR="00586007" w:rsidRPr="002D7EF4" w:rsidRDefault="00586007" w:rsidP="00586007">
      <w:pPr>
        <w:spacing w:after="240" w:line="276" w:lineRule="auto"/>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Los tres principios rectores básicos de toda actuación de la Dirección de Análisis e Investigación son</w:t>
      </w:r>
      <w:r>
        <w:rPr>
          <w:rFonts w:ascii="Arial" w:eastAsia="Times New Roman" w:hAnsi="Arial" w:cs="Arial"/>
          <w:sz w:val="21"/>
          <w:szCs w:val="21"/>
          <w:lang w:eastAsia="es-ES"/>
        </w:rPr>
        <w:t>:</w:t>
      </w:r>
      <w:r w:rsidRPr="002D7EF4">
        <w:rPr>
          <w:rFonts w:ascii="Arial" w:eastAsia="Times New Roman" w:hAnsi="Arial" w:cs="Arial"/>
          <w:sz w:val="21"/>
          <w:szCs w:val="21"/>
          <w:lang w:eastAsia="es-ES"/>
        </w:rPr>
        <w:t xml:space="preserve"> el primero y principio esencial, afrontar todas las investigaciones con rigor, imparcialidad y objetividad; el segundo, consolidar un equipo humano multidisciplinar, altamente cualificado, comprometido y entregado al desempeño de sus funciones; y el tercer principio, la búsqueda continua de la mejora, utilizando la planificación de objetivos como mecanismo para conseguirlo. </w:t>
      </w:r>
    </w:p>
    <w:p w14:paraId="7EFB7761" w14:textId="77777777" w:rsidR="00586007" w:rsidRPr="002D7EF4" w:rsidRDefault="00586007" w:rsidP="00586007">
      <w:pPr>
        <w:spacing w:after="240" w:line="276" w:lineRule="auto"/>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Los datos de gestión del ejercicio 2021, y la evolución desde el primer año de funcionamiento, acreditan la consolidación del trabajo de la Agencia y su posicionamiento como una entidad referente en la lucha contra el fraude y la corrupción, no solo a nivel autonómico sino a nivel nacional. En el año 2021 se han recibido denuncias que han dado lugar a la apertura de 359 expedientes, frente a los 226 del año 2020, lo que representa un incremento del 58,84 %, 133 denuncias/expedientes más. El año 2021 ha sido el ejercicio con mayor número de denuncias presentadas desde la creación y puesta en funcionamiento de la Agencia, lo que denota un mayor grado de conocimiento de nuestro trabajo, así como el alto nivel de confianza de la sociedad valenciana en el mismo.</w:t>
      </w:r>
    </w:p>
    <w:p w14:paraId="101FBBC1" w14:textId="77777777" w:rsidR="00586007" w:rsidRPr="002D7EF4" w:rsidRDefault="00586007" w:rsidP="00586007">
      <w:pPr>
        <w:spacing w:after="240" w:line="276" w:lineRule="auto"/>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Además del incremento exponencial del número de denuncias presentadas durante el año 2021, se ha conseguido mejorar sustancialmente la capacidad de gestión de la Dirección, así en 2021 se han finalizado 268 expedientes, mientras que en el ejercicio 2020 se concluyeron un total de 152, lo que implica un incremento del 76,31% en términos globales. De los 268 expedientes finalizados en el ejercicio 2021, 191 finalizaron en la fase de análisis y 77 en la fase de investigación, mientras que, en el año 2020 de los 152 expedientes finalizados, 122 lo hicieron en la fase de análisis y 30 en la fase de investigación con resolución final de conclusión, lo que supone un incremento del 56,55% de la gestión en la fase de análisis en 2020, y un incremento del 156,66% de las investigaciones finalizadas con respecto a 2020. También hay que destacar que durante 2021 se han iniciado 72 investigaciones, frente a las 58 que se iniciaron en 2020, lo que implica un incremento del 24,13%, y que ha situado el porcentaje de denuncias que pasan a la fase de investigación en el 27,37%.</w:t>
      </w:r>
    </w:p>
    <w:p w14:paraId="2C7283CD" w14:textId="77777777" w:rsidR="00586007" w:rsidRPr="002D7EF4" w:rsidRDefault="00586007" w:rsidP="00586007">
      <w:pPr>
        <w:spacing w:after="240" w:line="276" w:lineRule="auto"/>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A lo largo de los siguientes apartados se expondrán en detalle los resultados que se acaban de ofrecer, así como otros que resultan de especial interés, algunos de los cuales ya han sido expuestos anteriormente en las Memorias de ejercicios anteriores y que serán actualizados con la correspondiente evolución de los datos en 2021. Asimismo, se incorpora como novedad una tabla que recoge el impacto económico de las actuaciones de la AVAF, respecto a las cuantías que tras las correspondientes investigaciones deberían ser recuperadas por las distintas administraciones públicas.</w:t>
      </w:r>
    </w:p>
    <w:p w14:paraId="40371B27" w14:textId="77777777" w:rsidR="00586007" w:rsidRPr="002D7EF4" w:rsidRDefault="00586007" w:rsidP="00586007">
      <w:pPr>
        <w:spacing w:after="240" w:line="276" w:lineRule="auto"/>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Uno de los objetivos prioritarios de esta Dirección para la anualidad 2022, como línea estratégica, es alcanzar el punto de equilibrio de gestión, entendido como la resolución de expedientes, tanto en la fase de análisis (archivos e inadmisiones) co</w:t>
      </w:r>
      <w:r>
        <w:rPr>
          <w:rFonts w:ascii="Arial" w:eastAsia="Times New Roman" w:hAnsi="Arial" w:cs="Arial"/>
          <w:sz w:val="21"/>
          <w:szCs w:val="21"/>
          <w:lang w:eastAsia="es-ES"/>
        </w:rPr>
        <w:t>mo</w:t>
      </w:r>
      <w:r w:rsidRPr="002D7EF4">
        <w:rPr>
          <w:rFonts w:ascii="Arial" w:eastAsia="Times New Roman" w:hAnsi="Arial" w:cs="Arial"/>
          <w:sz w:val="21"/>
          <w:szCs w:val="21"/>
          <w:lang w:eastAsia="es-ES"/>
        </w:rPr>
        <w:t xml:space="preserve"> en la fase de investigación (resoluciones finales de investigación)</w:t>
      </w:r>
      <w:r>
        <w:rPr>
          <w:rFonts w:ascii="Arial" w:eastAsia="Times New Roman" w:hAnsi="Arial" w:cs="Arial"/>
          <w:sz w:val="21"/>
          <w:szCs w:val="21"/>
          <w:lang w:eastAsia="es-ES"/>
        </w:rPr>
        <w:t>,</w:t>
      </w:r>
      <w:r w:rsidRPr="002D7EF4">
        <w:rPr>
          <w:rFonts w:ascii="Arial" w:eastAsia="Times New Roman" w:hAnsi="Arial" w:cs="Arial"/>
          <w:sz w:val="21"/>
          <w:szCs w:val="21"/>
          <w:lang w:eastAsia="es-ES"/>
        </w:rPr>
        <w:t xml:space="preserve"> en un volumen cuantitativo, igual o superior a las denuncias nuevas que se presenten en el ejercicio, y todo ello manteniendo y mejorando los niveles de calidad jurídico técnica de las investigaciones. Para ello, se planificó la actuación de los años 2021 y 2022 a través de un Plan Estratégico, que recoge tanto los objetivos globales de la Dirección, como la distribución de objetivos individuales a los distintos puestos de trabajo con funciones de investigación, así como la creación en 2022 de dos nuevos puestos de trabajo con tareas de investigación, siendo el objetivo en este apartado el cubrir íntegramente los puestos de trabajo de la Dirección, para poder analizar la capacidad resolutoria global en términos medios.</w:t>
      </w:r>
    </w:p>
    <w:p w14:paraId="1D196C2E" w14:textId="77777777" w:rsidR="00586007" w:rsidRPr="002D7EF4" w:rsidRDefault="00586007" w:rsidP="00586007">
      <w:pPr>
        <w:spacing w:after="240" w:line="276" w:lineRule="auto"/>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Como ya se hizo en las memorias de los años precedentes</w:t>
      </w:r>
      <w:r>
        <w:rPr>
          <w:rFonts w:ascii="Arial" w:eastAsia="Times New Roman" w:hAnsi="Arial" w:cs="Arial"/>
          <w:sz w:val="21"/>
          <w:szCs w:val="21"/>
          <w:lang w:eastAsia="es-ES"/>
        </w:rPr>
        <w:t>,</w:t>
      </w:r>
      <w:r w:rsidRPr="002D7EF4">
        <w:rPr>
          <w:rFonts w:ascii="Arial" w:eastAsia="Times New Roman" w:hAnsi="Arial" w:cs="Arial"/>
          <w:sz w:val="21"/>
          <w:szCs w:val="21"/>
          <w:lang w:eastAsia="es-ES"/>
        </w:rPr>
        <w:t xml:space="preserve"> se incluye un apartado específico relativo al seguimiento de las recomendaciones que se han efectuado tras la finalización de los correspondientes expedientes tramitados, y un apartado</w:t>
      </w:r>
      <w:r>
        <w:rPr>
          <w:rFonts w:ascii="Arial" w:eastAsia="Times New Roman" w:hAnsi="Arial" w:cs="Arial"/>
          <w:sz w:val="21"/>
          <w:szCs w:val="21"/>
          <w:lang w:eastAsia="es-ES"/>
        </w:rPr>
        <w:t>,</w:t>
      </w:r>
      <w:r w:rsidRPr="002D7EF4">
        <w:rPr>
          <w:rFonts w:ascii="Arial" w:eastAsia="Times New Roman" w:hAnsi="Arial" w:cs="Arial"/>
          <w:sz w:val="21"/>
          <w:szCs w:val="21"/>
          <w:lang w:eastAsia="es-ES"/>
        </w:rPr>
        <w:t xml:space="preserve"> que recoge de forma resumida y sintética</w:t>
      </w:r>
      <w:r>
        <w:rPr>
          <w:rFonts w:ascii="Arial" w:eastAsia="Times New Roman" w:hAnsi="Arial" w:cs="Arial"/>
          <w:sz w:val="21"/>
          <w:szCs w:val="21"/>
          <w:lang w:eastAsia="es-ES"/>
        </w:rPr>
        <w:t>,</w:t>
      </w:r>
      <w:r w:rsidRPr="002D7EF4">
        <w:rPr>
          <w:rFonts w:ascii="Arial" w:eastAsia="Times New Roman" w:hAnsi="Arial" w:cs="Arial"/>
          <w:sz w:val="21"/>
          <w:szCs w:val="21"/>
          <w:lang w:eastAsia="es-ES"/>
        </w:rPr>
        <w:t xml:space="preserve"> un compendio de las actuaciones de investigación realizadas durante la anualidad 2021</w:t>
      </w:r>
      <w:r>
        <w:rPr>
          <w:rFonts w:ascii="Arial" w:eastAsia="Times New Roman" w:hAnsi="Arial" w:cs="Arial"/>
          <w:sz w:val="21"/>
          <w:szCs w:val="21"/>
          <w:lang w:eastAsia="es-ES"/>
        </w:rPr>
        <w:t>,</w:t>
      </w:r>
      <w:r w:rsidRPr="002D7EF4">
        <w:rPr>
          <w:rFonts w:ascii="Arial" w:eastAsia="Times New Roman" w:hAnsi="Arial" w:cs="Arial"/>
          <w:sz w:val="21"/>
          <w:szCs w:val="21"/>
          <w:lang w:eastAsia="es-ES"/>
        </w:rPr>
        <w:t xml:space="preserve"> y que se han considerado como más relevantes o de mayor interés. Como ya se hizo en la Memoria de 2020</w:t>
      </w:r>
      <w:r>
        <w:rPr>
          <w:rFonts w:ascii="Arial" w:eastAsia="Times New Roman" w:hAnsi="Arial" w:cs="Arial"/>
          <w:sz w:val="21"/>
          <w:szCs w:val="21"/>
          <w:lang w:eastAsia="es-ES"/>
        </w:rPr>
        <w:t>,</w:t>
      </w:r>
      <w:r w:rsidRPr="002D7EF4">
        <w:rPr>
          <w:rFonts w:ascii="Arial" w:eastAsia="Times New Roman" w:hAnsi="Arial" w:cs="Arial"/>
          <w:sz w:val="21"/>
          <w:szCs w:val="21"/>
          <w:lang w:eastAsia="es-ES"/>
        </w:rPr>
        <w:t xml:space="preserve"> se incluye un apartado específico para destacar las administraciones que no han aplicado las recomendaciones propuestas por la Agencia o no justifican su inaplicación de manera motivada. </w:t>
      </w:r>
    </w:p>
    <w:p w14:paraId="7357DF59" w14:textId="77777777" w:rsidR="00586007" w:rsidRPr="002D7EF4" w:rsidRDefault="00586007" w:rsidP="00586007">
      <w:pPr>
        <w:spacing w:after="240" w:line="276" w:lineRule="auto"/>
        <w:jc w:val="both"/>
        <w:rPr>
          <w:rFonts w:ascii="Arial" w:eastAsia="Times New Roman" w:hAnsi="Arial" w:cs="Arial"/>
          <w:sz w:val="21"/>
          <w:szCs w:val="21"/>
          <w:u w:val="single"/>
          <w:lang w:eastAsia="es-ES"/>
        </w:rPr>
      </w:pPr>
      <w:r w:rsidRPr="002D7EF4">
        <w:rPr>
          <w:rFonts w:ascii="Arial" w:eastAsia="Times New Roman" w:hAnsi="Arial" w:cs="Arial"/>
          <w:sz w:val="21"/>
          <w:szCs w:val="21"/>
          <w:lang w:eastAsia="es-ES"/>
        </w:rPr>
        <w:t>Hay que destacar</w:t>
      </w:r>
      <w:r>
        <w:rPr>
          <w:rFonts w:ascii="Arial" w:eastAsia="Times New Roman" w:hAnsi="Arial" w:cs="Arial"/>
          <w:sz w:val="21"/>
          <w:szCs w:val="21"/>
          <w:lang w:eastAsia="es-ES"/>
        </w:rPr>
        <w:t>,</w:t>
      </w:r>
      <w:r w:rsidRPr="002D7EF4">
        <w:rPr>
          <w:rFonts w:ascii="Arial" w:eastAsia="Times New Roman" w:hAnsi="Arial" w:cs="Arial"/>
          <w:sz w:val="21"/>
          <w:szCs w:val="21"/>
          <w:lang w:eastAsia="es-ES"/>
        </w:rPr>
        <w:t xml:space="preserve"> que desde 2020, la Agencia tiene publicadas en su portal de transparencia</w:t>
      </w:r>
      <w:r>
        <w:rPr>
          <w:rFonts w:ascii="Arial" w:eastAsia="Times New Roman" w:hAnsi="Arial" w:cs="Arial"/>
          <w:sz w:val="21"/>
          <w:szCs w:val="21"/>
          <w:lang w:eastAsia="es-ES"/>
        </w:rPr>
        <w:t>,</w:t>
      </w:r>
      <w:r w:rsidRPr="002D7EF4">
        <w:rPr>
          <w:rFonts w:ascii="Arial" w:eastAsia="Times New Roman" w:hAnsi="Arial" w:cs="Arial"/>
          <w:sz w:val="21"/>
          <w:szCs w:val="21"/>
          <w:lang w:eastAsia="es-ES"/>
        </w:rPr>
        <w:t xml:space="preserve"> todas las resoluciones finales de investigación dictadas desde el inicio de su funcionamiento,</w:t>
      </w:r>
      <w:r>
        <w:rPr>
          <w:rFonts w:ascii="Arial" w:eastAsia="Times New Roman" w:hAnsi="Arial" w:cs="Arial"/>
          <w:sz w:val="21"/>
          <w:szCs w:val="21"/>
          <w:lang w:eastAsia="es-ES"/>
        </w:rPr>
        <w:t xml:space="preserve"> </w:t>
      </w:r>
      <w:hyperlink r:id="rId400" w:anchor="resolucions-finals-dinvestigacio" w:history="1">
        <w:r w:rsidRPr="006F1706">
          <w:rPr>
            <w:rStyle w:val="Hipervnculo"/>
            <w:rFonts w:ascii="Arial" w:eastAsia="Times New Roman" w:hAnsi="Arial" w:cs="Arial"/>
            <w:sz w:val="21"/>
            <w:szCs w:val="21"/>
            <w:lang w:eastAsia="es-ES"/>
          </w:rPr>
          <w:t>https://www.antifraucv.es/portal-de-transparencia/informacio-de-rellevancia-juridica/#resolucions-finals-dinvestigacio</w:t>
        </w:r>
      </w:hyperlink>
      <w:r w:rsidRPr="002D7EF4">
        <w:rPr>
          <w:rFonts w:ascii="Arial" w:eastAsia="Times New Roman" w:hAnsi="Arial" w:cs="Arial"/>
          <w:sz w:val="21"/>
          <w:szCs w:val="21"/>
          <w:u w:val="single"/>
          <w:lang w:eastAsia="es-ES"/>
        </w:rPr>
        <w:t>.</w:t>
      </w:r>
    </w:p>
    <w:p w14:paraId="5A7AA383" w14:textId="0D2053D8" w:rsidR="00586007" w:rsidRPr="002D7EF4" w:rsidRDefault="00586007" w:rsidP="00586007">
      <w:pPr>
        <w:spacing w:after="120" w:line="276" w:lineRule="auto"/>
        <w:jc w:val="both"/>
        <w:rPr>
          <w:rFonts w:ascii="Arial" w:eastAsia="Times New Roman" w:hAnsi="Arial" w:cs="Arial"/>
          <w:sz w:val="21"/>
          <w:szCs w:val="21"/>
          <w:lang w:eastAsia="es-ES"/>
        </w:rPr>
      </w:pPr>
      <w:r w:rsidRPr="002D7EF4">
        <w:rPr>
          <w:rFonts w:ascii="Arial" w:eastAsia="Times New Roman" w:hAnsi="Arial" w:cs="Arial"/>
          <w:sz w:val="21"/>
          <w:szCs w:val="21"/>
          <w:lang w:eastAsia="es-ES"/>
        </w:rPr>
        <w:t>Finalmente, se hará referencia a la colaboración que ha llevado a cabo la Agencia</w:t>
      </w:r>
      <w:r>
        <w:rPr>
          <w:rFonts w:ascii="Arial" w:eastAsia="Times New Roman" w:hAnsi="Arial" w:cs="Arial"/>
          <w:sz w:val="21"/>
          <w:szCs w:val="21"/>
          <w:lang w:eastAsia="es-ES"/>
        </w:rPr>
        <w:t>,</w:t>
      </w:r>
      <w:r w:rsidRPr="002D7EF4">
        <w:rPr>
          <w:rFonts w:ascii="Arial" w:eastAsia="Times New Roman" w:hAnsi="Arial" w:cs="Arial"/>
          <w:sz w:val="21"/>
          <w:szCs w:val="21"/>
          <w:lang w:eastAsia="es-ES"/>
        </w:rPr>
        <w:t xml:space="preserve"> durante la anualidad 2021</w:t>
      </w:r>
      <w:r>
        <w:rPr>
          <w:rFonts w:ascii="Arial" w:eastAsia="Times New Roman" w:hAnsi="Arial" w:cs="Arial"/>
          <w:sz w:val="21"/>
          <w:szCs w:val="21"/>
          <w:lang w:eastAsia="es-ES"/>
        </w:rPr>
        <w:t>,</w:t>
      </w:r>
      <w:r w:rsidRPr="002D7EF4">
        <w:rPr>
          <w:rFonts w:ascii="Arial" w:eastAsia="Times New Roman" w:hAnsi="Arial" w:cs="Arial"/>
          <w:sz w:val="21"/>
          <w:szCs w:val="21"/>
          <w:lang w:eastAsia="es-ES"/>
        </w:rPr>
        <w:t xml:space="preserve"> en apoyo o auxilio técnico a otros órganos administrativos o judiciales, así con el Ministerio Fiscal.</w:t>
      </w:r>
    </w:p>
    <w:p w14:paraId="3FFA7808" w14:textId="12006C55" w:rsidR="006B510A" w:rsidRDefault="00AC0845" w:rsidP="00AC1A12">
      <w:pPr>
        <w:pStyle w:val="Prrafodelista"/>
        <w:keepNext/>
        <w:numPr>
          <w:ilvl w:val="1"/>
          <w:numId w:val="17"/>
        </w:numPr>
        <w:spacing w:before="360" w:after="240" w:line="276" w:lineRule="auto"/>
        <w:ind w:left="851" w:hanging="851"/>
        <w:jc w:val="both"/>
        <w:outlineLvl w:val="1"/>
        <w:rPr>
          <w:rFonts w:ascii="Arial" w:eastAsia="Times New Roman" w:hAnsi="Arial" w:cs="Arial"/>
          <w:b/>
          <w:color w:val="9D2235" w:themeColor="accent1"/>
          <w:sz w:val="32"/>
          <w:szCs w:val="32"/>
        </w:rPr>
      </w:pPr>
      <w:bookmarkStart w:id="137" w:name="_Toc99107009"/>
      <w:r>
        <w:rPr>
          <w:rFonts w:ascii="Arial" w:eastAsia="Times New Roman" w:hAnsi="Arial" w:cs="Arial"/>
          <w:b/>
          <w:color w:val="9D2235" w:themeColor="accent1"/>
          <w:sz w:val="32"/>
          <w:szCs w:val="32"/>
        </w:rPr>
        <w:t>Denuncias presentadas, clasificaciones y evolución</w:t>
      </w:r>
      <w:bookmarkEnd w:id="137"/>
    </w:p>
    <w:p w14:paraId="5EBF6212" w14:textId="77777777" w:rsidR="00586007" w:rsidRPr="002D7EF4" w:rsidRDefault="00586007" w:rsidP="00586007">
      <w:pPr>
        <w:spacing w:after="240" w:line="276" w:lineRule="auto"/>
        <w:jc w:val="both"/>
        <w:rPr>
          <w:rFonts w:ascii="Arial" w:eastAsia="Times New Roman" w:hAnsi="Arial" w:cs="Arial"/>
          <w:bCs/>
          <w:sz w:val="21"/>
          <w:szCs w:val="21"/>
        </w:rPr>
      </w:pPr>
      <w:r w:rsidRPr="002D7EF4">
        <w:rPr>
          <w:rFonts w:ascii="Arial" w:eastAsia="Times New Roman" w:hAnsi="Arial" w:cs="Arial"/>
          <w:bCs/>
          <w:sz w:val="21"/>
          <w:szCs w:val="21"/>
        </w:rPr>
        <w:t>De acuerdo con lo dispuesto en el artículo 11 de la Ley 11/2016, de 28 de noviembre, de la Agencia de Prevención y Lucha contra el Fraude y la Corrupción de la Comunitat Valenciana, las actuaciones de análisis e investigación de la Agencia se inician de oficio, por acuerdo del director o la directora, previa determinación de la verosimilitud, cuando sea sabedora de hechos o conductas que requieran ser investigados, inspeccionados o que aconsejen realizar un seguimiento y también cuando, después de realizar un análisis de riesgo, los indicadores de riesgo aconsejen la inspección o el seguimiento de determinados hechos o actividades.</w:t>
      </w:r>
    </w:p>
    <w:p w14:paraId="6F224219" w14:textId="77777777" w:rsidR="00586007" w:rsidRPr="002D7EF4" w:rsidRDefault="00586007" w:rsidP="00586007">
      <w:pPr>
        <w:spacing w:after="240" w:line="276" w:lineRule="auto"/>
        <w:jc w:val="both"/>
        <w:rPr>
          <w:rFonts w:ascii="Arial" w:eastAsia="Times New Roman" w:hAnsi="Arial" w:cs="Arial"/>
          <w:bCs/>
          <w:sz w:val="21"/>
          <w:szCs w:val="21"/>
        </w:rPr>
      </w:pPr>
      <w:r w:rsidRPr="002D7EF4">
        <w:rPr>
          <w:rFonts w:ascii="Arial" w:eastAsia="Times New Roman" w:hAnsi="Arial" w:cs="Arial"/>
          <w:bCs/>
          <w:sz w:val="21"/>
          <w:szCs w:val="21"/>
        </w:rPr>
        <w:t>El inicio de las actuaciones de oficio se producirá bien por iniciativa propia, como consecuencia de una solicitud de las Corts o de otros órganos o instituciones públicas, o por denuncia.</w:t>
      </w:r>
    </w:p>
    <w:p w14:paraId="104EB910" w14:textId="77777777" w:rsidR="00586007" w:rsidRPr="002D7EF4" w:rsidRDefault="00586007" w:rsidP="00586007">
      <w:pPr>
        <w:spacing w:after="240" w:line="276" w:lineRule="auto"/>
        <w:jc w:val="both"/>
        <w:rPr>
          <w:rFonts w:ascii="Arial" w:eastAsia="Times New Roman" w:hAnsi="Arial" w:cs="Arial"/>
          <w:bCs/>
          <w:sz w:val="21"/>
          <w:szCs w:val="21"/>
        </w:rPr>
      </w:pPr>
      <w:r w:rsidRPr="002D7EF4">
        <w:rPr>
          <w:rFonts w:ascii="Arial" w:eastAsia="Times New Roman" w:hAnsi="Arial" w:cs="Arial"/>
          <w:bCs/>
          <w:sz w:val="21"/>
          <w:szCs w:val="21"/>
        </w:rPr>
        <w:t xml:space="preserve">Cualquier persona puede dirigirse a la Agencia para comunicar conductas que puedan ser susceptibles de ser investigadas o inspeccionadas por esta. </w:t>
      </w:r>
    </w:p>
    <w:p w14:paraId="371E5795" w14:textId="77777777" w:rsidR="00586007" w:rsidRPr="002D7EF4" w:rsidRDefault="00586007" w:rsidP="00586007">
      <w:pPr>
        <w:spacing w:after="240" w:line="276" w:lineRule="auto"/>
        <w:jc w:val="both"/>
        <w:rPr>
          <w:rFonts w:ascii="Arial" w:eastAsia="Times New Roman" w:hAnsi="Arial" w:cs="Arial"/>
          <w:bCs/>
          <w:sz w:val="21"/>
          <w:szCs w:val="21"/>
        </w:rPr>
      </w:pPr>
      <w:r w:rsidRPr="002D7EF4">
        <w:rPr>
          <w:rFonts w:ascii="Arial" w:eastAsia="Times New Roman" w:hAnsi="Arial" w:cs="Arial"/>
          <w:bCs/>
          <w:sz w:val="21"/>
          <w:szCs w:val="21"/>
        </w:rPr>
        <w:t>Las autoridades, los empleados públicos y todos los que cumplan funciones públicas o desarrollen el trabajo en entidades y organismos públicos deben comunicar inmediatamente a la Agencia, desde el momento en que los conozcan, los hechos que puedan ser susceptibles de ser objeto de investigación o inspección por parte de la Agencia.</w:t>
      </w:r>
    </w:p>
    <w:p w14:paraId="2212AE85" w14:textId="77777777" w:rsidR="00586007" w:rsidRPr="002D7EF4" w:rsidRDefault="00586007" w:rsidP="00586007">
      <w:pPr>
        <w:spacing w:after="240" w:line="276" w:lineRule="auto"/>
        <w:jc w:val="both"/>
        <w:rPr>
          <w:rFonts w:ascii="Arial" w:eastAsia="Times New Roman" w:hAnsi="Arial" w:cs="Arial"/>
          <w:bCs/>
          <w:sz w:val="21"/>
          <w:szCs w:val="21"/>
        </w:rPr>
      </w:pPr>
      <w:r w:rsidRPr="002D7EF4">
        <w:rPr>
          <w:rFonts w:ascii="Arial" w:eastAsia="Times New Roman" w:hAnsi="Arial" w:cs="Arial"/>
          <w:bCs/>
          <w:sz w:val="21"/>
          <w:szCs w:val="21"/>
        </w:rPr>
        <w:t>En todo caso, la persona informadora tiene el derecho a que se garantice la confidencialidad sobre su identidad.</w:t>
      </w:r>
    </w:p>
    <w:p w14:paraId="789AE279" w14:textId="41BDF16B" w:rsidR="00586007" w:rsidRPr="002D7EF4" w:rsidRDefault="00586007" w:rsidP="00586007">
      <w:pPr>
        <w:spacing w:after="240" w:line="276" w:lineRule="auto"/>
        <w:jc w:val="both"/>
        <w:rPr>
          <w:rFonts w:ascii="Arial" w:eastAsia="Times New Roman" w:hAnsi="Arial" w:cs="Arial"/>
          <w:bCs/>
          <w:sz w:val="21"/>
          <w:szCs w:val="21"/>
        </w:rPr>
      </w:pPr>
      <w:r w:rsidRPr="002D7EF4">
        <w:rPr>
          <w:rFonts w:ascii="Arial" w:eastAsia="Times New Roman" w:hAnsi="Arial" w:cs="Arial"/>
          <w:bCs/>
          <w:sz w:val="21"/>
          <w:szCs w:val="21"/>
        </w:rPr>
        <w:t xml:space="preserve">A continuación, se exponen datos y detalles acerca de la </w:t>
      </w:r>
      <w:r w:rsidRPr="007219D8">
        <w:rPr>
          <w:rFonts w:ascii="Arial" w:eastAsia="Times New Roman" w:hAnsi="Arial" w:cs="Arial"/>
          <w:bCs/>
          <w:sz w:val="21"/>
          <w:szCs w:val="21"/>
        </w:rPr>
        <w:t xml:space="preserve">recepción </w:t>
      </w:r>
      <w:r w:rsidRPr="007219D8">
        <w:rPr>
          <w:rFonts w:ascii="Arial" w:eastAsia="NSimSun" w:hAnsi="Arial" w:cs="Arial"/>
          <w:kern w:val="2"/>
          <w:sz w:val="21"/>
          <w:szCs w:val="21"/>
          <w:lang w:eastAsia="zh-CN" w:bidi="hi-IN"/>
        </w:rPr>
        <w:t>de denuncias y expedientes tramitados desde la Dirección de Análisis e Investigación, así como de su evolución y comparativa desde distintas clasificaciones</w:t>
      </w:r>
      <w:r w:rsidRPr="007219D8">
        <w:rPr>
          <w:rFonts w:ascii="Arial" w:eastAsia="Times New Roman" w:hAnsi="Arial" w:cs="Arial"/>
          <w:bCs/>
          <w:sz w:val="21"/>
          <w:szCs w:val="21"/>
        </w:rPr>
        <w:t>.</w:t>
      </w:r>
    </w:p>
    <w:p w14:paraId="18F0B704" w14:textId="670338C7" w:rsidR="002D7EF4" w:rsidRPr="00483E19" w:rsidRDefault="00483E19" w:rsidP="00AC1A12">
      <w:pPr>
        <w:pStyle w:val="Prrafodelista"/>
        <w:keepNext/>
        <w:numPr>
          <w:ilvl w:val="2"/>
          <w:numId w:val="17"/>
        </w:numPr>
        <w:spacing w:before="360" w:after="240" w:line="276" w:lineRule="auto"/>
        <w:ind w:left="426"/>
        <w:jc w:val="both"/>
        <w:outlineLvl w:val="2"/>
        <w:rPr>
          <w:rFonts w:ascii="Arial" w:eastAsia="Times New Roman" w:hAnsi="Arial" w:cs="Arial"/>
          <w:b/>
          <w:color w:val="9D2235" w:themeColor="accent1"/>
          <w:sz w:val="28"/>
          <w:szCs w:val="28"/>
        </w:rPr>
      </w:pPr>
      <w:bookmarkStart w:id="138" w:name="_Toc99107010"/>
      <w:bookmarkStart w:id="139" w:name="_Hlk95472538"/>
      <w:r>
        <w:rPr>
          <w:rFonts w:ascii="Arial" w:eastAsia="Times New Roman" w:hAnsi="Arial" w:cs="Arial"/>
          <w:b/>
          <w:color w:val="9D2235" w:themeColor="accent1"/>
          <w:sz w:val="28"/>
          <w:szCs w:val="28"/>
        </w:rPr>
        <w:t>Denuncias presentadas por ámbito subjetivo</w:t>
      </w:r>
      <w:bookmarkEnd w:id="138"/>
    </w:p>
    <w:p w14:paraId="7A60FD63" w14:textId="77777777" w:rsidR="00586007" w:rsidRPr="00DF08F8" w:rsidRDefault="00586007" w:rsidP="00586007">
      <w:pPr>
        <w:spacing w:after="240" w:line="276" w:lineRule="auto"/>
        <w:jc w:val="both"/>
        <w:rPr>
          <w:rFonts w:ascii="Arial" w:eastAsia="Times New Roman" w:hAnsi="Arial" w:cs="Arial"/>
          <w:color w:val="000000"/>
          <w:sz w:val="21"/>
          <w:szCs w:val="21"/>
          <w:lang w:eastAsia="es-ES"/>
        </w:rPr>
      </w:pPr>
      <w:r w:rsidRPr="00DF08F8">
        <w:rPr>
          <w:rFonts w:ascii="Arial" w:eastAsia="Times New Roman" w:hAnsi="Arial" w:cs="Arial"/>
          <w:color w:val="000000"/>
          <w:sz w:val="21"/>
          <w:szCs w:val="21"/>
          <w:lang w:eastAsia="es-ES"/>
        </w:rPr>
        <w:t xml:space="preserve">Contempla la clasificación de las denuncias presentadas en base al ámbito o sector de la institución, administración, entidad o persona al que se refiere la comunicación de hechos o denuncia recibida. </w:t>
      </w:r>
    </w:p>
    <w:p w14:paraId="75E5C023" w14:textId="77777777" w:rsidR="00586007" w:rsidRPr="00DF08F8" w:rsidRDefault="00586007" w:rsidP="00586007">
      <w:pPr>
        <w:spacing w:after="240" w:line="276" w:lineRule="auto"/>
        <w:jc w:val="both"/>
        <w:rPr>
          <w:rFonts w:ascii="Arial" w:eastAsia="Times New Roman" w:hAnsi="Arial" w:cs="Arial"/>
          <w:color w:val="000000"/>
          <w:sz w:val="21"/>
          <w:szCs w:val="21"/>
          <w:lang w:eastAsia="es-ES"/>
        </w:rPr>
      </w:pPr>
      <w:r w:rsidRPr="00DF08F8">
        <w:rPr>
          <w:rFonts w:ascii="Arial" w:eastAsia="Times New Roman" w:hAnsi="Arial" w:cs="Arial"/>
          <w:color w:val="000000"/>
          <w:sz w:val="21"/>
          <w:szCs w:val="21"/>
          <w:lang w:eastAsia="es-ES"/>
        </w:rPr>
        <w:t>Se han agrupado los expedientes en los sectores incluidos en el ámbito de aplicación de actuación de la Agencia y recogidos en el artículo 3 de la Ley 11/2016:</w:t>
      </w:r>
    </w:p>
    <w:p w14:paraId="0A09049E" w14:textId="080AA8E7" w:rsidR="00586007" w:rsidRDefault="00586007" w:rsidP="00586007">
      <w:pPr>
        <w:pStyle w:val="Descripcin"/>
        <w:keepNext/>
        <w:spacing w:after="240" w:line="276" w:lineRule="auto"/>
        <w:contextualSpacing/>
        <w:rPr>
          <w:rFonts w:ascii="Arial" w:hAnsi="Arial" w:cs="Arial"/>
          <w:smallCaps w:val="0"/>
          <w:sz w:val="18"/>
          <w:szCs w:val="18"/>
        </w:rPr>
      </w:pPr>
      <w:bookmarkStart w:id="140" w:name="_Toc95676797"/>
      <w:bookmarkStart w:id="141" w:name="_Toc99107147"/>
      <w:r w:rsidRPr="00DF08F8">
        <w:rPr>
          <w:rFonts w:ascii="Arial" w:hAnsi="Arial" w:cs="Arial"/>
          <w:smallCaps w:val="0"/>
          <w:color w:val="9D2235" w:themeColor="accent1"/>
          <w:sz w:val="18"/>
          <w:szCs w:val="18"/>
        </w:rPr>
        <w:t xml:space="preserve">Tabla </w:t>
      </w:r>
      <w:r w:rsidRPr="00DF08F8">
        <w:rPr>
          <w:rFonts w:ascii="Arial" w:hAnsi="Arial" w:cs="Arial"/>
          <w:smallCaps w:val="0"/>
          <w:color w:val="9D2235" w:themeColor="accent1"/>
          <w:sz w:val="18"/>
          <w:szCs w:val="18"/>
        </w:rPr>
        <w:fldChar w:fldCharType="begin" w:fldLock="1"/>
      </w:r>
      <w:r w:rsidRPr="00DF08F8">
        <w:rPr>
          <w:rFonts w:ascii="Arial" w:hAnsi="Arial" w:cs="Arial"/>
          <w:smallCaps w:val="0"/>
          <w:color w:val="9D2235" w:themeColor="accent1"/>
          <w:sz w:val="18"/>
          <w:szCs w:val="18"/>
        </w:rPr>
        <w:instrText xml:space="preserve"> SEQ Tabla \* ARABIC </w:instrText>
      </w:r>
      <w:r w:rsidRPr="00DF08F8">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9</w:t>
      </w:r>
      <w:r w:rsidRPr="00DF08F8">
        <w:rPr>
          <w:rFonts w:ascii="Arial" w:hAnsi="Arial" w:cs="Arial"/>
          <w:smallCaps w:val="0"/>
          <w:color w:val="9D2235" w:themeColor="accent1"/>
          <w:sz w:val="18"/>
          <w:szCs w:val="18"/>
        </w:rPr>
        <w:fldChar w:fldCharType="end"/>
      </w:r>
      <w:r w:rsidRPr="00DF08F8">
        <w:rPr>
          <w:rFonts w:ascii="Arial" w:hAnsi="Arial" w:cs="Arial"/>
          <w:smallCaps w:val="0"/>
          <w:color w:val="9D2235" w:themeColor="accent1"/>
          <w:sz w:val="18"/>
          <w:szCs w:val="18"/>
        </w:rPr>
        <w:t xml:space="preserve">. </w:t>
      </w:r>
      <w:r w:rsidRPr="00DF08F8">
        <w:rPr>
          <w:rFonts w:ascii="Arial" w:hAnsi="Arial" w:cs="Arial"/>
          <w:smallCaps w:val="0"/>
          <w:sz w:val="18"/>
          <w:szCs w:val="18"/>
        </w:rPr>
        <w:t>Denuncias presentadas por ámbito subjetivo</w:t>
      </w:r>
      <w:bookmarkEnd w:id="140"/>
      <w:bookmarkEnd w:id="141"/>
    </w:p>
    <w:tbl>
      <w:tblPr>
        <w:tblW w:w="8580" w:type="dxa"/>
        <w:tblLayout w:type="fixed"/>
        <w:tblCellMar>
          <w:left w:w="70" w:type="dxa"/>
          <w:right w:w="70" w:type="dxa"/>
        </w:tblCellMar>
        <w:tblLook w:val="04A0" w:firstRow="1" w:lastRow="0" w:firstColumn="1" w:lastColumn="0" w:noHBand="0" w:noVBand="1"/>
      </w:tblPr>
      <w:tblGrid>
        <w:gridCol w:w="2830"/>
        <w:gridCol w:w="567"/>
        <w:gridCol w:w="647"/>
        <w:gridCol w:w="487"/>
        <w:gridCol w:w="647"/>
        <w:gridCol w:w="487"/>
        <w:gridCol w:w="647"/>
        <w:gridCol w:w="487"/>
        <w:gridCol w:w="647"/>
        <w:gridCol w:w="487"/>
        <w:gridCol w:w="647"/>
      </w:tblGrid>
      <w:tr w:rsidR="00586007" w:rsidRPr="00313AD3" w14:paraId="31BCFD1B" w14:textId="77777777" w:rsidTr="009F574A">
        <w:trPr>
          <w:trHeight w:val="300"/>
          <w:tblHeader/>
        </w:trPr>
        <w:tc>
          <w:tcPr>
            <w:tcW w:w="2830" w:type="dxa"/>
            <w:tcBorders>
              <w:top w:val="single" w:sz="4" w:space="0" w:color="auto"/>
              <w:left w:val="single" w:sz="4" w:space="0" w:color="auto"/>
              <w:bottom w:val="single" w:sz="4" w:space="0" w:color="auto"/>
              <w:right w:val="single" w:sz="4" w:space="0" w:color="auto"/>
            </w:tcBorders>
            <w:shd w:val="clear" w:color="000000" w:fill="B6A39A"/>
            <w:noWrap/>
            <w:vAlign w:val="center"/>
            <w:hideMark/>
          </w:tcPr>
          <w:p w14:paraId="1702C54B" w14:textId="77777777" w:rsidR="00586007" w:rsidRPr="00313AD3" w:rsidRDefault="00586007" w:rsidP="009F574A">
            <w:pPr>
              <w:spacing w:after="0" w:line="240" w:lineRule="auto"/>
              <w:rPr>
                <w:rFonts w:ascii="Arial" w:eastAsia="Times New Roman" w:hAnsi="Arial" w:cs="Arial"/>
                <w:b/>
                <w:bCs/>
                <w:color w:val="000000"/>
                <w:sz w:val="16"/>
                <w:szCs w:val="16"/>
                <w:lang w:eastAsia="es-ES"/>
              </w:rPr>
            </w:pPr>
          </w:p>
        </w:tc>
        <w:tc>
          <w:tcPr>
            <w:tcW w:w="567" w:type="dxa"/>
            <w:tcBorders>
              <w:top w:val="single" w:sz="4" w:space="0" w:color="auto"/>
              <w:left w:val="nil"/>
              <w:bottom w:val="single" w:sz="4" w:space="0" w:color="auto"/>
              <w:right w:val="single" w:sz="4" w:space="0" w:color="auto"/>
            </w:tcBorders>
            <w:shd w:val="clear" w:color="000000" w:fill="B6A39A"/>
            <w:noWrap/>
            <w:vAlign w:val="bottom"/>
            <w:hideMark/>
          </w:tcPr>
          <w:p w14:paraId="605781F2" w14:textId="77777777" w:rsidR="00586007" w:rsidRPr="00313AD3" w:rsidRDefault="00586007" w:rsidP="009F574A">
            <w:pPr>
              <w:spacing w:after="0" w:line="240" w:lineRule="auto"/>
              <w:jc w:val="center"/>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2017</w:t>
            </w:r>
          </w:p>
        </w:tc>
        <w:tc>
          <w:tcPr>
            <w:tcW w:w="647" w:type="dxa"/>
            <w:tcBorders>
              <w:top w:val="single" w:sz="4" w:space="0" w:color="auto"/>
              <w:left w:val="nil"/>
              <w:bottom w:val="single" w:sz="4" w:space="0" w:color="auto"/>
              <w:right w:val="single" w:sz="4" w:space="0" w:color="auto"/>
            </w:tcBorders>
            <w:shd w:val="clear" w:color="000000" w:fill="B6A39A"/>
            <w:noWrap/>
            <w:vAlign w:val="bottom"/>
            <w:hideMark/>
          </w:tcPr>
          <w:p w14:paraId="1821077E" w14:textId="77777777" w:rsidR="00586007" w:rsidRPr="00313AD3" w:rsidRDefault="00586007" w:rsidP="009F574A">
            <w:pPr>
              <w:spacing w:after="0" w:line="240" w:lineRule="auto"/>
              <w:jc w:val="center"/>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w:t>
            </w:r>
          </w:p>
        </w:tc>
        <w:tc>
          <w:tcPr>
            <w:tcW w:w="487" w:type="dxa"/>
            <w:tcBorders>
              <w:top w:val="single" w:sz="4" w:space="0" w:color="auto"/>
              <w:left w:val="nil"/>
              <w:bottom w:val="single" w:sz="4" w:space="0" w:color="auto"/>
              <w:right w:val="single" w:sz="4" w:space="0" w:color="auto"/>
            </w:tcBorders>
            <w:shd w:val="clear" w:color="000000" w:fill="B6A39A"/>
            <w:noWrap/>
            <w:vAlign w:val="bottom"/>
            <w:hideMark/>
          </w:tcPr>
          <w:p w14:paraId="462939CD" w14:textId="77777777" w:rsidR="00586007" w:rsidRPr="00313AD3" w:rsidRDefault="00586007" w:rsidP="009F574A">
            <w:pPr>
              <w:spacing w:after="0" w:line="240" w:lineRule="auto"/>
              <w:jc w:val="center"/>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2018</w:t>
            </w:r>
          </w:p>
        </w:tc>
        <w:tc>
          <w:tcPr>
            <w:tcW w:w="647" w:type="dxa"/>
            <w:tcBorders>
              <w:top w:val="single" w:sz="4" w:space="0" w:color="auto"/>
              <w:left w:val="nil"/>
              <w:bottom w:val="single" w:sz="4" w:space="0" w:color="auto"/>
              <w:right w:val="single" w:sz="4" w:space="0" w:color="auto"/>
            </w:tcBorders>
            <w:shd w:val="clear" w:color="000000" w:fill="B6A39A"/>
            <w:noWrap/>
            <w:vAlign w:val="bottom"/>
            <w:hideMark/>
          </w:tcPr>
          <w:p w14:paraId="369B3CD3" w14:textId="77777777" w:rsidR="00586007" w:rsidRPr="00313AD3" w:rsidRDefault="00586007" w:rsidP="009F574A">
            <w:pPr>
              <w:spacing w:after="0" w:line="240" w:lineRule="auto"/>
              <w:jc w:val="center"/>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w:t>
            </w:r>
          </w:p>
        </w:tc>
        <w:tc>
          <w:tcPr>
            <w:tcW w:w="487" w:type="dxa"/>
            <w:tcBorders>
              <w:top w:val="single" w:sz="4" w:space="0" w:color="auto"/>
              <w:left w:val="nil"/>
              <w:bottom w:val="single" w:sz="4" w:space="0" w:color="auto"/>
              <w:right w:val="single" w:sz="4" w:space="0" w:color="auto"/>
            </w:tcBorders>
            <w:shd w:val="clear" w:color="000000" w:fill="B6A39A"/>
            <w:noWrap/>
            <w:vAlign w:val="bottom"/>
            <w:hideMark/>
          </w:tcPr>
          <w:p w14:paraId="7C792BD6" w14:textId="77777777" w:rsidR="00586007" w:rsidRPr="00313AD3" w:rsidRDefault="00586007" w:rsidP="009F574A">
            <w:pPr>
              <w:spacing w:after="0" w:line="240" w:lineRule="auto"/>
              <w:jc w:val="center"/>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2019</w:t>
            </w:r>
          </w:p>
        </w:tc>
        <w:tc>
          <w:tcPr>
            <w:tcW w:w="647" w:type="dxa"/>
            <w:tcBorders>
              <w:top w:val="single" w:sz="4" w:space="0" w:color="auto"/>
              <w:left w:val="nil"/>
              <w:bottom w:val="single" w:sz="4" w:space="0" w:color="auto"/>
              <w:right w:val="single" w:sz="4" w:space="0" w:color="auto"/>
            </w:tcBorders>
            <w:shd w:val="clear" w:color="000000" w:fill="B6A39A"/>
            <w:noWrap/>
            <w:vAlign w:val="bottom"/>
            <w:hideMark/>
          </w:tcPr>
          <w:p w14:paraId="4F93B1FE" w14:textId="77777777" w:rsidR="00586007" w:rsidRPr="00313AD3" w:rsidRDefault="00586007" w:rsidP="009F574A">
            <w:pPr>
              <w:spacing w:after="0" w:line="240" w:lineRule="auto"/>
              <w:jc w:val="center"/>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w:t>
            </w:r>
          </w:p>
        </w:tc>
        <w:tc>
          <w:tcPr>
            <w:tcW w:w="487" w:type="dxa"/>
            <w:tcBorders>
              <w:top w:val="single" w:sz="4" w:space="0" w:color="auto"/>
              <w:left w:val="nil"/>
              <w:bottom w:val="single" w:sz="4" w:space="0" w:color="auto"/>
              <w:right w:val="single" w:sz="4" w:space="0" w:color="auto"/>
            </w:tcBorders>
            <w:shd w:val="clear" w:color="000000" w:fill="B6A39A"/>
            <w:noWrap/>
            <w:vAlign w:val="bottom"/>
            <w:hideMark/>
          </w:tcPr>
          <w:p w14:paraId="702043D9" w14:textId="77777777" w:rsidR="00586007" w:rsidRPr="00313AD3" w:rsidRDefault="00586007" w:rsidP="009F574A">
            <w:pPr>
              <w:spacing w:after="0" w:line="240" w:lineRule="auto"/>
              <w:jc w:val="center"/>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2020</w:t>
            </w:r>
          </w:p>
        </w:tc>
        <w:tc>
          <w:tcPr>
            <w:tcW w:w="647" w:type="dxa"/>
            <w:tcBorders>
              <w:top w:val="single" w:sz="4" w:space="0" w:color="auto"/>
              <w:left w:val="nil"/>
              <w:bottom w:val="single" w:sz="4" w:space="0" w:color="auto"/>
              <w:right w:val="single" w:sz="4" w:space="0" w:color="auto"/>
            </w:tcBorders>
            <w:shd w:val="clear" w:color="000000" w:fill="B6A39A"/>
            <w:noWrap/>
            <w:vAlign w:val="bottom"/>
            <w:hideMark/>
          </w:tcPr>
          <w:p w14:paraId="20D7CF39" w14:textId="77777777" w:rsidR="00586007" w:rsidRPr="00313AD3" w:rsidRDefault="00586007" w:rsidP="009F574A">
            <w:pPr>
              <w:spacing w:after="0" w:line="240" w:lineRule="auto"/>
              <w:jc w:val="center"/>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w:t>
            </w:r>
          </w:p>
        </w:tc>
        <w:tc>
          <w:tcPr>
            <w:tcW w:w="487" w:type="dxa"/>
            <w:tcBorders>
              <w:top w:val="single" w:sz="4" w:space="0" w:color="auto"/>
              <w:left w:val="nil"/>
              <w:bottom w:val="single" w:sz="4" w:space="0" w:color="auto"/>
              <w:right w:val="single" w:sz="4" w:space="0" w:color="auto"/>
            </w:tcBorders>
            <w:shd w:val="clear" w:color="000000" w:fill="B6A39A"/>
            <w:noWrap/>
            <w:vAlign w:val="bottom"/>
            <w:hideMark/>
          </w:tcPr>
          <w:p w14:paraId="12358D0F" w14:textId="77777777" w:rsidR="00586007" w:rsidRPr="00313AD3" w:rsidRDefault="00586007" w:rsidP="009F574A">
            <w:pPr>
              <w:spacing w:after="0" w:line="240" w:lineRule="auto"/>
              <w:jc w:val="center"/>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2021</w:t>
            </w:r>
          </w:p>
        </w:tc>
        <w:tc>
          <w:tcPr>
            <w:tcW w:w="647" w:type="dxa"/>
            <w:tcBorders>
              <w:top w:val="single" w:sz="4" w:space="0" w:color="auto"/>
              <w:left w:val="nil"/>
              <w:bottom w:val="single" w:sz="4" w:space="0" w:color="auto"/>
              <w:right w:val="single" w:sz="4" w:space="0" w:color="auto"/>
            </w:tcBorders>
            <w:shd w:val="clear" w:color="000000" w:fill="B6A39A"/>
            <w:noWrap/>
            <w:vAlign w:val="bottom"/>
            <w:hideMark/>
          </w:tcPr>
          <w:p w14:paraId="2B7139A3" w14:textId="77777777" w:rsidR="00586007" w:rsidRPr="00313AD3" w:rsidRDefault="00586007" w:rsidP="009F574A">
            <w:pPr>
              <w:spacing w:after="0" w:line="240" w:lineRule="auto"/>
              <w:jc w:val="center"/>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w:t>
            </w:r>
          </w:p>
        </w:tc>
      </w:tr>
      <w:tr w:rsidR="00586007" w:rsidRPr="00313AD3" w14:paraId="26B0EFAC"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3A46B4F3"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Administración municipal</w:t>
            </w:r>
          </w:p>
        </w:tc>
        <w:tc>
          <w:tcPr>
            <w:tcW w:w="567" w:type="dxa"/>
            <w:tcBorders>
              <w:top w:val="nil"/>
              <w:left w:val="nil"/>
              <w:bottom w:val="single" w:sz="4" w:space="0" w:color="auto"/>
              <w:right w:val="single" w:sz="4" w:space="0" w:color="auto"/>
            </w:tcBorders>
            <w:shd w:val="clear" w:color="auto" w:fill="auto"/>
            <w:noWrap/>
            <w:vAlign w:val="bottom"/>
            <w:hideMark/>
          </w:tcPr>
          <w:p w14:paraId="45989456"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21</w:t>
            </w:r>
          </w:p>
        </w:tc>
        <w:tc>
          <w:tcPr>
            <w:tcW w:w="647" w:type="dxa"/>
            <w:tcBorders>
              <w:top w:val="nil"/>
              <w:left w:val="nil"/>
              <w:bottom w:val="single" w:sz="4" w:space="0" w:color="auto"/>
              <w:right w:val="single" w:sz="4" w:space="0" w:color="auto"/>
            </w:tcBorders>
            <w:shd w:val="clear" w:color="auto" w:fill="auto"/>
            <w:noWrap/>
            <w:vAlign w:val="bottom"/>
            <w:hideMark/>
          </w:tcPr>
          <w:p w14:paraId="097F7AB7"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60,00%</w:t>
            </w:r>
          </w:p>
        </w:tc>
        <w:tc>
          <w:tcPr>
            <w:tcW w:w="487" w:type="dxa"/>
            <w:tcBorders>
              <w:top w:val="nil"/>
              <w:left w:val="nil"/>
              <w:bottom w:val="single" w:sz="4" w:space="0" w:color="auto"/>
              <w:right w:val="single" w:sz="4" w:space="0" w:color="auto"/>
            </w:tcBorders>
            <w:shd w:val="clear" w:color="auto" w:fill="auto"/>
            <w:noWrap/>
            <w:vAlign w:val="bottom"/>
            <w:hideMark/>
          </w:tcPr>
          <w:p w14:paraId="7A937F4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81</w:t>
            </w:r>
          </w:p>
        </w:tc>
        <w:tc>
          <w:tcPr>
            <w:tcW w:w="647" w:type="dxa"/>
            <w:tcBorders>
              <w:top w:val="nil"/>
              <w:left w:val="nil"/>
              <w:bottom w:val="single" w:sz="4" w:space="0" w:color="auto"/>
              <w:right w:val="single" w:sz="4" w:space="0" w:color="auto"/>
            </w:tcBorders>
            <w:shd w:val="clear" w:color="auto" w:fill="auto"/>
            <w:noWrap/>
            <w:vAlign w:val="bottom"/>
            <w:hideMark/>
          </w:tcPr>
          <w:p w14:paraId="07873EA9"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44,75%</w:t>
            </w:r>
          </w:p>
        </w:tc>
        <w:tc>
          <w:tcPr>
            <w:tcW w:w="487" w:type="dxa"/>
            <w:tcBorders>
              <w:top w:val="nil"/>
              <w:left w:val="nil"/>
              <w:bottom w:val="single" w:sz="4" w:space="0" w:color="auto"/>
              <w:right w:val="single" w:sz="4" w:space="0" w:color="auto"/>
            </w:tcBorders>
            <w:shd w:val="clear" w:color="auto" w:fill="auto"/>
            <w:noWrap/>
            <w:vAlign w:val="bottom"/>
            <w:hideMark/>
          </w:tcPr>
          <w:p w14:paraId="6A7B87C6"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89</w:t>
            </w:r>
          </w:p>
        </w:tc>
        <w:tc>
          <w:tcPr>
            <w:tcW w:w="647" w:type="dxa"/>
            <w:tcBorders>
              <w:top w:val="nil"/>
              <w:left w:val="nil"/>
              <w:bottom w:val="single" w:sz="4" w:space="0" w:color="auto"/>
              <w:right w:val="single" w:sz="4" w:space="0" w:color="auto"/>
            </w:tcBorders>
            <w:shd w:val="clear" w:color="auto" w:fill="auto"/>
            <w:noWrap/>
            <w:vAlign w:val="bottom"/>
            <w:hideMark/>
          </w:tcPr>
          <w:p w14:paraId="2014A17B"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52,98%</w:t>
            </w:r>
          </w:p>
        </w:tc>
        <w:tc>
          <w:tcPr>
            <w:tcW w:w="487" w:type="dxa"/>
            <w:tcBorders>
              <w:top w:val="nil"/>
              <w:left w:val="nil"/>
              <w:bottom w:val="single" w:sz="4" w:space="0" w:color="auto"/>
              <w:right w:val="single" w:sz="4" w:space="0" w:color="auto"/>
            </w:tcBorders>
            <w:shd w:val="clear" w:color="auto" w:fill="auto"/>
            <w:noWrap/>
            <w:vAlign w:val="bottom"/>
            <w:hideMark/>
          </w:tcPr>
          <w:p w14:paraId="5283AA66"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131</w:t>
            </w:r>
          </w:p>
        </w:tc>
        <w:tc>
          <w:tcPr>
            <w:tcW w:w="647" w:type="dxa"/>
            <w:tcBorders>
              <w:top w:val="nil"/>
              <w:left w:val="nil"/>
              <w:bottom w:val="single" w:sz="4" w:space="0" w:color="auto"/>
              <w:right w:val="single" w:sz="4" w:space="0" w:color="auto"/>
            </w:tcBorders>
            <w:shd w:val="clear" w:color="auto" w:fill="auto"/>
            <w:noWrap/>
            <w:vAlign w:val="bottom"/>
            <w:hideMark/>
          </w:tcPr>
          <w:p w14:paraId="202CE62B"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57,96%</w:t>
            </w:r>
          </w:p>
        </w:tc>
        <w:tc>
          <w:tcPr>
            <w:tcW w:w="487" w:type="dxa"/>
            <w:tcBorders>
              <w:top w:val="nil"/>
              <w:left w:val="nil"/>
              <w:bottom w:val="single" w:sz="4" w:space="0" w:color="auto"/>
              <w:right w:val="single" w:sz="4" w:space="0" w:color="auto"/>
            </w:tcBorders>
            <w:shd w:val="clear" w:color="auto" w:fill="auto"/>
            <w:noWrap/>
            <w:vAlign w:val="bottom"/>
            <w:hideMark/>
          </w:tcPr>
          <w:p w14:paraId="7586D4A9"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241</w:t>
            </w:r>
          </w:p>
        </w:tc>
        <w:tc>
          <w:tcPr>
            <w:tcW w:w="647" w:type="dxa"/>
            <w:tcBorders>
              <w:top w:val="nil"/>
              <w:left w:val="nil"/>
              <w:bottom w:val="single" w:sz="4" w:space="0" w:color="auto"/>
              <w:right w:val="single" w:sz="4" w:space="0" w:color="auto"/>
            </w:tcBorders>
            <w:shd w:val="clear" w:color="auto" w:fill="auto"/>
            <w:noWrap/>
            <w:vAlign w:val="bottom"/>
            <w:hideMark/>
          </w:tcPr>
          <w:p w14:paraId="50995DD1"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67,13%</w:t>
            </w:r>
          </w:p>
        </w:tc>
      </w:tr>
      <w:tr w:rsidR="00586007" w:rsidRPr="00313AD3" w14:paraId="5C701905"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6CE75DAB"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Administración de la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03014E34"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9</w:t>
            </w:r>
          </w:p>
        </w:tc>
        <w:tc>
          <w:tcPr>
            <w:tcW w:w="647" w:type="dxa"/>
            <w:tcBorders>
              <w:top w:val="nil"/>
              <w:left w:val="nil"/>
              <w:bottom w:val="single" w:sz="4" w:space="0" w:color="auto"/>
              <w:right w:val="single" w:sz="4" w:space="0" w:color="auto"/>
            </w:tcBorders>
            <w:shd w:val="clear" w:color="auto" w:fill="auto"/>
            <w:noWrap/>
            <w:vAlign w:val="bottom"/>
            <w:hideMark/>
          </w:tcPr>
          <w:p w14:paraId="6421D5B7"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25,71%</w:t>
            </w:r>
          </w:p>
        </w:tc>
        <w:tc>
          <w:tcPr>
            <w:tcW w:w="487" w:type="dxa"/>
            <w:tcBorders>
              <w:top w:val="nil"/>
              <w:left w:val="nil"/>
              <w:bottom w:val="single" w:sz="4" w:space="0" w:color="auto"/>
              <w:right w:val="single" w:sz="4" w:space="0" w:color="auto"/>
            </w:tcBorders>
            <w:shd w:val="clear" w:color="auto" w:fill="auto"/>
            <w:noWrap/>
            <w:vAlign w:val="bottom"/>
            <w:hideMark/>
          </w:tcPr>
          <w:p w14:paraId="0110A980"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53</w:t>
            </w:r>
          </w:p>
        </w:tc>
        <w:tc>
          <w:tcPr>
            <w:tcW w:w="647" w:type="dxa"/>
            <w:tcBorders>
              <w:top w:val="nil"/>
              <w:left w:val="nil"/>
              <w:bottom w:val="single" w:sz="4" w:space="0" w:color="auto"/>
              <w:right w:val="single" w:sz="4" w:space="0" w:color="auto"/>
            </w:tcBorders>
            <w:shd w:val="clear" w:color="auto" w:fill="auto"/>
            <w:noWrap/>
            <w:vAlign w:val="bottom"/>
            <w:hideMark/>
          </w:tcPr>
          <w:p w14:paraId="774339B6"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29,28%</w:t>
            </w:r>
          </w:p>
        </w:tc>
        <w:tc>
          <w:tcPr>
            <w:tcW w:w="487" w:type="dxa"/>
            <w:tcBorders>
              <w:top w:val="nil"/>
              <w:left w:val="nil"/>
              <w:bottom w:val="single" w:sz="4" w:space="0" w:color="auto"/>
              <w:right w:val="single" w:sz="4" w:space="0" w:color="auto"/>
            </w:tcBorders>
            <w:shd w:val="clear" w:color="auto" w:fill="auto"/>
            <w:noWrap/>
            <w:vAlign w:val="bottom"/>
            <w:hideMark/>
          </w:tcPr>
          <w:p w14:paraId="6909ED6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23</w:t>
            </w:r>
          </w:p>
        </w:tc>
        <w:tc>
          <w:tcPr>
            <w:tcW w:w="647" w:type="dxa"/>
            <w:tcBorders>
              <w:top w:val="nil"/>
              <w:left w:val="nil"/>
              <w:bottom w:val="single" w:sz="4" w:space="0" w:color="auto"/>
              <w:right w:val="single" w:sz="4" w:space="0" w:color="auto"/>
            </w:tcBorders>
            <w:shd w:val="clear" w:color="auto" w:fill="auto"/>
            <w:noWrap/>
            <w:vAlign w:val="bottom"/>
            <w:hideMark/>
          </w:tcPr>
          <w:p w14:paraId="3CE4AE21"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13,69%</w:t>
            </w:r>
          </w:p>
        </w:tc>
        <w:tc>
          <w:tcPr>
            <w:tcW w:w="487" w:type="dxa"/>
            <w:tcBorders>
              <w:top w:val="nil"/>
              <w:left w:val="nil"/>
              <w:bottom w:val="single" w:sz="4" w:space="0" w:color="auto"/>
              <w:right w:val="single" w:sz="4" w:space="0" w:color="auto"/>
            </w:tcBorders>
            <w:shd w:val="clear" w:color="auto" w:fill="auto"/>
            <w:noWrap/>
            <w:vAlign w:val="bottom"/>
            <w:hideMark/>
          </w:tcPr>
          <w:p w14:paraId="2BF9068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43</w:t>
            </w:r>
          </w:p>
        </w:tc>
        <w:tc>
          <w:tcPr>
            <w:tcW w:w="647" w:type="dxa"/>
            <w:tcBorders>
              <w:top w:val="nil"/>
              <w:left w:val="nil"/>
              <w:bottom w:val="single" w:sz="4" w:space="0" w:color="auto"/>
              <w:right w:val="single" w:sz="4" w:space="0" w:color="auto"/>
            </w:tcBorders>
            <w:shd w:val="clear" w:color="auto" w:fill="auto"/>
            <w:noWrap/>
            <w:vAlign w:val="bottom"/>
            <w:hideMark/>
          </w:tcPr>
          <w:p w14:paraId="0B7D0B8B"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19,03%</w:t>
            </w:r>
          </w:p>
        </w:tc>
        <w:tc>
          <w:tcPr>
            <w:tcW w:w="487" w:type="dxa"/>
            <w:tcBorders>
              <w:top w:val="nil"/>
              <w:left w:val="nil"/>
              <w:bottom w:val="single" w:sz="4" w:space="0" w:color="auto"/>
              <w:right w:val="single" w:sz="4" w:space="0" w:color="auto"/>
            </w:tcBorders>
            <w:shd w:val="clear" w:color="auto" w:fill="auto"/>
            <w:noWrap/>
            <w:vAlign w:val="bottom"/>
            <w:hideMark/>
          </w:tcPr>
          <w:p w14:paraId="57308F70"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55</w:t>
            </w:r>
          </w:p>
        </w:tc>
        <w:tc>
          <w:tcPr>
            <w:tcW w:w="647" w:type="dxa"/>
            <w:tcBorders>
              <w:top w:val="nil"/>
              <w:left w:val="nil"/>
              <w:bottom w:val="single" w:sz="4" w:space="0" w:color="auto"/>
              <w:right w:val="single" w:sz="4" w:space="0" w:color="auto"/>
            </w:tcBorders>
            <w:shd w:val="clear" w:color="auto" w:fill="auto"/>
            <w:noWrap/>
            <w:vAlign w:val="bottom"/>
            <w:hideMark/>
          </w:tcPr>
          <w:p w14:paraId="7CFBA183"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15,32%</w:t>
            </w:r>
          </w:p>
        </w:tc>
      </w:tr>
      <w:tr w:rsidR="00586007" w:rsidRPr="00313AD3" w14:paraId="36A15B5C"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537CCD86"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Sector público local</w:t>
            </w:r>
          </w:p>
        </w:tc>
        <w:tc>
          <w:tcPr>
            <w:tcW w:w="567" w:type="dxa"/>
            <w:tcBorders>
              <w:top w:val="nil"/>
              <w:left w:val="nil"/>
              <w:bottom w:val="single" w:sz="4" w:space="0" w:color="auto"/>
              <w:right w:val="single" w:sz="4" w:space="0" w:color="auto"/>
            </w:tcBorders>
            <w:shd w:val="clear" w:color="auto" w:fill="auto"/>
            <w:noWrap/>
            <w:vAlign w:val="bottom"/>
            <w:hideMark/>
          </w:tcPr>
          <w:p w14:paraId="75E57F6B"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005621B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8,57%</w:t>
            </w:r>
          </w:p>
        </w:tc>
        <w:tc>
          <w:tcPr>
            <w:tcW w:w="487" w:type="dxa"/>
            <w:tcBorders>
              <w:top w:val="nil"/>
              <w:left w:val="nil"/>
              <w:bottom w:val="single" w:sz="4" w:space="0" w:color="auto"/>
              <w:right w:val="single" w:sz="4" w:space="0" w:color="auto"/>
            </w:tcBorders>
            <w:shd w:val="clear" w:color="auto" w:fill="auto"/>
            <w:noWrap/>
            <w:vAlign w:val="bottom"/>
            <w:hideMark/>
          </w:tcPr>
          <w:p w14:paraId="0358F880"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0741F9C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1,66%</w:t>
            </w:r>
          </w:p>
        </w:tc>
        <w:tc>
          <w:tcPr>
            <w:tcW w:w="487" w:type="dxa"/>
            <w:tcBorders>
              <w:top w:val="nil"/>
              <w:left w:val="nil"/>
              <w:bottom w:val="single" w:sz="4" w:space="0" w:color="auto"/>
              <w:right w:val="single" w:sz="4" w:space="0" w:color="auto"/>
            </w:tcBorders>
            <w:shd w:val="clear" w:color="auto" w:fill="auto"/>
            <w:noWrap/>
            <w:vAlign w:val="bottom"/>
            <w:hideMark/>
          </w:tcPr>
          <w:p w14:paraId="09172C4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15</w:t>
            </w:r>
          </w:p>
        </w:tc>
        <w:tc>
          <w:tcPr>
            <w:tcW w:w="647" w:type="dxa"/>
            <w:tcBorders>
              <w:top w:val="nil"/>
              <w:left w:val="nil"/>
              <w:bottom w:val="single" w:sz="4" w:space="0" w:color="auto"/>
              <w:right w:val="single" w:sz="4" w:space="0" w:color="auto"/>
            </w:tcBorders>
            <w:shd w:val="clear" w:color="auto" w:fill="auto"/>
            <w:noWrap/>
            <w:vAlign w:val="bottom"/>
            <w:hideMark/>
          </w:tcPr>
          <w:p w14:paraId="590983AE"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8,93%</w:t>
            </w:r>
          </w:p>
        </w:tc>
        <w:tc>
          <w:tcPr>
            <w:tcW w:w="487" w:type="dxa"/>
            <w:tcBorders>
              <w:top w:val="nil"/>
              <w:left w:val="nil"/>
              <w:bottom w:val="single" w:sz="4" w:space="0" w:color="auto"/>
              <w:right w:val="single" w:sz="4" w:space="0" w:color="auto"/>
            </w:tcBorders>
            <w:shd w:val="clear" w:color="auto" w:fill="auto"/>
            <w:noWrap/>
            <w:vAlign w:val="bottom"/>
            <w:hideMark/>
          </w:tcPr>
          <w:p w14:paraId="5D0D8609"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12</w:t>
            </w:r>
          </w:p>
        </w:tc>
        <w:tc>
          <w:tcPr>
            <w:tcW w:w="647" w:type="dxa"/>
            <w:tcBorders>
              <w:top w:val="nil"/>
              <w:left w:val="nil"/>
              <w:bottom w:val="single" w:sz="4" w:space="0" w:color="auto"/>
              <w:right w:val="single" w:sz="4" w:space="0" w:color="auto"/>
            </w:tcBorders>
            <w:shd w:val="clear" w:color="auto" w:fill="auto"/>
            <w:noWrap/>
            <w:vAlign w:val="bottom"/>
            <w:hideMark/>
          </w:tcPr>
          <w:p w14:paraId="6ADBE4E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5,31%</w:t>
            </w:r>
          </w:p>
        </w:tc>
        <w:tc>
          <w:tcPr>
            <w:tcW w:w="487" w:type="dxa"/>
            <w:tcBorders>
              <w:top w:val="nil"/>
              <w:left w:val="nil"/>
              <w:bottom w:val="single" w:sz="4" w:space="0" w:color="auto"/>
              <w:right w:val="single" w:sz="4" w:space="0" w:color="auto"/>
            </w:tcBorders>
            <w:shd w:val="clear" w:color="auto" w:fill="auto"/>
            <w:noWrap/>
            <w:vAlign w:val="bottom"/>
            <w:hideMark/>
          </w:tcPr>
          <w:p w14:paraId="10EA5A40"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995105C"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r>
      <w:tr w:rsidR="00586007" w:rsidRPr="00313AD3" w14:paraId="3A65F6A8"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673AAC44"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Privado</w:t>
            </w:r>
          </w:p>
        </w:tc>
        <w:tc>
          <w:tcPr>
            <w:tcW w:w="567" w:type="dxa"/>
            <w:tcBorders>
              <w:top w:val="nil"/>
              <w:left w:val="nil"/>
              <w:bottom w:val="single" w:sz="4" w:space="0" w:color="auto"/>
              <w:right w:val="single" w:sz="4" w:space="0" w:color="auto"/>
            </w:tcBorders>
            <w:shd w:val="clear" w:color="auto" w:fill="auto"/>
            <w:noWrap/>
            <w:vAlign w:val="bottom"/>
            <w:hideMark/>
          </w:tcPr>
          <w:p w14:paraId="50EF905B"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1181E33B"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3EF6FEB0"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5</w:t>
            </w:r>
          </w:p>
        </w:tc>
        <w:tc>
          <w:tcPr>
            <w:tcW w:w="647" w:type="dxa"/>
            <w:tcBorders>
              <w:top w:val="nil"/>
              <w:left w:val="nil"/>
              <w:bottom w:val="single" w:sz="4" w:space="0" w:color="auto"/>
              <w:right w:val="single" w:sz="4" w:space="0" w:color="auto"/>
            </w:tcBorders>
            <w:shd w:val="clear" w:color="auto" w:fill="auto"/>
            <w:noWrap/>
            <w:vAlign w:val="bottom"/>
            <w:hideMark/>
          </w:tcPr>
          <w:p w14:paraId="24957EE1"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2,76%</w:t>
            </w:r>
          </w:p>
        </w:tc>
        <w:tc>
          <w:tcPr>
            <w:tcW w:w="487" w:type="dxa"/>
            <w:tcBorders>
              <w:top w:val="nil"/>
              <w:left w:val="nil"/>
              <w:bottom w:val="single" w:sz="4" w:space="0" w:color="auto"/>
              <w:right w:val="single" w:sz="4" w:space="0" w:color="auto"/>
            </w:tcBorders>
            <w:shd w:val="clear" w:color="auto" w:fill="auto"/>
            <w:noWrap/>
            <w:vAlign w:val="bottom"/>
            <w:hideMark/>
          </w:tcPr>
          <w:p w14:paraId="16314885"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14</w:t>
            </w:r>
          </w:p>
        </w:tc>
        <w:tc>
          <w:tcPr>
            <w:tcW w:w="647" w:type="dxa"/>
            <w:tcBorders>
              <w:top w:val="nil"/>
              <w:left w:val="nil"/>
              <w:bottom w:val="single" w:sz="4" w:space="0" w:color="auto"/>
              <w:right w:val="single" w:sz="4" w:space="0" w:color="auto"/>
            </w:tcBorders>
            <w:shd w:val="clear" w:color="auto" w:fill="auto"/>
            <w:noWrap/>
            <w:vAlign w:val="bottom"/>
            <w:hideMark/>
          </w:tcPr>
          <w:p w14:paraId="7BB7D46E"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8,33%</w:t>
            </w:r>
          </w:p>
        </w:tc>
        <w:tc>
          <w:tcPr>
            <w:tcW w:w="487" w:type="dxa"/>
            <w:tcBorders>
              <w:top w:val="nil"/>
              <w:left w:val="nil"/>
              <w:bottom w:val="single" w:sz="4" w:space="0" w:color="auto"/>
              <w:right w:val="single" w:sz="4" w:space="0" w:color="auto"/>
            </w:tcBorders>
            <w:shd w:val="clear" w:color="auto" w:fill="auto"/>
            <w:noWrap/>
            <w:vAlign w:val="bottom"/>
            <w:hideMark/>
          </w:tcPr>
          <w:p w14:paraId="565D700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10</w:t>
            </w:r>
          </w:p>
        </w:tc>
        <w:tc>
          <w:tcPr>
            <w:tcW w:w="647" w:type="dxa"/>
            <w:tcBorders>
              <w:top w:val="nil"/>
              <w:left w:val="nil"/>
              <w:bottom w:val="single" w:sz="4" w:space="0" w:color="auto"/>
              <w:right w:val="single" w:sz="4" w:space="0" w:color="auto"/>
            </w:tcBorders>
            <w:shd w:val="clear" w:color="auto" w:fill="auto"/>
            <w:noWrap/>
            <w:vAlign w:val="bottom"/>
            <w:hideMark/>
          </w:tcPr>
          <w:p w14:paraId="59A098BC"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4,42%</w:t>
            </w:r>
          </w:p>
        </w:tc>
        <w:tc>
          <w:tcPr>
            <w:tcW w:w="487" w:type="dxa"/>
            <w:tcBorders>
              <w:top w:val="nil"/>
              <w:left w:val="nil"/>
              <w:bottom w:val="single" w:sz="4" w:space="0" w:color="auto"/>
              <w:right w:val="single" w:sz="4" w:space="0" w:color="auto"/>
            </w:tcBorders>
            <w:shd w:val="clear" w:color="auto" w:fill="auto"/>
            <w:noWrap/>
            <w:vAlign w:val="bottom"/>
            <w:hideMark/>
          </w:tcPr>
          <w:p w14:paraId="0110415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39</w:t>
            </w:r>
          </w:p>
        </w:tc>
        <w:tc>
          <w:tcPr>
            <w:tcW w:w="647" w:type="dxa"/>
            <w:tcBorders>
              <w:top w:val="nil"/>
              <w:left w:val="nil"/>
              <w:bottom w:val="single" w:sz="4" w:space="0" w:color="auto"/>
              <w:right w:val="single" w:sz="4" w:space="0" w:color="auto"/>
            </w:tcBorders>
            <w:shd w:val="clear" w:color="auto" w:fill="auto"/>
            <w:noWrap/>
            <w:vAlign w:val="bottom"/>
            <w:hideMark/>
          </w:tcPr>
          <w:p w14:paraId="67A830D3"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10,86%</w:t>
            </w:r>
          </w:p>
        </w:tc>
      </w:tr>
      <w:tr w:rsidR="00586007" w:rsidRPr="00313AD3" w14:paraId="3AFC710A"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74B44E77"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Diputaciones provinciales</w:t>
            </w:r>
          </w:p>
        </w:tc>
        <w:tc>
          <w:tcPr>
            <w:tcW w:w="567" w:type="dxa"/>
            <w:tcBorders>
              <w:top w:val="nil"/>
              <w:left w:val="nil"/>
              <w:bottom w:val="single" w:sz="4" w:space="0" w:color="auto"/>
              <w:right w:val="single" w:sz="4" w:space="0" w:color="auto"/>
            </w:tcBorders>
            <w:shd w:val="clear" w:color="auto" w:fill="auto"/>
            <w:noWrap/>
            <w:vAlign w:val="bottom"/>
            <w:hideMark/>
          </w:tcPr>
          <w:p w14:paraId="4433175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7713B5B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2,86%</w:t>
            </w:r>
          </w:p>
        </w:tc>
        <w:tc>
          <w:tcPr>
            <w:tcW w:w="487" w:type="dxa"/>
            <w:tcBorders>
              <w:top w:val="nil"/>
              <w:left w:val="nil"/>
              <w:bottom w:val="single" w:sz="4" w:space="0" w:color="auto"/>
              <w:right w:val="single" w:sz="4" w:space="0" w:color="auto"/>
            </w:tcBorders>
            <w:shd w:val="clear" w:color="auto" w:fill="auto"/>
            <w:noWrap/>
            <w:vAlign w:val="bottom"/>
            <w:hideMark/>
          </w:tcPr>
          <w:p w14:paraId="4A2F9F33"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15</w:t>
            </w:r>
          </w:p>
        </w:tc>
        <w:tc>
          <w:tcPr>
            <w:tcW w:w="647" w:type="dxa"/>
            <w:tcBorders>
              <w:top w:val="nil"/>
              <w:left w:val="nil"/>
              <w:bottom w:val="single" w:sz="4" w:space="0" w:color="auto"/>
              <w:right w:val="single" w:sz="4" w:space="0" w:color="auto"/>
            </w:tcBorders>
            <w:shd w:val="clear" w:color="auto" w:fill="auto"/>
            <w:noWrap/>
            <w:vAlign w:val="bottom"/>
            <w:hideMark/>
          </w:tcPr>
          <w:p w14:paraId="1FFB4078"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8,29%</w:t>
            </w:r>
          </w:p>
        </w:tc>
        <w:tc>
          <w:tcPr>
            <w:tcW w:w="487" w:type="dxa"/>
            <w:tcBorders>
              <w:top w:val="nil"/>
              <w:left w:val="nil"/>
              <w:bottom w:val="single" w:sz="4" w:space="0" w:color="auto"/>
              <w:right w:val="single" w:sz="4" w:space="0" w:color="auto"/>
            </w:tcBorders>
            <w:shd w:val="clear" w:color="auto" w:fill="auto"/>
            <w:noWrap/>
            <w:vAlign w:val="bottom"/>
            <w:hideMark/>
          </w:tcPr>
          <w:p w14:paraId="04E50660"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8</w:t>
            </w:r>
          </w:p>
        </w:tc>
        <w:tc>
          <w:tcPr>
            <w:tcW w:w="647" w:type="dxa"/>
            <w:tcBorders>
              <w:top w:val="nil"/>
              <w:left w:val="nil"/>
              <w:bottom w:val="single" w:sz="4" w:space="0" w:color="auto"/>
              <w:right w:val="single" w:sz="4" w:space="0" w:color="auto"/>
            </w:tcBorders>
            <w:shd w:val="clear" w:color="auto" w:fill="auto"/>
            <w:noWrap/>
            <w:vAlign w:val="bottom"/>
            <w:hideMark/>
          </w:tcPr>
          <w:p w14:paraId="61324EF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4,76%</w:t>
            </w:r>
          </w:p>
        </w:tc>
        <w:tc>
          <w:tcPr>
            <w:tcW w:w="487" w:type="dxa"/>
            <w:tcBorders>
              <w:top w:val="nil"/>
              <w:left w:val="nil"/>
              <w:bottom w:val="single" w:sz="4" w:space="0" w:color="auto"/>
              <w:right w:val="single" w:sz="4" w:space="0" w:color="auto"/>
            </w:tcBorders>
            <w:shd w:val="clear" w:color="auto" w:fill="auto"/>
            <w:noWrap/>
            <w:vAlign w:val="bottom"/>
            <w:hideMark/>
          </w:tcPr>
          <w:p w14:paraId="620D3000"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7</w:t>
            </w:r>
          </w:p>
        </w:tc>
        <w:tc>
          <w:tcPr>
            <w:tcW w:w="647" w:type="dxa"/>
            <w:tcBorders>
              <w:top w:val="nil"/>
              <w:left w:val="nil"/>
              <w:bottom w:val="single" w:sz="4" w:space="0" w:color="auto"/>
              <w:right w:val="single" w:sz="4" w:space="0" w:color="auto"/>
            </w:tcBorders>
            <w:shd w:val="clear" w:color="auto" w:fill="auto"/>
            <w:noWrap/>
            <w:vAlign w:val="bottom"/>
            <w:hideMark/>
          </w:tcPr>
          <w:p w14:paraId="2EF76603"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3,10%</w:t>
            </w:r>
          </w:p>
        </w:tc>
        <w:tc>
          <w:tcPr>
            <w:tcW w:w="487" w:type="dxa"/>
            <w:tcBorders>
              <w:top w:val="nil"/>
              <w:left w:val="nil"/>
              <w:bottom w:val="single" w:sz="4" w:space="0" w:color="auto"/>
              <w:right w:val="single" w:sz="4" w:space="0" w:color="auto"/>
            </w:tcBorders>
            <w:shd w:val="clear" w:color="auto" w:fill="auto"/>
            <w:noWrap/>
            <w:vAlign w:val="bottom"/>
            <w:hideMark/>
          </w:tcPr>
          <w:p w14:paraId="64115E26"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4</w:t>
            </w:r>
          </w:p>
        </w:tc>
        <w:tc>
          <w:tcPr>
            <w:tcW w:w="647" w:type="dxa"/>
            <w:tcBorders>
              <w:top w:val="nil"/>
              <w:left w:val="nil"/>
              <w:bottom w:val="single" w:sz="4" w:space="0" w:color="auto"/>
              <w:right w:val="single" w:sz="4" w:space="0" w:color="auto"/>
            </w:tcBorders>
            <w:shd w:val="clear" w:color="auto" w:fill="auto"/>
            <w:noWrap/>
            <w:vAlign w:val="bottom"/>
            <w:hideMark/>
          </w:tcPr>
          <w:p w14:paraId="0955C893"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1,11%</w:t>
            </w:r>
          </w:p>
        </w:tc>
      </w:tr>
      <w:tr w:rsidR="00586007" w:rsidRPr="00313AD3" w14:paraId="2A4C76E8"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01896AF9"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Fundaciones del sector público de la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0FD979D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2525285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D889BA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1CC75CC6"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273EDBA1"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317C7A75"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0F7296D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4</w:t>
            </w:r>
          </w:p>
        </w:tc>
        <w:tc>
          <w:tcPr>
            <w:tcW w:w="647" w:type="dxa"/>
            <w:tcBorders>
              <w:top w:val="nil"/>
              <w:left w:val="nil"/>
              <w:bottom w:val="single" w:sz="4" w:space="0" w:color="auto"/>
              <w:right w:val="single" w:sz="4" w:space="0" w:color="auto"/>
            </w:tcBorders>
            <w:shd w:val="clear" w:color="auto" w:fill="auto"/>
            <w:noWrap/>
            <w:vAlign w:val="bottom"/>
            <w:hideMark/>
          </w:tcPr>
          <w:p w14:paraId="3A124888"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1,77%</w:t>
            </w:r>
          </w:p>
        </w:tc>
        <w:tc>
          <w:tcPr>
            <w:tcW w:w="487" w:type="dxa"/>
            <w:tcBorders>
              <w:top w:val="nil"/>
              <w:left w:val="nil"/>
              <w:bottom w:val="single" w:sz="4" w:space="0" w:color="auto"/>
              <w:right w:val="single" w:sz="4" w:space="0" w:color="auto"/>
            </w:tcBorders>
            <w:shd w:val="clear" w:color="auto" w:fill="auto"/>
            <w:noWrap/>
            <w:vAlign w:val="bottom"/>
            <w:hideMark/>
          </w:tcPr>
          <w:p w14:paraId="6A7559F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4</w:t>
            </w:r>
          </w:p>
        </w:tc>
        <w:tc>
          <w:tcPr>
            <w:tcW w:w="647" w:type="dxa"/>
            <w:tcBorders>
              <w:top w:val="nil"/>
              <w:left w:val="nil"/>
              <w:bottom w:val="single" w:sz="4" w:space="0" w:color="auto"/>
              <w:right w:val="single" w:sz="4" w:space="0" w:color="auto"/>
            </w:tcBorders>
            <w:shd w:val="clear" w:color="auto" w:fill="auto"/>
            <w:noWrap/>
            <w:vAlign w:val="bottom"/>
            <w:hideMark/>
          </w:tcPr>
          <w:p w14:paraId="330A397E"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1,11%</w:t>
            </w:r>
          </w:p>
        </w:tc>
      </w:tr>
      <w:tr w:rsidR="00586007" w:rsidRPr="00313AD3" w14:paraId="5D657F54"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527A7DD8"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Partidos políticos</w:t>
            </w:r>
          </w:p>
        </w:tc>
        <w:tc>
          <w:tcPr>
            <w:tcW w:w="567" w:type="dxa"/>
            <w:tcBorders>
              <w:top w:val="nil"/>
              <w:left w:val="nil"/>
              <w:bottom w:val="single" w:sz="4" w:space="0" w:color="auto"/>
              <w:right w:val="single" w:sz="4" w:space="0" w:color="auto"/>
            </w:tcBorders>
            <w:shd w:val="clear" w:color="auto" w:fill="auto"/>
            <w:noWrap/>
            <w:vAlign w:val="bottom"/>
            <w:hideMark/>
          </w:tcPr>
          <w:p w14:paraId="403A9FF6"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241767B3"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30F214D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5217767E"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6929A48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7D9A9AD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2F32762E"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3DECA159"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1,33%</w:t>
            </w:r>
          </w:p>
        </w:tc>
        <w:tc>
          <w:tcPr>
            <w:tcW w:w="487" w:type="dxa"/>
            <w:tcBorders>
              <w:top w:val="nil"/>
              <w:left w:val="nil"/>
              <w:bottom w:val="single" w:sz="4" w:space="0" w:color="auto"/>
              <w:right w:val="single" w:sz="4" w:space="0" w:color="auto"/>
            </w:tcBorders>
            <w:shd w:val="clear" w:color="auto" w:fill="auto"/>
            <w:noWrap/>
            <w:vAlign w:val="bottom"/>
            <w:hideMark/>
          </w:tcPr>
          <w:p w14:paraId="39F6969E"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43FD0995"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r>
      <w:tr w:rsidR="00586007" w:rsidRPr="00313AD3" w14:paraId="1800D97F"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19D2B06E"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Universidades</w:t>
            </w:r>
          </w:p>
        </w:tc>
        <w:tc>
          <w:tcPr>
            <w:tcW w:w="567" w:type="dxa"/>
            <w:tcBorders>
              <w:top w:val="nil"/>
              <w:left w:val="nil"/>
              <w:bottom w:val="single" w:sz="4" w:space="0" w:color="auto"/>
              <w:right w:val="single" w:sz="4" w:space="0" w:color="auto"/>
            </w:tcBorders>
            <w:shd w:val="clear" w:color="auto" w:fill="auto"/>
            <w:noWrap/>
            <w:vAlign w:val="bottom"/>
            <w:hideMark/>
          </w:tcPr>
          <w:p w14:paraId="42C7298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D91EBE6"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213C30E"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7</w:t>
            </w:r>
          </w:p>
        </w:tc>
        <w:tc>
          <w:tcPr>
            <w:tcW w:w="647" w:type="dxa"/>
            <w:tcBorders>
              <w:top w:val="nil"/>
              <w:left w:val="nil"/>
              <w:bottom w:val="single" w:sz="4" w:space="0" w:color="auto"/>
              <w:right w:val="single" w:sz="4" w:space="0" w:color="auto"/>
            </w:tcBorders>
            <w:shd w:val="clear" w:color="auto" w:fill="auto"/>
            <w:noWrap/>
            <w:vAlign w:val="bottom"/>
            <w:hideMark/>
          </w:tcPr>
          <w:p w14:paraId="1B2EA42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3,87%</w:t>
            </w:r>
          </w:p>
        </w:tc>
        <w:tc>
          <w:tcPr>
            <w:tcW w:w="487" w:type="dxa"/>
            <w:tcBorders>
              <w:top w:val="nil"/>
              <w:left w:val="nil"/>
              <w:bottom w:val="single" w:sz="4" w:space="0" w:color="auto"/>
              <w:right w:val="single" w:sz="4" w:space="0" w:color="auto"/>
            </w:tcBorders>
            <w:shd w:val="clear" w:color="auto" w:fill="auto"/>
            <w:noWrap/>
            <w:vAlign w:val="bottom"/>
            <w:hideMark/>
          </w:tcPr>
          <w:p w14:paraId="675C9BF3"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66D7980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1,79%</w:t>
            </w:r>
          </w:p>
        </w:tc>
        <w:tc>
          <w:tcPr>
            <w:tcW w:w="487" w:type="dxa"/>
            <w:tcBorders>
              <w:top w:val="nil"/>
              <w:left w:val="nil"/>
              <w:bottom w:val="single" w:sz="4" w:space="0" w:color="auto"/>
              <w:right w:val="single" w:sz="4" w:space="0" w:color="auto"/>
            </w:tcBorders>
            <w:shd w:val="clear" w:color="auto" w:fill="auto"/>
            <w:noWrap/>
            <w:vAlign w:val="bottom"/>
            <w:hideMark/>
          </w:tcPr>
          <w:p w14:paraId="77F16F08"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043D8237"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1,33%</w:t>
            </w:r>
          </w:p>
        </w:tc>
        <w:tc>
          <w:tcPr>
            <w:tcW w:w="487" w:type="dxa"/>
            <w:tcBorders>
              <w:top w:val="nil"/>
              <w:left w:val="nil"/>
              <w:bottom w:val="single" w:sz="4" w:space="0" w:color="auto"/>
              <w:right w:val="single" w:sz="4" w:space="0" w:color="auto"/>
            </w:tcBorders>
            <w:shd w:val="clear" w:color="auto" w:fill="auto"/>
            <w:noWrap/>
            <w:vAlign w:val="bottom"/>
            <w:hideMark/>
          </w:tcPr>
          <w:p w14:paraId="46B938A5"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w:t>
            </w:r>
          </w:p>
        </w:tc>
        <w:tc>
          <w:tcPr>
            <w:tcW w:w="647" w:type="dxa"/>
            <w:tcBorders>
              <w:top w:val="nil"/>
              <w:left w:val="nil"/>
              <w:bottom w:val="single" w:sz="4" w:space="0" w:color="auto"/>
              <w:right w:val="single" w:sz="4" w:space="0" w:color="auto"/>
            </w:tcBorders>
            <w:shd w:val="clear" w:color="auto" w:fill="auto"/>
            <w:noWrap/>
            <w:vAlign w:val="bottom"/>
            <w:hideMark/>
          </w:tcPr>
          <w:p w14:paraId="4ABEE26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0,56%</w:t>
            </w:r>
          </w:p>
        </w:tc>
      </w:tr>
      <w:tr w:rsidR="00586007" w:rsidRPr="00313AD3" w14:paraId="226A0641"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73A4A092"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Entidades de derecho público de la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0DB0ED2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57871BEE"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754751B9"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4C17255C"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2F011DB4"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58DD4FB7"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1,79%</w:t>
            </w:r>
          </w:p>
        </w:tc>
        <w:tc>
          <w:tcPr>
            <w:tcW w:w="487" w:type="dxa"/>
            <w:tcBorders>
              <w:top w:val="nil"/>
              <w:left w:val="nil"/>
              <w:bottom w:val="single" w:sz="4" w:space="0" w:color="auto"/>
              <w:right w:val="single" w:sz="4" w:space="0" w:color="auto"/>
            </w:tcBorders>
            <w:shd w:val="clear" w:color="auto" w:fill="auto"/>
            <w:noWrap/>
            <w:vAlign w:val="bottom"/>
            <w:hideMark/>
          </w:tcPr>
          <w:p w14:paraId="3D480AB4"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w:t>
            </w:r>
          </w:p>
        </w:tc>
        <w:tc>
          <w:tcPr>
            <w:tcW w:w="647" w:type="dxa"/>
            <w:tcBorders>
              <w:top w:val="nil"/>
              <w:left w:val="nil"/>
              <w:bottom w:val="single" w:sz="4" w:space="0" w:color="auto"/>
              <w:right w:val="single" w:sz="4" w:space="0" w:color="auto"/>
            </w:tcBorders>
            <w:shd w:val="clear" w:color="auto" w:fill="auto"/>
            <w:noWrap/>
            <w:vAlign w:val="bottom"/>
            <w:hideMark/>
          </w:tcPr>
          <w:p w14:paraId="0FCF7276"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0,88%</w:t>
            </w:r>
          </w:p>
        </w:tc>
        <w:tc>
          <w:tcPr>
            <w:tcW w:w="487" w:type="dxa"/>
            <w:tcBorders>
              <w:top w:val="nil"/>
              <w:left w:val="nil"/>
              <w:bottom w:val="single" w:sz="4" w:space="0" w:color="auto"/>
              <w:right w:val="single" w:sz="4" w:space="0" w:color="auto"/>
            </w:tcBorders>
            <w:shd w:val="clear" w:color="auto" w:fill="auto"/>
            <w:noWrap/>
            <w:vAlign w:val="bottom"/>
            <w:hideMark/>
          </w:tcPr>
          <w:p w14:paraId="2466CEE4"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4</w:t>
            </w:r>
          </w:p>
        </w:tc>
        <w:tc>
          <w:tcPr>
            <w:tcW w:w="647" w:type="dxa"/>
            <w:tcBorders>
              <w:top w:val="nil"/>
              <w:left w:val="nil"/>
              <w:bottom w:val="single" w:sz="4" w:space="0" w:color="auto"/>
              <w:right w:val="single" w:sz="4" w:space="0" w:color="auto"/>
            </w:tcBorders>
            <w:shd w:val="clear" w:color="auto" w:fill="auto"/>
            <w:noWrap/>
            <w:vAlign w:val="bottom"/>
            <w:hideMark/>
          </w:tcPr>
          <w:p w14:paraId="171BD93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1,11%</w:t>
            </w:r>
          </w:p>
        </w:tc>
      </w:tr>
      <w:tr w:rsidR="00586007" w:rsidRPr="00313AD3" w14:paraId="7EA17A60"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587EA036"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Fundaciones del sector público local</w:t>
            </w:r>
          </w:p>
        </w:tc>
        <w:tc>
          <w:tcPr>
            <w:tcW w:w="567" w:type="dxa"/>
            <w:tcBorders>
              <w:top w:val="nil"/>
              <w:left w:val="nil"/>
              <w:bottom w:val="single" w:sz="4" w:space="0" w:color="auto"/>
              <w:right w:val="single" w:sz="4" w:space="0" w:color="auto"/>
            </w:tcBorders>
            <w:shd w:val="clear" w:color="auto" w:fill="auto"/>
            <w:noWrap/>
            <w:vAlign w:val="bottom"/>
            <w:hideMark/>
          </w:tcPr>
          <w:p w14:paraId="0CD52517"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7FCA54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625E0217"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4B83100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7E0A0CE4"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29D83C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4FD67523"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w:t>
            </w:r>
          </w:p>
        </w:tc>
        <w:tc>
          <w:tcPr>
            <w:tcW w:w="647" w:type="dxa"/>
            <w:tcBorders>
              <w:top w:val="nil"/>
              <w:left w:val="nil"/>
              <w:bottom w:val="single" w:sz="4" w:space="0" w:color="auto"/>
              <w:right w:val="single" w:sz="4" w:space="0" w:color="auto"/>
            </w:tcBorders>
            <w:shd w:val="clear" w:color="auto" w:fill="auto"/>
            <w:noWrap/>
            <w:vAlign w:val="bottom"/>
            <w:hideMark/>
          </w:tcPr>
          <w:p w14:paraId="7158B0DB"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0,88%</w:t>
            </w:r>
          </w:p>
        </w:tc>
        <w:tc>
          <w:tcPr>
            <w:tcW w:w="487" w:type="dxa"/>
            <w:tcBorders>
              <w:top w:val="nil"/>
              <w:left w:val="nil"/>
              <w:bottom w:val="single" w:sz="4" w:space="0" w:color="auto"/>
              <w:right w:val="single" w:sz="4" w:space="0" w:color="auto"/>
            </w:tcBorders>
            <w:shd w:val="clear" w:color="auto" w:fill="auto"/>
            <w:noWrap/>
            <w:vAlign w:val="bottom"/>
            <w:hideMark/>
          </w:tcPr>
          <w:p w14:paraId="7285A609"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C3F9771"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r>
      <w:tr w:rsidR="00586007" w:rsidRPr="00313AD3" w14:paraId="083532A1"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13E0BB26"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Organismos del Estado</w:t>
            </w:r>
          </w:p>
        </w:tc>
        <w:tc>
          <w:tcPr>
            <w:tcW w:w="567" w:type="dxa"/>
            <w:tcBorders>
              <w:top w:val="nil"/>
              <w:left w:val="nil"/>
              <w:bottom w:val="single" w:sz="4" w:space="0" w:color="auto"/>
              <w:right w:val="single" w:sz="4" w:space="0" w:color="auto"/>
            </w:tcBorders>
            <w:shd w:val="clear" w:color="auto" w:fill="auto"/>
            <w:noWrap/>
            <w:vAlign w:val="bottom"/>
            <w:hideMark/>
          </w:tcPr>
          <w:p w14:paraId="2F786777"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3925FEB9"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01A9C56B"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90754E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595173F1"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24D9CF2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0,60%</w:t>
            </w:r>
          </w:p>
        </w:tc>
        <w:tc>
          <w:tcPr>
            <w:tcW w:w="487" w:type="dxa"/>
            <w:tcBorders>
              <w:top w:val="nil"/>
              <w:left w:val="nil"/>
              <w:bottom w:val="single" w:sz="4" w:space="0" w:color="auto"/>
              <w:right w:val="single" w:sz="4" w:space="0" w:color="auto"/>
            </w:tcBorders>
            <w:shd w:val="clear" w:color="auto" w:fill="auto"/>
            <w:noWrap/>
            <w:vAlign w:val="bottom"/>
            <w:hideMark/>
          </w:tcPr>
          <w:p w14:paraId="52EDB708"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w:t>
            </w:r>
          </w:p>
        </w:tc>
        <w:tc>
          <w:tcPr>
            <w:tcW w:w="647" w:type="dxa"/>
            <w:tcBorders>
              <w:top w:val="nil"/>
              <w:left w:val="nil"/>
              <w:bottom w:val="single" w:sz="4" w:space="0" w:color="auto"/>
              <w:right w:val="single" w:sz="4" w:space="0" w:color="auto"/>
            </w:tcBorders>
            <w:shd w:val="clear" w:color="auto" w:fill="auto"/>
            <w:noWrap/>
            <w:vAlign w:val="bottom"/>
            <w:hideMark/>
          </w:tcPr>
          <w:p w14:paraId="049384E7"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0,88%</w:t>
            </w:r>
          </w:p>
        </w:tc>
        <w:tc>
          <w:tcPr>
            <w:tcW w:w="487" w:type="dxa"/>
            <w:tcBorders>
              <w:top w:val="nil"/>
              <w:left w:val="nil"/>
              <w:bottom w:val="single" w:sz="4" w:space="0" w:color="auto"/>
              <w:right w:val="single" w:sz="4" w:space="0" w:color="auto"/>
            </w:tcBorders>
            <w:shd w:val="clear" w:color="auto" w:fill="auto"/>
            <w:noWrap/>
            <w:vAlign w:val="bottom"/>
            <w:hideMark/>
          </w:tcPr>
          <w:p w14:paraId="2A5E40F9"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7CEF6CF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0,28%</w:t>
            </w:r>
          </w:p>
        </w:tc>
      </w:tr>
      <w:tr w:rsidR="00586007" w:rsidRPr="00313AD3" w14:paraId="2A9F401B"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7BE402C2"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Administración de Justicia</w:t>
            </w:r>
          </w:p>
        </w:tc>
        <w:tc>
          <w:tcPr>
            <w:tcW w:w="567" w:type="dxa"/>
            <w:tcBorders>
              <w:top w:val="nil"/>
              <w:left w:val="nil"/>
              <w:bottom w:val="single" w:sz="4" w:space="0" w:color="auto"/>
              <w:right w:val="single" w:sz="4" w:space="0" w:color="auto"/>
            </w:tcBorders>
            <w:shd w:val="clear" w:color="auto" w:fill="auto"/>
            <w:noWrap/>
            <w:vAlign w:val="bottom"/>
            <w:hideMark/>
          </w:tcPr>
          <w:p w14:paraId="754AB61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4E39C7F6"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9B8F638"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7CA919E"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61413AFB"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1E808E3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0,60%</w:t>
            </w:r>
          </w:p>
        </w:tc>
        <w:tc>
          <w:tcPr>
            <w:tcW w:w="487" w:type="dxa"/>
            <w:tcBorders>
              <w:top w:val="nil"/>
              <w:left w:val="nil"/>
              <w:bottom w:val="single" w:sz="4" w:space="0" w:color="auto"/>
              <w:right w:val="single" w:sz="4" w:space="0" w:color="auto"/>
            </w:tcBorders>
            <w:shd w:val="clear" w:color="auto" w:fill="auto"/>
            <w:noWrap/>
            <w:vAlign w:val="bottom"/>
            <w:hideMark/>
          </w:tcPr>
          <w:p w14:paraId="44DBD3EE"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405E1B0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0,44%</w:t>
            </w:r>
          </w:p>
        </w:tc>
        <w:tc>
          <w:tcPr>
            <w:tcW w:w="487" w:type="dxa"/>
            <w:tcBorders>
              <w:top w:val="nil"/>
              <w:left w:val="nil"/>
              <w:bottom w:val="single" w:sz="4" w:space="0" w:color="auto"/>
              <w:right w:val="single" w:sz="4" w:space="0" w:color="auto"/>
            </w:tcBorders>
            <w:shd w:val="clear" w:color="auto" w:fill="auto"/>
            <w:noWrap/>
            <w:vAlign w:val="bottom"/>
            <w:hideMark/>
          </w:tcPr>
          <w:p w14:paraId="754036B5"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3B7FA30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r>
      <w:tr w:rsidR="00586007" w:rsidRPr="00313AD3" w14:paraId="2AFA2F60"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3A6B147D"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Consorcios de la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38FDE098"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7E9DF13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0C3CE96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17D32DC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B90BDFC"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w:t>
            </w:r>
          </w:p>
        </w:tc>
        <w:tc>
          <w:tcPr>
            <w:tcW w:w="647" w:type="dxa"/>
            <w:tcBorders>
              <w:top w:val="nil"/>
              <w:left w:val="nil"/>
              <w:bottom w:val="single" w:sz="4" w:space="0" w:color="auto"/>
              <w:right w:val="single" w:sz="4" w:space="0" w:color="auto"/>
            </w:tcBorders>
            <w:shd w:val="clear" w:color="auto" w:fill="auto"/>
            <w:noWrap/>
            <w:vAlign w:val="bottom"/>
            <w:hideMark/>
          </w:tcPr>
          <w:p w14:paraId="1AD51BFB"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1,19%</w:t>
            </w:r>
          </w:p>
        </w:tc>
        <w:tc>
          <w:tcPr>
            <w:tcW w:w="487" w:type="dxa"/>
            <w:tcBorders>
              <w:top w:val="nil"/>
              <w:left w:val="nil"/>
              <w:bottom w:val="single" w:sz="4" w:space="0" w:color="auto"/>
              <w:right w:val="single" w:sz="4" w:space="0" w:color="auto"/>
            </w:tcBorders>
            <w:shd w:val="clear" w:color="auto" w:fill="auto"/>
            <w:noWrap/>
            <w:vAlign w:val="bottom"/>
            <w:hideMark/>
          </w:tcPr>
          <w:p w14:paraId="7C9F1ED5"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7F6EC97C"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0,44%</w:t>
            </w:r>
          </w:p>
        </w:tc>
        <w:tc>
          <w:tcPr>
            <w:tcW w:w="487" w:type="dxa"/>
            <w:tcBorders>
              <w:top w:val="nil"/>
              <w:left w:val="nil"/>
              <w:bottom w:val="single" w:sz="4" w:space="0" w:color="auto"/>
              <w:right w:val="single" w:sz="4" w:space="0" w:color="auto"/>
            </w:tcBorders>
            <w:shd w:val="clear" w:color="auto" w:fill="auto"/>
            <w:noWrap/>
            <w:vAlign w:val="bottom"/>
            <w:hideMark/>
          </w:tcPr>
          <w:p w14:paraId="5834A0D7"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w:t>
            </w:r>
          </w:p>
        </w:tc>
        <w:tc>
          <w:tcPr>
            <w:tcW w:w="647" w:type="dxa"/>
            <w:tcBorders>
              <w:top w:val="nil"/>
              <w:left w:val="nil"/>
              <w:bottom w:val="single" w:sz="4" w:space="0" w:color="auto"/>
              <w:right w:val="single" w:sz="4" w:space="0" w:color="auto"/>
            </w:tcBorders>
            <w:shd w:val="clear" w:color="auto" w:fill="auto"/>
            <w:noWrap/>
            <w:vAlign w:val="bottom"/>
            <w:hideMark/>
          </w:tcPr>
          <w:p w14:paraId="760B4F9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0,56%</w:t>
            </w:r>
          </w:p>
        </w:tc>
      </w:tr>
      <w:tr w:rsidR="00586007" w:rsidRPr="00313AD3" w14:paraId="6EDDC2F6"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5AF83ABC"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Corporación de derecho público</w:t>
            </w:r>
          </w:p>
        </w:tc>
        <w:tc>
          <w:tcPr>
            <w:tcW w:w="567" w:type="dxa"/>
            <w:tcBorders>
              <w:top w:val="nil"/>
              <w:left w:val="nil"/>
              <w:bottom w:val="single" w:sz="4" w:space="0" w:color="auto"/>
              <w:right w:val="single" w:sz="4" w:space="0" w:color="auto"/>
            </w:tcBorders>
            <w:shd w:val="clear" w:color="auto" w:fill="auto"/>
            <w:noWrap/>
            <w:vAlign w:val="bottom"/>
            <w:hideMark/>
          </w:tcPr>
          <w:p w14:paraId="7FF2155C"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52A6D2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47AB0979"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79754A8"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5397618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4</w:t>
            </w:r>
          </w:p>
        </w:tc>
        <w:tc>
          <w:tcPr>
            <w:tcW w:w="647" w:type="dxa"/>
            <w:tcBorders>
              <w:top w:val="nil"/>
              <w:left w:val="nil"/>
              <w:bottom w:val="single" w:sz="4" w:space="0" w:color="auto"/>
              <w:right w:val="single" w:sz="4" w:space="0" w:color="auto"/>
            </w:tcBorders>
            <w:shd w:val="clear" w:color="auto" w:fill="auto"/>
            <w:noWrap/>
            <w:vAlign w:val="bottom"/>
            <w:hideMark/>
          </w:tcPr>
          <w:p w14:paraId="7184A61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2,38%</w:t>
            </w:r>
          </w:p>
        </w:tc>
        <w:tc>
          <w:tcPr>
            <w:tcW w:w="487" w:type="dxa"/>
            <w:tcBorders>
              <w:top w:val="nil"/>
              <w:left w:val="nil"/>
              <w:bottom w:val="single" w:sz="4" w:space="0" w:color="auto"/>
              <w:right w:val="single" w:sz="4" w:space="0" w:color="auto"/>
            </w:tcBorders>
            <w:shd w:val="clear" w:color="auto" w:fill="auto"/>
            <w:noWrap/>
            <w:vAlign w:val="bottom"/>
            <w:hideMark/>
          </w:tcPr>
          <w:p w14:paraId="08E3E55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29E13A1B"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0,44%</w:t>
            </w:r>
          </w:p>
        </w:tc>
        <w:tc>
          <w:tcPr>
            <w:tcW w:w="487" w:type="dxa"/>
            <w:tcBorders>
              <w:top w:val="nil"/>
              <w:left w:val="nil"/>
              <w:bottom w:val="single" w:sz="4" w:space="0" w:color="auto"/>
              <w:right w:val="single" w:sz="4" w:space="0" w:color="auto"/>
            </w:tcBorders>
            <w:shd w:val="clear" w:color="auto" w:fill="auto"/>
            <w:noWrap/>
            <w:vAlign w:val="bottom"/>
            <w:hideMark/>
          </w:tcPr>
          <w:p w14:paraId="407EE3F1"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5EFB6EF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0,84%</w:t>
            </w:r>
          </w:p>
        </w:tc>
      </w:tr>
      <w:tr w:rsidR="00586007" w:rsidRPr="00313AD3" w14:paraId="5FC60166"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4C8D5C84"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Empresas contratistas de la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66230540"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88D4529"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0EA318B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21F86174"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50BF565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5761029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3FADBF76"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0796F2D4"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0,44%</w:t>
            </w:r>
          </w:p>
        </w:tc>
        <w:tc>
          <w:tcPr>
            <w:tcW w:w="487" w:type="dxa"/>
            <w:tcBorders>
              <w:top w:val="nil"/>
              <w:left w:val="nil"/>
              <w:bottom w:val="single" w:sz="4" w:space="0" w:color="auto"/>
              <w:right w:val="single" w:sz="4" w:space="0" w:color="auto"/>
            </w:tcBorders>
            <w:shd w:val="clear" w:color="auto" w:fill="auto"/>
            <w:noWrap/>
            <w:vAlign w:val="bottom"/>
            <w:hideMark/>
          </w:tcPr>
          <w:p w14:paraId="44EE6424"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8848A9B"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r>
      <w:tr w:rsidR="00586007" w:rsidRPr="00313AD3" w14:paraId="5F2EE453"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4A307C86"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Organismos autónomos de la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4125EBA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6CF6B98"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3E5F89F3"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723C000C"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02DAC539"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1DCCCEBC"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0,60%</w:t>
            </w:r>
          </w:p>
        </w:tc>
        <w:tc>
          <w:tcPr>
            <w:tcW w:w="487" w:type="dxa"/>
            <w:tcBorders>
              <w:top w:val="nil"/>
              <w:left w:val="nil"/>
              <w:bottom w:val="single" w:sz="4" w:space="0" w:color="auto"/>
              <w:right w:val="single" w:sz="4" w:space="0" w:color="auto"/>
            </w:tcBorders>
            <w:shd w:val="clear" w:color="auto" w:fill="auto"/>
            <w:noWrap/>
            <w:vAlign w:val="bottom"/>
            <w:hideMark/>
          </w:tcPr>
          <w:p w14:paraId="5523D086"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5A03876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0,44%</w:t>
            </w:r>
          </w:p>
        </w:tc>
        <w:tc>
          <w:tcPr>
            <w:tcW w:w="487" w:type="dxa"/>
            <w:tcBorders>
              <w:top w:val="nil"/>
              <w:left w:val="nil"/>
              <w:bottom w:val="single" w:sz="4" w:space="0" w:color="auto"/>
              <w:right w:val="single" w:sz="4" w:space="0" w:color="auto"/>
            </w:tcBorders>
            <w:shd w:val="clear" w:color="auto" w:fill="auto"/>
            <w:noWrap/>
            <w:vAlign w:val="bottom"/>
            <w:hideMark/>
          </w:tcPr>
          <w:p w14:paraId="546F9699"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57F14D4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0,28%</w:t>
            </w:r>
          </w:p>
        </w:tc>
      </w:tr>
      <w:tr w:rsidR="00586007" w:rsidRPr="00313AD3" w14:paraId="02C7112E"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24FA3931"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Sindicatos</w:t>
            </w:r>
          </w:p>
        </w:tc>
        <w:tc>
          <w:tcPr>
            <w:tcW w:w="567" w:type="dxa"/>
            <w:tcBorders>
              <w:top w:val="nil"/>
              <w:left w:val="nil"/>
              <w:bottom w:val="single" w:sz="4" w:space="0" w:color="auto"/>
              <w:right w:val="single" w:sz="4" w:space="0" w:color="auto"/>
            </w:tcBorders>
            <w:shd w:val="clear" w:color="auto" w:fill="auto"/>
            <w:noWrap/>
            <w:vAlign w:val="bottom"/>
            <w:hideMark/>
          </w:tcPr>
          <w:p w14:paraId="2E70DC00"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3AB4C59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440DFB2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769600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50952031"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400CE1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2DF03854"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73ADC9C7"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0,44%</w:t>
            </w:r>
          </w:p>
        </w:tc>
        <w:tc>
          <w:tcPr>
            <w:tcW w:w="487" w:type="dxa"/>
            <w:tcBorders>
              <w:top w:val="nil"/>
              <w:left w:val="nil"/>
              <w:bottom w:val="single" w:sz="4" w:space="0" w:color="auto"/>
              <w:right w:val="single" w:sz="4" w:space="0" w:color="auto"/>
            </w:tcBorders>
            <w:shd w:val="clear" w:color="auto" w:fill="auto"/>
            <w:noWrap/>
            <w:vAlign w:val="bottom"/>
            <w:hideMark/>
          </w:tcPr>
          <w:p w14:paraId="6D22BA45"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850E75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r>
      <w:tr w:rsidR="00586007" w:rsidRPr="00313AD3" w14:paraId="263D504A"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29EAC3C4"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Sociedades mercantiles de la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2E64F69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72540AA4"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D2919FC"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4CD69B4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6010F978"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63F4D49"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45849115"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09BEA8E0"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0,44%</w:t>
            </w:r>
          </w:p>
        </w:tc>
        <w:tc>
          <w:tcPr>
            <w:tcW w:w="487" w:type="dxa"/>
            <w:tcBorders>
              <w:top w:val="nil"/>
              <w:left w:val="nil"/>
              <w:bottom w:val="single" w:sz="4" w:space="0" w:color="auto"/>
              <w:right w:val="single" w:sz="4" w:space="0" w:color="auto"/>
            </w:tcBorders>
            <w:shd w:val="clear" w:color="auto" w:fill="auto"/>
            <w:noWrap/>
            <w:vAlign w:val="bottom"/>
            <w:hideMark/>
          </w:tcPr>
          <w:p w14:paraId="72614F78"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1A32B458"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r>
      <w:tr w:rsidR="00586007" w:rsidRPr="00313AD3" w14:paraId="28B35540"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193DE2D4"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Instituciones estatutarias</w:t>
            </w:r>
          </w:p>
        </w:tc>
        <w:tc>
          <w:tcPr>
            <w:tcW w:w="567" w:type="dxa"/>
            <w:tcBorders>
              <w:top w:val="nil"/>
              <w:left w:val="nil"/>
              <w:bottom w:val="single" w:sz="4" w:space="0" w:color="auto"/>
              <w:right w:val="single" w:sz="4" w:space="0" w:color="auto"/>
            </w:tcBorders>
            <w:shd w:val="clear" w:color="auto" w:fill="auto"/>
            <w:noWrap/>
            <w:vAlign w:val="bottom"/>
            <w:hideMark/>
          </w:tcPr>
          <w:p w14:paraId="76339E7A"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3553A8C1"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2,86%</w:t>
            </w:r>
          </w:p>
        </w:tc>
        <w:tc>
          <w:tcPr>
            <w:tcW w:w="487" w:type="dxa"/>
            <w:tcBorders>
              <w:top w:val="nil"/>
              <w:left w:val="nil"/>
              <w:bottom w:val="single" w:sz="4" w:space="0" w:color="auto"/>
              <w:right w:val="single" w:sz="4" w:space="0" w:color="auto"/>
            </w:tcBorders>
            <w:shd w:val="clear" w:color="auto" w:fill="auto"/>
            <w:noWrap/>
            <w:vAlign w:val="bottom"/>
            <w:hideMark/>
          </w:tcPr>
          <w:p w14:paraId="657DC675"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2533683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1,66%</w:t>
            </w:r>
          </w:p>
        </w:tc>
        <w:tc>
          <w:tcPr>
            <w:tcW w:w="487" w:type="dxa"/>
            <w:tcBorders>
              <w:top w:val="nil"/>
              <w:left w:val="nil"/>
              <w:bottom w:val="single" w:sz="4" w:space="0" w:color="auto"/>
              <w:right w:val="single" w:sz="4" w:space="0" w:color="auto"/>
            </w:tcBorders>
            <w:shd w:val="clear" w:color="auto" w:fill="auto"/>
            <w:noWrap/>
            <w:vAlign w:val="bottom"/>
            <w:hideMark/>
          </w:tcPr>
          <w:p w14:paraId="40330863"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0D58D18"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B927E01"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5DF8AD40"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281B612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3D6A0E4C"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0,28%</w:t>
            </w:r>
          </w:p>
        </w:tc>
      </w:tr>
      <w:tr w:rsidR="00586007" w:rsidRPr="00313AD3" w14:paraId="57F9FC64"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02DA3159"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Sector público Generalitat</w:t>
            </w:r>
          </w:p>
        </w:tc>
        <w:tc>
          <w:tcPr>
            <w:tcW w:w="567" w:type="dxa"/>
            <w:tcBorders>
              <w:top w:val="nil"/>
              <w:left w:val="nil"/>
              <w:bottom w:val="single" w:sz="4" w:space="0" w:color="auto"/>
              <w:right w:val="single" w:sz="4" w:space="0" w:color="auto"/>
            </w:tcBorders>
            <w:shd w:val="clear" w:color="auto" w:fill="auto"/>
            <w:noWrap/>
            <w:vAlign w:val="bottom"/>
            <w:hideMark/>
          </w:tcPr>
          <w:p w14:paraId="07A3E68C"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35D039B7"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042FC70"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9</w:t>
            </w:r>
          </w:p>
        </w:tc>
        <w:tc>
          <w:tcPr>
            <w:tcW w:w="647" w:type="dxa"/>
            <w:tcBorders>
              <w:top w:val="nil"/>
              <w:left w:val="nil"/>
              <w:bottom w:val="single" w:sz="4" w:space="0" w:color="auto"/>
              <w:right w:val="single" w:sz="4" w:space="0" w:color="auto"/>
            </w:tcBorders>
            <w:shd w:val="clear" w:color="auto" w:fill="auto"/>
            <w:noWrap/>
            <w:vAlign w:val="bottom"/>
            <w:hideMark/>
          </w:tcPr>
          <w:p w14:paraId="74DB0C8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4,97%</w:t>
            </w:r>
          </w:p>
        </w:tc>
        <w:tc>
          <w:tcPr>
            <w:tcW w:w="487" w:type="dxa"/>
            <w:tcBorders>
              <w:top w:val="nil"/>
              <w:left w:val="nil"/>
              <w:bottom w:val="single" w:sz="4" w:space="0" w:color="auto"/>
              <w:right w:val="single" w:sz="4" w:space="0" w:color="auto"/>
            </w:tcBorders>
            <w:shd w:val="clear" w:color="auto" w:fill="auto"/>
            <w:noWrap/>
            <w:vAlign w:val="bottom"/>
            <w:hideMark/>
          </w:tcPr>
          <w:p w14:paraId="127BBD6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3</w:t>
            </w:r>
          </w:p>
        </w:tc>
        <w:tc>
          <w:tcPr>
            <w:tcW w:w="647" w:type="dxa"/>
            <w:tcBorders>
              <w:top w:val="nil"/>
              <w:left w:val="nil"/>
              <w:bottom w:val="single" w:sz="4" w:space="0" w:color="auto"/>
              <w:right w:val="single" w:sz="4" w:space="0" w:color="auto"/>
            </w:tcBorders>
            <w:shd w:val="clear" w:color="auto" w:fill="auto"/>
            <w:noWrap/>
            <w:vAlign w:val="bottom"/>
            <w:hideMark/>
          </w:tcPr>
          <w:p w14:paraId="301EF583"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1,79%</w:t>
            </w:r>
          </w:p>
        </w:tc>
        <w:tc>
          <w:tcPr>
            <w:tcW w:w="487" w:type="dxa"/>
            <w:tcBorders>
              <w:top w:val="nil"/>
              <w:left w:val="nil"/>
              <w:bottom w:val="single" w:sz="4" w:space="0" w:color="auto"/>
              <w:right w:val="single" w:sz="4" w:space="0" w:color="auto"/>
            </w:tcBorders>
            <w:shd w:val="clear" w:color="auto" w:fill="auto"/>
            <w:noWrap/>
            <w:vAlign w:val="bottom"/>
            <w:hideMark/>
          </w:tcPr>
          <w:p w14:paraId="2EBD602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321FAA64"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03D88477"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245E7D4F"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0,28%</w:t>
            </w:r>
          </w:p>
        </w:tc>
      </w:tr>
      <w:tr w:rsidR="00586007" w:rsidRPr="00313AD3" w14:paraId="4FF8555A"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2C54671D"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Sector público provincial</w:t>
            </w:r>
          </w:p>
        </w:tc>
        <w:tc>
          <w:tcPr>
            <w:tcW w:w="567" w:type="dxa"/>
            <w:tcBorders>
              <w:top w:val="nil"/>
              <w:left w:val="nil"/>
              <w:bottom w:val="single" w:sz="4" w:space="0" w:color="auto"/>
              <w:right w:val="single" w:sz="4" w:space="0" w:color="auto"/>
            </w:tcBorders>
            <w:shd w:val="clear" w:color="auto" w:fill="auto"/>
            <w:noWrap/>
            <w:vAlign w:val="bottom"/>
            <w:hideMark/>
          </w:tcPr>
          <w:p w14:paraId="3D0494C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73CBAC6B"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67A26BD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5</w:t>
            </w:r>
          </w:p>
        </w:tc>
        <w:tc>
          <w:tcPr>
            <w:tcW w:w="647" w:type="dxa"/>
            <w:tcBorders>
              <w:top w:val="nil"/>
              <w:left w:val="nil"/>
              <w:bottom w:val="single" w:sz="4" w:space="0" w:color="auto"/>
              <w:right w:val="single" w:sz="4" w:space="0" w:color="auto"/>
            </w:tcBorders>
            <w:shd w:val="clear" w:color="auto" w:fill="auto"/>
            <w:noWrap/>
            <w:vAlign w:val="bottom"/>
            <w:hideMark/>
          </w:tcPr>
          <w:p w14:paraId="5D0F474E"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2,76%</w:t>
            </w:r>
          </w:p>
        </w:tc>
        <w:tc>
          <w:tcPr>
            <w:tcW w:w="487" w:type="dxa"/>
            <w:tcBorders>
              <w:top w:val="nil"/>
              <w:left w:val="nil"/>
              <w:bottom w:val="single" w:sz="4" w:space="0" w:color="auto"/>
              <w:right w:val="single" w:sz="4" w:space="0" w:color="auto"/>
            </w:tcBorders>
            <w:shd w:val="clear" w:color="auto" w:fill="auto"/>
            <w:noWrap/>
            <w:vAlign w:val="bottom"/>
            <w:hideMark/>
          </w:tcPr>
          <w:p w14:paraId="2E2F6A6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6C10EC6B"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604AB543"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2D18B6D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282C08D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3C5CD230"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r>
      <w:tr w:rsidR="00586007" w:rsidRPr="00313AD3" w14:paraId="691D6026"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04EF3657" w14:textId="77777777" w:rsidR="00586007" w:rsidRPr="00313AD3" w:rsidRDefault="00586007" w:rsidP="009F574A">
            <w:pPr>
              <w:spacing w:after="0" w:line="240" w:lineRule="auto"/>
              <w:rPr>
                <w:rFonts w:ascii="Arial" w:eastAsia="Times New Roman" w:hAnsi="Arial" w:cs="Arial"/>
                <w:color w:val="000000"/>
                <w:sz w:val="16"/>
                <w:szCs w:val="16"/>
                <w:lang w:eastAsia="es-ES"/>
              </w:rPr>
            </w:pPr>
            <w:r w:rsidRPr="00313AD3">
              <w:rPr>
                <w:rFonts w:ascii="Arial" w:eastAsia="Times New Roman" w:hAnsi="Arial" w:cs="Arial"/>
                <w:color w:val="000000"/>
                <w:sz w:val="16"/>
                <w:szCs w:val="16"/>
                <w:lang w:eastAsia="es-ES"/>
              </w:rPr>
              <w:t xml:space="preserve">Otros </w:t>
            </w:r>
          </w:p>
        </w:tc>
        <w:tc>
          <w:tcPr>
            <w:tcW w:w="567" w:type="dxa"/>
            <w:tcBorders>
              <w:top w:val="nil"/>
              <w:left w:val="nil"/>
              <w:bottom w:val="single" w:sz="4" w:space="0" w:color="auto"/>
              <w:right w:val="single" w:sz="4" w:space="0" w:color="auto"/>
            </w:tcBorders>
            <w:shd w:val="clear" w:color="auto" w:fill="auto"/>
            <w:noWrap/>
            <w:vAlign w:val="bottom"/>
            <w:hideMark/>
          </w:tcPr>
          <w:p w14:paraId="6804568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977AE31"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4F625608"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0A8B4EA5"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1D54CC56"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592FC227"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0,60%</w:t>
            </w:r>
          </w:p>
        </w:tc>
        <w:tc>
          <w:tcPr>
            <w:tcW w:w="487" w:type="dxa"/>
            <w:tcBorders>
              <w:top w:val="nil"/>
              <w:left w:val="nil"/>
              <w:bottom w:val="single" w:sz="4" w:space="0" w:color="auto"/>
              <w:right w:val="single" w:sz="4" w:space="0" w:color="auto"/>
            </w:tcBorders>
            <w:shd w:val="clear" w:color="auto" w:fill="auto"/>
            <w:noWrap/>
            <w:vAlign w:val="bottom"/>
            <w:hideMark/>
          </w:tcPr>
          <w:p w14:paraId="183833E1"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w:t>
            </w:r>
          </w:p>
        </w:tc>
        <w:tc>
          <w:tcPr>
            <w:tcW w:w="647" w:type="dxa"/>
            <w:tcBorders>
              <w:top w:val="nil"/>
              <w:left w:val="nil"/>
              <w:bottom w:val="single" w:sz="4" w:space="0" w:color="auto"/>
              <w:right w:val="single" w:sz="4" w:space="0" w:color="auto"/>
            </w:tcBorders>
            <w:shd w:val="clear" w:color="auto" w:fill="auto"/>
            <w:noWrap/>
            <w:vAlign w:val="bottom"/>
            <w:hideMark/>
          </w:tcPr>
          <w:p w14:paraId="3F2AECD2"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0,00%</w:t>
            </w:r>
          </w:p>
        </w:tc>
        <w:tc>
          <w:tcPr>
            <w:tcW w:w="487" w:type="dxa"/>
            <w:tcBorders>
              <w:top w:val="nil"/>
              <w:left w:val="nil"/>
              <w:bottom w:val="single" w:sz="4" w:space="0" w:color="auto"/>
              <w:right w:val="single" w:sz="4" w:space="0" w:color="auto"/>
            </w:tcBorders>
            <w:shd w:val="clear" w:color="auto" w:fill="auto"/>
            <w:noWrap/>
            <w:vAlign w:val="bottom"/>
            <w:hideMark/>
          </w:tcPr>
          <w:p w14:paraId="6CCC02F6"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1</w:t>
            </w:r>
          </w:p>
        </w:tc>
        <w:tc>
          <w:tcPr>
            <w:tcW w:w="647" w:type="dxa"/>
            <w:tcBorders>
              <w:top w:val="nil"/>
              <w:left w:val="nil"/>
              <w:bottom w:val="single" w:sz="4" w:space="0" w:color="auto"/>
              <w:right w:val="single" w:sz="4" w:space="0" w:color="auto"/>
            </w:tcBorders>
            <w:shd w:val="clear" w:color="auto" w:fill="auto"/>
            <w:noWrap/>
            <w:vAlign w:val="bottom"/>
            <w:hideMark/>
          </w:tcPr>
          <w:p w14:paraId="699A8CED" w14:textId="77777777" w:rsidR="00586007" w:rsidRPr="00313AD3" w:rsidRDefault="00586007" w:rsidP="009F574A">
            <w:pPr>
              <w:spacing w:after="0" w:line="240" w:lineRule="auto"/>
              <w:jc w:val="right"/>
              <w:rPr>
                <w:rFonts w:ascii="Arial" w:eastAsia="Times New Roman" w:hAnsi="Arial" w:cs="Arial"/>
                <w:color w:val="000000"/>
                <w:sz w:val="14"/>
                <w:szCs w:val="14"/>
                <w:lang w:eastAsia="es-ES"/>
              </w:rPr>
            </w:pPr>
            <w:r w:rsidRPr="00313AD3">
              <w:rPr>
                <w:rFonts w:ascii="Arial" w:eastAsia="Times New Roman" w:hAnsi="Arial" w:cs="Arial"/>
                <w:color w:val="000000"/>
                <w:sz w:val="14"/>
                <w:szCs w:val="14"/>
                <w:lang w:eastAsia="es-ES"/>
              </w:rPr>
              <w:t>0,28%</w:t>
            </w:r>
          </w:p>
        </w:tc>
      </w:tr>
      <w:tr w:rsidR="00586007" w:rsidRPr="00313AD3" w14:paraId="5DA03923" w14:textId="77777777" w:rsidTr="009F574A">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26FE7BE8" w14:textId="77777777" w:rsidR="00586007" w:rsidRPr="00313AD3" w:rsidRDefault="00586007" w:rsidP="009F574A">
            <w:pPr>
              <w:spacing w:after="0" w:line="240" w:lineRule="auto"/>
              <w:jc w:val="right"/>
              <w:rPr>
                <w:rFonts w:ascii="Arial" w:eastAsia="Times New Roman" w:hAnsi="Arial" w:cs="Arial"/>
                <w:b/>
                <w:bCs/>
                <w:color w:val="000000"/>
                <w:sz w:val="16"/>
                <w:szCs w:val="16"/>
                <w:lang w:eastAsia="es-ES"/>
              </w:rPr>
            </w:pPr>
            <w:r w:rsidRPr="00313AD3">
              <w:rPr>
                <w:rFonts w:ascii="Arial" w:eastAsia="Times New Roman" w:hAnsi="Arial" w:cs="Arial"/>
                <w:b/>
                <w:bCs/>
                <w:color w:val="000000"/>
                <w:sz w:val="16"/>
                <w:szCs w:val="16"/>
                <w:lang w:eastAsia="es-ES"/>
              </w:rPr>
              <w:t>TOTAL</w:t>
            </w:r>
          </w:p>
        </w:tc>
        <w:tc>
          <w:tcPr>
            <w:tcW w:w="567" w:type="dxa"/>
            <w:tcBorders>
              <w:top w:val="nil"/>
              <w:left w:val="nil"/>
              <w:bottom w:val="single" w:sz="4" w:space="0" w:color="auto"/>
              <w:right w:val="single" w:sz="4" w:space="0" w:color="auto"/>
            </w:tcBorders>
            <w:shd w:val="clear" w:color="auto" w:fill="auto"/>
            <w:noWrap/>
            <w:vAlign w:val="bottom"/>
            <w:hideMark/>
          </w:tcPr>
          <w:p w14:paraId="0BE42E8E" w14:textId="77777777" w:rsidR="00586007" w:rsidRPr="00313AD3" w:rsidRDefault="00586007" w:rsidP="009F574A">
            <w:pPr>
              <w:spacing w:after="0" w:line="240" w:lineRule="auto"/>
              <w:jc w:val="right"/>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35</w:t>
            </w:r>
          </w:p>
        </w:tc>
        <w:tc>
          <w:tcPr>
            <w:tcW w:w="647" w:type="dxa"/>
            <w:tcBorders>
              <w:top w:val="nil"/>
              <w:left w:val="nil"/>
              <w:bottom w:val="single" w:sz="4" w:space="0" w:color="auto"/>
              <w:right w:val="single" w:sz="4" w:space="0" w:color="auto"/>
            </w:tcBorders>
            <w:shd w:val="clear" w:color="auto" w:fill="auto"/>
            <w:noWrap/>
            <w:vAlign w:val="bottom"/>
            <w:hideMark/>
          </w:tcPr>
          <w:p w14:paraId="4BDAA4B3" w14:textId="77777777" w:rsidR="00586007" w:rsidRPr="00313AD3" w:rsidRDefault="00586007" w:rsidP="009F574A">
            <w:pPr>
              <w:spacing w:after="0" w:line="240" w:lineRule="auto"/>
              <w:ind w:left="-70"/>
              <w:jc w:val="right"/>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100,00%</w:t>
            </w:r>
          </w:p>
        </w:tc>
        <w:tc>
          <w:tcPr>
            <w:tcW w:w="487" w:type="dxa"/>
            <w:tcBorders>
              <w:top w:val="nil"/>
              <w:left w:val="nil"/>
              <w:bottom w:val="single" w:sz="4" w:space="0" w:color="auto"/>
              <w:right w:val="single" w:sz="4" w:space="0" w:color="auto"/>
            </w:tcBorders>
            <w:shd w:val="clear" w:color="auto" w:fill="auto"/>
            <w:noWrap/>
            <w:vAlign w:val="bottom"/>
            <w:hideMark/>
          </w:tcPr>
          <w:p w14:paraId="1DED39D3" w14:textId="77777777" w:rsidR="00586007" w:rsidRPr="00313AD3" w:rsidRDefault="00586007" w:rsidP="009F574A">
            <w:pPr>
              <w:spacing w:after="0" w:line="240" w:lineRule="auto"/>
              <w:jc w:val="right"/>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181</w:t>
            </w:r>
          </w:p>
        </w:tc>
        <w:tc>
          <w:tcPr>
            <w:tcW w:w="647" w:type="dxa"/>
            <w:tcBorders>
              <w:top w:val="nil"/>
              <w:left w:val="nil"/>
              <w:bottom w:val="single" w:sz="4" w:space="0" w:color="auto"/>
              <w:right w:val="single" w:sz="4" w:space="0" w:color="auto"/>
            </w:tcBorders>
            <w:shd w:val="clear" w:color="auto" w:fill="auto"/>
            <w:noWrap/>
            <w:vAlign w:val="bottom"/>
            <w:hideMark/>
          </w:tcPr>
          <w:p w14:paraId="30D0227A" w14:textId="77777777" w:rsidR="00586007" w:rsidRPr="00313AD3" w:rsidRDefault="00586007" w:rsidP="009F574A">
            <w:pPr>
              <w:spacing w:after="0" w:line="240" w:lineRule="auto"/>
              <w:ind w:left="-76"/>
              <w:jc w:val="right"/>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100,00%</w:t>
            </w:r>
          </w:p>
        </w:tc>
        <w:tc>
          <w:tcPr>
            <w:tcW w:w="487" w:type="dxa"/>
            <w:tcBorders>
              <w:top w:val="nil"/>
              <w:left w:val="nil"/>
              <w:bottom w:val="single" w:sz="4" w:space="0" w:color="auto"/>
              <w:right w:val="single" w:sz="4" w:space="0" w:color="auto"/>
            </w:tcBorders>
            <w:shd w:val="clear" w:color="auto" w:fill="auto"/>
            <w:noWrap/>
            <w:vAlign w:val="bottom"/>
            <w:hideMark/>
          </w:tcPr>
          <w:p w14:paraId="3BC77F75" w14:textId="77777777" w:rsidR="00586007" w:rsidRPr="00313AD3" w:rsidRDefault="00586007" w:rsidP="009F574A">
            <w:pPr>
              <w:spacing w:after="0" w:line="240" w:lineRule="auto"/>
              <w:jc w:val="right"/>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168</w:t>
            </w:r>
          </w:p>
        </w:tc>
        <w:tc>
          <w:tcPr>
            <w:tcW w:w="647" w:type="dxa"/>
            <w:tcBorders>
              <w:top w:val="nil"/>
              <w:left w:val="nil"/>
              <w:bottom w:val="single" w:sz="4" w:space="0" w:color="auto"/>
              <w:right w:val="single" w:sz="4" w:space="0" w:color="auto"/>
            </w:tcBorders>
            <w:shd w:val="clear" w:color="auto" w:fill="auto"/>
            <w:noWrap/>
            <w:vAlign w:val="bottom"/>
            <w:hideMark/>
          </w:tcPr>
          <w:p w14:paraId="6F717CE0" w14:textId="77777777" w:rsidR="00586007" w:rsidRPr="00313AD3" w:rsidRDefault="00586007" w:rsidP="009F574A">
            <w:pPr>
              <w:spacing w:after="0" w:line="240" w:lineRule="auto"/>
              <w:ind w:left="-67"/>
              <w:jc w:val="right"/>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100,00%</w:t>
            </w:r>
          </w:p>
        </w:tc>
        <w:tc>
          <w:tcPr>
            <w:tcW w:w="487" w:type="dxa"/>
            <w:tcBorders>
              <w:top w:val="nil"/>
              <w:left w:val="nil"/>
              <w:bottom w:val="single" w:sz="4" w:space="0" w:color="auto"/>
              <w:right w:val="single" w:sz="4" w:space="0" w:color="auto"/>
            </w:tcBorders>
            <w:shd w:val="clear" w:color="auto" w:fill="auto"/>
            <w:noWrap/>
            <w:vAlign w:val="bottom"/>
            <w:hideMark/>
          </w:tcPr>
          <w:p w14:paraId="6FD08140" w14:textId="77777777" w:rsidR="00586007" w:rsidRPr="00313AD3" w:rsidRDefault="00586007" w:rsidP="009F574A">
            <w:pPr>
              <w:spacing w:after="0" w:line="240" w:lineRule="auto"/>
              <w:jc w:val="right"/>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226</w:t>
            </w:r>
          </w:p>
        </w:tc>
        <w:tc>
          <w:tcPr>
            <w:tcW w:w="647" w:type="dxa"/>
            <w:tcBorders>
              <w:top w:val="nil"/>
              <w:left w:val="nil"/>
              <w:bottom w:val="single" w:sz="4" w:space="0" w:color="auto"/>
              <w:right w:val="single" w:sz="4" w:space="0" w:color="auto"/>
            </w:tcBorders>
            <w:shd w:val="clear" w:color="auto" w:fill="auto"/>
            <w:noWrap/>
            <w:vAlign w:val="bottom"/>
            <w:hideMark/>
          </w:tcPr>
          <w:p w14:paraId="2CFB7966" w14:textId="77777777" w:rsidR="00586007" w:rsidRPr="00313AD3" w:rsidRDefault="00586007" w:rsidP="009F574A">
            <w:pPr>
              <w:spacing w:after="0" w:line="240" w:lineRule="auto"/>
              <w:ind w:left="-73"/>
              <w:jc w:val="right"/>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100,00%</w:t>
            </w:r>
          </w:p>
        </w:tc>
        <w:tc>
          <w:tcPr>
            <w:tcW w:w="487" w:type="dxa"/>
            <w:tcBorders>
              <w:top w:val="nil"/>
              <w:left w:val="nil"/>
              <w:bottom w:val="single" w:sz="4" w:space="0" w:color="auto"/>
              <w:right w:val="single" w:sz="4" w:space="0" w:color="auto"/>
            </w:tcBorders>
            <w:shd w:val="clear" w:color="auto" w:fill="auto"/>
            <w:noWrap/>
            <w:vAlign w:val="bottom"/>
            <w:hideMark/>
          </w:tcPr>
          <w:p w14:paraId="466D0F5A" w14:textId="77777777" w:rsidR="00586007" w:rsidRPr="00313AD3" w:rsidRDefault="00586007" w:rsidP="009F574A">
            <w:pPr>
              <w:spacing w:after="0" w:line="240" w:lineRule="auto"/>
              <w:jc w:val="right"/>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359</w:t>
            </w:r>
          </w:p>
        </w:tc>
        <w:tc>
          <w:tcPr>
            <w:tcW w:w="647" w:type="dxa"/>
            <w:tcBorders>
              <w:top w:val="nil"/>
              <w:left w:val="nil"/>
              <w:bottom w:val="single" w:sz="4" w:space="0" w:color="auto"/>
              <w:right w:val="single" w:sz="4" w:space="0" w:color="auto"/>
            </w:tcBorders>
            <w:shd w:val="clear" w:color="auto" w:fill="auto"/>
            <w:noWrap/>
            <w:vAlign w:val="bottom"/>
            <w:hideMark/>
          </w:tcPr>
          <w:p w14:paraId="60F2CC9B" w14:textId="77777777" w:rsidR="00586007" w:rsidRPr="00313AD3" w:rsidRDefault="00586007" w:rsidP="009F574A">
            <w:pPr>
              <w:spacing w:after="0" w:line="240" w:lineRule="auto"/>
              <w:ind w:left="-64"/>
              <w:jc w:val="right"/>
              <w:rPr>
                <w:rFonts w:ascii="Arial" w:eastAsia="Times New Roman" w:hAnsi="Arial" w:cs="Arial"/>
                <w:b/>
                <w:bCs/>
                <w:color w:val="000000"/>
                <w:sz w:val="14"/>
                <w:szCs w:val="14"/>
                <w:lang w:eastAsia="es-ES"/>
              </w:rPr>
            </w:pPr>
            <w:r w:rsidRPr="00313AD3">
              <w:rPr>
                <w:rFonts w:ascii="Arial" w:eastAsia="Times New Roman" w:hAnsi="Arial" w:cs="Arial"/>
                <w:b/>
                <w:bCs/>
                <w:color w:val="000000"/>
                <w:sz w:val="14"/>
                <w:szCs w:val="14"/>
                <w:lang w:eastAsia="es-ES"/>
              </w:rPr>
              <w:t>100,00%</w:t>
            </w:r>
          </w:p>
        </w:tc>
      </w:tr>
    </w:tbl>
    <w:p w14:paraId="66BCE3F5" w14:textId="77777777" w:rsidR="00586007" w:rsidRDefault="00586007" w:rsidP="00586007"/>
    <w:p w14:paraId="77820B96" w14:textId="77777777" w:rsidR="00586007" w:rsidRDefault="00586007" w:rsidP="00586007">
      <w:pPr>
        <w:keepNext/>
        <w:spacing w:after="120" w:line="276" w:lineRule="auto"/>
        <w:jc w:val="both"/>
      </w:pPr>
      <w:r w:rsidRPr="00DF08F8">
        <w:rPr>
          <w:rFonts w:ascii="Arial" w:eastAsia="Times New Roman" w:hAnsi="Arial" w:cs="Arial"/>
          <w:noProof/>
          <w:color w:val="000000"/>
          <w:sz w:val="21"/>
          <w:szCs w:val="21"/>
          <w:lang w:eastAsia="es-ES"/>
        </w:rPr>
        <w:drawing>
          <wp:inline distT="0" distB="0" distL="0" distR="0" wp14:anchorId="7DC7CCF4" wp14:editId="750EAE7D">
            <wp:extent cx="5389236" cy="3657600"/>
            <wp:effectExtent l="0" t="0" r="2540" b="6350"/>
            <wp:docPr id="64" name="Imagen 64"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Gráfico, Gráfico de barras&#10;&#10;Descripción generada automáticamente"/>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389236" cy="3657600"/>
                    </a:xfrm>
                    <a:prstGeom prst="rect">
                      <a:avLst/>
                    </a:prstGeom>
                    <a:noFill/>
                  </pic:spPr>
                </pic:pic>
              </a:graphicData>
            </a:graphic>
          </wp:inline>
        </w:drawing>
      </w:r>
    </w:p>
    <w:p w14:paraId="530374AC" w14:textId="5DC837AD" w:rsidR="00586007" w:rsidRPr="00DF08F8" w:rsidRDefault="00586007" w:rsidP="00586007">
      <w:pPr>
        <w:pStyle w:val="Descripcin"/>
        <w:jc w:val="center"/>
        <w:rPr>
          <w:rFonts w:ascii="Arial" w:eastAsia="Times New Roman" w:hAnsi="Arial" w:cs="Arial"/>
          <w:smallCaps w:val="0"/>
          <w:color w:val="000000"/>
          <w:sz w:val="18"/>
          <w:szCs w:val="18"/>
          <w:lang w:eastAsia="es-ES"/>
        </w:rPr>
      </w:pPr>
      <w:bookmarkStart w:id="142" w:name="_Toc95676845"/>
      <w:bookmarkStart w:id="143" w:name="_Toc99099813"/>
      <w:r w:rsidRPr="00214E1D">
        <w:rPr>
          <w:rFonts w:ascii="Arial" w:hAnsi="Arial" w:cs="Arial"/>
          <w:smallCaps w:val="0"/>
          <w:color w:val="9D2235" w:themeColor="accent1"/>
          <w:sz w:val="18"/>
          <w:szCs w:val="18"/>
        </w:rPr>
        <w:t xml:space="preserve">Gráfico </w:t>
      </w:r>
      <w:r w:rsidRPr="00214E1D">
        <w:rPr>
          <w:rFonts w:ascii="Arial" w:hAnsi="Arial" w:cs="Arial"/>
          <w:smallCaps w:val="0"/>
          <w:color w:val="9D2235" w:themeColor="accent1"/>
          <w:sz w:val="18"/>
          <w:szCs w:val="18"/>
        </w:rPr>
        <w:fldChar w:fldCharType="begin" w:fldLock="1"/>
      </w:r>
      <w:r w:rsidRPr="00214E1D">
        <w:rPr>
          <w:rFonts w:ascii="Arial" w:hAnsi="Arial" w:cs="Arial"/>
          <w:smallCaps w:val="0"/>
          <w:color w:val="9D2235" w:themeColor="accent1"/>
          <w:sz w:val="18"/>
          <w:szCs w:val="18"/>
        </w:rPr>
        <w:instrText xml:space="preserve"> SEQ Gráfico \* ARABIC </w:instrText>
      </w:r>
      <w:r w:rsidRPr="00214E1D">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14</w:t>
      </w:r>
      <w:r w:rsidRPr="00214E1D">
        <w:rPr>
          <w:rFonts w:ascii="Arial" w:hAnsi="Arial" w:cs="Arial"/>
          <w:smallCaps w:val="0"/>
          <w:color w:val="9D2235" w:themeColor="accent1"/>
          <w:sz w:val="18"/>
          <w:szCs w:val="18"/>
        </w:rPr>
        <w:fldChar w:fldCharType="end"/>
      </w:r>
      <w:r w:rsidRPr="00214E1D">
        <w:rPr>
          <w:rFonts w:ascii="Arial" w:hAnsi="Arial" w:cs="Arial"/>
          <w:smallCaps w:val="0"/>
          <w:color w:val="9D2235" w:themeColor="accent1"/>
          <w:sz w:val="18"/>
          <w:szCs w:val="18"/>
        </w:rPr>
        <w:t xml:space="preserve">. </w:t>
      </w:r>
      <w:r w:rsidRPr="00214E1D">
        <w:rPr>
          <w:rFonts w:ascii="Arial" w:hAnsi="Arial" w:cs="Arial"/>
          <w:smallCaps w:val="0"/>
          <w:sz w:val="18"/>
          <w:szCs w:val="18"/>
        </w:rPr>
        <w:t>Denuncias presentadas por ámbito subjetivo</w:t>
      </w:r>
      <w:bookmarkEnd w:id="142"/>
      <w:bookmarkEnd w:id="143"/>
    </w:p>
    <w:p w14:paraId="6FE3E09F" w14:textId="469FDC00" w:rsidR="00586007" w:rsidRPr="00DF08F8" w:rsidRDefault="00586007" w:rsidP="00586007">
      <w:pPr>
        <w:spacing w:after="240" w:line="276" w:lineRule="auto"/>
        <w:jc w:val="both"/>
        <w:rPr>
          <w:rFonts w:ascii="Arial" w:eastAsia="Times New Roman" w:hAnsi="Arial" w:cs="Arial"/>
          <w:color w:val="000000"/>
          <w:sz w:val="21"/>
          <w:szCs w:val="21"/>
          <w:lang w:eastAsia="es-ES"/>
        </w:rPr>
      </w:pPr>
      <w:r w:rsidRPr="00DF08F8">
        <w:rPr>
          <w:rFonts w:ascii="Arial" w:eastAsia="Times New Roman" w:hAnsi="Arial" w:cs="Arial"/>
          <w:color w:val="000000"/>
          <w:sz w:val="21"/>
          <w:szCs w:val="21"/>
          <w:lang w:eastAsia="es-ES"/>
        </w:rPr>
        <w:t>La distribución de los datos en la anterior tabla</w:t>
      </w:r>
      <w:r>
        <w:rPr>
          <w:rFonts w:ascii="Arial" w:eastAsia="Times New Roman" w:hAnsi="Arial" w:cs="Arial"/>
          <w:color w:val="000000"/>
          <w:sz w:val="21"/>
          <w:szCs w:val="21"/>
          <w:lang w:eastAsia="es-ES"/>
        </w:rPr>
        <w:t>,</w:t>
      </w:r>
      <w:r w:rsidRPr="00DF08F8">
        <w:rPr>
          <w:rFonts w:ascii="Arial" w:eastAsia="Times New Roman" w:hAnsi="Arial" w:cs="Arial"/>
          <w:color w:val="000000"/>
          <w:sz w:val="21"/>
          <w:szCs w:val="21"/>
          <w:lang w:eastAsia="es-ES"/>
        </w:rPr>
        <w:t xml:space="preserve"> indica que se ha mantenido la línea predominante en la entrada de denuncias en la Agencia desde su creación y puesta en funcionamiento en la anualidad 2017, siendo las administraciones de carácter municipal, incluyendo las entidades correspondientes a su sector público, las que reciben un mayor número de denuncias, aglutinando una media del 67,13 % del volumen total de denuncias en 2021. En segundo lugar, la administración de la Generalitat Valenciana acumula un 15,32% del volumen de entrada total de denuncias en la Agencia. La parte restante corresponde a diversas entidades como se ha refleja en la tabla precedente.</w:t>
      </w:r>
    </w:p>
    <w:p w14:paraId="5E0CA391" w14:textId="458A813C" w:rsidR="00483E19" w:rsidRDefault="00DF08F8" w:rsidP="00AC1A12">
      <w:pPr>
        <w:pStyle w:val="Prrafodelista"/>
        <w:keepNext/>
        <w:numPr>
          <w:ilvl w:val="2"/>
          <w:numId w:val="17"/>
        </w:numPr>
        <w:spacing w:before="360" w:after="240" w:line="276" w:lineRule="auto"/>
        <w:ind w:left="426" w:hanging="505"/>
        <w:jc w:val="both"/>
        <w:outlineLvl w:val="2"/>
        <w:rPr>
          <w:rFonts w:ascii="Arial" w:eastAsia="Times New Roman" w:hAnsi="Arial" w:cs="Arial"/>
          <w:b/>
          <w:bCs/>
          <w:color w:val="9D2235" w:themeColor="accent1"/>
          <w:sz w:val="28"/>
          <w:szCs w:val="28"/>
          <w:lang w:eastAsia="es-ES"/>
        </w:rPr>
      </w:pPr>
      <w:bookmarkStart w:id="144" w:name="_Toc99107011"/>
      <w:bookmarkEnd w:id="139"/>
      <w:r>
        <w:rPr>
          <w:rFonts w:ascii="Arial" w:eastAsia="Times New Roman" w:hAnsi="Arial" w:cs="Arial"/>
          <w:b/>
          <w:bCs/>
          <w:color w:val="9D2235" w:themeColor="accent1"/>
          <w:sz w:val="28"/>
          <w:szCs w:val="28"/>
          <w:lang w:eastAsia="es-ES"/>
        </w:rPr>
        <w:t>Denuncias</w:t>
      </w:r>
      <w:r w:rsidR="009D6E85">
        <w:rPr>
          <w:rFonts w:ascii="Arial" w:eastAsia="Times New Roman" w:hAnsi="Arial" w:cs="Arial"/>
          <w:b/>
          <w:bCs/>
          <w:color w:val="9D2235" w:themeColor="accent1"/>
          <w:sz w:val="28"/>
          <w:szCs w:val="28"/>
          <w:lang w:eastAsia="es-ES"/>
        </w:rPr>
        <w:t xml:space="preserve"> presentadas según el canal de comunicación</w:t>
      </w:r>
      <w:bookmarkEnd w:id="144"/>
    </w:p>
    <w:p w14:paraId="6C041655" w14:textId="77777777" w:rsidR="00B8364E" w:rsidRPr="009D6E85" w:rsidRDefault="00B8364E" w:rsidP="00B8364E">
      <w:pPr>
        <w:spacing w:after="240" w:line="276" w:lineRule="auto"/>
        <w:jc w:val="both"/>
        <w:rPr>
          <w:rFonts w:ascii="Arial" w:eastAsia="Times New Roman" w:hAnsi="Arial" w:cs="Arial"/>
          <w:sz w:val="21"/>
          <w:szCs w:val="21"/>
          <w:lang w:eastAsia="es-ES"/>
        </w:rPr>
      </w:pPr>
      <w:bookmarkStart w:id="145" w:name="_Hlk95472655"/>
      <w:r w:rsidRPr="009D6E85">
        <w:rPr>
          <w:rFonts w:ascii="Arial" w:eastAsia="Times New Roman" w:hAnsi="Arial" w:cs="Arial"/>
          <w:sz w:val="21"/>
          <w:szCs w:val="21"/>
          <w:lang w:eastAsia="es-ES"/>
        </w:rPr>
        <w:t xml:space="preserve">Contempla la clasificación de las denuncias presentadas en base al canal de comunicación empleado para poner los hechos en conocimiento de la AVAF. </w:t>
      </w:r>
    </w:p>
    <w:p w14:paraId="73D9AC18" w14:textId="77777777" w:rsidR="00B8364E" w:rsidRPr="009D6E85" w:rsidRDefault="00B8364E" w:rsidP="00B8364E">
      <w:pPr>
        <w:spacing w:after="240" w:line="276" w:lineRule="auto"/>
        <w:jc w:val="both"/>
        <w:rPr>
          <w:rFonts w:ascii="Arial" w:eastAsia="Times New Roman" w:hAnsi="Arial" w:cs="Arial"/>
          <w:sz w:val="21"/>
          <w:szCs w:val="21"/>
          <w:lang w:eastAsia="es-ES"/>
        </w:rPr>
      </w:pPr>
      <w:r w:rsidRPr="009D6E85">
        <w:rPr>
          <w:rFonts w:ascii="Arial" w:eastAsia="Times New Roman" w:hAnsi="Arial" w:cs="Arial"/>
          <w:sz w:val="21"/>
          <w:szCs w:val="21"/>
          <w:lang w:eastAsia="es-ES"/>
        </w:rPr>
        <w:t>Debe resaltarse que la Agencia dispone de procedimientos y canales para la formulación de denuncias que garanticen la estricta confidencialidad, especialmente cuando el denunciante invoque la aplicación del estatuto de protección. Estos procedimientos y canales confidenciales podrán ser también utilizados por los que ya hayan actuado como denunciantes</w:t>
      </w:r>
      <w:r>
        <w:rPr>
          <w:rFonts w:ascii="Arial" w:eastAsia="Times New Roman" w:hAnsi="Arial" w:cs="Arial"/>
          <w:sz w:val="21"/>
          <w:szCs w:val="21"/>
          <w:lang w:eastAsia="es-ES"/>
        </w:rPr>
        <w:t>,</w:t>
      </w:r>
      <w:r w:rsidRPr="009D6E85">
        <w:rPr>
          <w:rFonts w:ascii="Arial" w:eastAsia="Times New Roman" w:hAnsi="Arial" w:cs="Arial"/>
          <w:sz w:val="21"/>
          <w:szCs w:val="21"/>
          <w:lang w:eastAsia="es-ES"/>
        </w:rPr>
        <w:t xml:space="preserve"> para comunicar represalias u otras actuaciones lesivas derivadas de la presentación de la denuncia.</w:t>
      </w:r>
    </w:p>
    <w:p w14:paraId="00AC003F" w14:textId="77777777" w:rsidR="00B8364E" w:rsidRPr="009D6E85" w:rsidRDefault="00B8364E" w:rsidP="00B8364E">
      <w:pPr>
        <w:spacing w:after="240" w:line="276" w:lineRule="auto"/>
        <w:jc w:val="both"/>
        <w:rPr>
          <w:rFonts w:ascii="Arial" w:eastAsia="Times New Roman" w:hAnsi="Arial" w:cs="Arial"/>
          <w:sz w:val="21"/>
          <w:szCs w:val="21"/>
          <w:lang w:eastAsia="es-ES"/>
        </w:rPr>
      </w:pPr>
      <w:r w:rsidRPr="009D6E85">
        <w:rPr>
          <w:rFonts w:ascii="Arial" w:eastAsia="Times New Roman" w:hAnsi="Arial" w:cs="Arial"/>
          <w:sz w:val="21"/>
          <w:szCs w:val="21"/>
          <w:lang w:eastAsia="es-ES"/>
        </w:rPr>
        <w:t>Cualquier persona</w:t>
      </w:r>
      <w:r>
        <w:rPr>
          <w:rFonts w:ascii="Arial" w:eastAsia="Times New Roman" w:hAnsi="Arial" w:cs="Arial"/>
          <w:sz w:val="21"/>
          <w:szCs w:val="21"/>
          <w:lang w:eastAsia="es-ES"/>
        </w:rPr>
        <w:t>,</w:t>
      </w:r>
      <w:r w:rsidRPr="009D6E85">
        <w:rPr>
          <w:rFonts w:ascii="Arial" w:eastAsia="Times New Roman" w:hAnsi="Arial" w:cs="Arial"/>
          <w:sz w:val="21"/>
          <w:szCs w:val="21"/>
          <w:lang w:eastAsia="es-ES"/>
        </w:rPr>
        <w:t xml:space="preserve"> puede dirigirse a la Agencia para comunicar conductas que puedan ser susceptibles de ser investigadas o inspeccionadas por esta, y la Agencia acusará recepción del escrito recibido. La persona informadora puede solicitar que se garantice la confidencialidad sobre su identidad, y el personal de la Agencia está obligado a mantenerla, con la única excepción del requerimiento judicial.</w:t>
      </w:r>
    </w:p>
    <w:p w14:paraId="6192172C" w14:textId="77777777" w:rsidR="00B8364E" w:rsidRPr="009D6E85" w:rsidRDefault="00B8364E" w:rsidP="00B8364E">
      <w:pPr>
        <w:spacing w:after="240" w:line="276" w:lineRule="auto"/>
        <w:jc w:val="both"/>
        <w:rPr>
          <w:rFonts w:ascii="Arial" w:eastAsia="Times New Roman" w:hAnsi="Arial" w:cs="Arial"/>
          <w:sz w:val="21"/>
          <w:szCs w:val="21"/>
          <w:lang w:eastAsia="es-ES"/>
        </w:rPr>
      </w:pPr>
      <w:r w:rsidRPr="009D6E85">
        <w:rPr>
          <w:rFonts w:ascii="Arial" w:eastAsia="Times New Roman" w:hAnsi="Arial" w:cs="Arial"/>
          <w:sz w:val="21"/>
          <w:szCs w:val="21"/>
          <w:lang w:eastAsia="es-ES"/>
        </w:rPr>
        <w:t>La reglamentación relativa a la configuración de los canales de entrada de denuncias y comunicaciones</w:t>
      </w:r>
      <w:r>
        <w:rPr>
          <w:rFonts w:ascii="Arial" w:eastAsia="Times New Roman" w:hAnsi="Arial" w:cs="Arial"/>
          <w:sz w:val="21"/>
          <w:szCs w:val="21"/>
          <w:lang w:eastAsia="es-ES"/>
        </w:rPr>
        <w:t>,</w:t>
      </w:r>
      <w:r w:rsidRPr="009D6E85">
        <w:rPr>
          <w:rFonts w:ascii="Arial" w:eastAsia="Times New Roman" w:hAnsi="Arial" w:cs="Arial"/>
          <w:sz w:val="21"/>
          <w:szCs w:val="21"/>
          <w:lang w:eastAsia="es-ES"/>
        </w:rPr>
        <w:t xml:space="preserve"> se completa con lo establecido en la Resolución de 27 de junio de 2019, del director de la Agencia de Prevención y Lucha contra el Fraude y la Corrupción de la Comunitat Valenciana, por la que se aprueba Reglamento de funcionamiento y régimen interior de esta, en desarrollo de la Ley 11/2016, de 28 de noviembre, de la Generalitat, en la que se indica que se admiten las denuncias y comunicaciones, tanto nominales como anónimas, pudiendo realizarse con plenas garantías de anonimato mediante el buzón de denuncias electrónico disponible en la página web de la Agencia, </w:t>
      </w:r>
      <w:hyperlink r:id="rId402" w:history="1">
        <w:r w:rsidRPr="009D6E85">
          <w:rPr>
            <w:rStyle w:val="Hipervnculo"/>
            <w:rFonts w:ascii="Arial" w:eastAsia="Times New Roman" w:hAnsi="Arial" w:cs="Arial"/>
            <w:sz w:val="21"/>
            <w:szCs w:val="21"/>
            <w:lang w:eastAsia="es-ES"/>
          </w:rPr>
          <w:t>https://www.antifraucv.es/denuncia/bustia-de-denuncies/</w:t>
        </w:r>
      </w:hyperlink>
      <w:r w:rsidRPr="009D6E85">
        <w:rPr>
          <w:rFonts w:ascii="Arial" w:eastAsia="Times New Roman" w:hAnsi="Arial" w:cs="Arial"/>
          <w:sz w:val="21"/>
          <w:szCs w:val="21"/>
          <w:lang w:eastAsia="es-ES"/>
        </w:rPr>
        <w:t>.</w:t>
      </w:r>
    </w:p>
    <w:p w14:paraId="3C8FEC38" w14:textId="77777777" w:rsidR="00B8364E" w:rsidRPr="009D6E85" w:rsidRDefault="00B8364E" w:rsidP="00B8364E">
      <w:pPr>
        <w:spacing w:after="240" w:line="276" w:lineRule="auto"/>
        <w:jc w:val="both"/>
        <w:rPr>
          <w:rFonts w:ascii="Arial" w:eastAsia="Times New Roman" w:hAnsi="Arial" w:cs="Arial"/>
          <w:sz w:val="21"/>
          <w:szCs w:val="21"/>
          <w:lang w:eastAsia="es-ES"/>
        </w:rPr>
      </w:pPr>
      <w:r w:rsidRPr="009D6E85">
        <w:rPr>
          <w:rFonts w:ascii="Arial" w:eastAsia="Times New Roman" w:hAnsi="Arial" w:cs="Arial"/>
          <w:sz w:val="21"/>
          <w:szCs w:val="21"/>
          <w:lang w:eastAsia="es-ES"/>
        </w:rPr>
        <w:t>Dicho canal de denuncias, regulado en la Resolución de 25 de abril de 2018, del director de la Agencia de Prevención y Lucha contra el Fraude y la Corrupción de la Comunitat Valenciana, por la que se crea el Buzón de Denuncias de la Agencia y se regula su funcionamiento, opera asimismo como oficina virtual del personal empleado público</w:t>
      </w:r>
      <w:r>
        <w:rPr>
          <w:rFonts w:ascii="Arial" w:eastAsia="Times New Roman" w:hAnsi="Arial" w:cs="Arial"/>
          <w:sz w:val="21"/>
          <w:szCs w:val="21"/>
          <w:lang w:eastAsia="es-ES"/>
        </w:rPr>
        <w:t>,</w:t>
      </w:r>
      <w:r w:rsidRPr="009D6E85">
        <w:rPr>
          <w:rFonts w:ascii="Arial" w:eastAsia="Times New Roman" w:hAnsi="Arial" w:cs="Arial"/>
          <w:sz w:val="21"/>
          <w:szCs w:val="21"/>
          <w:lang w:eastAsia="es-ES"/>
        </w:rPr>
        <w:t xml:space="preserve"> que pone en conocimiento de la Agencia las irregularidades que conozca o a las que haya tenido acceso, adelantándose de esta manera la Agencia</w:t>
      </w:r>
      <w:r>
        <w:rPr>
          <w:rFonts w:ascii="Arial" w:eastAsia="Times New Roman" w:hAnsi="Arial" w:cs="Arial"/>
          <w:sz w:val="21"/>
          <w:szCs w:val="21"/>
          <w:lang w:eastAsia="es-ES"/>
        </w:rPr>
        <w:t>,</w:t>
      </w:r>
      <w:r w:rsidRPr="009D6E85">
        <w:rPr>
          <w:rFonts w:ascii="Arial" w:eastAsia="Times New Roman" w:hAnsi="Arial" w:cs="Arial"/>
          <w:sz w:val="21"/>
          <w:szCs w:val="21"/>
          <w:lang w:eastAsia="es-ES"/>
        </w:rPr>
        <w:t xml:space="preserve"> desde la implantación del buzón de denuncias</w:t>
      </w:r>
      <w:r>
        <w:rPr>
          <w:rFonts w:ascii="Arial" w:eastAsia="Times New Roman" w:hAnsi="Arial" w:cs="Arial"/>
          <w:sz w:val="21"/>
          <w:szCs w:val="21"/>
          <w:lang w:eastAsia="es-ES"/>
        </w:rPr>
        <w:t>,</w:t>
      </w:r>
      <w:r w:rsidRPr="009D6E85">
        <w:rPr>
          <w:rFonts w:ascii="Arial" w:eastAsia="Times New Roman" w:hAnsi="Arial" w:cs="Arial"/>
          <w:sz w:val="21"/>
          <w:szCs w:val="21"/>
          <w:lang w:eastAsia="es-ES"/>
        </w:rPr>
        <w:t xml:space="preserve"> a las exigencias que la normativa comunitaria ha exigido posteriormente, Directiva (UE) 2019/1937 del Parlamento Europeo y del Consejo de 23 de octubre de 2019 relativa a la protección de las personas que informen sobre infracciones del Derecho de la Unión (Directiva Whistleblowing), cuyo periodo de transposición al ordenamiento nacional se cumplió el pasado 17 de diciembre.</w:t>
      </w:r>
    </w:p>
    <w:p w14:paraId="78660199" w14:textId="77777777" w:rsidR="00B8364E" w:rsidRPr="009D6E85" w:rsidRDefault="00B8364E" w:rsidP="00B8364E">
      <w:pPr>
        <w:spacing w:after="240" w:line="276" w:lineRule="auto"/>
        <w:jc w:val="both"/>
        <w:rPr>
          <w:rFonts w:ascii="Arial" w:eastAsia="Times New Roman" w:hAnsi="Arial" w:cs="Arial"/>
          <w:sz w:val="21"/>
          <w:szCs w:val="21"/>
          <w:lang w:eastAsia="es-ES"/>
        </w:rPr>
      </w:pPr>
      <w:r w:rsidRPr="009D6E85">
        <w:rPr>
          <w:rFonts w:ascii="Arial" w:eastAsia="Times New Roman" w:hAnsi="Arial" w:cs="Arial"/>
          <w:sz w:val="21"/>
          <w:szCs w:val="21"/>
          <w:lang w:eastAsia="es-ES"/>
        </w:rPr>
        <w:t xml:space="preserve">Además del buzón de denuncias, se mantiene la posibilidad de presentación de denuncias identificadas de forma presencial, accediendo de este modo al Registro de Entrada general, a través de la Sede Electrónica de la Agencia, </w:t>
      </w:r>
      <w:hyperlink r:id="rId403" w:history="1">
        <w:r w:rsidRPr="009D6E85">
          <w:rPr>
            <w:rStyle w:val="Hipervnculo"/>
            <w:rFonts w:ascii="Arial" w:eastAsia="Times New Roman" w:hAnsi="Arial" w:cs="Arial"/>
            <w:sz w:val="21"/>
            <w:szCs w:val="21"/>
            <w:lang w:eastAsia="es-ES"/>
          </w:rPr>
          <w:t>https://sede.antifraucv.es/opencms/opencms/sede</w:t>
        </w:r>
      </w:hyperlink>
      <w:r w:rsidRPr="009D6E85">
        <w:rPr>
          <w:rFonts w:ascii="Arial" w:eastAsia="Times New Roman" w:hAnsi="Arial" w:cs="Arial"/>
          <w:sz w:val="21"/>
          <w:szCs w:val="21"/>
          <w:lang w:eastAsia="es-ES"/>
        </w:rPr>
        <w:t xml:space="preserve"> , así como por cualquiera de los medios permitidos por la legislación sobre procedimiento administrativo común.</w:t>
      </w:r>
    </w:p>
    <w:p w14:paraId="7C5841F0" w14:textId="77777777" w:rsidR="00B8364E" w:rsidRPr="009D6E85" w:rsidRDefault="00B8364E" w:rsidP="00B8364E">
      <w:pPr>
        <w:spacing w:after="240" w:line="276" w:lineRule="auto"/>
        <w:jc w:val="both"/>
        <w:rPr>
          <w:rFonts w:ascii="Arial" w:eastAsia="Times New Roman" w:hAnsi="Arial" w:cs="Arial"/>
          <w:sz w:val="21"/>
          <w:szCs w:val="21"/>
          <w:lang w:eastAsia="es-ES"/>
        </w:rPr>
      </w:pPr>
      <w:r w:rsidRPr="009D6E85">
        <w:rPr>
          <w:rFonts w:ascii="Arial" w:eastAsia="Times New Roman" w:hAnsi="Arial" w:cs="Arial"/>
          <w:sz w:val="21"/>
          <w:szCs w:val="21"/>
          <w:lang w:eastAsia="es-ES"/>
        </w:rPr>
        <w:t>Se han agrupado los expedientes según la naturaleza de las comunicaciones recibidas por la Agencia, distinguiendo entre denuncias recibidas por vía del buzón de denuncias, por correo electrónico, por registro general, incluyéndose los correspondientes a los canales de entrada permitidos por la legislación (registros de otras administraciones públicas, registros presentados en oficinas de correos de forma certificada, etc</w:t>
      </w:r>
      <w:r>
        <w:rPr>
          <w:rFonts w:ascii="Arial" w:eastAsia="Times New Roman" w:hAnsi="Arial" w:cs="Arial"/>
          <w:sz w:val="21"/>
          <w:szCs w:val="21"/>
          <w:lang w:eastAsia="es-ES"/>
        </w:rPr>
        <w:t>.</w:t>
      </w:r>
      <w:r w:rsidRPr="009D6E85">
        <w:rPr>
          <w:rFonts w:ascii="Arial" w:eastAsia="Times New Roman" w:hAnsi="Arial" w:cs="Arial"/>
          <w:sz w:val="21"/>
          <w:szCs w:val="21"/>
          <w:lang w:eastAsia="es-ES"/>
        </w:rPr>
        <w:t>), sede electrónica, actas de comparecencia in situ y de oficio/otros (incluyendo en este último apartado</w:t>
      </w:r>
      <w:r>
        <w:rPr>
          <w:rFonts w:ascii="Arial" w:eastAsia="Times New Roman" w:hAnsi="Arial" w:cs="Arial"/>
          <w:sz w:val="21"/>
          <w:szCs w:val="21"/>
          <w:lang w:eastAsia="es-ES"/>
        </w:rPr>
        <w:t>,</w:t>
      </w:r>
      <w:r w:rsidRPr="009D6E85">
        <w:rPr>
          <w:rFonts w:ascii="Arial" w:eastAsia="Times New Roman" w:hAnsi="Arial" w:cs="Arial"/>
          <w:sz w:val="21"/>
          <w:szCs w:val="21"/>
          <w:lang w:eastAsia="es-ES"/>
        </w:rPr>
        <w:t xml:space="preserve"> tanto las iniciaciones de oficio como las reaperturas y otras circunstancias).</w:t>
      </w:r>
    </w:p>
    <w:p w14:paraId="60E6A206" w14:textId="1C657A1A" w:rsidR="00B8364E" w:rsidRPr="00AA53EB" w:rsidRDefault="00B8364E" w:rsidP="00B8364E">
      <w:pPr>
        <w:pStyle w:val="Descripcin"/>
        <w:keepNext/>
        <w:rPr>
          <w:rFonts w:ascii="Arial" w:hAnsi="Arial"/>
          <w:smallCaps w:val="0"/>
          <w:sz w:val="18"/>
        </w:rPr>
      </w:pPr>
      <w:bookmarkStart w:id="146" w:name="_Toc95676798"/>
      <w:bookmarkStart w:id="147" w:name="_Toc99107148"/>
      <w:r w:rsidRPr="00AA53EB">
        <w:rPr>
          <w:rFonts w:ascii="Arial" w:hAnsi="Arial"/>
          <w:smallCaps w:val="0"/>
          <w:color w:val="9D2235" w:themeColor="accent1"/>
          <w:sz w:val="18"/>
        </w:rPr>
        <w:t xml:space="preserve">Tabla </w:t>
      </w:r>
      <w:r w:rsidRPr="00AA53EB">
        <w:rPr>
          <w:rFonts w:ascii="Arial" w:hAnsi="Arial"/>
          <w:smallCaps w:val="0"/>
          <w:color w:val="9D2235" w:themeColor="accent1"/>
          <w:sz w:val="18"/>
        </w:rPr>
        <w:fldChar w:fldCharType="begin" w:fldLock="1"/>
      </w:r>
      <w:r w:rsidRPr="00AA53EB">
        <w:rPr>
          <w:rFonts w:ascii="Arial" w:hAnsi="Arial"/>
          <w:smallCaps w:val="0"/>
          <w:color w:val="9D2235" w:themeColor="accent1"/>
          <w:sz w:val="18"/>
        </w:rPr>
        <w:instrText xml:space="preserve"> SEQ Tabla \* ARABIC </w:instrText>
      </w:r>
      <w:r w:rsidRPr="00AA53EB">
        <w:rPr>
          <w:rFonts w:ascii="Arial" w:hAnsi="Arial"/>
          <w:smallCaps w:val="0"/>
          <w:color w:val="9D2235" w:themeColor="accent1"/>
          <w:sz w:val="18"/>
        </w:rPr>
        <w:fldChar w:fldCharType="separate"/>
      </w:r>
      <w:r w:rsidR="006336E7">
        <w:rPr>
          <w:rFonts w:ascii="Arial" w:hAnsi="Arial"/>
          <w:smallCaps w:val="0"/>
          <w:noProof/>
          <w:color w:val="9D2235" w:themeColor="accent1"/>
          <w:sz w:val="18"/>
        </w:rPr>
        <w:t>10</w:t>
      </w:r>
      <w:r w:rsidRPr="00AA53EB">
        <w:rPr>
          <w:rFonts w:ascii="Arial" w:hAnsi="Arial"/>
          <w:smallCaps w:val="0"/>
          <w:color w:val="9D2235" w:themeColor="accent1"/>
          <w:sz w:val="18"/>
        </w:rPr>
        <w:fldChar w:fldCharType="end"/>
      </w:r>
      <w:r w:rsidRPr="00AA53EB">
        <w:rPr>
          <w:rFonts w:ascii="Arial" w:hAnsi="Arial"/>
          <w:smallCaps w:val="0"/>
          <w:color w:val="9D2235" w:themeColor="accent1"/>
          <w:sz w:val="18"/>
        </w:rPr>
        <w:t xml:space="preserve">. </w:t>
      </w:r>
      <w:r w:rsidRPr="00AA53EB">
        <w:rPr>
          <w:rFonts w:ascii="Arial" w:hAnsi="Arial"/>
          <w:smallCaps w:val="0"/>
          <w:sz w:val="18"/>
        </w:rPr>
        <w:t>Denuncias presentadas según el canal de comunicación</w:t>
      </w:r>
      <w:bookmarkEnd w:id="146"/>
      <w:bookmarkEnd w:id="147"/>
    </w:p>
    <w:tbl>
      <w:tblPr>
        <w:tblW w:w="5000" w:type="pct"/>
        <w:tblCellMar>
          <w:left w:w="70" w:type="dxa"/>
          <w:right w:w="70" w:type="dxa"/>
        </w:tblCellMar>
        <w:tblLook w:val="04A0" w:firstRow="1" w:lastRow="0" w:firstColumn="1" w:lastColumn="0" w:noHBand="0" w:noVBand="1"/>
      </w:tblPr>
      <w:tblGrid>
        <w:gridCol w:w="1994"/>
        <w:gridCol w:w="508"/>
        <w:gridCol w:w="791"/>
        <w:gridCol w:w="508"/>
        <w:gridCol w:w="791"/>
        <w:gridCol w:w="508"/>
        <w:gridCol w:w="791"/>
        <w:gridCol w:w="508"/>
        <w:gridCol w:w="791"/>
        <w:gridCol w:w="508"/>
        <w:gridCol w:w="791"/>
      </w:tblGrid>
      <w:tr w:rsidR="00B8364E" w:rsidRPr="00576FB9" w14:paraId="7D975D12" w14:textId="77777777" w:rsidTr="009F574A">
        <w:trPr>
          <w:trHeight w:val="360"/>
          <w:tblHeader/>
        </w:trPr>
        <w:tc>
          <w:tcPr>
            <w:tcW w:w="1174" w:type="pct"/>
            <w:tcBorders>
              <w:top w:val="single" w:sz="8" w:space="0" w:color="auto"/>
              <w:left w:val="single" w:sz="8" w:space="0" w:color="auto"/>
              <w:bottom w:val="single" w:sz="4" w:space="0" w:color="auto"/>
              <w:right w:val="single" w:sz="4" w:space="0" w:color="auto"/>
            </w:tcBorders>
            <w:shd w:val="clear" w:color="000000" w:fill="B6A39A"/>
            <w:noWrap/>
            <w:vAlign w:val="center"/>
            <w:hideMark/>
          </w:tcPr>
          <w:p w14:paraId="0AE2BA8B"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 </w:t>
            </w:r>
          </w:p>
        </w:tc>
        <w:tc>
          <w:tcPr>
            <w:tcW w:w="299" w:type="pct"/>
            <w:tcBorders>
              <w:top w:val="single" w:sz="8" w:space="0" w:color="auto"/>
              <w:left w:val="nil"/>
              <w:bottom w:val="single" w:sz="4" w:space="0" w:color="auto"/>
              <w:right w:val="single" w:sz="4" w:space="0" w:color="auto"/>
            </w:tcBorders>
            <w:shd w:val="clear" w:color="000000" w:fill="B6A39A"/>
            <w:noWrap/>
            <w:vAlign w:val="bottom"/>
            <w:hideMark/>
          </w:tcPr>
          <w:p w14:paraId="371B0B5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2017</w:t>
            </w:r>
          </w:p>
        </w:tc>
        <w:tc>
          <w:tcPr>
            <w:tcW w:w="466" w:type="pct"/>
            <w:tcBorders>
              <w:top w:val="single" w:sz="8" w:space="0" w:color="auto"/>
              <w:left w:val="nil"/>
              <w:bottom w:val="single" w:sz="4" w:space="0" w:color="auto"/>
              <w:right w:val="single" w:sz="4" w:space="0" w:color="auto"/>
            </w:tcBorders>
            <w:shd w:val="clear" w:color="000000" w:fill="B6A39A"/>
            <w:noWrap/>
            <w:vAlign w:val="bottom"/>
            <w:hideMark/>
          </w:tcPr>
          <w:p w14:paraId="238FB05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w:t>
            </w:r>
          </w:p>
        </w:tc>
        <w:tc>
          <w:tcPr>
            <w:tcW w:w="299" w:type="pct"/>
            <w:tcBorders>
              <w:top w:val="single" w:sz="8" w:space="0" w:color="auto"/>
              <w:left w:val="nil"/>
              <w:bottom w:val="single" w:sz="4" w:space="0" w:color="auto"/>
              <w:right w:val="single" w:sz="4" w:space="0" w:color="auto"/>
            </w:tcBorders>
            <w:shd w:val="clear" w:color="000000" w:fill="B6A39A"/>
            <w:noWrap/>
            <w:vAlign w:val="bottom"/>
            <w:hideMark/>
          </w:tcPr>
          <w:p w14:paraId="5A6D1DB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2018</w:t>
            </w:r>
          </w:p>
        </w:tc>
        <w:tc>
          <w:tcPr>
            <w:tcW w:w="466" w:type="pct"/>
            <w:tcBorders>
              <w:top w:val="single" w:sz="8" w:space="0" w:color="auto"/>
              <w:left w:val="nil"/>
              <w:bottom w:val="single" w:sz="4" w:space="0" w:color="auto"/>
              <w:right w:val="single" w:sz="4" w:space="0" w:color="auto"/>
            </w:tcBorders>
            <w:shd w:val="clear" w:color="000000" w:fill="B6A39A"/>
            <w:noWrap/>
            <w:vAlign w:val="bottom"/>
            <w:hideMark/>
          </w:tcPr>
          <w:p w14:paraId="27192DE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w:t>
            </w:r>
          </w:p>
        </w:tc>
        <w:tc>
          <w:tcPr>
            <w:tcW w:w="299" w:type="pct"/>
            <w:tcBorders>
              <w:top w:val="single" w:sz="8" w:space="0" w:color="auto"/>
              <w:left w:val="nil"/>
              <w:bottom w:val="single" w:sz="4" w:space="0" w:color="auto"/>
              <w:right w:val="single" w:sz="4" w:space="0" w:color="auto"/>
            </w:tcBorders>
            <w:shd w:val="clear" w:color="000000" w:fill="B6A39A"/>
            <w:noWrap/>
            <w:vAlign w:val="bottom"/>
            <w:hideMark/>
          </w:tcPr>
          <w:p w14:paraId="0C03A50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2019</w:t>
            </w:r>
          </w:p>
        </w:tc>
        <w:tc>
          <w:tcPr>
            <w:tcW w:w="466" w:type="pct"/>
            <w:tcBorders>
              <w:top w:val="single" w:sz="8" w:space="0" w:color="auto"/>
              <w:left w:val="nil"/>
              <w:bottom w:val="single" w:sz="4" w:space="0" w:color="auto"/>
              <w:right w:val="single" w:sz="4" w:space="0" w:color="auto"/>
            </w:tcBorders>
            <w:shd w:val="clear" w:color="000000" w:fill="B6A39A"/>
            <w:noWrap/>
            <w:vAlign w:val="bottom"/>
            <w:hideMark/>
          </w:tcPr>
          <w:p w14:paraId="02DEE5C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w:t>
            </w:r>
          </w:p>
        </w:tc>
        <w:tc>
          <w:tcPr>
            <w:tcW w:w="299" w:type="pct"/>
            <w:tcBorders>
              <w:top w:val="single" w:sz="8" w:space="0" w:color="auto"/>
              <w:left w:val="nil"/>
              <w:bottom w:val="single" w:sz="4" w:space="0" w:color="auto"/>
              <w:right w:val="single" w:sz="4" w:space="0" w:color="auto"/>
            </w:tcBorders>
            <w:shd w:val="clear" w:color="000000" w:fill="B6A39A"/>
            <w:noWrap/>
            <w:vAlign w:val="bottom"/>
            <w:hideMark/>
          </w:tcPr>
          <w:p w14:paraId="3C21837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2020</w:t>
            </w:r>
          </w:p>
        </w:tc>
        <w:tc>
          <w:tcPr>
            <w:tcW w:w="466" w:type="pct"/>
            <w:tcBorders>
              <w:top w:val="single" w:sz="8" w:space="0" w:color="auto"/>
              <w:left w:val="nil"/>
              <w:bottom w:val="single" w:sz="4" w:space="0" w:color="auto"/>
              <w:right w:val="single" w:sz="4" w:space="0" w:color="auto"/>
            </w:tcBorders>
            <w:shd w:val="clear" w:color="000000" w:fill="B6A39A"/>
            <w:noWrap/>
            <w:vAlign w:val="bottom"/>
            <w:hideMark/>
          </w:tcPr>
          <w:p w14:paraId="6CBC6DD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w:t>
            </w:r>
          </w:p>
        </w:tc>
        <w:tc>
          <w:tcPr>
            <w:tcW w:w="299" w:type="pct"/>
            <w:tcBorders>
              <w:top w:val="single" w:sz="8" w:space="0" w:color="auto"/>
              <w:left w:val="nil"/>
              <w:bottom w:val="single" w:sz="4" w:space="0" w:color="auto"/>
              <w:right w:val="single" w:sz="4" w:space="0" w:color="auto"/>
            </w:tcBorders>
            <w:shd w:val="clear" w:color="000000" w:fill="B6A39A"/>
            <w:noWrap/>
            <w:vAlign w:val="bottom"/>
            <w:hideMark/>
          </w:tcPr>
          <w:p w14:paraId="13CE3E7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2021</w:t>
            </w:r>
          </w:p>
        </w:tc>
        <w:tc>
          <w:tcPr>
            <w:tcW w:w="466" w:type="pct"/>
            <w:tcBorders>
              <w:top w:val="single" w:sz="8" w:space="0" w:color="auto"/>
              <w:left w:val="nil"/>
              <w:bottom w:val="single" w:sz="4" w:space="0" w:color="auto"/>
              <w:right w:val="single" w:sz="4" w:space="0" w:color="auto"/>
            </w:tcBorders>
            <w:shd w:val="clear" w:color="000000" w:fill="B6A39A"/>
            <w:noWrap/>
            <w:vAlign w:val="bottom"/>
            <w:hideMark/>
          </w:tcPr>
          <w:p w14:paraId="6A3E92E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w:t>
            </w:r>
          </w:p>
        </w:tc>
      </w:tr>
      <w:tr w:rsidR="00B8364E" w:rsidRPr="00576FB9" w14:paraId="01BF355A" w14:textId="77777777" w:rsidTr="009F574A">
        <w:trPr>
          <w:trHeight w:val="360"/>
        </w:trPr>
        <w:tc>
          <w:tcPr>
            <w:tcW w:w="1174" w:type="pct"/>
            <w:tcBorders>
              <w:top w:val="nil"/>
              <w:left w:val="single" w:sz="8" w:space="0" w:color="auto"/>
              <w:bottom w:val="single" w:sz="4" w:space="0" w:color="auto"/>
              <w:right w:val="single" w:sz="4" w:space="0" w:color="auto"/>
            </w:tcBorders>
            <w:shd w:val="clear" w:color="auto" w:fill="auto"/>
            <w:noWrap/>
            <w:vAlign w:val="bottom"/>
            <w:hideMark/>
          </w:tcPr>
          <w:p w14:paraId="32DA669D" w14:textId="77777777" w:rsidR="00B8364E" w:rsidRPr="00576FB9" w:rsidRDefault="00B8364E" w:rsidP="009F574A">
            <w:pPr>
              <w:spacing w:after="0" w:line="240" w:lineRule="auto"/>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Buzón de denuncias</w:t>
            </w:r>
          </w:p>
        </w:tc>
        <w:tc>
          <w:tcPr>
            <w:tcW w:w="299" w:type="pct"/>
            <w:tcBorders>
              <w:top w:val="nil"/>
              <w:left w:val="nil"/>
              <w:bottom w:val="single" w:sz="4" w:space="0" w:color="auto"/>
              <w:right w:val="single" w:sz="4" w:space="0" w:color="auto"/>
            </w:tcBorders>
            <w:shd w:val="clear" w:color="auto" w:fill="auto"/>
            <w:noWrap/>
            <w:vAlign w:val="bottom"/>
            <w:hideMark/>
          </w:tcPr>
          <w:p w14:paraId="7F9F5E3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1FEF35C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36EE270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97</w:t>
            </w:r>
          </w:p>
        </w:tc>
        <w:tc>
          <w:tcPr>
            <w:tcW w:w="466" w:type="pct"/>
            <w:tcBorders>
              <w:top w:val="nil"/>
              <w:left w:val="nil"/>
              <w:bottom w:val="single" w:sz="4" w:space="0" w:color="auto"/>
              <w:right w:val="single" w:sz="4" w:space="0" w:color="auto"/>
            </w:tcBorders>
            <w:shd w:val="clear" w:color="auto" w:fill="auto"/>
            <w:noWrap/>
            <w:vAlign w:val="bottom"/>
            <w:hideMark/>
          </w:tcPr>
          <w:p w14:paraId="695BD8F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53,59%</w:t>
            </w:r>
          </w:p>
        </w:tc>
        <w:tc>
          <w:tcPr>
            <w:tcW w:w="299" w:type="pct"/>
            <w:tcBorders>
              <w:top w:val="nil"/>
              <w:left w:val="nil"/>
              <w:bottom w:val="single" w:sz="4" w:space="0" w:color="auto"/>
              <w:right w:val="single" w:sz="4" w:space="0" w:color="auto"/>
            </w:tcBorders>
            <w:shd w:val="clear" w:color="auto" w:fill="auto"/>
            <w:noWrap/>
            <w:vAlign w:val="bottom"/>
            <w:hideMark/>
          </w:tcPr>
          <w:p w14:paraId="039F2FA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127</w:t>
            </w:r>
          </w:p>
        </w:tc>
        <w:tc>
          <w:tcPr>
            <w:tcW w:w="466" w:type="pct"/>
            <w:tcBorders>
              <w:top w:val="nil"/>
              <w:left w:val="nil"/>
              <w:bottom w:val="single" w:sz="4" w:space="0" w:color="auto"/>
              <w:right w:val="single" w:sz="4" w:space="0" w:color="auto"/>
            </w:tcBorders>
            <w:shd w:val="clear" w:color="auto" w:fill="auto"/>
            <w:noWrap/>
            <w:vAlign w:val="bottom"/>
            <w:hideMark/>
          </w:tcPr>
          <w:p w14:paraId="0CF41527"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75,60%</w:t>
            </w:r>
          </w:p>
        </w:tc>
        <w:tc>
          <w:tcPr>
            <w:tcW w:w="299" w:type="pct"/>
            <w:tcBorders>
              <w:top w:val="nil"/>
              <w:left w:val="nil"/>
              <w:bottom w:val="single" w:sz="4" w:space="0" w:color="auto"/>
              <w:right w:val="single" w:sz="4" w:space="0" w:color="auto"/>
            </w:tcBorders>
            <w:shd w:val="clear" w:color="auto" w:fill="auto"/>
            <w:noWrap/>
            <w:vAlign w:val="bottom"/>
            <w:hideMark/>
          </w:tcPr>
          <w:p w14:paraId="0ADC39D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191</w:t>
            </w:r>
          </w:p>
        </w:tc>
        <w:tc>
          <w:tcPr>
            <w:tcW w:w="466" w:type="pct"/>
            <w:tcBorders>
              <w:top w:val="nil"/>
              <w:left w:val="nil"/>
              <w:bottom w:val="single" w:sz="4" w:space="0" w:color="auto"/>
              <w:right w:val="single" w:sz="4" w:space="0" w:color="auto"/>
            </w:tcBorders>
            <w:shd w:val="clear" w:color="auto" w:fill="auto"/>
            <w:noWrap/>
            <w:vAlign w:val="bottom"/>
            <w:hideMark/>
          </w:tcPr>
          <w:p w14:paraId="3DA370D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84,51%</w:t>
            </w:r>
          </w:p>
        </w:tc>
        <w:tc>
          <w:tcPr>
            <w:tcW w:w="299" w:type="pct"/>
            <w:tcBorders>
              <w:top w:val="nil"/>
              <w:left w:val="nil"/>
              <w:bottom w:val="single" w:sz="4" w:space="0" w:color="auto"/>
              <w:right w:val="single" w:sz="4" w:space="0" w:color="auto"/>
            </w:tcBorders>
            <w:shd w:val="clear" w:color="auto" w:fill="auto"/>
            <w:noWrap/>
            <w:vAlign w:val="bottom"/>
            <w:hideMark/>
          </w:tcPr>
          <w:p w14:paraId="422D382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318</w:t>
            </w:r>
          </w:p>
        </w:tc>
        <w:tc>
          <w:tcPr>
            <w:tcW w:w="466" w:type="pct"/>
            <w:tcBorders>
              <w:top w:val="nil"/>
              <w:left w:val="nil"/>
              <w:bottom w:val="single" w:sz="4" w:space="0" w:color="auto"/>
              <w:right w:val="single" w:sz="4" w:space="0" w:color="auto"/>
            </w:tcBorders>
            <w:shd w:val="clear" w:color="auto" w:fill="auto"/>
            <w:noWrap/>
            <w:vAlign w:val="bottom"/>
            <w:hideMark/>
          </w:tcPr>
          <w:p w14:paraId="5BD1268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88,58%</w:t>
            </w:r>
          </w:p>
        </w:tc>
      </w:tr>
      <w:tr w:rsidR="00B8364E" w:rsidRPr="00576FB9" w14:paraId="1AEA06E9" w14:textId="77777777" w:rsidTr="009F574A">
        <w:trPr>
          <w:trHeight w:val="360"/>
        </w:trPr>
        <w:tc>
          <w:tcPr>
            <w:tcW w:w="1174" w:type="pct"/>
            <w:tcBorders>
              <w:top w:val="nil"/>
              <w:left w:val="single" w:sz="8" w:space="0" w:color="auto"/>
              <w:bottom w:val="single" w:sz="4" w:space="0" w:color="auto"/>
              <w:right w:val="single" w:sz="4" w:space="0" w:color="auto"/>
            </w:tcBorders>
            <w:shd w:val="clear" w:color="auto" w:fill="auto"/>
            <w:noWrap/>
            <w:vAlign w:val="bottom"/>
            <w:hideMark/>
          </w:tcPr>
          <w:p w14:paraId="1F6E754B" w14:textId="77777777" w:rsidR="00B8364E" w:rsidRPr="00576FB9" w:rsidRDefault="00B8364E" w:rsidP="009F574A">
            <w:pPr>
              <w:spacing w:after="0" w:line="240" w:lineRule="auto"/>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Correo electrónico/postal</w:t>
            </w:r>
          </w:p>
        </w:tc>
        <w:tc>
          <w:tcPr>
            <w:tcW w:w="299" w:type="pct"/>
            <w:tcBorders>
              <w:top w:val="nil"/>
              <w:left w:val="nil"/>
              <w:bottom w:val="single" w:sz="4" w:space="0" w:color="auto"/>
              <w:right w:val="single" w:sz="4" w:space="0" w:color="auto"/>
            </w:tcBorders>
            <w:shd w:val="clear" w:color="auto" w:fill="auto"/>
            <w:noWrap/>
            <w:vAlign w:val="bottom"/>
            <w:hideMark/>
          </w:tcPr>
          <w:p w14:paraId="6B968F8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25</w:t>
            </w:r>
          </w:p>
        </w:tc>
        <w:tc>
          <w:tcPr>
            <w:tcW w:w="466" w:type="pct"/>
            <w:tcBorders>
              <w:top w:val="nil"/>
              <w:left w:val="nil"/>
              <w:bottom w:val="single" w:sz="4" w:space="0" w:color="auto"/>
              <w:right w:val="single" w:sz="4" w:space="0" w:color="auto"/>
            </w:tcBorders>
            <w:shd w:val="clear" w:color="auto" w:fill="auto"/>
            <w:noWrap/>
            <w:vAlign w:val="bottom"/>
            <w:hideMark/>
          </w:tcPr>
          <w:p w14:paraId="0A0DBB6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71,43%</w:t>
            </w:r>
          </w:p>
        </w:tc>
        <w:tc>
          <w:tcPr>
            <w:tcW w:w="299" w:type="pct"/>
            <w:tcBorders>
              <w:top w:val="nil"/>
              <w:left w:val="nil"/>
              <w:bottom w:val="single" w:sz="4" w:space="0" w:color="auto"/>
              <w:right w:val="single" w:sz="4" w:space="0" w:color="auto"/>
            </w:tcBorders>
            <w:shd w:val="clear" w:color="auto" w:fill="auto"/>
            <w:noWrap/>
            <w:vAlign w:val="bottom"/>
            <w:hideMark/>
          </w:tcPr>
          <w:p w14:paraId="4BDB84F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34</w:t>
            </w:r>
          </w:p>
        </w:tc>
        <w:tc>
          <w:tcPr>
            <w:tcW w:w="466" w:type="pct"/>
            <w:tcBorders>
              <w:top w:val="nil"/>
              <w:left w:val="nil"/>
              <w:bottom w:val="single" w:sz="4" w:space="0" w:color="auto"/>
              <w:right w:val="single" w:sz="4" w:space="0" w:color="auto"/>
            </w:tcBorders>
            <w:shd w:val="clear" w:color="auto" w:fill="auto"/>
            <w:noWrap/>
            <w:vAlign w:val="bottom"/>
            <w:hideMark/>
          </w:tcPr>
          <w:p w14:paraId="3F89893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18,78%</w:t>
            </w:r>
          </w:p>
        </w:tc>
        <w:tc>
          <w:tcPr>
            <w:tcW w:w="299" w:type="pct"/>
            <w:tcBorders>
              <w:top w:val="nil"/>
              <w:left w:val="nil"/>
              <w:bottom w:val="single" w:sz="4" w:space="0" w:color="auto"/>
              <w:right w:val="single" w:sz="4" w:space="0" w:color="auto"/>
            </w:tcBorders>
            <w:shd w:val="clear" w:color="auto" w:fill="auto"/>
            <w:noWrap/>
            <w:vAlign w:val="bottom"/>
            <w:hideMark/>
          </w:tcPr>
          <w:p w14:paraId="1A6202B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15</w:t>
            </w:r>
          </w:p>
        </w:tc>
        <w:tc>
          <w:tcPr>
            <w:tcW w:w="466" w:type="pct"/>
            <w:tcBorders>
              <w:top w:val="nil"/>
              <w:left w:val="nil"/>
              <w:bottom w:val="single" w:sz="4" w:space="0" w:color="auto"/>
              <w:right w:val="single" w:sz="4" w:space="0" w:color="auto"/>
            </w:tcBorders>
            <w:shd w:val="clear" w:color="auto" w:fill="auto"/>
            <w:noWrap/>
            <w:vAlign w:val="bottom"/>
            <w:hideMark/>
          </w:tcPr>
          <w:p w14:paraId="3D0FB48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8,93%</w:t>
            </w:r>
          </w:p>
        </w:tc>
        <w:tc>
          <w:tcPr>
            <w:tcW w:w="299" w:type="pct"/>
            <w:tcBorders>
              <w:top w:val="nil"/>
              <w:left w:val="nil"/>
              <w:bottom w:val="single" w:sz="4" w:space="0" w:color="auto"/>
              <w:right w:val="single" w:sz="4" w:space="0" w:color="auto"/>
            </w:tcBorders>
            <w:shd w:val="clear" w:color="auto" w:fill="auto"/>
            <w:noWrap/>
            <w:vAlign w:val="bottom"/>
            <w:hideMark/>
          </w:tcPr>
          <w:p w14:paraId="1E8D446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w:t>
            </w:r>
          </w:p>
        </w:tc>
        <w:tc>
          <w:tcPr>
            <w:tcW w:w="466" w:type="pct"/>
            <w:tcBorders>
              <w:top w:val="nil"/>
              <w:left w:val="nil"/>
              <w:bottom w:val="single" w:sz="4" w:space="0" w:color="auto"/>
              <w:right w:val="single" w:sz="4" w:space="0" w:color="auto"/>
            </w:tcBorders>
            <w:shd w:val="clear" w:color="auto" w:fill="auto"/>
            <w:noWrap/>
            <w:vAlign w:val="bottom"/>
            <w:hideMark/>
          </w:tcPr>
          <w:p w14:paraId="2C87224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1,33%</w:t>
            </w:r>
          </w:p>
        </w:tc>
        <w:tc>
          <w:tcPr>
            <w:tcW w:w="299" w:type="pct"/>
            <w:tcBorders>
              <w:top w:val="nil"/>
              <w:left w:val="nil"/>
              <w:bottom w:val="single" w:sz="4" w:space="0" w:color="auto"/>
              <w:right w:val="single" w:sz="4" w:space="0" w:color="auto"/>
            </w:tcBorders>
            <w:shd w:val="clear" w:color="auto" w:fill="auto"/>
            <w:noWrap/>
            <w:vAlign w:val="bottom"/>
            <w:hideMark/>
          </w:tcPr>
          <w:p w14:paraId="573BC4D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28</w:t>
            </w:r>
          </w:p>
        </w:tc>
        <w:tc>
          <w:tcPr>
            <w:tcW w:w="466" w:type="pct"/>
            <w:tcBorders>
              <w:top w:val="nil"/>
              <w:left w:val="nil"/>
              <w:bottom w:val="single" w:sz="4" w:space="0" w:color="auto"/>
              <w:right w:val="single" w:sz="4" w:space="0" w:color="auto"/>
            </w:tcBorders>
            <w:shd w:val="clear" w:color="auto" w:fill="auto"/>
            <w:noWrap/>
            <w:vAlign w:val="bottom"/>
            <w:hideMark/>
          </w:tcPr>
          <w:p w14:paraId="2AFBDA1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7,80%</w:t>
            </w:r>
          </w:p>
        </w:tc>
      </w:tr>
      <w:tr w:rsidR="00B8364E" w:rsidRPr="00576FB9" w14:paraId="517F7FC5" w14:textId="77777777" w:rsidTr="009F574A">
        <w:trPr>
          <w:trHeight w:val="360"/>
        </w:trPr>
        <w:tc>
          <w:tcPr>
            <w:tcW w:w="1174" w:type="pct"/>
            <w:tcBorders>
              <w:top w:val="nil"/>
              <w:left w:val="single" w:sz="8" w:space="0" w:color="auto"/>
              <w:bottom w:val="single" w:sz="4" w:space="0" w:color="auto"/>
              <w:right w:val="single" w:sz="4" w:space="0" w:color="auto"/>
            </w:tcBorders>
            <w:shd w:val="clear" w:color="auto" w:fill="auto"/>
            <w:noWrap/>
            <w:vAlign w:val="bottom"/>
            <w:hideMark/>
          </w:tcPr>
          <w:p w14:paraId="1F17E3BA" w14:textId="77777777" w:rsidR="00B8364E" w:rsidRPr="00576FB9" w:rsidRDefault="00B8364E" w:rsidP="009F574A">
            <w:pPr>
              <w:spacing w:after="0" w:line="240" w:lineRule="auto"/>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Registro General</w:t>
            </w:r>
          </w:p>
        </w:tc>
        <w:tc>
          <w:tcPr>
            <w:tcW w:w="299" w:type="pct"/>
            <w:tcBorders>
              <w:top w:val="nil"/>
              <w:left w:val="nil"/>
              <w:bottom w:val="single" w:sz="4" w:space="0" w:color="auto"/>
              <w:right w:val="single" w:sz="4" w:space="0" w:color="auto"/>
            </w:tcBorders>
            <w:shd w:val="clear" w:color="auto" w:fill="auto"/>
            <w:noWrap/>
            <w:vAlign w:val="bottom"/>
            <w:hideMark/>
          </w:tcPr>
          <w:p w14:paraId="72880A3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10</w:t>
            </w:r>
          </w:p>
        </w:tc>
        <w:tc>
          <w:tcPr>
            <w:tcW w:w="466" w:type="pct"/>
            <w:tcBorders>
              <w:top w:val="nil"/>
              <w:left w:val="nil"/>
              <w:bottom w:val="single" w:sz="4" w:space="0" w:color="auto"/>
              <w:right w:val="single" w:sz="4" w:space="0" w:color="auto"/>
            </w:tcBorders>
            <w:shd w:val="clear" w:color="auto" w:fill="auto"/>
            <w:noWrap/>
            <w:vAlign w:val="bottom"/>
            <w:hideMark/>
          </w:tcPr>
          <w:p w14:paraId="67FBFFC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28,57%</w:t>
            </w:r>
          </w:p>
        </w:tc>
        <w:tc>
          <w:tcPr>
            <w:tcW w:w="299" w:type="pct"/>
            <w:tcBorders>
              <w:top w:val="nil"/>
              <w:left w:val="nil"/>
              <w:bottom w:val="single" w:sz="4" w:space="0" w:color="auto"/>
              <w:right w:val="single" w:sz="4" w:space="0" w:color="auto"/>
            </w:tcBorders>
            <w:shd w:val="clear" w:color="auto" w:fill="auto"/>
            <w:noWrap/>
            <w:vAlign w:val="bottom"/>
            <w:hideMark/>
          </w:tcPr>
          <w:p w14:paraId="4990201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50</w:t>
            </w:r>
          </w:p>
        </w:tc>
        <w:tc>
          <w:tcPr>
            <w:tcW w:w="466" w:type="pct"/>
            <w:tcBorders>
              <w:top w:val="nil"/>
              <w:left w:val="nil"/>
              <w:bottom w:val="single" w:sz="4" w:space="0" w:color="auto"/>
              <w:right w:val="single" w:sz="4" w:space="0" w:color="auto"/>
            </w:tcBorders>
            <w:shd w:val="clear" w:color="auto" w:fill="auto"/>
            <w:noWrap/>
            <w:vAlign w:val="bottom"/>
            <w:hideMark/>
          </w:tcPr>
          <w:p w14:paraId="392B6E3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27,62%</w:t>
            </w:r>
          </w:p>
        </w:tc>
        <w:tc>
          <w:tcPr>
            <w:tcW w:w="299" w:type="pct"/>
            <w:tcBorders>
              <w:top w:val="nil"/>
              <w:left w:val="nil"/>
              <w:bottom w:val="single" w:sz="4" w:space="0" w:color="auto"/>
              <w:right w:val="single" w:sz="4" w:space="0" w:color="auto"/>
            </w:tcBorders>
            <w:shd w:val="clear" w:color="auto" w:fill="auto"/>
            <w:noWrap/>
            <w:vAlign w:val="bottom"/>
            <w:hideMark/>
          </w:tcPr>
          <w:p w14:paraId="5231053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26</w:t>
            </w:r>
          </w:p>
        </w:tc>
        <w:tc>
          <w:tcPr>
            <w:tcW w:w="466" w:type="pct"/>
            <w:tcBorders>
              <w:top w:val="nil"/>
              <w:left w:val="nil"/>
              <w:bottom w:val="single" w:sz="4" w:space="0" w:color="auto"/>
              <w:right w:val="single" w:sz="4" w:space="0" w:color="auto"/>
            </w:tcBorders>
            <w:shd w:val="clear" w:color="auto" w:fill="auto"/>
            <w:noWrap/>
            <w:vAlign w:val="bottom"/>
            <w:hideMark/>
          </w:tcPr>
          <w:p w14:paraId="3DA297E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15,48%</w:t>
            </w:r>
          </w:p>
        </w:tc>
        <w:tc>
          <w:tcPr>
            <w:tcW w:w="299" w:type="pct"/>
            <w:tcBorders>
              <w:top w:val="nil"/>
              <w:left w:val="nil"/>
              <w:bottom w:val="single" w:sz="4" w:space="0" w:color="auto"/>
              <w:right w:val="single" w:sz="4" w:space="0" w:color="auto"/>
            </w:tcBorders>
            <w:shd w:val="clear" w:color="auto" w:fill="auto"/>
            <w:noWrap/>
            <w:vAlign w:val="bottom"/>
            <w:hideMark/>
          </w:tcPr>
          <w:p w14:paraId="21AB43B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14</w:t>
            </w:r>
          </w:p>
        </w:tc>
        <w:tc>
          <w:tcPr>
            <w:tcW w:w="466" w:type="pct"/>
            <w:tcBorders>
              <w:top w:val="nil"/>
              <w:left w:val="nil"/>
              <w:bottom w:val="single" w:sz="4" w:space="0" w:color="auto"/>
              <w:right w:val="single" w:sz="4" w:space="0" w:color="auto"/>
            </w:tcBorders>
            <w:shd w:val="clear" w:color="auto" w:fill="auto"/>
            <w:noWrap/>
            <w:vAlign w:val="bottom"/>
            <w:hideMark/>
          </w:tcPr>
          <w:p w14:paraId="42520E3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6,19%</w:t>
            </w:r>
          </w:p>
        </w:tc>
        <w:tc>
          <w:tcPr>
            <w:tcW w:w="299" w:type="pct"/>
            <w:tcBorders>
              <w:top w:val="nil"/>
              <w:left w:val="nil"/>
              <w:bottom w:val="single" w:sz="4" w:space="0" w:color="auto"/>
              <w:right w:val="single" w:sz="4" w:space="0" w:color="auto"/>
            </w:tcBorders>
            <w:shd w:val="clear" w:color="auto" w:fill="auto"/>
            <w:noWrap/>
            <w:vAlign w:val="bottom"/>
            <w:hideMark/>
          </w:tcPr>
          <w:p w14:paraId="60F9019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w:t>
            </w:r>
          </w:p>
        </w:tc>
        <w:tc>
          <w:tcPr>
            <w:tcW w:w="466" w:type="pct"/>
            <w:tcBorders>
              <w:top w:val="nil"/>
              <w:left w:val="nil"/>
              <w:bottom w:val="single" w:sz="4" w:space="0" w:color="auto"/>
              <w:right w:val="single" w:sz="4" w:space="0" w:color="auto"/>
            </w:tcBorders>
            <w:shd w:val="clear" w:color="auto" w:fill="auto"/>
            <w:noWrap/>
            <w:vAlign w:val="bottom"/>
            <w:hideMark/>
          </w:tcPr>
          <w:p w14:paraId="4BBDF57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0,56%</w:t>
            </w:r>
          </w:p>
        </w:tc>
      </w:tr>
      <w:tr w:rsidR="00B8364E" w:rsidRPr="00576FB9" w14:paraId="7E5E9B49" w14:textId="77777777" w:rsidTr="009F574A">
        <w:trPr>
          <w:trHeight w:val="360"/>
        </w:trPr>
        <w:tc>
          <w:tcPr>
            <w:tcW w:w="1174" w:type="pct"/>
            <w:tcBorders>
              <w:top w:val="nil"/>
              <w:left w:val="single" w:sz="8" w:space="0" w:color="auto"/>
              <w:bottom w:val="single" w:sz="4" w:space="0" w:color="auto"/>
              <w:right w:val="single" w:sz="4" w:space="0" w:color="auto"/>
            </w:tcBorders>
            <w:shd w:val="clear" w:color="auto" w:fill="auto"/>
            <w:noWrap/>
            <w:vAlign w:val="bottom"/>
            <w:hideMark/>
          </w:tcPr>
          <w:p w14:paraId="23558DB9" w14:textId="77777777" w:rsidR="00B8364E" w:rsidRPr="00576FB9" w:rsidRDefault="00B8364E" w:rsidP="009F574A">
            <w:pPr>
              <w:spacing w:after="0" w:line="240" w:lineRule="auto"/>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Sede electrónica</w:t>
            </w:r>
          </w:p>
        </w:tc>
        <w:tc>
          <w:tcPr>
            <w:tcW w:w="299" w:type="pct"/>
            <w:tcBorders>
              <w:top w:val="nil"/>
              <w:left w:val="nil"/>
              <w:bottom w:val="single" w:sz="4" w:space="0" w:color="auto"/>
              <w:right w:val="single" w:sz="4" w:space="0" w:color="auto"/>
            </w:tcBorders>
            <w:shd w:val="clear" w:color="auto" w:fill="auto"/>
            <w:noWrap/>
            <w:vAlign w:val="bottom"/>
            <w:hideMark/>
          </w:tcPr>
          <w:p w14:paraId="242AADE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145F2E0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2275564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0A7AA65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1E4B862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52669BB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4570F75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12</w:t>
            </w:r>
          </w:p>
        </w:tc>
        <w:tc>
          <w:tcPr>
            <w:tcW w:w="466" w:type="pct"/>
            <w:tcBorders>
              <w:top w:val="nil"/>
              <w:left w:val="nil"/>
              <w:bottom w:val="single" w:sz="4" w:space="0" w:color="auto"/>
              <w:right w:val="single" w:sz="4" w:space="0" w:color="auto"/>
            </w:tcBorders>
            <w:shd w:val="clear" w:color="auto" w:fill="auto"/>
            <w:noWrap/>
            <w:vAlign w:val="bottom"/>
            <w:hideMark/>
          </w:tcPr>
          <w:p w14:paraId="19CD134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5,31%</w:t>
            </w:r>
          </w:p>
        </w:tc>
        <w:tc>
          <w:tcPr>
            <w:tcW w:w="299" w:type="pct"/>
            <w:tcBorders>
              <w:top w:val="nil"/>
              <w:left w:val="nil"/>
              <w:bottom w:val="single" w:sz="4" w:space="0" w:color="auto"/>
              <w:right w:val="single" w:sz="4" w:space="0" w:color="auto"/>
            </w:tcBorders>
            <w:shd w:val="clear" w:color="auto" w:fill="auto"/>
            <w:noWrap/>
            <w:vAlign w:val="bottom"/>
            <w:hideMark/>
          </w:tcPr>
          <w:p w14:paraId="6B6A5D3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w:t>
            </w:r>
          </w:p>
        </w:tc>
        <w:tc>
          <w:tcPr>
            <w:tcW w:w="466" w:type="pct"/>
            <w:tcBorders>
              <w:top w:val="nil"/>
              <w:left w:val="nil"/>
              <w:bottom w:val="single" w:sz="4" w:space="0" w:color="auto"/>
              <w:right w:val="single" w:sz="4" w:space="0" w:color="auto"/>
            </w:tcBorders>
            <w:shd w:val="clear" w:color="auto" w:fill="auto"/>
            <w:noWrap/>
            <w:vAlign w:val="bottom"/>
            <w:hideMark/>
          </w:tcPr>
          <w:p w14:paraId="6A87FF6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1,11%</w:t>
            </w:r>
          </w:p>
        </w:tc>
      </w:tr>
      <w:tr w:rsidR="00B8364E" w:rsidRPr="00576FB9" w14:paraId="52CAB927" w14:textId="77777777" w:rsidTr="009F574A">
        <w:trPr>
          <w:trHeight w:val="360"/>
        </w:trPr>
        <w:tc>
          <w:tcPr>
            <w:tcW w:w="1174" w:type="pct"/>
            <w:tcBorders>
              <w:top w:val="nil"/>
              <w:left w:val="single" w:sz="8" w:space="0" w:color="auto"/>
              <w:bottom w:val="single" w:sz="4" w:space="0" w:color="auto"/>
              <w:right w:val="single" w:sz="4" w:space="0" w:color="auto"/>
            </w:tcBorders>
            <w:shd w:val="clear" w:color="auto" w:fill="auto"/>
            <w:noWrap/>
            <w:vAlign w:val="bottom"/>
            <w:hideMark/>
          </w:tcPr>
          <w:p w14:paraId="0E78438C" w14:textId="77777777" w:rsidR="00B8364E" w:rsidRPr="00576FB9" w:rsidRDefault="00B8364E" w:rsidP="009F574A">
            <w:pPr>
              <w:spacing w:after="0" w:line="240" w:lineRule="auto"/>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Acta comparecencia</w:t>
            </w:r>
          </w:p>
        </w:tc>
        <w:tc>
          <w:tcPr>
            <w:tcW w:w="299" w:type="pct"/>
            <w:tcBorders>
              <w:top w:val="nil"/>
              <w:left w:val="nil"/>
              <w:bottom w:val="single" w:sz="4" w:space="0" w:color="auto"/>
              <w:right w:val="single" w:sz="4" w:space="0" w:color="auto"/>
            </w:tcBorders>
            <w:shd w:val="clear" w:color="auto" w:fill="auto"/>
            <w:noWrap/>
            <w:vAlign w:val="bottom"/>
            <w:hideMark/>
          </w:tcPr>
          <w:p w14:paraId="36C4076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195E024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468AD05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56674BF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53D9D23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66635F0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0D4071F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w:t>
            </w:r>
          </w:p>
        </w:tc>
        <w:tc>
          <w:tcPr>
            <w:tcW w:w="466" w:type="pct"/>
            <w:tcBorders>
              <w:top w:val="nil"/>
              <w:left w:val="nil"/>
              <w:bottom w:val="single" w:sz="4" w:space="0" w:color="auto"/>
              <w:right w:val="single" w:sz="4" w:space="0" w:color="auto"/>
            </w:tcBorders>
            <w:shd w:val="clear" w:color="auto" w:fill="auto"/>
            <w:noWrap/>
            <w:vAlign w:val="bottom"/>
            <w:hideMark/>
          </w:tcPr>
          <w:p w14:paraId="7C61114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0,88%</w:t>
            </w:r>
          </w:p>
        </w:tc>
        <w:tc>
          <w:tcPr>
            <w:tcW w:w="299" w:type="pct"/>
            <w:tcBorders>
              <w:top w:val="nil"/>
              <w:left w:val="nil"/>
              <w:bottom w:val="single" w:sz="4" w:space="0" w:color="auto"/>
              <w:right w:val="single" w:sz="4" w:space="0" w:color="auto"/>
            </w:tcBorders>
            <w:shd w:val="clear" w:color="auto" w:fill="auto"/>
            <w:noWrap/>
            <w:vAlign w:val="bottom"/>
            <w:hideMark/>
          </w:tcPr>
          <w:p w14:paraId="32E1D1D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w:t>
            </w:r>
          </w:p>
        </w:tc>
        <w:tc>
          <w:tcPr>
            <w:tcW w:w="466" w:type="pct"/>
            <w:tcBorders>
              <w:top w:val="nil"/>
              <w:left w:val="nil"/>
              <w:bottom w:val="single" w:sz="4" w:space="0" w:color="auto"/>
              <w:right w:val="single" w:sz="4" w:space="0" w:color="auto"/>
            </w:tcBorders>
            <w:shd w:val="clear" w:color="auto" w:fill="auto"/>
            <w:noWrap/>
            <w:vAlign w:val="bottom"/>
            <w:hideMark/>
          </w:tcPr>
          <w:p w14:paraId="1C3C5D0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0,84%</w:t>
            </w:r>
          </w:p>
        </w:tc>
      </w:tr>
      <w:tr w:rsidR="00B8364E" w:rsidRPr="00576FB9" w14:paraId="3B55B777" w14:textId="77777777" w:rsidTr="009F574A">
        <w:trPr>
          <w:trHeight w:val="360"/>
        </w:trPr>
        <w:tc>
          <w:tcPr>
            <w:tcW w:w="1174" w:type="pct"/>
            <w:tcBorders>
              <w:top w:val="nil"/>
              <w:left w:val="single" w:sz="8" w:space="0" w:color="auto"/>
              <w:bottom w:val="single" w:sz="4" w:space="0" w:color="auto"/>
              <w:right w:val="single" w:sz="4" w:space="0" w:color="auto"/>
            </w:tcBorders>
            <w:shd w:val="clear" w:color="auto" w:fill="auto"/>
            <w:noWrap/>
            <w:vAlign w:val="bottom"/>
            <w:hideMark/>
          </w:tcPr>
          <w:p w14:paraId="462DE98E" w14:textId="77777777" w:rsidR="00B8364E" w:rsidRPr="00576FB9" w:rsidRDefault="00B8364E" w:rsidP="009F574A">
            <w:pPr>
              <w:spacing w:after="0" w:line="240" w:lineRule="auto"/>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Abiertos de oficio/otros</w:t>
            </w:r>
          </w:p>
        </w:tc>
        <w:tc>
          <w:tcPr>
            <w:tcW w:w="299" w:type="pct"/>
            <w:tcBorders>
              <w:top w:val="nil"/>
              <w:left w:val="nil"/>
              <w:bottom w:val="single" w:sz="4" w:space="0" w:color="auto"/>
              <w:right w:val="single" w:sz="4" w:space="0" w:color="auto"/>
            </w:tcBorders>
            <w:shd w:val="clear" w:color="auto" w:fill="auto"/>
            <w:noWrap/>
            <w:vAlign w:val="bottom"/>
            <w:hideMark/>
          </w:tcPr>
          <w:p w14:paraId="6A65C50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5D4377B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0054F58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565C4FE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2E712CA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466" w:type="pct"/>
            <w:tcBorders>
              <w:top w:val="nil"/>
              <w:left w:val="nil"/>
              <w:bottom w:val="single" w:sz="4" w:space="0" w:color="auto"/>
              <w:right w:val="single" w:sz="4" w:space="0" w:color="auto"/>
            </w:tcBorders>
            <w:shd w:val="clear" w:color="auto" w:fill="auto"/>
            <w:noWrap/>
            <w:vAlign w:val="bottom"/>
            <w:hideMark/>
          </w:tcPr>
          <w:p w14:paraId="46CBCB1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0,00%</w:t>
            </w:r>
          </w:p>
        </w:tc>
        <w:tc>
          <w:tcPr>
            <w:tcW w:w="299" w:type="pct"/>
            <w:tcBorders>
              <w:top w:val="nil"/>
              <w:left w:val="nil"/>
              <w:bottom w:val="single" w:sz="4" w:space="0" w:color="auto"/>
              <w:right w:val="single" w:sz="4" w:space="0" w:color="auto"/>
            </w:tcBorders>
            <w:shd w:val="clear" w:color="auto" w:fill="auto"/>
            <w:noWrap/>
            <w:vAlign w:val="bottom"/>
            <w:hideMark/>
          </w:tcPr>
          <w:p w14:paraId="133A9D2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w:t>
            </w:r>
          </w:p>
        </w:tc>
        <w:tc>
          <w:tcPr>
            <w:tcW w:w="466" w:type="pct"/>
            <w:tcBorders>
              <w:top w:val="nil"/>
              <w:left w:val="nil"/>
              <w:bottom w:val="single" w:sz="4" w:space="0" w:color="auto"/>
              <w:right w:val="single" w:sz="4" w:space="0" w:color="auto"/>
            </w:tcBorders>
            <w:shd w:val="clear" w:color="auto" w:fill="auto"/>
            <w:noWrap/>
            <w:vAlign w:val="bottom"/>
            <w:hideMark/>
          </w:tcPr>
          <w:p w14:paraId="4AAAACD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1,77%</w:t>
            </w:r>
          </w:p>
        </w:tc>
        <w:tc>
          <w:tcPr>
            <w:tcW w:w="299" w:type="pct"/>
            <w:tcBorders>
              <w:top w:val="nil"/>
              <w:left w:val="nil"/>
              <w:bottom w:val="single" w:sz="4" w:space="0" w:color="auto"/>
              <w:right w:val="single" w:sz="4" w:space="0" w:color="auto"/>
            </w:tcBorders>
            <w:shd w:val="clear" w:color="auto" w:fill="auto"/>
            <w:noWrap/>
            <w:vAlign w:val="bottom"/>
            <w:hideMark/>
          </w:tcPr>
          <w:p w14:paraId="10B49FC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w:t>
            </w:r>
          </w:p>
        </w:tc>
        <w:tc>
          <w:tcPr>
            <w:tcW w:w="466" w:type="pct"/>
            <w:tcBorders>
              <w:top w:val="nil"/>
              <w:left w:val="nil"/>
              <w:bottom w:val="single" w:sz="4" w:space="0" w:color="auto"/>
              <w:right w:val="single" w:sz="4" w:space="0" w:color="auto"/>
            </w:tcBorders>
            <w:shd w:val="clear" w:color="auto" w:fill="auto"/>
            <w:noWrap/>
            <w:vAlign w:val="bottom"/>
            <w:hideMark/>
          </w:tcPr>
          <w:p w14:paraId="7C6149B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1,11%</w:t>
            </w:r>
          </w:p>
        </w:tc>
      </w:tr>
      <w:tr w:rsidR="00B8364E" w:rsidRPr="00576FB9" w14:paraId="2297D2EE" w14:textId="77777777" w:rsidTr="009F574A">
        <w:trPr>
          <w:trHeight w:val="360"/>
        </w:trPr>
        <w:tc>
          <w:tcPr>
            <w:tcW w:w="1174" w:type="pct"/>
            <w:tcBorders>
              <w:top w:val="nil"/>
              <w:left w:val="single" w:sz="8" w:space="0" w:color="auto"/>
              <w:bottom w:val="single" w:sz="8" w:space="0" w:color="auto"/>
              <w:right w:val="single" w:sz="4" w:space="0" w:color="auto"/>
            </w:tcBorders>
            <w:shd w:val="clear" w:color="auto" w:fill="auto"/>
            <w:noWrap/>
            <w:vAlign w:val="bottom"/>
            <w:hideMark/>
          </w:tcPr>
          <w:p w14:paraId="626C1CE1" w14:textId="77777777" w:rsidR="00B8364E" w:rsidRPr="00576FB9" w:rsidRDefault="00B8364E" w:rsidP="009F574A">
            <w:pPr>
              <w:spacing w:after="0" w:line="240" w:lineRule="auto"/>
              <w:jc w:val="right"/>
              <w:rPr>
                <w:rFonts w:ascii="Arial" w:eastAsia="Times New Roman" w:hAnsi="Arial" w:cs="Arial"/>
                <w:b/>
                <w:bCs/>
                <w:color w:val="9D2235"/>
                <w:sz w:val="16"/>
                <w:szCs w:val="16"/>
                <w:lang w:eastAsia="es-ES"/>
              </w:rPr>
            </w:pPr>
            <w:r w:rsidRPr="00576FB9">
              <w:rPr>
                <w:rFonts w:ascii="Arial" w:eastAsia="Times New Roman" w:hAnsi="Arial" w:cs="Arial"/>
                <w:b/>
                <w:bCs/>
                <w:color w:val="9D2235"/>
                <w:sz w:val="16"/>
                <w:szCs w:val="16"/>
                <w:lang w:eastAsia="es-ES"/>
              </w:rPr>
              <w:t>TOTAL</w:t>
            </w:r>
          </w:p>
        </w:tc>
        <w:tc>
          <w:tcPr>
            <w:tcW w:w="299" w:type="pct"/>
            <w:tcBorders>
              <w:top w:val="nil"/>
              <w:left w:val="nil"/>
              <w:bottom w:val="single" w:sz="8" w:space="0" w:color="auto"/>
              <w:right w:val="single" w:sz="4" w:space="0" w:color="auto"/>
            </w:tcBorders>
            <w:shd w:val="clear" w:color="auto" w:fill="auto"/>
            <w:noWrap/>
            <w:vAlign w:val="bottom"/>
            <w:hideMark/>
          </w:tcPr>
          <w:p w14:paraId="689CDCF8"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35</w:t>
            </w:r>
          </w:p>
        </w:tc>
        <w:tc>
          <w:tcPr>
            <w:tcW w:w="466" w:type="pct"/>
            <w:tcBorders>
              <w:top w:val="nil"/>
              <w:left w:val="nil"/>
              <w:bottom w:val="single" w:sz="8" w:space="0" w:color="auto"/>
              <w:right w:val="single" w:sz="4" w:space="0" w:color="auto"/>
            </w:tcBorders>
            <w:shd w:val="clear" w:color="auto" w:fill="auto"/>
            <w:noWrap/>
            <w:vAlign w:val="bottom"/>
            <w:hideMark/>
          </w:tcPr>
          <w:p w14:paraId="64D6123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100,00%</w:t>
            </w:r>
          </w:p>
        </w:tc>
        <w:tc>
          <w:tcPr>
            <w:tcW w:w="299" w:type="pct"/>
            <w:tcBorders>
              <w:top w:val="nil"/>
              <w:left w:val="nil"/>
              <w:bottom w:val="single" w:sz="8" w:space="0" w:color="auto"/>
              <w:right w:val="single" w:sz="4" w:space="0" w:color="auto"/>
            </w:tcBorders>
            <w:shd w:val="clear" w:color="auto" w:fill="auto"/>
            <w:noWrap/>
            <w:vAlign w:val="bottom"/>
            <w:hideMark/>
          </w:tcPr>
          <w:p w14:paraId="0386FA45"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181</w:t>
            </w:r>
          </w:p>
        </w:tc>
        <w:tc>
          <w:tcPr>
            <w:tcW w:w="466" w:type="pct"/>
            <w:tcBorders>
              <w:top w:val="nil"/>
              <w:left w:val="nil"/>
              <w:bottom w:val="single" w:sz="8" w:space="0" w:color="auto"/>
              <w:right w:val="single" w:sz="4" w:space="0" w:color="auto"/>
            </w:tcBorders>
            <w:shd w:val="clear" w:color="auto" w:fill="auto"/>
            <w:noWrap/>
            <w:vAlign w:val="bottom"/>
            <w:hideMark/>
          </w:tcPr>
          <w:p w14:paraId="6C3BD47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100,00%</w:t>
            </w:r>
          </w:p>
        </w:tc>
        <w:tc>
          <w:tcPr>
            <w:tcW w:w="299" w:type="pct"/>
            <w:tcBorders>
              <w:top w:val="nil"/>
              <w:left w:val="nil"/>
              <w:bottom w:val="single" w:sz="8" w:space="0" w:color="auto"/>
              <w:right w:val="single" w:sz="4" w:space="0" w:color="auto"/>
            </w:tcBorders>
            <w:shd w:val="clear" w:color="auto" w:fill="auto"/>
            <w:noWrap/>
            <w:vAlign w:val="bottom"/>
            <w:hideMark/>
          </w:tcPr>
          <w:p w14:paraId="4E522022"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168</w:t>
            </w:r>
          </w:p>
        </w:tc>
        <w:tc>
          <w:tcPr>
            <w:tcW w:w="466" w:type="pct"/>
            <w:tcBorders>
              <w:top w:val="nil"/>
              <w:left w:val="nil"/>
              <w:bottom w:val="single" w:sz="8" w:space="0" w:color="auto"/>
              <w:right w:val="single" w:sz="4" w:space="0" w:color="auto"/>
            </w:tcBorders>
            <w:shd w:val="clear" w:color="auto" w:fill="auto"/>
            <w:noWrap/>
            <w:vAlign w:val="bottom"/>
            <w:hideMark/>
          </w:tcPr>
          <w:p w14:paraId="3FA7A8F8"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100,00%</w:t>
            </w:r>
          </w:p>
        </w:tc>
        <w:tc>
          <w:tcPr>
            <w:tcW w:w="299" w:type="pct"/>
            <w:tcBorders>
              <w:top w:val="nil"/>
              <w:left w:val="nil"/>
              <w:bottom w:val="single" w:sz="8" w:space="0" w:color="auto"/>
              <w:right w:val="single" w:sz="4" w:space="0" w:color="auto"/>
            </w:tcBorders>
            <w:shd w:val="clear" w:color="auto" w:fill="auto"/>
            <w:noWrap/>
            <w:vAlign w:val="bottom"/>
            <w:hideMark/>
          </w:tcPr>
          <w:p w14:paraId="1E0A0C29"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226</w:t>
            </w:r>
          </w:p>
        </w:tc>
        <w:tc>
          <w:tcPr>
            <w:tcW w:w="466" w:type="pct"/>
            <w:tcBorders>
              <w:top w:val="nil"/>
              <w:left w:val="nil"/>
              <w:bottom w:val="single" w:sz="8" w:space="0" w:color="auto"/>
              <w:right w:val="single" w:sz="4" w:space="0" w:color="auto"/>
            </w:tcBorders>
            <w:shd w:val="clear" w:color="auto" w:fill="auto"/>
            <w:noWrap/>
            <w:vAlign w:val="bottom"/>
            <w:hideMark/>
          </w:tcPr>
          <w:p w14:paraId="0281411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100,00%</w:t>
            </w:r>
          </w:p>
        </w:tc>
        <w:tc>
          <w:tcPr>
            <w:tcW w:w="299" w:type="pct"/>
            <w:tcBorders>
              <w:top w:val="nil"/>
              <w:left w:val="nil"/>
              <w:bottom w:val="single" w:sz="8" w:space="0" w:color="auto"/>
              <w:right w:val="single" w:sz="4" w:space="0" w:color="auto"/>
            </w:tcBorders>
            <w:shd w:val="clear" w:color="auto" w:fill="auto"/>
            <w:noWrap/>
            <w:vAlign w:val="bottom"/>
            <w:hideMark/>
          </w:tcPr>
          <w:p w14:paraId="33AB9C3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359</w:t>
            </w:r>
          </w:p>
        </w:tc>
        <w:tc>
          <w:tcPr>
            <w:tcW w:w="466" w:type="pct"/>
            <w:tcBorders>
              <w:top w:val="nil"/>
              <w:left w:val="nil"/>
              <w:bottom w:val="single" w:sz="8" w:space="0" w:color="auto"/>
              <w:right w:val="single" w:sz="4" w:space="0" w:color="auto"/>
            </w:tcBorders>
            <w:shd w:val="clear" w:color="auto" w:fill="auto"/>
            <w:noWrap/>
            <w:vAlign w:val="bottom"/>
            <w:hideMark/>
          </w:tcPr>
          <w:p w14:paraId="59941FE1"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100,00%</w:t>
            </w:r>
          </w:p>
        </w:tc>
      </w:tr>
    </w:tbl>
    <w:p w14:paraId="3583C649" w14:textId="77777777" w:rsidR="00B8364E" w:rsidRPr="009D6E85" w:rsidRDefault="00B8364E" w:rsidP="00B8364E">
      <w:pPr>
        <w:spacing w:after="120" w:line="276" w:lineRule="auto"/>
        <w:rPr>
          <w:rFonts w:ascii="Arial" w:eastAsia="Times New Roman" w:hAnsi="Arial" w:cs="Arial"/>
          <w:b/>
          <w:sz w:val="21"/>
          <w:szCs w:val="21"/>
          <w:lang w:eastAsia="es-ES"/>
        </w:rPr>
      </w:pPr>
    </w:p>
    <w:p w14:paraId="1B5A9F7C" w14:textId="77777777" w:rsidR="00B8364E" w:rsidRDefault="00B8364E" w:rsidP="00B8364E">
      <w:pPr>
        <w:keepNext/>
        <w:spacing w:after="120" w:line="276" w:lineRule="auto"/>
      </w:pPr>
      <w:r w:rsidRPr="009D6E85">
        <w:rPr>
          <w:rFonts w:ascii="Arial" w:eastAsia="Times New Roman" w:hAnsi="Arial" w:cs="Arial"/>
          <w:noProof/>
          <w:sz w:val="21"/>
          <w:szCs w:val="21"/>
          <w:lang w:eastAsia="es-ES"/>
        </w:rPr>
        <w:drawing>
          <wp:inline distT="0" distB="0" distL="0" distR="0" wp14:anchorId="3BD6B227" wp14:editId="367D672C">
            <wp:extent cx="5333793" cy="2828925"/>
            <wp:effectExtent l="0" t="0" r="635" b="0"/>
            <wp:docPr id="66" name="Imagen 66"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descr="Gráfico, Gráfico en cascada&#10;&#10;Descripción generada automáticamente"/>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348390" cy="2836667"/>
                    </a:xfrm>
                    <a:prstGeom prst="rect">
                      <a:avLst/>
                    </a:prstGeom>
                    <a:noFill/>
                  </pic:spPr>
                </pic:pic>
              </a:graphicData>
            </a:graphic>
          </wp:inline>
        </w:drawing>
      </w:r>
    </w:p>
    <w:p w14:paraId="7EA51E07" w14:textId="292C3941" w:rsidR="00B8364E" w:rsidRPr="009D6E85" w:rsidRDefault="00B8364E" w:rsidP="00B8364E">
      <w:pPr>
        <w:pStyle w:val="Descripcin"/>
        <w:spacing w:after="240"/>
        <w:jc w:val="center"/>
        <w:rPr>
          <w:rFonts w:ascii="Arial" w:eastAsia="Times New Roman" w:hAnsi="Arial" w:cs="Arial"/>
          <w:smallCaps w:val="0"/>
          <w:sz w:val="18"/>
          <w:szCs w:val="18"/>
          <w:lang w:eastAsia="es-ES"/>
        </w:rPr>
      </w:pPr>
      <w:bookmarkStart w:id="148" w:name="_Toc95676846"/>
      <w:bookmarkStart w:id="149" w:name="_Toc99099814"/>
      <w:r w:rsidRPr="00D655BA">
        <w:rPr>
          <w:rFonts w:ascii="Arial" w:hAnsi="Arial" w:cs="Arial"/>
          <w:smallCaps w:val="0"/>
          <w:color w:val="9D2235" w:themeColor="accent1"/>
          <w:sz w:val="18"/>
          <w:szCs w:val="18"/>
        </w:rPr>
        <w:t xml:space="preserve">Gráfico </w:t>
      </w:r>
      <w:r w:rsidRPr="00D655BA">
        <w:rPr>
          <w:rFonts w:ascii="Arial" w:hAnsi="Arial" w:cs="Arial"/>
          <w:smallCaps w:val="0"/>
          <w:color w:val="9D2235" w:themeColor="accent1"/>
          <w:sz w:val="18"/>
          <w:szCs w:val="18"/>
        </w:rPr>
        <w:fldChar w:fldCharType="begin" w:fldLock="1"/>
      </w:r>
      <w:r w:rsidRPr="00D655BA">
        <w:rPr>
          <w:rFonts w:ascii="Arial" w:hAnsi="Arial" w:cs="Arial"/>
          <w:smallCaps w:val="0"/>
          <w:color w:val="9D2235" w:themeColor="accent1"/>
          <w:sz w:val="18"/>
          <w:szCs w:val="18"/>
        </w:rPr>
        <w:instrText xml:space="preserve"> SEQ Gráfico \* ARABIC </w:instrText>
      </w:r>
      <w:r w:rsidRPr="00D655BA">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15</w:t>
      </w:r>
      <w:r w:rsidRPr="00D655BA">
        <w:rPr>
          <w:rFonts w:ascii="Arial" w:hAnsi="Arial" w:cs="Arial"/>
          <w:smallCaps w:val="0"/>
          <w:color w:val="9D2235" w:themeColor="accent1"/>
          <w:sz w:val="18"/>
          <w:szCs w:val="18"/>
        </w:rPr>
        <w:fldChar w:fldCharType="end"/>
      </w:r>
      <w:r w:rsidRPr="00D655BA">
        <w:rPr>
          <w:rFonts w:ascii="Arial" w:hAnsi="Arial" w:cs="Arial"/>
          <w:smallCaps w:val="0"/>
          <w:color w:val="9D2235" w:themeColor="accent1"/>
          <w:sz w:val="18"/>
          <w:szCs w:val="18"/>
        </w:rPr>
        <w:t xml:space="preserve">. </w:t>
      </w:r>
      <w:r w:rsidRPr="00D655BA">
        <w:rPr>
          <w:rFonts w:ascii="Arial" w:hAnsi="Arial" w:cs="Arial"/>
          <w:smallCaps w:val="0"/>
          <w:sz w:val="18"/>
          <w:szCs w:val="18"/>
        </w:rPr>
        <w:t>Denuncias presentadas según el canal de comunicación</w:t>
      </w:r>
      <w:bookmarkEnd w:id="148"/>
      <w:bookmarkEnd w:id="149"/>
    </w:p>
    <w:p w14:paraId="633F8F40" w14:textId="1F7DE569" w:rsidR="00586007" w:rsidRPr="009D6E85" w:rsidRDefault="00B8364E" w:rsidP="00B8364E">
      <w:pPr>
        <w:spacing w:after="240" w:line="276" w:lineRule="auto"/>
        <w:jc w:val="both"/>
        <w:rPr>
          <w:rFonts w:ascii="Arial" w:eastAsia="Times New Roman" w:hAnsi="Arial" w:cs="Arial"/>
          <w:sz w:val="21"/>
          <w:szCs w:val="21"/>
          <w:lang w:eastAsia="es-ES"/>
        </w:rPr>
      </w:pPr>
      <w:r w:rsidRPr="009D6E85">
        <w:rPr>
          <w:rFonts w:ascii="Arial" w:eastAsia="Times New Roman" w:hAnsi="Arial" w:cs="Arial"/>
          <w:sz w:val="21"/>
          <w:szCs w:val="21"/>
          <w:lang w:eastAsia="es-ES"/>
        </w:rPr>
        <w:t>La evolución</w:t>
      </w:r>
      <w:r>
        <w:rPr>
          <w:rFonts w:ascii="Arial" w:eastAsia="Times New Roman" w:hAnsi="Arial" w:cs="Arial"/>
          <w:sz w:val="21"/>
          <w:szCs w:val="21"/>
          <w:lang w:eastAsia="es-ES"/>
        </w:rPr>
        <w:t>,</w:t>
      </w:r>
      <w:r w:rsidRPr="009D6E85">
        <w:rPr>
          <w:rFonts w:ascii="Arial" w:eastAsia="Times New Roman" w:hAnsi="Arial" w:cs="Arial"/>
          <w:sz w:val="21"/>
          <w:szCs w:val="21"/>
          <w:lang w:eastAsia="es-ES"/>
        </w:rPr>
        <w:t xml:space="preserve"> muestra la generalización del empleo del buzón de denuncias de la Agencia para la formulación de comunicaciones y presentación de denuncias. Pasando en 2018</w:t>
      </w:r>
      <w:r>
        <w:rPr>
          <w:rFonts w:ascii="Arial" w:eastAsia="Times New Roman" w:hAnsi="Arial" w:cs="Arial"/>
          <w:sz w:val="21"/>
          <w:szCs w:val="21"/>
          <w:lang w:eastAsia="es-ES"/>
        </w:rPr>
        <w:t>,</w:t>
      </w:r>
      <w:r w:rsidRPr="009D6E85">
        <w:rPr>
          <w:rFonts w:ascii="Arial" w:eastAsia="Times New Roman" w:hAnsi="Arial" w:cs="Arial"/>
          <w:sz w:val="21"/>
          <w:szCs w:val="21"/>
          <w:lang w:eastAsia="es-ES"/>
        </w:rPr>
        <w:t xml:space="preserve"> desde su creación y puesta en funcionamiento en abril-mayo de 2018, a representar el canal de entrada del 54% de las denuncias, llegando en 2019 al 76%, en 2020 alcanzando el 85% y en 2021 representar el 89% de las denuncias, por lo que se puede afirmar que aproximadamente 9 de cada 10 denuncias se presentan por el buzón de denuncias de la Agencia. Las facilidades de uso y los estándares de seguridad y confidencialidad que la misma proporciona</w:t>
      </w:r>
      <w:r>
        <w:rPr>
          <w:rFonts w:ascii="Arial" w:eastAsia="Times New Roman" w:hAnsi="Arial" w:cs="Arial"/>
          <w:sz w:val="21"/>
          <w:szCs w:val="21"/>
          <w:lang w:eastAsia="es-ES"/>
        </w:rPr>
        <w:t>,</w:t>
      </w:r>
      <w:r w:rsidRPr="009D6E85">
        <w:rPr>
          <w:rFonts w:ascii="Arial" w:eastAsia="Times New Roman" w:hAnsi="Arial" w:cs="Arial"/>
          <w:sz w:val="21"/>
          <w:szCs w:val="21"/>
          <w:lang w:eastAsia="es-ES"/>
        </w:rPr>
        <w:t xml:space="preserve"> no pueden ser alcanzados por las otras vías contempladas para la presentación de denuncias y comunicaciones, lo que justifica el aumento exponencial en el uso preferente de este canal para la presentación de denuncias.</w:t>
      </w:r>
    </w:p>
    <w:p w14:paraId="0CD64A42" w14:textId="776D2C0A" w:rsidR="00483E19" w:rsidRPr="00483E19" w:rsidRDefault="009D6E85" w:rsidP="00AC1A12">
      <w:pPr>
        <w:pStyle w:val="Prrafodelista"/>
        <w:keepNext/>
        <w:numPr>
          <w:ilvl w:val="2"/>
          <w:numId w:val="17"/>
        </w:numPr>
        <w:spacing w:before="360" w:after="240" w:line="276" w:lineRule="auto"/>
        <w:ind w:left="426"/>
        <w:jc w:val="both"/>
        <w:outlineLvl w:val="2"/>
        <w:rPr>
          <w:rFonts w:ascii="Arial" w:eastAsia="Times New Roman" w:hAnsi="Arial" w:cs="Arial"/>
          <w:b/>
          <w:bCs/>
          <w:color w:val="9D2235" w:themeColor="accent1"/>
          <w:sz w:val="28"/>
          <w:szCs w:val="28"/>
          <w:lang w:eastAsia="es-ES"/>
        </w:rPr>
      </w:pPr>
      <w:bookmarkStart w:id="150" w:name="_Toc99107012"/>
      <w:bookmarkEnd w:id="145"/>
      <w:r>
        <w:rPr>
          <w:rFonts w:ascii="Arial" w:eastAsia="Times New Roman" w:hAnsi="Arial" w:cs="Arial"/>
          <w:b/>
          <w:bCs/>
          <w:color w:val="9D2235" w:themeColor="accent1"/>
          <w:sz w:val="28"/>
          <w:szCs w:val="28"/>
          <w:lang w:eastAsia="es-ES"/>
        </w:rPr>
        <w:t>Denuncias presentadas según el territorio de afec</w:t>
      </w:r>
      <w:r w:rsidR="001D06D6">
        <w:rPr>
          <w:rFonts w:ascii="Arial" w:eastAsia="Times New Roman" w:hAnsi="Arial" w:cs="Arial"/>
          <w:b/>
          <w:bCs/>
          <w:color w:val="9D2235" w:themeColor="accent1"/>
          <w:sz w:val="28"/>
          <w:szCs w:val="28"/>
          <w:lang w:eastAsia="es-ES"/>
        </w:rPr>
        <w:t>tación</w:t>
      </w:r>
      <w:bookmarkEnd w:id="150"/>
    </w:p>
    <w:p w14:paraId="7D9E9FAC" w14:textId="29D690D5" w:rsidR="00B8364E" w:rsidRDefault="00B8364E" w:rsidP="00B8364E">
      <w:pPr>
        <w:spacing w:after="360" w:line="276" w:lineRule="auto"/>
        <w:jc w:val="both"/>
        <w:rPr>
          <w:rFonts w:ascii="Arial" w:eastAsia="Times New Roman" w:hAnsi="Arial" w:cs="Arial"/>
          <w:sz w:val="21"/>
          <w:szCs w:val="21"/>
          <w:lang w:eastAsia="es-ES"/>
        </w:rPr>
      </w:pPr>
      <w:r w:rsidRPr="00E1484A">
        <w:rPr>
          <w:rFonts w:ascii="Arial" w:eastAsia="Times New Roman" w:hAnsi="Arial" w:cs="Arial"/>
          <w:sz w:val="21"/>
          <w:szCs w:val="21"/>
          <w:lang w:eastAsia="es-ES"/>
        </w:rPr>
        <w:t>Contempla la clasificación de las denuncias presentadas según el territorio donde se ubica la administración concretamente denunciada, realizando la clasificación por provincias o, en caso de afectar a varias provincias, haciendo referencia a la totalidad de la Comunitat Valenciana, que además aglutina las denuncias presentadas por actuaciones de la Generalitat y su sector instrumental.</w:t>
      </w:r>
    </w:p>
    <w:p w14:paraId="277EF287" w14:textId="77777777" w:rsidR="00B92728" w:rsidRDefault="00B92728" w:rsidP="00B8364E">
      <w:pPr>
        <w:spacing w:after="360" w:line="276" w:lineRule="auto"/>
        <w:jc w:val="both"/>
        <w:rPr>
          <w:rFonts w:ascii="Arial" w:eastAsia="Times New Roman" w:hAnsi="Arial" w:cs="Arial"/>
          <w:sz w:val="21"/>
          <w:szCs w:val="21"/>
          <w:lang w:eastAsia="es-ES"/>
        </w:rPr>
      </w:pPr>
    </w:p>
    <w:p w14:paraId="49608A96" w14:textId="77AF8220" w:rsidR="00B8364E" w:rsidRPr="003B7E9D" w:rsidRDefault="00B8364E" w:rsidP="00B8364E">
      <w:pPr>
        <w:pStyle w:val="Descripcin"/>
        <w:keepNext/>
        <w:spacing w:after="120"/>
        <w:rPr>
          <w:rFonts w:ascii="Arial" w:hAnsi="Arial" w:cs="Arial"/>
          <w:smallCaps w:val="0"/>
          <w:sz w:val="18"/>
          <w:szCs w:val="18"/>
        </w:rPr>
      </w:pPr>
      <w:bookmarkStart w:id="151" w:name="_Toc95676799"/>
      <w:bookmarkStart w:id="152" w:name="_Toc99107149"/>
      <w:r w:rsidRPr="003B7E9D">
        <w:rPr>
          <w:rFonts w:ascii="Arial" w:hAnsi="Arial" w:cs="Arial"/>
          <w:smallCaps w:val="0"/>
          <w:color w:val="9D2235" w:themeColor="accent1"/>
          <w:sz w:val="18"/>
          <w:szCs w:val="18"/>
        </w:rPr>
        <w:t xml:space="preserve">Tabla </w:t>
      </w:r>
      <w:r w:rsidRPr="003B7E9D">
        <w:rPr>
          <w:rFonts w:ascii="Arial" w:hAnsi="Arial" w:cs="Arial"/>
          <w:smallCaps w:val="0"/>
          <w:color w:val="9D2235" w:themeColor="accent1"/>
          <w:sz w:val="18"/>
          <w:szCs w:val="18"/>
        </w:rPr>
        <w:fldChar w:fldCharType="begin" w:fldLock="1"/>
      </w:r>
      <w:r w:rsidRPr="003B7E9D">
        <w:rPr>
          <w:rFonts w:ascii="Arial" w:hAnsi="Arial" w:cs="Arial"/>
          <w:smallCaps w:val="0"/>
          <w:color w:val="9D2235" w:themeColor="accent1"/>
          <w:sz w:val="18"/>
          <w:szCs w:val="18"/>
        </w:rPr>
        <w:instrText xml:space="preserve"> SEQ Tabla \* ARABIC </w:instrText>
      </w:r>
      <w:r w:rsidRPr="003B7E9D">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11</w:t>
      </w:r>
      <w:r w:rsidRPr="003B7E9D">
        <w:rPr>
          <w:rFonts w:ascii="Arial" w:hAnsi="Arial" w:cs="Arial"/>
          <w:smallCaps w:val="0"/>
          <w:color w:val="9D2235" w:themeColor="accent1"/>
          <w:sz w:val="18"/>
          <w:szCs w:val="18"/>
        </w:rPr>
        <w:fldChar w:fldCharType="end"/>
      </w:r>
      <w:r w:rsidRPr="003B7E9D">
        <w:rPr>
          <w:rFonts w:ascii="Arial" w:hAnsi="Arial" w:cs="Arial"/>
          <w:smallCaps w:val="0"/>
          <w:color w:val="9D2235" w:themeColor="accent1"/>
          <w:sz w:val="18"/>
          <w:szCs w:val="18"/>
        </w:rPr>
        <w:t xml:space="preserve">. </w:t>
      </w:r>
      <w:r w:rsidRPr="003B7E9D">
        <w:rPr>
          <w:rFonts w:ascii="Arial" w:hAnsi="Arial" w:cs="Arial"/>
          <w:smallCaps w:val="0"/>
          <w:sz w:val="18"/>
          <w:szCs w:val="18"/>
        </w:rPr>
        <w:t>Denuncias presentadas según el territorio de afec</w:t>
      </w:r>
      <w:bookmarkEnd w:id="151"/>
      <w:r w:rsidR="001D06D6">
        <w:rPr>
          <w:rFonts w:ascii="Arial" w:hAnsi="Arial" w:cs="Arial"/>
          <w:smallCaps w:val="0"/>
          <w:sz w:val="18"/>
          <w:szCs w:val="18"/>
        </w:rPr>
        <w:t>tación</w:t>
      </w:r>
      <w:bookmarkEnd w:id="152"/>
    </w:p>
    <w:tbl>
      <w:tblPr>
        <w:tblW w:w="5000" w:type="pct"/>
        <w:tblCellMar>
          <w:left w:w="70" w:type="dxa"/>
          <w:right w:w="70" w:type="dxa"/>
        </w:tblCellMar>
        <w:tblLook w:val="04A0" w:firstRow="1" w:lastRow="0" w:firstColumn="1" w:lastColumn="0" w:noHBand="0" w:noVBand="1"/>
      </w:tblPr>
      <w:tblGrid>
        <w:gridCol w:w="1891"/>
        <w:gridCol w:w="320"/>
        <w:gridCol w:w="893"/>
        <w:gridCol w:w="465"/>
        <w:gridCol w:w="891"/>
        <w:gridCol w:w="452"/>
        <w:gridCol w:w="868"/>
        <w:gridCol w:w="466"/>
        <w:gridCol w:w="891"/>
        <w:gridCol w:w="466"/>
        <w:gridCol w:w="891"/>
      </w:tblGrid>
      <w:tr w:rsidR="00B8364E" w:rsidRPr="00576FB9" w14:paraId="349C1C5F" w14:textId="77777777" w:rsidTr="009F574A">
        <w:trPr>
          <w:trHeight w:val="300"/>
        </w:trPr>
        <w:tc>
          <w:tcPr>
            <w:tcW w:w="1094" w:type="pct"/>
            <w:vMerge w:val="restart"/>
            <w:tcBorders>
              <w:top w:val="single" w:sz="4" w:space="0" w:color="auto"/>
              <w:left w:val="single" w:sz="4" w:space="0" w:color="auto"/>
              <w:bottom w:val="single" w:sz="4" w:space="0" w:color="000000"/>
              <w:right w:val="single" w:sz="4" w:space="0" w:color="auto"/>
            </w:tcBorders>
            <w:shd w:val="clear" w:color="000000" w:fill="B6A39A"/>
            <w:noWrap/>
            <w:vAlign w:val="center"/>
            <w:hideMark/>
          </w:tcPr>
          <w:p w14:paraId="17B17523"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ÁMBITO TERRITORIAL</w:t>
            </w:r>
          </w:p>
        </w:tc>
        <w:tc>
          <w:tcPr>
            <w:tcW w:w="718" w:type="pct"/>
            <w:gridSpan w:val="2"/>
            <w:tcBorders>
              <w:top w:val="single" w:sz="4" w:space="0" w:color="auto"/>
              <w:left w:val="nil"/>
              <w:bottom w:val="single" w:sz="4" w:space="0" w:color="auto"/>
              <w:right w:val="single" w:sz="4" w:space="0" w:color="000000"/>
            </w:tcBorders>
            <w:shd w:val="clear" w:color="000000" w:fill="B6A39A"/>
            <w:noWrap/>
            <w:vAlign w:val="bottom"/>
            <w:hideMark/>
          </w:tcPr>
          <w:p w14:paraId="0DE76EA0"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2017</w:t>
            </w:r>
          </w:p>
        </w:tc>
        <w:tc>
          <w:tcPr>
            <w:tcW w:w="802" w:type="pct"/>
            <w:gridSpan w:val="2"/>
            <w:tcBorders>
              <w:top w:val="single" w:sz="4" w:space="0" w:color="auto"/>
              <w:left w:val="nil"/>
              <w:bottom w:val="single" w:sz="4" w:space="0" w:color="auto"/>
              <w:right w:val="single" w:sz="4" w:space="0" w:color="000000"/>
            </w:tcBorders>
            <w:shd w:val="clear" w:color="000000" w:fill="B6A39A"/>
            <w:noWrap/>
            <w:vAlign w:val="bottom"/>
            <w:hideMark/>
          </w:tcPr>
          <w:p w14:paraId="028B985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2018</w:t>
            </w:r>
          </w:p>
        </w:tc>
        <w:tc>
          <w:tcPr>
            <w:tcW w:w="781" w:type="pct"/>
            <w:gridSpan w:val="2"/>
            <w:tcBorders>
              <w:top w:val="single" w:sz="4" w:space="0" w:color="auto"/>
              <w:left w:val="nil"/>
              <w:bottom w:val="single" w:sz="4" w:space="0" w:color="auto"/>
              <w:right w:val="single" w:sz="4" w:space="0" w:color="000000"/>
            </w:tcBorders>
            <w:shd w:val="clear" w:color="000000" w:fill="B6A39A"/>
            <w:noWrap/>
            <w:vAlign w:val="bottom"/>
            <w:hideMark/>
          </w:tcPr>
          <w:p w14:paraId="4060F004"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2019</w:t>
            </w:r>
          </w:p>
        </w:tc>
        <w:tc>
          <w:tcPr>
            <w:tcW w:w="802" w:type="pct"/>
            <w:gridSpan w:val="2"/>
            <w:tcBorders>
              <w:top w:val="single" w:sz="4" w:space="0" w:color="auto"/>
              <w:left w:val="nil"/>
              <w:bottom w:val="single" w:sz="4" w:space="0" w:color="auto"/>
              <w:right w:val="single" w:sz="4" w:space="0" w:color="000000"/>
            </w:tcBorders>
            <w:shd w:val="clear" w:color="000000" w:fill="B6A39A"/>
            <w:noWrap/>
            <w:vAlign w:val="bottom"/>
            <w:hideMark/>
          </w:tcPr>
          <w:p w14:paraId="61E4A730"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2020</w:t>
            </w:r>
          </w:p>
        </w:tc>
        <w:tc>
          <w:tcPr>
            <w:tcW w:w="803" w:type="pct"/>
            <w:gridSpan w:val="2"/>
            <w:tcBorders>
              <w:top w:val="single" w:sz="4" w:space="0" w:color="auto"/>
              <w:left w:val="nil"/>
              <w:bottom w:val="single" w:sz="4" w:space="0" w:color="auto"/>
              <w:right w:val="single" w:sz="4" w:space="0" w:color="000000"/>
            </w:tcBorders>
            <w:shd w:val="clear" w:color="000000" w:fill="B6A39A"/>
            <w:noWrap/>
            <w:vAlign w:val="bottom"/>
            <w:hideMark/>
          </w:tcPr>
          <w:p w14:paraId="1BEED63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2021</w:t>
            </w:r>
          </w:p>
        </w:tc>
      </w:tr>
      <w:tr w:rsidR="00B8364E" w:rsidRPr="00576FB9" w14:paraId="589E1A45" w14:textId="77777777" w:rsidTr="009F574A">
        <w:trPr>
          <w:trHeight w:val="300"/>
        </w:trPr>
        <w:tc>
          <w:tcPr>
            <w:tcW w:w="1094" w:type="pct"/>
            <w:vMerge/>
            <w:tcBorders>
              <w:top w:val="single" w:sz="4" w:space="0" w:color="auto"/>
              <w:left w:val="single" w:sz="4" w:space="0" w:color="auto"/>
              <w:bottom w:val="single" w:sz="4" w:space="0" w:color="000000"/>
              <w:right w:val="single" w:sz="4" w:space="0" w:color="auto"/>
            </w:tcBorders>
            <w:vAlign w:val="center"/>
            <w:hideMark/>
          </w:tcPr>
          <w:p w14:paraId="63F94B0A"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p>
        </w:tc>
        <w:tc>
          <w:tcPr>
            <w:tcW w:w="191" w:type="pct"/>
            <w:tcBorders>
              <w:top w:val="nil"/>
              <w:left w:val="nil"/>
              <w:bottom w:val="single" w:sz="4" w:space="0" w:color="auto"/>
              <w:right w:val="single" w:sz="4" w:space="0" w:color="auto"/>
            </w:tcBorders>
            <w:shd w:val="clear" w:color="000000" w:fill="B6A39A"/>
            <w:noWrap/>
            <w:vAlign w:val="bottom"/>
            <w:hideMark/>
          </w:tcPr>
          <w:p w14:paraId="6DC0B95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 </w:t>
            </w:r>
          </w:p>
        </w:tc>
        <w:tc>
          <w:tcPr>
            <w:tcW w:w="528" w:type="pct"/>
            <w:tcBorders>
              <w:top w:val="nil"/>
              <w:left w:val="nil"/>
              <w:bottom w:val="single" w:sz="4" w:space="0" w:color="auto"/>
              <w:right w:val="single" w:sz="4" w:space="0" w:color="auto"/>
            </w:tcBorders>
            <w:shd w:val="clear" w:color="000000" w:fill="B6A39A"/>
            <w:noWrap/>
            <w:vAlign w:val="bottom"/>
            <w:hideMark/>
          </w:tcPr>
          <w:p w14:paraId="159412DC"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276" w:type="pct"/>
            <w:tcBorders>
              <w:top w:val="nil"/>
              <w:left w:val="nil"/>
              <w:bottom w:val="single" w:sz="4" w:space="0" w:color="auto"/>
              <w:right w:val="single" w:sz="4" w:space="0" w:color="auto"/>
            </w:tcBorders>
            <w:shd w:val="clear" w:color="000000" w:fill="B6A39A"/>
            <w:noWrap/>
            <w:vAlign w:val="bottom"/>
            <w:hideMark/>
          </w:tcPr>
          <w:p w14:paraId="6CA42EF4"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 </w:t>
            </w:r>
          </w:p>
        </w:tc>
        <w:tc>
          <w:tcPr>
            <w:tcW w:w="526" w:type="pct"/>
            <w:tcBorders>
              <w:top w:val="nil"/>
              <w:left w:val="nil"/>
              <w:bottom w:val="single" w:sz="4" w:space="0" w:color="auto"/>
              <w:right w:val="single" w:sz="4" w:space="0" w:color="auto"/>
            </w:tcBorders>
            <w:shd w:val="clear" w:color="000000" w:fill="B6A39A"/>
            <w:noWrap/>
            <w:vAlign w:val="bottom"/>
            <w:hideMark/>
          </w:tcPr>
          <w:p w14:paraId="71AA26D9"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268" w:type="pct"/>
            <w:tcBorders>
              <w:top w:val="nil"/>
              <w:left w:val="nil"/>
              <w:bottom w:val="single" w:sz="4" w:space="0" w:color="auto"/>
              <w:right w:val="single" w:sz="4" w:space="0" w:color="auto"/>
            </w:tcBorders>
            <w:shd w:val="clear" w:color="000000" w:fill="B6A39A"/>
            <w:noWrap/>
            <w:vAlign w:val="bottom"/>
            <w:hideMark/>
          </w:tcPr>
          <w:p w14:paraId="27A1355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 </w:t>
            </w:r>
          </w:p>
        </w:tc>
        <w:tc>
          <w:tcPr>
            <w:tcW w:w="512" w:type="pct"/>
            <w:tcBorders>
              <w:top w:val="nil"/>
              <w:left w:val="nil"/>
              <w:bottom w:val="single" w:sz="4" w:space="0" w:color="auto"/>
              <w:right w:val="single" w:sz="4" w:space="0" w:color="auto"/>
            </w:tcBorders>
            <w:shd w:val="clear" w:color="000000" w:fill="B6A39A"/>
            <w:noWrap/>
            <w:vAlign w:val="bottom"/>
            <w:hideMark/>
          </w:tcPr>
          <w:p w14:paraId="6E89053A"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276" w:type="pct"/>
            <w:tcBorders>
              <w:top w:val="nil"/>
              <w:left w:val="nil"/>
              <w:bottom w:val="single" w:sz="4" w:space="0" w:color="auto"/>
              <w:right w:val="single" w:sz="4" w:space="0" w:color="auto"/>
            </w:tcBorders>
            <w:shd w:val="clear" w:color="000000" w:fill="B6A39A"/>
            <w:noWrap/>
            <w:vAlign w:val="bottom"/>
            <w:hideMark/>
          </w:tcPr>
          <w:p w14:paraId="199A771C"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 </w:t>
            </w:r>
          </w:p>
        </w:tc>
        <w:tc>
          <w:tcPr>
            <w:tcW w:w="526" w:type="pct"/>
            <w:tcBorders>
              <w:top w:val="nil"/>
              <w:left w:val="nil"/>
              <w:bottom w:val="single" w:sz="4" w:space="0" w:color="auto"/>
              <w:right w:val="single" w:sz="4" w:space="0" w:color="auto"/>
            </w:tcBorders>
            <w:shd w:val="clear" w:color="000000" w:fill="B6A39A"/>
            <w:noWrap/>
            <w:vAlign w:val="bottom"/>
            <w:hideMark/>
          </w:tcPr>
          <w:p w14:paraId="55D83C85"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276" w:type="pct"/>
            <w:tcBorders>
              <w:top w:val="nil"/>
              <w:left w:val="nil"/>
              <w:bottom w:val="single" w:sz="4" w:space="0" w:color="auto"/>
              <w:right w:val="single" w:sz="4" w:space="0" w:color="auto"/>
            </w:tcBorders>
            <w:shd w:val="clear" w:color="000000" w:fill="B6A39A"/>
            <w:noWrap/>
            <w:vAlign w:val="bottom"/>
            <w:hideMark/>
          </w:tcPr>
          <w:p w14:paraId="6396A1D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 </w:t>
            </w:r>
          </w:p>
        </w:tc>
        <w:tc>
          <w:tcPr>
            <w:tcW w:w="526" w:type="pct"/>
            <w:tcBorders>
              <w:top w:val="nil"/>
              <w:left w:val="nil"/>
              <w:bottom w:val="single" w:sz="4" w:space="0" w:color="auto"/>
              <w:right w:val="single" w:sz="4" w:space="0" w:color="auto"/>
            </w:tcBorders>
            <w:shd w:val="clear" w:color="000000" w:fill="B6A39A"/>
            <w:noWrap/>
            <w:vAlign w:val="bottom"/>
            <w:hideMark/>
          </w:tcPr>
          <w:p w14:paraId="24CC9C8A"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r>
      <w:tr w:rsidR="00B8364E" w:rsidRPr="00576FB9" w14:paraId="359F9D4F" w14:textId="77777777" w:rsidTr="009F574A">
        <w:trPr>
          <w:trHeight w:val="300"/>
        </w:trPr>
        <w:tc>
          <w:tcPr>
            <w:tcW w:w="1094" w:type="pct"/>
            <w:tcBorders>
              <w:top w:val="nil"/>
              <w:left w:val="single" w:sz="4" w:space="0" w:color="auto"/>
              <w:bottom w:val="single" w:sz="4" w:space="0" w:color="auto"/>
              <w:right w:val="single" w:sz="4" w:space="0" w:color="auto"/>
            </w:tcBorders>
            <w:shd w:val="clear" w:color="auto" w:fill="auto"/>
            <w:noWrap/>
            <w:vAlign w:val="bottom"/>
            <w:hideMark/>
          </w:tcPr>
          <w:p w14:paraId="4462B57D" w14:textId="77777777" w:rsidR="00B8364E" w:rsidRPr="00576FB9" w:rsidRDefault="00B8364E" w:rsidP="009F574A">
            <w:pPr>
              <w:spacing w:after="0" w:line="240" w:lineRule="auto"/>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Alicante</w:t>
            </w:r>
          </w:p>
        </w:tc>
        <w:tc>
          <w:tcPr>
            <w:tcW w:w="191" w:type="pct"/>
            <w:tcBorders>
              <w:top w:val="nil"/>
              <w:left w:val="nil"/>
              <w:bottom w:val="single" w:sz="4" w:space="0" w:color="auto"/>
              <w:right w:val="single" w:sz="4" w:space="0" w:color="auto"/>
            </w:tcBorders>
            <w:shd w:val="clear" w:color="auto" w:fill="auto"/>
            <w:noWrap/>
            <w:vAlign w:val="bottom"/>
            <w:hideMark/>
          </w:tcPr>
          <w:p w14:paraId="19D94FE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7</w:t>
            </w:r>
          </w:p>
        </w:tc>
        <w:tc>
          <w:tcPr>
            <w:tcW w:w="528" w:type="pct"/>
            <w:tcBorders>
              <w:top w:val="nil"/>
              <w:left w:val="nil"/>
              <w:bottom w:val="single" w:sz="4" w:space="0" w:color="auto"/>
              <w:right w:val="single" w:sz="4" w:space="0" w:color="auto"/>
            </w:tcBorders>
            <w:shd w:val="clear" w:color="auto" w:fill="auto"/>
            <w:noWrap/>
            <w:vAlign w:val="bottom"/>
            <w:hideMark/>
          </w:tcPr>
          <w:p w14:paraId="40DA51E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20,00%</w:t>
            </w:r>
          </w:p>
        </w:tc>
        <w:tc>
          <w:tcPr>
            <w:tcW w:w="276" w:type="pct"/>
            <w:tcBorders>
              <w:top w:val="nil"/>
              <w:left w:val="nil"/>
              <w:bottom w:val="single" w:sz="4" w:space="0" w:color="auto"/>
              <w:right w:val="single" w:sz="4" w:space="0" w:color="auto"/>
            </w:tcBorders>
            <w:shd w:val="clear" w:color="auto" w:fill="auto"/>
            <w:noWrap/>
            <w:vAlign w:val="bottom"/>
            <w:hideMark/>
          </w:tcPr>
          <w:p w14:paraId="12855C6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34</w:t>
            </w:r>
          </w:p>
        </w:tc>
        <w:tc>
          <w:tcPr>
            <w:tcW w:w="526" w:type="pct"/>
            <w:tcBorders>
              <w:top w:val="nil"/>
              <w:left w:val="nil"/>
              <w:bottom w:val="single" w:sz="4" w:space="0" w:color="auto"/>
              <w:right w:val="single" w:sz="4" w:space="0" w:color="auto"/>
            </w:tcBorders>
            <w:shd w:val="clear" w:color="auto" w:fill="auto"/>
            <w:noWrap/>
            <w:vAlign w:val="bottom"/>
            <w:hideMark/>
          </w:tcPr>
          <w:p w14:paraId="2137499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18,78%</w:t>
            </w:r>
          </w:p>
        </w:tc>
        <w:tc>
          <w:tcPr>
            <w:tcW w:w="268" w:type="pct"/>
            <w:tcBorders>
              <w:top w:val="nil"/>
              <w:left w:val="nil"/>
              <w:bottom w:val="single" w:sz="4" w:space="0" w:color="auto"/>
              <w:right w:val="single" w:sz="4" w:space="0" w:color="auto"/>
            </w:tcBorders>
            <w:shd w:val="clear" w:color="auto" w:fill="auto"/>
            <w:noWrap/>
            <w:vAlign w:val="bottom"/>
            <w:hideMark/>
          </w:tcPr>
          <w:p w14:paraId="610FF69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40</w:t>
            </w:r>
          </w:p>
        </w:tc>
        <w:tc>
          <w:tcPr>
            <w:tcW w:w="512" w:type="pct"/>
            <w:tcBorders>
              <w:top w:val="nil"/>
              <w:left w:val="nil"/>
              <w:bottom w:val="single" w:sz="4" w:space="0" w:color="auto"/>
              <w:right w:val="single" w:sz="4" w:space="0" w:color="auto"/>
            </w:tcBorders>
            <w:shd w:val="clear" w:color="auto" w:fill="auto"/>
            <w:noWrap/>
            <w:vAlign w:val="bottom"/>
            <w:hideMark/>
          </w:tcPr>
          <w:p w14:paraId="3C73973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23,81%</w:t>
            </w:r>
          </w:p>
        </w:tc>
        <w:tc>
          <w:tcPr>
            <w:tcW w:w="276" w:type="pct"/>
            <w:tcBorders>
              <w:top w:val="nil"/>
              <w:left w:val="nil"/>
              <w:bottom w:val="single" w:sz="4" w:space="0" w:color="auto"/>
              <w:right w:val="single" w:sz="4" w:space="0" w:color="auto"/>
            </w:tcBorders>
            <w:shd w:val="clear" w:color="auto" w:fill="auto"/>
            <w:noWrap/>
            <w:vAlign w:val="bottom"/>
            <w:hideMark/>
          </w:tcPr>
          <w:p w14:paraId="397CA75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70</w:t>
            </w:r>
          </w:p>
        </w:tc>
        <w:tc>
          <w:tcPr>
            <w:tcW w:w="526" w:type="pct"/>
            <w:tcBorders>
              <w:top w:val="nil"/>
              <w:left w:val="nil"/>
              <w:bottom w:val="single" w:sz="4" w:space="0" w:color="auto"/>
              <w:right w:val="single" w:sz="4" w:space="0" w:color="auto"/>
            </w:tcBorders>
            <w:shd w:val="clear" w:color="auto" w:fill="auto"/>
            <w:noWrap/>
            <w:vAlign w:val="bottom"/>
            <w:hideMark/>
          </w:tcPr>
          <w:p w14:paraId="7E2D963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30,97%</w:t>
            </w:r>
          </w:p>
        </w:tc>
        <w:tc>
          <w:tcPr>
            <w:tcW w:w="276" w:type="pct"/>
            <w:tcBorders>
              <w:top w:val="nil"/>
              <w:left w:val="nil"/>
              <w:bottom w:val="single" w:sz="4" w:space="0" w:color="auto"/>
              <w:right w:val="single" w:sz="4" w:space="0" w:color="auto"/>
            </w:tcBorders>
            <w:shd w:val="clear" w:color="auto" w:fill="auto"/>
            <w:noWrap/>
            <w:vAlign w:val="bottom"/>
            <w:hideMark/>
          </w:tcPr>
          <w:p w14:paraId="35E7B5D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102</w:t>
            </w:r>
          </w:p>
        </w:tc>
        <w:tc>
          <w:tcPr>
            <w:tcW w:w="526" w:type="pct"/>
            <w:tcBorders>
              <w:top w:val="nil"/>
              <w:left w:val="nil"/>
              <w:bottom w:val="single" w:sz="4" w:space="0" w:color="auto"/>
              <w:right w:val="single" w:sz="4" w:space="0" w:color="auto"/>
            </w:tcBorders>
            <w:shd w:val="clear" w:color="auto" w:fill="auto"/>
            <w:noWrap/>
            <w:vAlign w:val="bottom"/>
            <w:hideMark/>
          </w:tcPr>
          <w:p w14:paraId="15388DA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28,41%</w:t>
            </w:r>
          </w:p>
        </w:tc>
      </w:tr>
      <w:tr w:rsidR="00B8364E" w:rsidRPr="00576FB9" w14:paraId="29F9690E" w14:textId="77777777" w:rsidTr="009F574A">
        <w:trPr>
          <w:trHeight w:val="300"/>
        </w:trPr>
        <w:tc>
          <w:tcPr>
            <w:tcW w:w="1094" w:type="pct"/>
            <w:tcBorders>
              <w:top w:val="nil"/>
              <w:left w:val="single" w:sz="4" w:space="0" w:color="auto"/>
              <w:bottom w:val="single" w:sz="4" w:space="0" w:color="auto"/>
              <w:right w:val="single" w:sz="4" w:space="0" w:color="auto"/>
            </w:tcBorders>
            <w:shd w:val="clear" w:color="auto" w:fill="auto"/>
            <w:noWrap/>
            <w:vAlign w:val="bottom"/>
            <w:hideMark/>
          </w:tcPr>
          <w:p w14:paraId="47629E6A" w14:textId="77777777" w:rsidR="00B8364E" w:rsidRPr="00576FB9" w:rsidRDefault="00B8364E" w:rsidP="009F574A">
            <w:pPr>
              <w:spacing w:after="0" w:line="240" w:lineRule="auto"/>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Castelló</w:t>
            </w:r>
          </w:p>
        </w:tc>
        <w:tc>
          <w:tcPr>
            <w:tcW w:w="191" w:type="pct"/>
            <w:tcBorders>
              <w:top w:val="nil"/>
              <w:left w:val="nil"/>
              <w:bottom w:val="single" w:sz="4" w:space="0" w:color="auto"/>
              <w:right w:val="single" w:sz="4" w:space="0" w:color="auto"/>
            </w:tcBorders>
            <w:shd w:val="clear" w:color="auto" w:fill="auto"/>
            <w:noWrap/>
            <w:vAlign w:val="bottom"/>
            <w:hideMark/>
          </w:tcPr>
          <w:p w14:paraId="2D64239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528" w:type="pct"/>
            <w:tcBorders>
              <w:top w:val="nil"/>
              <w:left w:val="nil"/>
              <w:bottom w:val="single" w:sz="4" w:space="0" w:color="auto"/>
              <w:right w:val="single" w:sz="4" w:space="0" w:color="auto"/>
            </w:tcBorders>
            <w:shd w:val="clear" w:color="auto" w:fill="auto"/>
            <w:noWrap/>
            <w:vAlign w:val="bottom"/>
            <w:hideMark/>
          </w:tcPr>
          <w:p w14:paraId="75B75FC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0,00%</w:t>
            </w:r>
          </w:p>
        </w:tc>
        <w:tc>
          <w:tcPr>
            <w:tcW w:w="276" w:type="pct"/>
            <w:tcBorders>
              <w:top w:val="nil"/>
              <w:left w:val="nil"/>
              <w:bottom w:val="single" w:sz="4" w:space="0" w:color="auto"/>
              <w:right w:val="single" w:sz="4" w:space="0" w:color="auto"/>
            </w:tcBorders>
            <w:shd w:val="clear" w:color="auto" w:fill="auto"/>
            <w:noWrap/>
            <w:vAlign w:val="bottom"/>
            <w:hideMark/>
          </w:tcPr>
          <w:p w14:paraId="16E341E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20</w:t>
            </w:r>
          </w:p>
        </w:tc>
        <w:tc>
          <w:tcPr>
            <w:tcW w:w="526" w:type="pct"/>
            <w:tcBorders>
              <w:top w:val="nil"/>
              <w:left w:val="nil"/>
              <w:bottom w:val="single" w:sz="4" w:space="0" w:color="auto"/>
              <w:right w:val="single" w:sz="4" w:space="0" w:color="auto"/>
            </w:tcBorders>
            <w:shd w:val="clear" w:color="auto" w:fill="auto"/>
            <w:noWrap/>
            <w:vAlign w:val="bottom"/>
            <w:hideMark/>
          </w:tcPr>
          <w:p w14:paraId="2763C2F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11,05%</w:t>
            </w:r>
          </w:p>
        </w:tc>
        <w:tc>
          <w:tcPr>
            <w:tcW w:w="268" w:type="pct"/>
            <w:tcBorders>
              <w:top w:val="nil"/>
              <w:left w:val="nil"/>
              <w:bottom w:val="single" w:sz="4" w:space="0" w:color="auto"/>
              <w:right w:val="single" w:sz="4" w:space="0" w:color="auto"/>
            </w:tcBorders>
            <w:shd w:val="clear" w:color="auto" w:fill="auto"/>
            <w:noWrap/>
            <w:vAlign w:val="bottom"/>
            <w:hideMark/>
          </w:tcPr>
          <w:p w14:paraId="393A355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17</w:t>
            </w:r>
          </w:p>
        </w:tc>
        <w:tc>
          <w:tcPr>
            <w:tcW w:w="512" w:type="pct"/>
            <w:tcBorders>
              <w:top w:val="nil"/>
              <w:left w:val="nil"/>
              <w:bottom w:val="single" w:sz="4" w:space="0" w:color="auto"/>
              <w:right w:val="single" w:sz="4" w:space="0" w:color="auto"/>
            </w:tcBorders>
            <w:shd w:val="clear" w:color="auto" w:fill="auto"/>
            <w:noWrap/>
            <w:vAlign w:val="bottom"/>
            <w:hideMark/>
          </w:tcPr>
          <w:p w14:paraId="091E629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10,12%</w:t>
            </w:r>
          </w:p>
        </w:tc>
        <w:tc>
          <w:tcPr>
            <w:tcW w:w="276" w:type="pct"/>
            <w:tcBorders>
              <w:top w:val="nil"/>
              <w:left w:val="nil"/>
              <w:bottom w:val="single" w:sz="4" w:space="0" w:color="auto"/>
              <w:right w:val="single" w:sz="4" w:space="0" w:color="auto"/>
            </w:tcBorders>
            <w:shd w:val="clear" w:color="auto" w:fill="auto"/>
            <w:noWrap/>
            <w:vAlign w:val="bottom"/>
            <w:hideMark/>
          </w:tcPr>
          <w:p w14:paraId="6DB915F7"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15</w:t>
            </w:r>
          </w:p>
        </w:tc>
        <w:tc>
          <w:tcPr>
            <w:tcW w:w="526" w:type="pct"/>
            <w:tcBorders>
              <w:top w:val="nil"/>
              <w:left w:val="nil"/>
              <w:bottom w:val="single" w:sz="4" w:space="0" w:color="auto"/>
              <w:right w:val="single" w:sz="4" w:space="0" w:color="auto"/>
            </w:tcBorders>
            <w:shd w:val="clear" w:color="auto" w:fill="auto"/>
            <w:noWrap/>
            <w:vAlign w:val="bottom"/>
            <w:hideMark/>
          </w:tcPr>
          <w:p w14:paraId="708CA02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6,64%</w:t>
            </w:r>
          </w:p>
        </w:tc>
        <w:tc>
          <w:tcPr>
            <w:tcW w:w="276" w:type="pct"/>
            <w:tcBorders>
              <w:top w:val="nil"/>
              <w:left w:val="nil"/>
              <w:bottom w:val="single" w:sz="4" w:space="0" w:color="auto"/>
              <w:right w:val="single" w:sz="4" w:space="0" w:color="auto"/>
            </w:tcBorders>
            <w:shd w:val="clear" w:color="auto" w:fill="auto"/>
            <w:noWrap/>
            <w:vAlign w:val="bottom"/>
            <w:hideMark/>
          </w:tcPr>
          <w:p w14:paraId="5DE83ED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19</w:t>
            </w:r>
          </w:p>
        </w:tc>
        <w:tc>
          <w:tcPr>
            <w:tcW w:w="526" w:type="pct"/>
            <w:tcBorders>
              <w:top w:val="nil"/>
              <w:left w:val="nil"/>
              <w:bottom w:val="single" w:sz="4" w:space="0" w:color="auto"/>
              <w:right w:val="single" w:sz="4" w:space="0" w:color="auto"/>
            </w:tcBorders>
            <w:shd w:val="clear" w:color="auto" w:fill="auto"/>
            <w:noWrap/>
            <w:vAlign w:val="bottom"/>
            <w:hideMark/>
          </w:tcPr>
          <w:p w14:paraId="31BFE67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5,29%</w:t>
            </w:r>
          </w:p>
        </w:tc>
      </w:tr>
      <w:tr w:rsidR="00B8364E" w:rsidRPr="00576FB9" w14:paraId="2C6EA1CB" w14:textId="77777777" w:rsidTr="009F574A">
        <w:trPr>
          <w:trHeight w:val="300"/>
        </w:trPr>
        <w:tc>
          <w:tcPr>
            <w:tcW w:w="1094" w:type="pct"/>
            <w:tcBorders>
              <w:top w:val="nil"/>
              <w:left w:val="single" w:sz="4" w:space="0" w:color="auto"/>
              <w:bottom w:val="single" w:sz="4" w:space="0" w:color="auto"/>
              <w:right w:val="single" w:sz="4" w:space="0" w:color="auto"/>
            </w:tcBorders>
            <w:shd w:val="clear" w:color="auto" w:fill="auto"/>
            <w:noWrap/>
            <w:vAlign w:val="bottom"/>
            <w:hideMark/>
          </w:tcPr>
          <w:p w14:paraId="6040014C" w14:textId="77777777" w:rsidR="00B8364E" w:rsidRPr="00576FB9" w:rsidRDefault="00B8364E" w:rsidP="009F574A">
            <w:pPr>
              <w:spacing w:after="0" w:line="240" w:lineRule="auto"/>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Val</w:t>
            </w:r>
            <w:r>
              <w:rPr>
                <w:rFonts w:ascii="Arial" w:eastAsia="Times New Roman" w:hAnsi="Arial" w:cs="Arial"/>
                <w:color w:val="000000"/>
                <w:sz w:val="16"/>
                <w:szCs w:val="16"/>
                <w:lang w:eastAsia="es-ES"/>
              </w:rPr>
              <w:t>e</w:t>
            </w:r>
            <w:r w:rsidRPr="00576FB9">
              <w:rPr>
                <w:rFonts w:ascii="Arial" w:eastAsia="Times New Roman" w:hAnsi="Arial" w:cs="Arial"/>
                <w:color w:val="000000"/>
                <w:sz w:val="16"/>
                <w:szCs w:val="16"/>
                <w:lang w:eastAsia="es-ES"/>
              </w:rPr>
              <w:t>ncia</w:t>
            </w:r>
          </w:p>
        </w:tc>
        <w:tc>
          <w:tcPr>
            <w:tcW w:w="191" w:type="pct"/>
            <w:tcBorders>
              <w:top w:val="nil"/>
              <w:left w:val="nil"/>
              <w:bottom w:val="single" w:sz="4" w:space="0" w:color="auto"/>
              <w:right w:val="single" w:sz="4" w:space="0" w:color="auto"/>
            </w:tcBorders>
            <w:shd w:val="clear" w:color="auto" w:fill="auto"/>
            <w:noWrap/>
            <w:vAlign w:val="bottom"/>
            <w:hideMark/>
          </w:tcPr>
          <w:p w14:paraId="127E97D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20</w:t>
            </w:r>
          </w:p>
        </w:tc>
        <w:tc>
          <w:tcPr>
            <w:tcW w:w="528" w:type="pct"/>
            <w:tcBorders>
              <w:top w:val="nil"/>
              <w:left w:val="nil"/>
              <w:bottom w:val="single" w:sz="4" w:space="0" w:color="auto"/>
              <w:right w:val="single" w:sz="4" w:space="0" w:color="auto"/>
            </w:tcBorders>
            <w:shd w:val="clear" w:color="auto" w:fill="auto"/>
            <w:noWrap/>
            <w:vAlign w:val="bottom"/>
            <w:hideMark/>
          </w:tcPr>
          <w:p w14:paraId="1D9363F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57,14%</w:t>
            </w:r>
          </w:p>
        </w:tc>
        <w:tc>
          <w:tcPr>
            <w:tcW w:w="276" w:type="pct"/>
            <w:tcBorders>
              <w:top w:val="nil"/>
              <w:left w:val="nil"/>
              <w:bottom w:val="single" w:sz="4" w:space="0" w:color="auto"/>
              <w:right w:val="single" w:sz="4" w:space="0" w:color="auto"/>
            </w:tcBorders>
            <w:shd w:val="clear" w:color="auto" w:fill="auto"/>
            <w:noWrap/>
            <w:vAlign w:val="bottom"/>
            <w:hideMark/>
          </w:tcPr>
          <w:p w14:paraId="3A6F3DF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96</w:t>
            </w:r>
          </w:p>
        </w:tc>
        <w:tc>
          <w:tcPr>
            <w:tcW w:w="526" w:type="pct"/>
            <w:tcBorders>
              <w:top w:val="nil"/>
              <w:left w:val="nil"/>
              <w:bottom w:val="single" w:sz="4" w:space="0" w:color="auto"/>
              <w:right w:val="single" w:sz="4" w:space="0" w:color="auto"/>
            </w:tcBorders>
            <w:shd w:val="clear" w:color="auto" w:fill="auto"/>
            <w:noWrap/>
            <w:vAlign w:val="bottom"/>
            <w:hideMark/>
          </w:tcPr>
          <w:p w14:paraId="58AA20C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53,04%</w:t>
            </w:r>
          </w:p>
        </w:tc>
        <w:tc>
          <w:tcPr>
            <w:tcW w:w="268" w:type="pct"/>
            <w:tcBorders>
              <w:top w:val="nil"/>
              <w:left w:val="nil"/>
              <w:bottom w:val="single" w:sz="4" w:space="0" w:color="auto"/>
              <w:right w:val="single" w:sz="4" w:space="0" w:color="auto"/>
            </w:tcBorders>
            <w:shd w:val="clear" w:color="auto" w:fill="auto"/>
            <w:noWrap/>
            <w:vAlign w:val="bottom"/>
            <w:hideMark/>
          </w:tcPr>
          <w:p w14:paraId="11B739A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82</w:t>
            </w:r>
          </w:p>
        </w:tc>
        <w:tc>
          <w:tcPr>
            <w:tcW w:w="512" w:type="pct"/>
            <w:tcBorders>
              <w:top w:val="nil"/>
              <w:left w:val="nil"/>
              <w:bottom w:val="single" w:sz="4" w:space="0" w:color="auto"/>
              <w:right w:val="single" w:sz="4" w:space="0" w:color="auto"/>
            </w:tcBorders>
            <w:shd w:val="clear" w:color="auto" w:fill="auto"/>
            <w:noWrap/>
            <w:vAlign w:val="bottom"/>
            <w:hideMark/>
          </w:tcPr>
          <w:p w14:paraId="3D2C3FB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48,81%</w:t>
            </w:r>
          </w:p>
        </w:tc>
        <w:tc>
          <w:tcPr>
            <w:tcW w:w="276" w:type="pct"/>
            <w:tcBorders>
              <w:top w:val="nil"/>
              <w:left w:val="nil"/>
              <w:bottom w:val="single" w:sz="4" w:space="0" w:color="auto"/>
              <w:right w:val="single" w:sz="4" w:space="0" w:color="auto"/>
            </w:tcBorders>
            <w:shd w:val="clear" w:color="auto" w:fill="auto"/>
            <w:noWrap/>
            <w:vAlign w:val="bottom"/>
            <w:hideMark/>
          </w:tcPr>
          <w:p w14:paraId="6596481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115</w:t>
            </w:r>
          </w:p>
        </w:tc>
        <w:tc>
          <w:tcPr>
            <w:tcW w:w="526" w:type="pct"/>
            <w:tcBorders>
              <w:top w:val="nil"/>
              <w:left w:val="nil"/>
              <w:bottom w:val="single" w:sz="4" w:space="0" w:color="auto"/>
              <w:right w:val="single" w:sz="4" w:space="0" w:color="auto"/>
            </w:tcBorders>
            <w:shd w:val="clear" w:color="auto" w:fill="auto"/>
            <w:noWrap/>
            <w:vAlign w:val="bottom"/>
            <w:hideMark/>
          </w:tcPr>
          <w:p w14:paraId="5157B18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50,88%</w:t>
            </w:r>
          </w:p>
        </w:tc>
        <w:tc>
          <w:tcPr>
            <w:tcW w:w="276" w:type="pct"/>
            <w:tcBorders>
              <w:top w:val="nil"/>
              <w:left w:val="nil"/>
              <w:bottom w:val="single" w:sz="4" w:space="0" w:color="auto"/>
              <w:right w:val="single" w:sz="4" w:space="0" w:color="auto"/>
            </w:tcBorders>
            <w:shd w:val="clear" w:color="auto" w:fill="auto"/>
            <w:noWrap/>
            <w:vAlign w:val="bottom"/>
            <w:hideMark/>
          </w:tcPr>
          <w:p w14:paraId="2C4283D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179</w:t>
            </w:r>
          </w:p>
        </w:tc>
        <w:tc>
          <w:tcPr>
            <w:tcW w:w="526" w:type="pct"/>
            <w:tcBorders>
              <w:top w:val="nil"/>
              <w:left w:val="nil"/>
              <w:bottom w:val="single" w:sz="4" w:space="0" w:color="auto"/>
              <w:right w:val="single" w:sz="4" w:space="0" w:color="auto"/>
            </w:tcBorders>
            <w:shd w:val="clear" w:color="auto" w:fill="auto"/>
            <w:noWrap/>
            <w:vAlign w:val="bottom"/>
            <w:hideMark/>
          </w:tcPr>
          <w:p w14:paraId="0EC8123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49,86%</w:t>
            </w:r>
          </w:p>
        </w:tc>
      </w:tr>
      <w:tr w:rsidR="00B8364E" w:rsidRPr="00576FB9" w14:paraId="58164442" w14:textId="77777777" w:rsidTr="009F574A">
        <w:trPr>
          <w:trHeight w:val="300"/>
        </w:trPr>
        <w:tc>
          <w:tcPr>
            <w:tcW w:w="1094" w:type="pct"/>
            <w:tcBorders>
              <w:top w:val="nil"/>
              <w:left w:val="single" w:sz="4" w:space="0" w:color="auto"/>
              <w:bottom w:val="single" w:sz="4" w:space="0" w:color="auto"/>
              <w:right w:val="single" w:sz="4" w:space="0" w:color="auto"/>
            </w:tcBorders>
            <w:shd w:val="clear" w:color="auto" w:fill="auto"/>
            <w:noWrap/>
            <w:vAlign w:val="bottom"/>
            <w:hideMark/>
          </w:tcPr>
          <w:p w14:paraId="2B41A0DE" w14:textId="77777777" w:rsidR="00B8364E" w:rsidRPr="00576FB9" w:rsidRDefault="00B8364E" w:rsidP="009F574A">
            <w:pPr>
              <w:spacing w:after="0" w:line="240" w:lineRule="auto"/>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Comunitat Valenciana</w:t>
            </w:r>
          </w:p>
        </w:tc>
        <w:tc>
          <w:tcPr>
            <w:tcW w:w="191" w:type="pct"/>
            <w:tcBorders>
              <w:top w:val="nil"/>
              <w:left w:val="nil"/>
              <w:bottom w:val="single" w:sz="4" w:space="0" w:color="auto"/>
              <w:right w:val="single" w:sz="4" w:space="0" w:color="auto"/>
            </w:tcBorders>
            <w:shd w:val="clear" w:color="auto" w:fill="auto"/>
            <w:noWrap/>
            <w:vAlign w:val="bottom"/>
            <w:hideMark/>
          </w:tcPr>
          <w:p w14:paraId="0FC5405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8</w:t>
            </w:r>
          </w:p>
        </w:tc>
        <w:tc>
          <w:tcPr>
            <w:tcW w:w="528" w:type="pct"/>
            <w:tcBorders>
              <w:top w:val="nil"/>
              <w:left w:val="nil"/>
              <w:bottom w:val="single" w:sz="4" w:space="0" w:color="auto"/>
              <w:right w:val="single" w:sz="4" w:space="0" w:color="auto"/>
            </w:tcBorders>
            <w:shd w:val="clear" w:color="auto" w:fill="auto"/>
            <w:noWrap/>
            <w:vAlign w:val="bottom"/>
            <w:hideMark/>
          </w:tcPr>
          <w:p w14:paraId="1D42EFD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22,86%</w:t>
            </w:r>
          </w:p>
        </w:tc>
        <w:tc>
          <w:tcPr>
            <w:tcW w:w="276" w:type="pct"/>
            <w:tcBorders>
              <w:top w:val="nil"/>
              <w:left w:val="nil"/>
              <w:bottom w:val="single" w:sz="4" w:space="0" w:color="auto"/>
              <w:right w:val="single" w:sz="4" w:space="0" w:color="auto"/>
            </w:tcBorders>
            <w:shd w:val="clear" w:color="auto" w:fill="auto"/>
            <w:noWrap/>
            <w:vAlign w:val="bottom"/>
            <w:hideMark/>
          </w:tcPr>
          <w:p w14:paraId="2BF83D4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31</w:t>
            </w:r>
          </w:p>
        </w:tc>
        <w:tc>
          <w:tcPr>
            <w:tcW w:w="526" w:type="pct"/>
            <w:tcBorders>
              <w:top w:val="nil"/>
              <w:left w:val="nil"/>
              <w:bottom w:val="single" w:sz="4" w:space="0" w:color="auto"/>
              <w:right w:val="single" w:sz="4" w:space="0" w:color="auto"/>
            </w:tcBorders>
            <w:shd w:val="clear" w:color="auto" w:fill="auto"/>
            <w:noWrap/>
            <w:vAlign w:val="bottom"/>
            <w:hideMark/>
          </w:tcPr>
          <w:p w14:paraId="6D53F11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17,13%</w:t>
            </w:r>
          </w:p>
        </w:tc>
        <w:tc>
          <w:tcPr>
            <w:tcW w:w="268" w:type="pct"/>
            <w:tcBorders>
              <w:top w:val="nil"/>
              <w:left w:val="nil"/>
              <w:bottom w:val="single" w:sz="4" w:space="0" w:color="auto"/>
              <w:right w:val="single" w:sz="4" w:space="0" w:color="auto"/>
            </w:tcBorders>
            <w:shd w:val="clear" w:color="auto" w:fill="auto"/>
            <w:noWrap/>
            <w:vAlign w:val="bottom"/>
            <w:hideMark/>
          </w:tcPr>
          <w:p w14:paraId="4855A5F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29</w:t>
            </w:r>
          </w:p>
        </w:tc>
        <w:tc>
          <w:tcPr>
            <w:tcW w:w="512" w:type="pct"/>
            <w:tcBorders>
              <w:top w:val="nil"/>
              <w:left w:val="nil"/>
              <w:bottom w:val="single" w:sz="4" w:space="0" w:color="auto"/>
              <w:right w:val="single" w:sz="4" w:space="0" w:color="auto"/>
            </w:tcBorders>
            <w:shd w:val="clear" w:color="auto" w:fill="auto"/>
            <w:noWrap/>
            <w:vAlign w:val="bottom"/>
            <w:hideMark/>
          </w:tcPr>
          <w:p w14:paraId="18CD236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17,26%</w:t>
            </w:r>
          </w:p>
        </w:tc>
        <w:tc>
          <w:tcPr>
            <w:tcW w:w="276" w:type="pct"/>
            <w:tcBorders>
              <w:top w:val="nil"/>
              <w:left w:val="nil"/>
              <w:bottom w:val="single" w:sz="4" w:space="0" w:color="auto"/>
              <w:right w:val="single" w:sz="4" w:space="0" w:color="auto"/>
            </w:tcBorders>
            <w:shd w:val="clear" w:color="auto" w:fill="auto"/>
            <w:noWrap/>
            <w:vAlign w:val="bottom"/>
            <w:hideMark/>
          </w:tcPr>
          <w:p w14:paraId="10D3765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26</w:t>
            </w:r>
          </w:p>
        </w:tc>
        <w:tc>
          <w:tcPr>
            <w:tcW w:w="526" w:type="pct"/>
            <w:tcBorders>
              <w:top w:val="nil"/>
              <w:left w:val="nil"/>
              <w:bottom w:val="single" w:sz="4" w:space="0" w:color="auto"/>
              <w:right w:val="single" w:sz="4" w:space="0" w:color="auto"/>
            </w:tcBorders>
            <w:shd w:val="clear" w:color="auto" w:fill="auto"/>
            <w:noWrap/>
            <w:vAlign w:val="bottom"/>
            <w:hideMark/>
          </w:tcPr>
          <w:p w14:paraId="1B6EC3B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11,50%</w:t>
            </w:r>
          </w:p>
        </w:tc>
        <w:tc>
          <w:tcPr>
            <w:tcW w:w="276" w:type="pct"/>
            <w:tcBorders>
              <w:top w:val="nil"/>
              <w:left w:val="nil"/>
              <w:bottom w:val="single" w:sz="4" w:space="0" w:color="auto"/>
              <w:right w:val="single" w:sz="4" w:space="0" w:color="auto"/>
            </w:tcBorders>
            <w:shd w:val="clear" w:color="auto" w:fill="auto"/>
            <w:noWrap/>
            <w:vAlign w:val="bottom"/>
            <w:hideMark/>
          </w:tcPr>
          <w:p w14:paraId="0357F9F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59</w:t>
            </w:r>
          </w:p>
        </w:tc>
        <w:tc>
          <w:tcPr>
            <w:tcW w:w="526" w:type="pct"/>
            <w:tcBorders>
              <w:top w:val="nil"/>
              <w:left w:val="nil"/>
              <w:bottom w:val="single" w:sz="4" w:space="0" w:color="auto"/>
              <w:right w:val="single" w:sz="4" w:space="0" w:color="auto"/>
            </w:tcBorders>
            <w:shd w:val="clear" w:color="auto" w:fill="auto"/>
            <w:noWrap/>
            <w:vAlign w:val="bottom"/>
            <w:hideMark/>
          </w:tcPr>
          <w:p w14:paraId="611E079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16,43%</w:t>
            </w:r>
          </w:p>
        </w:tc>
      </w:tr>
      <w:tr w:rsidR="00B8364E" w:rsidRPr="00576FB9" w14:paraId="5953652B" w14:textId="77777777" w:rsidTr="009F574A">
        <w:trPr>
          <w:trHeight w:val="300"/>
        </w:trPr>
        <w:tc>
          <w:tcPr>
            <w:tcW w:w="1094" w:type="pct"/>
            <w:tcBorders>
              <w:top w:val="nil"/>
              <w:left w:val="single" w:sz="4" w:space="0" w:color="auto"/>
              <w:bottom w:val="single" w:sz="4" w:space="0" w:color="auto"/>
              <w:right w:val="single" w:sz="4" w:space="0" w:color="auto"/>
            </w:tcBorders>
            <w:shd w:val="clear" w:color="auto" w:fill="auto"/>
            <w:noWrap/>
            <w:vAlign w:val="bottom"/>
            <w:hideMark/>
          </w:tcPr>
          <w:p w14:paraId="69458359" w14:textId="77777777" w:rsidR="00B8364E" w:rsidRPr="00576FB9" w:rsidRDefault="00B8364E" w:rsidP="009F574A">
            <w:pPr>
              <w:spacing w:after="0" w:line="240" w:lineRule="auto"/>
              <w:jc w:val="right"/>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TOTAL</w:t>
            </w:r>
          </w:p>
        </w:tc>
        <w:tc>
          <w:tcPr>
            <w:tcW w:w="191" w:type="pct"/>
            <w:tcBorders>
              <w:top w:val="nil"/>
              <w:left w:val="nil"/>
              <w:bottom w:val="single" w:sz="4" w:space="0" w:color="auto"/>
              <w:right w:val="single" w:sz="4" w:space="0" w:color="auto"/>
            </w:tcBorders>
            <w:shd w:val="clear" w:color="auto" w:fill="auto"/>
            <w:noWrap/>
            <w:vAlign w:val="bottom"/>
            <w:hideMark/>
          </w:tcPr>
          <w:p w14:paraId="2ACCD256"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35</w:t>
            </w:r>
          </w:p>
        </w:tc>
        <w:tc>
          <w:tcPr>
            <w:tcW w:w="528" w:type="pct"/>
            <w:tcBorders>
              <w:top w:val="nil"/>
              <w:left w:val="nil"/>
              <w:bottom w:val="single" w:sz="4" w:space="0" w:color="auto"/>
              <w:right w:val="single" w:sz="4" w:space="0" w:color="auto"/>
            </w:tcBorders>
            <w:shd w:val="clear" w:color="auto" w:fill="auto"/>
            <w:noWrap/>
            <w:vAlign w:val="bottom"/>
            <w:hideMark/>
          </w:tcPr>
          <w:p w14:paraId="0EAE0164"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w:t>
            </w:r>
          </w:p>
        </w:tc>
        <w:tc>
          <w:tcPr>
            <w:tcW w:w="276" w:type="pct"/>
            <w:tcBorders>
              <w:top w:val="nil"/>
              <w:left w:val="nil"/>
              <w:bottom w:val="single" w:sz="4" w:space="0" w:color="auto"/>
              <w:right w:val="single" w:sz="4" w:space="0" w:color="auto"/>
            </w:tcBorders>
            <w:shd w:val="clear" w:color="auto" w:fill="auto"/>
            <w:noWrap/>
            <w:vAlign w:val="bottom"/>
            <w:hideMark/>
          </w:tcPr>
          <w:p w14:paraId="44780C21"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181</w:t>
            </w:r>
          </w:p>
        </w:tc>
        <w:tc>
          <w:tcPr>
            <w:tcW w:w="526" w:type="pct"/>
            <w:tcBorders>
              <w:top w:val="nil"/>
              <w:left w:val="nil"/>
              <w:bottom w:val="single" w:sz="4" w:space="0" w:color="auto"/>
              <w:right w:val="single" w:sz="4" w:space="0" w:color="auto"/>
            </w:tcBorders>
            <w:shd w:val="clear" w:color="auto" w:fill="auto"/>
            <w:noWrap/>
            <w:vAlign w:val="bottom"/>
            <w:hideMark/>
          </w:tcPr>
          <w:p w14:paraId="4C762DAC"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w:t>
            </w:r>
          </w:p>
        </w:tc>
        <w:tc>
          <w:tcPr>
            <w:tcW w:w="268" w:type="pct"/>
            <w:tcBorders>
              <w:top w:val="nil"/>
              <w:left w:val="nil"/>
              <w:bottom w:val="single" w:sz="4" w:space="0" w:color="auto"/>
              <w:right w:val="single" w:sz="4" w:space="0" w:color="auto"/>
            </w:tcBorders>
            <w:shd w:val="clear" w:color="auto" w:fill="auto"/>
            <w:noWrap/>
            <w:vAlign w:val="bottom"/>
            <w:hideMark/>
          </w:tcPr>
          <w:p w14:paraId="6CC2F799"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168</w:t>
            </w:r>
          </w:p>
        </w:tc>
        <w:tc>
          <w:tcPr>
            <w:tcW w:w="512" w:type="pct"/>
            <w:tcBorders>
              <w:top w:val="nil"/>
              <w:left w:val="nil"/>
              <w:bottom w:val="single" w:sz="4" w:space="0" w:color="auto"/>
              <w:right w:val="single" w:sz="4" w:space="0" w:color="auto"/>
            </w:tcBorders>
            <w:shd w:val="clear" w:color="auto" w:fill="auto"/>
            <w:noWrap/>
            <w:vAlign w:val="bottom"/>
            <w:hideMark/>
          </w:tcPr>
          <w:p w14:paraId="0EA199C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w:t>
            </w:r>
          </w:p>
        </w:tc>
        <w:tc>
          <w:tcPr>
            <w:tcW w:w="276" w:type="pct"/>
            <w:tcBorders>
              <w:top w:val="nil"/>
              <w:left w:val="nil"/>
              <w:bottom w:val="single" w:sz="4" w:space="0" w:color="auto"/>
              <w:right w:val="single" w:sz="4" w:space="0" w:color="auto"/>
            </w:tcBorders>
            <w:shd w:val="clear" w:color="auto" w:fill="auto"/>
            <w:noWrap/>
            <w:vAlign w:val="bottom"/>
            <w:hideMark/>
          </w:tcPr>
          <w:p w14:paraId="689612A1"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226</w:t>
            </w:r>
          </w:p>
        </w:tc>
        <w:tc>
          <w:tcPr>
            <w:tcW w:w="526" w:type="pct"/>
            <w:tcBorders>
              <w:top w:val="nil"/>
              <w:left w:val="nil"/>
              <w:bottom w:val="single" w:sz="4" w:space="0" w:color="auto"/>
              <w:right w:val="single" w:sz="4" w:space="0" w:color="auto"/>
            </w:tcBorders>
            <w:shd w:val="clear" w:color="auto" w:fill="auto"/>
            <w:noWrap/>
            <w:vAlign w:val="bottom"/>
            <w:hideMark/>
          </w:tcPr>
          <w:p w14:paraId="60559D6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w:t>
            </w:r>
          </w:p>
        </w:tc>
        <w:tc>
          <w:tcPr>
            <w:tcW w:w="276" w:type="pct"/>
            <w:tcBorders>
              <w:top w:val="nil"/>
              <w:left w:val="nil"/>
              <w:bottom w:val="single" w:sz="4" w:space="0" w:color="auto"/>
              <w:right w:val="single" w:sz="4" w:space="0" w:color="auto"/>
            </w:tcBorders>
            <w:shd w:val="clear" w:color="auto" w:fill="auto"/>
            <w:noWrap/>
            <w:vAlign w:val="bottom"/>
            <w:hideMark/>
          </w:tcPr>
          <w:p w14:paraId="4F8550D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359</w:t>
            </w:r>
          </w:p>
        </w:tc>
        <w:tc>
          <w:tcPr>
            <w:tcW w:w="526" w:type="pct"/>
            <w:tcBorders>
              <w:top w:val="nil"/>
              <w:left w:val="nil"/>
              <w:bottom w:val="single" w:sz="4" w:space="0" w:color="auto"/>
              <w:right w:val="single" w:sz="4" w:space="0" w:color="auto"/>
            </w:tcBorders>
            <w:shd w:val="clear" w:color="auto" w:fill="auto"/>
            <w:noWrap/>
            <w:vAlign w:val="bottom"/>
            <w:hideMark/>
          </w:tcPr>
          <w:p w14:paraId="487C083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w:t>
            </w:r>
          </w:p>
        </w:tc>
      </w:tr>
    </w:tbl>
    <w:p w14:paraId="6F5CF7E3" w14:textId="3632A4A4" w:rsidR="00B8364E" w:rsidRDefault="00B8364E" w:rsidP="00B8364E">
      <w:pPr>
        <w:spacing w:after="120" w:line="276" w:lineRule="auto"/>
        <w:jc w:val="both"/>
        <w:rPr>
          <w:rFonts w:ascii="Arial" w:eastAsia="Times New Roman" w:hAnsi="Arial" w:cs="Arial"/>
          <w:b/>
          <w:sz w:val="21"/>
          <w:szCs w:val="21"/>
          <w:lang w:eastAsia="es-ES"/>
        </w:rPr>
      </w:pPr>
    </w:p>
    <w:p w14:paraId="5C9EB46D" w14:textId="77777777" w:rsidR="00B8364E" w:rsidRDefault="00B8364E" w:rsidP="00B8364E">
      <w:pPr>
        <w:keepNext/>
        <w:spacing w:after="120" w:line="276" w:lineRule="auto"/>
        <w:jc w:val="both"/>
      </w:pPr>
      <w:r w:rsidRPr="00E1484A">
        <w:rPr>
          <w:rFonts w:ascii="Arial" w:eastAsia="Times New Roman" w:hAnsi="Arial" w:cs="Arial"/>
          <w:b/>
          <w:noProof/>
          <w:sz w:val="21"/>
          <w:szCs w:val="21"/>
          <w:lang w:eastAsia="es-ES"/>
        </w:rPr>
        <w:drawing>
          <wp:inline distT="0" distB="0" distL="0" distR="0" wp14:anchorId="10FAB53C" wp14:editId="7D077D95">
            <wp:extent cx="5352063" cy="2219325"/>
            <wp:effectExtent l="0" t="0" r="1270" b="0"/>
            <wp:docPr id="69" name="Imagen 69"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descr="Gráfico, Gráfico de barras&#10;&#10;Descripción generada automáticamente"/>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5384723" cy="2232868"/>
                    </a:xfrm>
                    <a:prstGeom prst="rect">
                      <a:avLst/>
                    </a:prstGeom>
                    <a:noFill/>
                  </pic:spPr>
                </pic:pic>
              </a:graphicData>
            </a:graphic>
          </wp:inline>
        </w:drawing>
      </w:r>
    </w:p>
    <w:p w14:paraId="4F7CA844" w14:textId="09BCAD43" w:rsidR="00B8364E" w:rsidRPr="00E1484A" w:rsidRDefault="00B8364E" w:rsidP="00B8364E">
      <w:pPr>
        <w:pStyle w:val="Descripcin"/>
        <w:jc w:val="center"/>
        <w:rPr>
          <w:rFonts w:ascii="Arial" w:eastAsia="Times New Roman" w:hAnsi="Arial" w:cs="Arial"/>
          <w:smallCaps w:val="0"/>
          <w:sz w:val="18"/>
          <w:szCs w:val="18"/>
          <w:lang w:eastAsia="es-ES"/>
        </w:rPr>
      </w:pPr>
      <w:bookmarkStart w:id="153" w:name="_Toc95676847"/>
      <w:bookmarkStart w:id="154" w:name="_Toc99099815"/>
      <w:r w:rsidRPr="003B7E9D">
        <w:rPr>
          <w:rFonts w:ascii="Arial" w:hAnsi="Arial" w:cs="Arial"/>
          <w:smallCaps w:val="0"/>
          <w:color w:val="9D2235" w:themeColor="accent1"/>
          <w:sz w:val="18"/>
          <w:szCs w:val="18"/>
        </w:rPr>
        <w:t xml:space="preserve">Gráfico </w:t>
      </w:r>
      <w:r w:rsidRPr="003B7E9D">
        <w:rPr>
          <w:rFonts w:ascii="Arial" w:hAnsi="Arial" w:cs="Arial"/>
          <w:smallCaps w:val="0"/>
          <w:color w:val="9D2235" w:themeColor="accent1"/>
          <w:sz w:val="18"/>
          <w:szCs w:val="18"/>
        </w:rPr>
        <w:fldChar w:fldCharType="begin" w:fldLock="1"/>
      </w:r>
      <w:r w:rsidRPr="003B7E9D">
        <w:rPr>
          <w:rFonts w:ascii="Arial" w:hAnsi="Arial" w:cs="Arial"/>
          <w:smallCaps w:val="0"/>
          <w:color w:val="9D2235" w:themeColor="accent1"/>
          <w:sz w:val="18"/>
          <w:szCs w:val="18"/>
        </w:rPr>
        <w:instrText xml:space="preserve"> SEQ Gráfico \* ARABIC </w:instrText>
      </w:r>
      <w:r w:rsidRPr="003B7E9D">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16</w:t>
      </w:r>
      <w:r w:rsidRPr="003B7E9D">
        <w:rPr>
          <w:rFonts w:ascii="Arial" w:hAnsi="Arial" w:cs="Arial"/>
          <w:smallCaps w:val="0"/>
          <w:color w:val="9D2235" w:themeColor="accent1"/>
          <w:sz w:val="18"/>
          <w:szCs w:val="18"/>
        </w:rPr>
        <w:fldChar w:fldCharType="end"/>
      </w:r>
      <w:r w:rsidRPr="003B7E9D">
        <w:rPr>
          <w:rFonts w:ascii="Arial" w:hAnsi="Arial" w:cs="Arial"/>
          <w:smallCaps w:val="0"/>
          <w:color w:val="9D2235" w:themeColor="accent1"/>
          <w:sz w:val="18"/>
          <w:szCs w:val="18"/>
        </w:rPr>
        <w:t xml:space="preserve">. </w:t>
      </w:r>
      <w:r w:rsidRPr="003B7E9D">
        <w:rPr>
          <w:rFonts w:ascii="Arial" w:hAnsi="Arial" w:cs="Arial"/>
          <w:smallCaps w:val="0"/>
          <w:sz w:val="18"/>
          <w:szCs w:val="18"/>
        </w:rPr>
        <w:t>Denuncias presentadas según el territorio de afec</w:t>
      </w:r>
      <w:bookmarkEnd w:id="153"/>
      <w:r w:rsidR="001D06D6">
        <w:rPr>
          <w:rFonts w:ascii="Arial" w:hAnsi="Arial" w:cs="Arial"/>
          <w:smallCaps w:val="0"/>
          <w:sz w:val="18"/>
          <w:szCs w:val="18"/>
        </w:rPr>
        <w:t>tación</w:t>
      </w:r>
      <w:bookmarkEnd w:id="154"/>
    </w:p>
    <w:p w14:paraId="17575673" w14:textId="77777777" w:rsidR="00C47EE3" w:rsidRDefault="00C47EE3" w:rsidP="00B8364E">
      <w:pPr>
        <w:spacing w:after="240" w:line="276" w:lineRule="auto"/>
        <w:jc w:val="both"/>
        <w:rPr>
          <w:rFonts w:ascii="Arial" w:eastAsia="Times New Roman" w:hAnsi="Arial" w:cs="Arial"/>
          <w:sz w:val="21"/>
          <w:szCs w:val="21"/>
          <w:lang w:eastAsia="es-ES"/>
        </w:rPr>
      </w:pPr>
    </w:p>
    <w:p w14:paraId="7C501D67" w14:textId="70C02BA5" w:rsidR="00B8364E" w:rsidRPr="00E1484A" w:rsidRDefault="00B8364E" w:rsidP="00B8364E">
      <w:pPr>
        <w:spacing w:after="240" w:line="276" w:lineRule="auto"/>
        <w:jc w:val="both"/>
        <w:rPr>
          <w:rFonts w:ascii="Arial" w:eastAsia="Times New Roman" w:hAnsi="Arial" w:cs="Arial"/>
          <w:sz w:val="21"/>
          <w:szCs w:val="21"/>
          <w:lang w:eastAsia="es-ES"/>
        </w:rPr>
      </w:pPr>
      <w:r w:rsidRPr="00E1484A">
        <w:rPr>
          <w:rFonts w:ascii="Arial" w:eastAsia="Times New Roman" w:hAnsi="Arial" w:cs="Arial"/>
          <w:sz w:val="21"/>
          <w:szCs w:val="21"/>
          <w:lang w:eastAsia="es-ES"/>
        </w:rPr>
        <w:t>La evolución de las anualidades desde 2018 hasta 2021 muestra el establecimiento de unas tendencias que se confirman con el paso del tiempo, respondiendo a la configuración propia de la organización administrativa de base territorial.</w:t>
      </w:r>
    </w:p>
    <w:p w14:paraId="60F07B74" w14:textId="2884FD6B" w:rsidR="00B8364E" w:rsidRDefault="00B8364E" w:rsidP="00B8364E">
      <w:pPr>
        <w:spacing w:after="360" w:line="276" w:lineRule="auto"/>
        <w:jc w:val="both"/>
        <w:rPr>
          <w:rFonts w:ascii="Arial" w:eastAsia="Times New Roman" w:hAnsi="Arial" w:cs="Arial"/>
          <w:sz w:val="21"/>
          <w:szCs w:val="21"/>
          <w:lang w:eastAsia="es-ES"/>
        </w:rPr>
      </w:pPr>
      <w:r w:rsidRPr="00E1484A">
        <w:rPr>
          <w:rFonts w:ascii="Arial" w:eastAsia="Times New Roman" w:hAnsi="Arial" w:cs="Arial"/>
          <w:sz w:val="21"/>
          <w:szCs w:val="21"/>
          <w:lang w:eastAsia="es-ES"/>
        </w:rPr>
        <w:t>De nuevo las denuncias respecto a la provincia de Valencia aglutinan la mayor representatividad con el 49,86% de los casos, 179 denuncias en términos absolutos.</w:t>
      </w:r>
    </w:p>
    <w:p w14:paraId="127E7514" w14:textId="51761ABD" w:rsidR="00052DFE" w:rsidRPr="00483E19" w:rsidRDefault="009D6E85" w:rsidP="00AC1A12">
      <w:pPr>
        <w:pStyle w:val="Prrafodelista"/>
        <w:keepNext/>
        <w:numPr>
          <w:ilvl w:val="2"/>
          <w:numId w:val="17"/>
        </w:numPr>
        <w:spacing w:before="360" w:after="240" w:line="276" w:lineRule="auto"/>
        <w:ind w:left="426" w:hanging="505"/>
        <w:jc w:val="both"/>
        <w:outlineLvl w:val="2"/>
        <w:rPr>
          <w:rFonts w:ascii="Arial" w:eastAsia="Times New Roman" w:hAnsi="Arial" w:cs="Arial"/>
          <w:b/>
          <w:bCs/>
          <w:color w:val="9D2235" w:themeColor="accent1"/>
          <w:sz w:val="28"/>
          <w:szCs w:val="28"/>
          <w:lang w:eastAsia="es-ES"/>
        </w:rPr>
      </w:pPr>
      <w:bookmarkStart w:id="155" w:name="_Toc99107013"/>
      <w:r>
        <w:rPr>
          <w:rFonts w:ascii="Arial" w:eastAsia="Times New Roman" w:hAnsi="Arial" w:cs="Arial"/>
          <w:b/>
          <w:bCs/>
          <w:color w:val="9D2235" w:themeColor="accent1"/>
          <w:sz w:val="28"/>
          <w:szCs w:val="28"/>
          <w:lang w:eastAsia="es-ES"/>
        </w:rPr>
        <w:t>Denuncias presentadas según el ámbito material</w:t>
      </w:r>
      <w:bookmarkEnd w:id="155"/>
    </w:p>
    <w:p w14:paraId="0319605E" w14:textId="77777777" w:rsidR="00B8364E" w:rsidRPr="00DE4C34" w:rsidRDefault="00B8364E" w:rsidP="00B8364E">
      <w:pPr>
        <w:spacing w:after="240" w:line="276" w:lineRule="auto"/>
        <w:jc w:val="both"/>
        <w:rPr>
          <w:rFonts w:ascii="Arial" w:eastAsia="Times New Roman" w:hAnsi="Arial" w:cs="Arial"/>
          <w:sz w:val="21"/>
          <w:szCs w:val="21"/>
          <w:lang w:eastAsia="es-ES"/>
        </w:rPr>
      </w:pPr>
      <w:r w:rsidRPr="00DE4C34">
        <w:rPr>
          <w:rFonts w:ascii="Arial" w:eastAsia="Times New Roman" w:hAnsi="Arial" w:cs="Arial"/>
          <w:sz w:val="21"/>
          <w:szCs w:val="21"/>
          <w:lang w:eastAsia="es-ES"/>
        </w:rPr>
        <w:t>En este apartado</w:t>
      </w:r>
      <w:r>
        <w:rPr>
          <w:rFonts w:ascii="Arial" w:eastAsia="Times New Roman" w:hAnsi="Arial" w:cs="Arial"/>
          <w:sz w:val="21"/>
          <w:szCs w:val="21"/>
          <w:lang w:eastAsia="es-ES"/>
        </w:rPr>
        <w:t>,</w:t>
      </w:r>
      <w:r w:rsidRPr="00DE4C34">
        <w:rPr>
          <w:rFonts w:ascii="Arial" w:eastAsia="Times New Roman" w:hAnsi="Arial" w:cs="Arial"/>
          <w:sz w:val="21"/>
          <w:szCs w:val="21"/>
          <w:lang w:eastAsia="es-ES"/>
        </w:rPr>
        <w:t xml:space="preserve"> se presenta la clasificación de las denuncias según el ámbito material de la actuación administrativa. </w:t>
      </w:r>
    </w:p>
    <w:p w14:paraId="7F92B130" w14:textId="77777777" w:rsidR="00B8364E" w:rsidRPr="00DE4C34" w:rsidRDefault="00B8364E" w:rsidP="00B8364E">
      <w:pPr>
        <w:spacing w:after="240" w:line="276" w:lineRule="auto"/>
        <w:jc w:val="both"/>
        <w:rPr>
          <w:rFonts w:ascii="Arial" w:eastAsia="Times New Roman" w:hAnsi="Arial" w:cs="Arial"/>
          <w:sz w:val="21"/>
          <w:szCs w:val="21"/>
          <w:lang w:eastAsia="es-ES"/>
        </w:rPr>
      </w:pPr>
      <w:r w:rsidRPr="00DE4C34">
        <w:rPr>
          <w:rFonts w:ascii="Arial" w:eastAsia="Times New Roman" w:hAnsi="Arial" w:cs="Arial"/>
          <w:sz w:val="21"/>
          <w:szCs w:val="21"/>
          <w:lang w:eastAsia="es-ES"/>
        </w:rPr>
        <w:t>La clasificación</w:t>
      </w:r>
      <w:r>
        <w:rPr>
          <w:rFonts w:ascii="Arial" w:eastAsia="Times New Roman" w:hAnsi="Arial" w:cs="Arial"/>
          <w:sz w:val="21"/>
          <w:szCs w:val="21"/>
          <w:lang w:eastAsia="es-ES"/>
        </w:rPr>
        <w:t>,</w:t>
      </w:r>
      <w:r w:rsidRPr="00DE4C34">
        <w:rPr>
          <w:rFonts w:ascii="Arial" w:eastAsia="Times New Roman" w:hAnsi="Arial" w:cs="Arial"/>
          <w:sz w:val="21"/>
          <w:szCs w:val="21"/>
          <w:lang w:eastAsia="es-ES"/>
        </w:rPr>
        <w:t xml:space="preserve"> </w:t>
      </w:r>
      <w:r>
        <w:rPr>
          <w:rFonts w:ascii="Arial" w:eastAsia="Times New Roman" w:hAnsi="Arial" w:cs="Arial"/>
          <w:sz w:val="21"/>
          <w:szCs w:val="21"/>
          <w:lang w:eastAsia="es-ES"/>
        </w:rPr>
        <w:t>en función</w:t>
      </w:r>
      <w:r w:rsidRPr="00DE4C34">
        <w:rPr>
          <w:rFonts w:ascii="Arial" w:eastAsia="Times New Roman" w:hAnsi="Arial" w:cs="Arial"/>
          <w:sz w:val="21"/>
          <w:szCs w:val="21"/>
          <w:lang w:eastAsia="es-ES"/>
        </w:rPr>
        <w:t xml:space="preserve"> de la materia</w:t>
      </w:r>
      <w:r>
        <w:rPr>
          <w:rFonts w:ascii="Arial" w:eastAsia="Times New Roman" w:hAnsi="Arial" w:cs="Arial"/>
          <w:sz w:val="21"/>
          <w:szCs w:val="21"/>
          <w:lang w:eastAsia="es-ES"/>
        </w:rPr>
        <w:t>,</w:t>
      </w:r>
      <w:r w:rsidRPr="00DE4C34">
        <w:rPr>
          <w:rFonts w:ascii="Arial" w:eastAsia="Times New Roman" w:hAnsi="Arial" w:cs="Arial"/>
          <w:sz w:val="21"/>
          <w:szCs w:val="21"/>
          <w:lang w:eastAsia="es-ES"/>
        </w:rPr>
        <w:t xml:space="preserve"> se ha realizado mediante la clasificación en atención a las grandes áreas de actuación tradicionales en el seno de la actividad administrativa de carácter general. </w:t>
      </w:r>
    </w:p>
    <w:p w14:paraId="39A483BD" w14:textId="77777777" w:rsidR="00B8364E" w:rsidRPr="00DE4C34" w:rsidRDefault="00B8364E" w:rsidP="00B8364E">
      <w:pPr>
        <w:spacing w:after="240" w:line="276" w:lineRule="auto"/>
        <w:jc w:val="both"/>
        <w:rPr>
          <w:rFonts w:ascii="Arial" w:eastAsia="Times New Roman" w:hAnsi="Arial" w:cs="Arial"/>
          <w:sz w:val="21"/>
          <w:szCs w:val="21"/>
          <w:lang w:eastAsia="es-ES"/>
        </w:rPr>
      </w:pPr>
      <w:r w:rsidRPr="00DE4C34">
        <w:rPr>
          <w:rFonts w:ascii="Arial" w:eastAsia="Times New Roman" w:hAnsi="Arial" w:cs="Arial"/>
          <w:sz w:val="21"/>
          <w:szCs w:val="21"/>
          <w:lang w:eastAsia="es-ES"/>
        </w:rPr>
        <w:t>Asimismo, en la medida de lo posible, se ha realizado un desglose en submaterias, con el fin de acotar en mayor medida los datos que se extraen del análisis de la tipología de las denuncias presentadas.</w:t>
      </w:r>
    </w:p>
    <w:p w14:paraId="775EB975" w14:textId="54F8D4F8" w:rsidR="00B8364E" w:rsidRDefault="00B8364E" w:rsidP="00B8364E">
      <w:pPr>
        <w:pStyle w:val="Descripcin"/>
        <w:keepNext/>
        <w:spacing w:after="120"/>
        <w:rPr>
          <w:rFonts w:ascii="Arial" w:hAnsi="Arial" w:cs="Arial"/>
          <w:smallCaps w:val="0"/>
          <w:sz w:val="18"/>
          <w:szCs w:val="18"/>
        </w:rPr>
      </w:pPr>
      <w:bookmarkStart w:id="156" w:name="_Toc95676800"/>
      <w:bookmarkStart w:id="157" w:name="_Toc99107150"/>
      <w:r w:rsidRPr="00DE4C34">
        <w:rPr>
          <w:rFonts w:ascii="Arial" w:hAnsi="Arial" w:cs="Arial"/>
          <w:smallCaps w:val="0"/>
          <w:color w:val="9D2235" w:themeColor="accent1"/>
          <w:sz w:val="18"/>
          <w:szCs w:val="18"/>
        </w:rPr>
        <w:t xml:space="preserve">Tabla </w:t>
      </w:r>
      <w:r w:rsidRPr="00DE4C34">
        <w:rPr>
          <w:rFonts w:ascii="Arial" w:hAnsi="Arial" w:cs="Arial"/>
          <w:smallCaps w:val="0"/>
          <w:color w:val="9D2235" w:themeColor="accent1"/>
          <w:sz w:val="18"/>
          <w:szCs w:val="18"/>
        </w:rPr>
        <w:fldChar w:fldCharType="begin" w:fldLock="1"/>
      </w:r>
      <w:r w:rsidRPr="00DE4C34">
        <w:rPr>
          <w:rFonts w:ascii="Arial" w:hAnsi="Arial" w:cs="Arial"/>
          <w:smallCaps w:val="0"/>
          <w:color w:val="9D2235" w:themeColor="accent1"/>
          <w:sz w:val="18"/>
          <w:szCs w:val="18"/>
        </w:rPr>
        <w:instrText xml:space="preserve"> SEQ Tabla \* ARABIC </w:instrText>
      </w:r>
      <w:r w:rsidRPr="00DE4C34">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12</w:t>
      </w:r>
      <w:r w:rsidRPr="00DE4C34">
        <w:rPr>
          <w:rFonts w:ascii="Arial" w:hAnsi="Arial" w:cs="Arial"/>
          <w:smallCaps w:val="0"/>
          <w:color w:val="9D2235" w:themeColor="accent1"/>
          <w:sz w:val="18"/>
          <w:szCs w:val="18"/>
        </w:rPr>
        <w:fldChar w:fldCharType="end"/>
      </w:r>
      <w:r w:rsidRPr="00DE4C34">
        <w:rPr>
          <w:rFonts w:ascii="Arial" w:hAnsi="Arial" w:cs="Arial"/>
          <w:smallCaps w:val="0"/>
          <w:color w:val="9D2235" w:themeColor="accent1"/>
          <w:sz w:val="18"/>
          <w:szCs w:val="18"/>
        </w:rPr>
        <w:t xml:space="preserve">. </w:t>
      </w:r>
      <w:r w:rsidRPr="00DE4C34">
        <w:rPr>
          <w:rFonts w:ascii="Arial" w:hAnsi="Arial" w:cs="Arial"/>
          <w:smallCaps w:val="0"/>
          <w:sz w:val="18"/>
          <w:szCs w:val="18"/>
        </w:rPr>
        <w:t>Denuncias presentadas según el ámbito material</w:t>
      </w:r>
      <w:bookmarkEnd w:id="156"/>
      <w:bookmarkEnd w:id="157"/>
    </w:p>
    <w:tbl>
      <w:tblPr>
        <w:tblW w:w="5000" w:type="pct"/>
        <w:tblCellMar>
          <w:left w:w="70" w:type="dxa"/>
          <w:right w:w="70" w:type="dxa"/>
        </w:tblCellMar>
        <w:tblLook w:val="04A0" w:firstRow="1" w:lastRow="0" w:firstColumn="1" w:lastColumn="0" w:noHBand="0" w:noVBand="1"/>
      </w:tblPr>
      <w:tblGrid>
        <w:gridCol w:w="3004"/>
        <w:gridCol w:w="417"/>
        <w:gridCol w:w="652"/>
        <w:gridCol w:w="428"/>
        <w:gridCol w:w="641"/>
        <w:gridCol w:w="429"/>
        <w:gridCol w:w="641"/>
        <w:gridCol w:w="429"/>
        <w:gridCol w:w="641"/>
        <w:gridCol w:w="485"/>
        <w:gridCol w:w="717"/>
      </w:tblGrid>
      <w:tr w:rsidR="00B8364E" w:rsidRPr="00576FB9" w14:paraId="58D63349" w14:textId="77777777" w:rsidTr="009F574A">
        <w:trPr>
          <w:trHeight w:val="300"/>
          <w:tblHeader/>
        </w:trPr>
        <w:tc>
          <w:tcPr>
            <w:tcW w:w="1646" w:type="pct"/>
            <w:vMerge w:val="restart"/>
            <w:tcBorders>
              <w:top w:val="single" w:sz="8" w:space="0" w:color="auto"/>
              <w:left w:val="single" w:sz="8" w:space="0" w:color="auto"/>
              <w:bottom w:val="single" w:sz="8" w:space="0" w:color="000000"/>
              <w:right w:val="single" w:sz="8" w:space="0" w:color="auto"/>
            </w:tcBorders>
            <w:shd w:val="clear" w:color="000000" w:fill="B6A39A"/>
            <w:noWrap/>
            <w:vAlign w:val="center"/>
            <w:hideMark/>
          </w:tcPr>
          <w:p w14:paraId="07FDA881"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bookmarkStart w:id="158" w:name="_Hlk95675949"/>
            <w:r w:rsidRPr="00576FB9">
              <w:rPr>
                <w:rFonts w:ascii="Arial" w:eastAsia="Times New Roman" w:hAnsi="Arial" w:cs="Arial"/>
                <w:b/>
                <w:bCs/>
                <w:color w:val="000000"/>
                <w:sz w:val="16"/>
                <w:szCs w:val="16"/>
                <w:lang w:eastAsia="es-ES"/>
              </w:rPr>
              <w:t>MATERIAS*</w:t>
            </w:r>
          </w:p>
        </w:tc>
        <w:tc>
          <w:tcPr>
            <w:tcW w:w="656" w:type="pct"/>
            <w:gridSpan w:val="2"/>
            <w:tcBorders>
              <w:top w:val="single" w:sz="8" w:space="0" w:color="auto"/>
              <w:left w:val="nil"/>
              <w:bottom w:val="single" w:sz="8" w:space="0" w:color="auto"/>
              <w:right w:val="single" w:sz="8" w:space="0" w:color="000000"/>
            </w:tcBorders>
            <w:shd w:val="clear" w:color="000000" w:fill="B6A39A"/>
            <w:noWrap/>
            <w:vAlign w:val="center"/>
            <w:hideMark/>
          </w:tcPr>
          <w:p w14:paraId="29361F07"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2017</w:t>
            </w:r>
          </w:p>
        </w:tc>
        <w:tc>
          <w:tcPr>
            <w:tcW w:w="655" w:type="pct"/>
            <w:gridSpan w:val="2"/>
            <w:tcBorders>
              <w:top w:val="single" w:sz="8" w:space="0" w:color="auto"/>
              <w:left w:val="nil"/>
              <w:bottom w:val="single" w:sz="8" w:space="0" w:color="auto"/>
              <w:right w:val="single" w:sz="8" w:space="0" w:color="000000"/>
            </w:tcBorders>
            <w:shd w:val="clear" w:color="000000" w:fill="B6A39A"/>
            <w:noWrap/>
            <w:vAlign w:val="center"/>
            <w:hideMark/>
          </w:tcPr>
          <w:p w14:paraId="1C5111E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2018</w:t>
            </w:r>
          </w:p>
        </w:tc>
        <w:tc>
          <w:tcPr>
            <w:tcW w:w="655" w:type="pct"/>
            <w:gridSpan w:val="2"/>
            <w:tcBorders>
              <w:top w:val="single" w:sz="8" w:space="0" w:color="auto"/>
              <w:left w:val="nil"/>
              <w:bottom w:val="single" w:sz="8" w:space="0" w:color="auto"/>
              <w:right w:val="single" w:sz="8" w:space="0" w:color="000000"/>
            </w:tcBorders>
            <w:shd w:val="clear" w:color="000000" w:fill="B6A39A"/>
            <w:noWrap/>
            <w:vAlign w:val="center"/>
            <w:hideMark/>
          </w:tcPr>
          <w:p w14:paraId="6D29AEC0"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2019</w:t>
            </w:r>
          </w:p>
        </w:tc>
        <w:tc>
          <w:tcPr>
            <w:tcW w:w="655" w:type="pct"/>
            <w:gridSpan w:val="2"/>
            <w:tcBorders>
              <w:top w:val="single" w:sz="8" w:space="0" w:color="auto"/>
              <w:left w:val="nil"/>
              <w:bottom w:val="single" w:sz="8" w:space="0" w:color="auto"/>
              <w:right w:val="single" w:sz="8" w:space="0" w:color="000000"/>
            </w:tcBorders>
            <w:shd w:val="clear" w:color="000000" w:fill="B6A39A"/>
            <w:noWrap/>
            <w:vAlign w:val="center"/>
            <w:hideMark/>
          </w:tcPr>
          <w:p w14:paraId="7321ED0A"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2020</w:t>
            </w:r>
          </w:p>
        </w:tc>
        <w:tc>
          <w:tcPr>
            <w:tcW w:w="733" w:type="pct"/>
            <w:gridSpan w:val="2"/>
            <w:tcBorders>
              <w:top w:val="single" w:sz="8" w:space="0" w:color="auto"/>
              <w:left w:val="nil"/>
              <w:bottom w:val="single" w:sz="8" w:space="0" w:color="auto"/>
              <w:right w:val="single" w:sz="8" w:space="0" w:color="000000"/>
            </w:tcBorders>
            <w:shd w:val="clear" w:color="000000" w:fill="B6A39A"/>
            <w:noWrap/>
            <w:vAlign w:val="center"/>
            <w:hideMark/>
          </w:tcPr>
          <w:p w14:paraId="778F8B0C"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2021</w:t>
            </w:r>
          </w:p>
        </w:tc>
      </w:tr>
      <w:bookmarkEnd w:id="158"/>
      <w:tr w:rsidR="00B8364E" w:rsidRPr="00576FB9" w14:paraId="12BF654C" w14:textId="77777777" w:rsidTr="009F574A">
        <w:trPr>
          <w:trHeight w:val="300"/>
          <w:tblHeader/>
        </w:trPr>
        <w:tc>
          <w:tcPr>
            <w:tcW w:w="1646" w:type="pct"/>
            <w:vMerge/>
            <w:tcBorders>
              <w:top w:val="single" w:sz="8" w:space="0" w:color="auto"/>
              <w:left w:val="single" w:sz="8" w:space="0" w:color="auto"/>
              <w:bottom w:val="single" w:sz="8" w:space="0" w:color="000000"/>
              <w:right w:val="single" w:sz="8" w:space="0" w:color="auto"/>
            </w:tcBorders>
            <w:vAlign w:val="center"/>
            <w:hideMark/>
          </w:tcPr>
          <w:p w14:paraId="2C7A4EF6"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p>
        </w:tc>
        <w:tc>
          <w:tcPr>
            <w:tcW w:w="259" w:type="pct"/>
            <w:tcBorders>
              <w:top w:val="nil"/>
              <w:left w:val="nil"/>
              <w:bottom w:val="single" w:sz="8" w:space="0" w:color="auto"/>
              <w:right w:val="single" w:sz="8" w:space="0" w:color="auto"/>
            </w:tcBorders>
            <w:shd w:val="clear" w:color="000000" w:fill="B6A39A"/>
            <w:noWrap/>
            <w:vAlign w:val="center"/>
            <w:hideMark/>
          </w:tcPr>
          <w:p w14:paraId="6B340C3B"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 </w:t>
            </w:r>
          </w:p>
        </w:tc>
        <w:tc>
          <w:tcPr>
            <w:tcW w:w="397" w:type="pct"/>
            <w:tcBorders>
              <w:top w:val="nil"/>
              <w:left w:val="nil"/>
              <w:bottom w:val="single" w:sz="8" w:space="0" w:color="auto"/>
              <w:right w:val="single" w:sz="8" w:space="0" w:color="auto"/>
            </w:tcBorders>
            <w:shd w:val="clear" w:color="000000" w:fill="B6A39A"/>
            <w:noWrap/>
            <w:vAlign w:val="center"/>
            <w:hideMark/>
          </w:tcPr>
          <w:p w14:paraId="46C61D9B"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265" w:type="pct"/>
            <w:tcBorders>
              <w:top w:val="nil"/>
              <w:left w:val="nil"/>
              <w:bottom w:val="single" w:sz="8" w:space="0" w:color="auto"/>
              <w:right w:val="single" w:sz="8" w:space="0" w:color="auto"/>
            </w:tcBorders>
            <w:shd w:val="clear" w:color="000000" w:fill="B6A39A"/>
            <w:noWrap/>
            <w:vAlign w:val="center"/>
            <w:hideMark/>
          </w:tcPr>
          <w:p w14:paraId="396AABFC"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 </w:t>
            </w:r>
          </w:p>
        </w:tc>
        <w:tc>
          <w:tcPr>
            <w:tcW w:w="390" w:type="pct"/>
            <w:tcBorders>
              <w:top w:val="nil"/>
              <w:left w:val="nil"/>
              <w:bottom w:val="single" w:sz="8" w:space="0" w:color="auto"/>
              <w:right w:val="single" w:sz="8" w:space="0" w:color="auto"/>
            </w:tcBorders>
            <w:shd w:val="clear" w:color="000000" w:fill="B6A39A"/>
            <w:noWrap/>
            <w:vAlign w:val="center"/>
            <w:hideMark/>
          </w:tcPr>
          <w:p w14:paraId="4C54B2D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265" w:type="pct"/>
            <w:tcBorders>
              <w:top w:val="nil"/>
              <w:left w:val="nil"/>
              <w:bottom w:val="single" w:sz="8" w:space="0" w:color="auto"/>
              <w:right w:val="single" w:sz="8" w:space="0" w:color="auto"/>
            </w:tcBorders>
            <w:shd w:val="clear" w:color="000000" w:fill="B6A39A"/>
            <w:noWrap/>
            <w:vAlign w:val="center"/>
            <w:hideMark/>
          </w:tcPr>
          <w:p w14:paraId="685EE40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 </w:t>
            </w:r>
          </w:p>
        </w:tc>
        <w:tc>
          <w:tcPr>
            <w:tcW w:w="390" w:type="pct"/>
            <w:tcBorders>
              <w:top w:val="nil"/>
              <w:left w:val="nil"/>
              <w:bottom w:val="single" w:sz="8" w:space="0" w:color="auto"/>
              <w:right w:val="single" w:sz="8" w:space="0" w:color="auto"/>
            </w:tcBorders>
            <w:shd w:val="clear" w:color="000000" w:fill="B6A39A"/>
            <w:noWrap/>
            <w:vAlign w:val="center"/>
            <w:hideMark/>
          </w:tcPr>
          <w:p w14:paraId="1B60057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265" w:type="pct"/>
            <w:tcBorders>
              <w:top w:val="nil"/>
              <w:left w:val="nil"/>
              <w:bottom w:val="single" w:sz="8" w:space="0" w:color="auto"/>
              <w:right w:val="single" w:sz="8" w:space="0" w:color="auto"/>
            </w:tcBorders>
            <w:shd w:val="clear" w:color="000000" w:fill="B6A39A"/>
            <w:noWrap/>
            <w:vAlign w:val="center"/>
            <w:hideMark/>
          </w:tcPr>
          <w:p w14:paraId="4DBF77C8"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 </w:t>
            </w:r>
          </w:p>
        </w:tc>
        <w:tc>
          <w:tcPr>
            <w:tcW w:w="390" w:type="pct"/>
            <w:tcBorders>
              <w:top w:val="nil"/>
              <w:left w:val="nil"/>
              <w:bottom w:val="single" w:sz="8" w:space="0" w:color="auto"/>
              <w:right w:val="single" w:sz="8" w:space="0" w:color="auto"/>
            </w:tcBorders>
            <w:shd w:val="clear" w:color="000000" w:fill="B6A39A"/>
            <w:noWrap/>
            <w:vAlign w:val="center"/>
            <w:hideMark/>
          </w:tcPr>
          <w:p w14:paraId="456318A9"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298" w:type="pct"/>
            <w:tcBorders>
              <w:top w:val="nil"/>
              <w:left w:val="nil"/>
              <w:bottom w:val="single" w:sz="8" w:space="0" w:color="auto"/>
              <w:right w:val="single" w:sz="8" w:space="0" w:color="auto"/>
            </w:tcBorders>
            <w:shd w:val="clear" w:color="000000" w:fill="B6A39A"/>
            <w:noWrap/>
            <w:vAlign w:val="center"/>
            <w:hideMark/>
          </w:tcPr>
          <w:p w14:paraId="05B5DF8B"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 </w:t>
            </w:r>
          </w:p>
        </w:tc>
        <w:tc>
          <w:tcPr>
            <w:tcW w:w="435" w:type="pct"/>
            <w:tcBorders>
              <w:top w:val="nil"/>
              <w:left w:val="nil"/>
              <w:bottom w:val="single" w:sz="8" w:space="0" w:color="auto"/>
              <w:right w:val="single" w:sz="8" w:space="0" w:color="auto"/>
            </w:tcBorders>
            <w:shd w:val="clear" w:color="000000" w:fill="B6A39A"/>
            <w:noWrap/>
            <w:vAlign w:val="center"/>
            <w:hideMark/>
          </w:tcPr>
          <w:p w14:paraId="2D4D8A4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r>
      <w:tr w:rsidR="00B8364E" w:rsidRPr="00576FB9" w14:paraId="7D51426F"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D8C1BD"/>
            <w:noWrap/>
            <w:vAlign w:val="center"/>
            <w:hideMark/>
          </w:tcPr>
          <w:p w14:paraId="539DC65C"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Conflicto intereses cargo público</w:t>
            </w:r>
          </w:p>
        </w:tc>
        <w:tc>
          <w:tcPr>
            <w:tcW w:w="259" w:type="pct"/>
            <w:tcBorders>
              <w:top w:val="nil"/>
              <w:left w:val="nil"/>
              <w:bottom w:val="single" w:sz="8" w:space="0" w:color="auto"/>
              <w:right w:val="single" w:sz="8" w:space="0" w:color="auto"/>
            </w:tcBorders>
            <w:shd w:val="clear" w:color="000000" w:fill="D8C1BD"/>
            <w:noWrap/>
            <w:vAlign w:val="center"/>
            <w:hideMark/>
          </w:tcPr>
          <w:p w14:paraId="66CFA8A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7" w:type="pct"/>
            <w:tcBorders>
              <w:top w:val="nil"/>
              <w:left w:val="nil"/>
              <w:bottom w:val="single" w:sz="8" w:space="0" w:color="auto"/>
              <w:right w:val="single" w:sz="8" w:space="0" w:color="auto"/>
            </w:tcBorders>
            <w:shd w:val="clear" w:color="000000" w:fill="D8C1BD"/>
            <w:noWrap/>
            <w:vAlign w:val="center"/>
            <w:hideMark/>
          </w:tcPr>
          <w:p w14:paraId="478560A9"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62DA1F5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64F2292C"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39225686"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755E2ED7"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3937D7FB"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2E6584F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98" w:type="pct"/>
            <w:tcBorders>
              <w:top w:val="nil"/>
              <w:left w:val="nil"/>
              <w:bottom w:val="single" w:sz="8" w:space="0" w:color="auto"/>
              <w:right w:val="single" w:sz="8" w:space="0" w:color="auto"/>
            </w:tcBorders>
            <w:shd w:val="clear" w:color="000000" w:fill="D8C1BD"/>
            <w:noWrap/>
            <w:vAlign w:val="center"/>
            <w:hideMark/>
          </w:tcPr>
          <w:p w14:paraId="07AB985C"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7</w:t>
            </w:r>
          </w:p>
        </w:tc>
        <w:tc>
          <w:tcPr>
            <w:tcW w:w="435" w:type="pct"/>
            <w:tcBorders>
              <w:top w:val="nil"/>
              <w:left w:val="nil"/>
              <w:bottom w:val="single" w:sz="8" w:space="0" w:color="auto"/>
              <w:right w:val="single" w:sz="8" w:space="0" w:color="auto"/>
            </w:tcBorders>
            <w:shd w:val="clear" w:color="000000" w:fill="D8C1BD"/>
            <w:noWrap/>
            <w:vAlign w:val="center"/>
            <w:hideMark/>
          </w:tcPr>
          <w:p w14:paraId="5D00A89C"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w:t>
            </w:r>
          </w:p>
        </w:tc>
      </w:tr>
      <w:tr w:rsidR="00B8364E" w:rsidRPr="00576FB9" w14:paraId="73D6070E"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D8C1BD"/>
            <w:noWrap/>
            <w:vAlign w:val="center"/>
            <w:hideMark/>
          </w:tcPr>
          <w:p w14:paraId="316E8D64"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Conflicto intereses empleado público</w:t>
            </w:r>
          </w:p>
        </w:tc>
        <w:tc>
          <w:tcPr>
            <w:tcW w:w="259" w:type="pct"/>
            <w:tcBorders>
              <w:top w:val="nil"/>
              <w:left w:val="nil"/>
              <w:bottom w:val="single" w:sz="8" w:space="0" w:color="auto"/>
              <w:right w:val="single" w:sz="8" w:space="0" w:color="auto"/>
            </w:tcBorders>
            <w:shd w:val="clear" w:color="000000" w:fill="D8C1BD"/>
            <w:noWrap/>
            <w:vAlign w:val="center"/>
            <w:hideMark/>
          </w:tcPr>
          <w:p w14:paraId="793312E9"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7" w:type="pct"/>
            <w:tcBorders>
              <w:top w:val="nil"/>
              <w:left w:val="nil"/>
              <w:bottom w:val="single" w:sz="8" w:space="0" w:color="auto"/>
              <w:right w:val="single" w:sz="8" w:space="0" w:color="auto"/>
            </w:tcBorders>
            <w:shd w:val="clear" w:color="000000" w:fill="D8C1BD"/>
            <w:noWrap/>
            <w:vAlign w:val="center"/>
            <w:hideMark/>
          </w:tcPr>
          <w:p w14:paraId="37696FD4"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62F3E32B"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415EC994"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6C680E40"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6EF7A522"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2D86FB2B"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2E5E772A"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98" w:type="pct"/>
            <w:tcBorders>
              <w:top w:val="nil"/>
              <w:left w:val="nil"/>
              <w:bottom w:val="single" w:sz="8" w:space="0" w:color="auto"/>
              <w:right w:val="single" w:sz="8" w:space="0" w:color="auto"/>
            </w:tcBorders>
            <w:shd w:val="clear" w:color="000000" w:fill="D8C1BD"/>
            <w:noWrap/>
            <w:vAlign w:val="center"/>
            <w:hideMark/>
          </w:tcPr>
          <w:p w14:paraId="790E583A"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4</w:t>
            </w:r>
          </w:p>
        </w:tc>
        <w:tc>
          <w:tcPr>
            <w:tcW w:w="435" w:type="pct"/>
            <w:tcBorders>
              <w:top w:val="nil"/>
              <w:left w:val="nil"/>
              <w:bottom w:val="single" w:sz="8" w:space="0" w:color="auto"/>
              <w:right w:val="single" w:sz="8" w:space="0" w:color="auto"/>
            </w:tcBorders>
            <w:shd w:val="clear" w:color="000000" w:fill="D8C1BD"/>
            <w:noWrap/>
            <w:vAlign w:val="center"/>
            <w:hideMark/>
          </w:tcPr>
          <w:p w14:paraId="365B9E56"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w:t>
            </w:r>
          </w:p>
        </w:tc>
      </w:tr>
      <w:tr w:rsidR="00B8364E" w:rsidRPr="00576FB9" w14:paraId="2C620393"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D8C1BD"/>
            <w:noWrap/>
            <w:vAlign w:val="center"/>
            <w:hideMark/>
          </w:tcPr>
          <w:p w14:paraId="74D99EAA"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Contratación pública</w:t>
            </w:r>
          </w:p>
        </w:tc>
        <w:tc>
          <w:tcPr>
            <w:tcW w:w="259" w:type="pct"/>
            <w:tcBorders>
              <w:top w:val="nil"/>
              <w:left w:val="nil"/>
              <w:bottom w:val="single" w:sz="8" w:space="0" w:color="auto"/>
              <w:right w:val="single" w:sz="8" w:space="0" w:color="auto"/>
            </w:tcBorders>
            <w:shd w:val="clear" w:color="000000" w:fill="D8C1BD"/>
            <w:noWrap/>
            <w:vAlign w:val="center"/>
            <w:hideMark/>
          </w:tcPr>
          <w:p w14:paraId="5BA8E641"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12</w:t>
            </w:r>
          </w:p>
        </w:tc>
        <w:tc>
          <w:tcPr>
            <w:tcW w:w="397" w:type="pct"/>
            <w:tcBorders>
              <w:top w:val="nil"/>
              <w:left w:val="nil"/>
              <w:bottom w:val="single" w:sz="8" w:space="0" w:color="auto"/>
              <w:right w:val="single" w:sz="8" w:space="0" w:color="auto"/>
            </w:tcBorders>
            <w:shd w:val="clear" w:color="000000" w:fill="D8C1BD"/>
            <w:noWrap/>
            <w:vAlign w:val="center"/>
            <w:hideMark/>
          </w:tcPr>
          <w:p w14:paraId="7996273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34%</w:t>
            </w:r>
          </w:p>
        </w:tc>
        <w:tc>
          <w:tcPr>
            <w:tcW w:w="265" w:type="pct"/>
            <w:tcBorders>
              <w:top w:val="nil"/>
              <w:left w:val="nil"/>
              <w:bottom w:val="single" w:sz="8" w:space="0" w:color="auto"/>
              <w:right w:val="single" w:sz="8" w:space="0" w:color="auto"/>
            </w:tcBorders>
            <w:shd w:val="clear" w:color="000000" w:fill="D8C1BD"/>
            <w:noWrap/>
            <w:vAlign w:val="center"/>
            <w:hideMark/>
          </w:tcPr>
          <w:p w14:paraId="106CA1B6"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57</w:t>
            </w:r>
          </w:p>
        </w:tc>
        <w:tc>
          <w:tcPr>
            <w:tcW w:w="390" w:type="pct"/>
            <w:tcBorders>
              <w:top w:val="nil"/>
              <w:left w:val="nil"/>
              <w:bottom w:val="single" w:sz="8" w:space="0" w:color="auto"/>
              <w:right w:val="single" w:sz="8" w:space="0" w:color="auto"/>
            </w:tcBorders>
            <w:shd w:val="clear" w:color="000000" w:fill="D8C1BD"/>
            <w:noWrap/>
            <w:vAlign w:val="center"/>
            <w:hideMark/>
          </w:tcPr>
          <w:p w14:paraId="3284867B"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31%</w:t>
            </w:r>
          </w:p>
        </w:tc>
        <w:tc>
          <w:tcPr>
            <w:tcW w:w="265" w:type="pct"/>
            <w:tcBorders>
              <w:top w:val="nil"/>
              <w:left w:val="nil"/>
              <w:bottom w:val="single" w:sz="8" w:space="0" w:color="auto"/>
              <w:right w:val="single" w:sz="8" w:space="0" w:color="auto"/>
            </w:tcBorders>
            <w:shd w:val="clear" w:color="000000" w:fill="D8C1BD"/>
            <w:noWrap/>
            <w:vAlign w:val="center"/>
            <w:hideMark/>
          </w:tcPr>
          <w:p w14:paraId="2127DB7A"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42</w:t>
            </w:r>
          </w:p>
        </w:tc>
        <w:tc>
          <w:tcPr>
            <w:tcW w:w="390" w:type="pct"/>
            <w:tcBorders>
              <w:top w:val="nil"/>
              <w:left w:val="nil"/>
              <w:bottom w:val="single" w:sz="8" w:space="0" w:color="auto"/>
              <w:right w:val="single" w:sz="8" w:space="0" w:color="auto"/>
            </w:tcBorders>
            <w:shd w:val="clear" w:color="000000" w:fill="D8C1BD"/>
            <w:noWrap/>
            <w:vAlign w:val="center"/>
            <w:hideMark/>
          </w:tcPr>
          <w:p w14:paraId="111B930B"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25%</w:t>
            </w:r>
          </w:p>
        </w:tc>
        <w:tc>
          <w:tcPr>
            <w:tcW w:w="265" w:type="pct"/>
            <w:tcBorders>
              <w:top w:val="nil"/>
              <w:left w:val="nil"/>
              <w:bottom w:val="single" w:sz="8" w:space="0" w:color="auto"/>
              <w:right w:val="single" w:sz="8" w:space="0" w:color="auto"/>
            </w:tcBorders>
            <w:shd w:val="clear" w:color="000000" w:fill="D8C1BD"/>
            <w:noWrap/>
            <w:vAlign w:val="center"/>
            <w:hideMark/>
          </w:tcPr>
          <w:p w14:paraId="69E4B78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72</w:t>
            </w:r>
          </w:p>
        </w:tc>
        <w:tc>
          <w:tcPr>
            <w:tcW w:w="390" w:type="pct"/>
            <w:tcBorders>
              <w:top w:val="nil"/>
              <w:left w:val="nil"/>
              <w:bottom w:val="single" w:sz="8" w:space="0" w:color="auto"/>
              <w:right w:val="single" w:sz="8" w:space="0" w:color="auto"/>
            </w:tcBorders>
            <w:shd w:val="clear" w:color="000000" w:fill="D8C1BD"/>
            <w:noWrap/>
            <w:vAlign w:val="center"/>
            <w:hideMark/>
          </w:tcPr>
          <w:p w14:paraId="0662A306"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32%</w:t>
            </w:r>
          </w:p>
        </w:tc>
        <w:tc>
          <w:tcPr>
            <w:tcW w:w="298" w:type="pct"/>
            <w:tcBorders>
              <w:top w:val="nil"/>
              <w:left w:val="nil"/>
              <w:bottom w:val="single" w:sz="8" w:space="0" w:color="auto"/>
              <w:right w:val="single" w:sz="8" w:space="0" w:color="auto"/>
            </w:tcBorders>
            <w:shd w:val="clear" w:color="000000" w:fill="D8C1BD"/>
            <w:noWrap/>
            <w:vAlign w:val="center"/>
            <w:hideMark/>
          </w:tcPr>
          <w:p w14:paraId="1114C7E4"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51</w:t>
            </w:r>
          </w:p>
        </w:tc>
        <w:tc>
          <w:tcPr>
            <w:tcW w:w="435" w:type="pct"/>
            <w:tcBorders>
              <w:top w:val="nil"/>
              <w:left w:val="nil"/>
              <w:bottom w:val="single" w:sz="8" w:space="0" w:color="auto"/>
              <w:right w:val="single" w:sz="8" w:space="0" w:color="auto"/>
            </w:tcBorders>
            <w:shd w:val="clear" w:color="000000" w:fill="D8C1BD"/>
            <w:noWrap/>
            <w:vAlign w:val="center"/>
            <w:hideMark/>
          </w:tcPr>
          <w:p w14:paraId="65453DD5"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14%</w:t>
            </w:r>
          </w:p>
        </w:tc>
      </w:tr>
      <w:tr w:rsidR="00B8364E" w:rsidRPr="00576FB9" w14:paraId="79B9D957" w14:textId="77777777" w:rsidTr="009F574A">
        <w:trPr>
          <w:trHeight w:val="300"/>
        </w:trPr>
        <w:tc>
          <w:tcPr>
            <w:tcW w:w="1646" w:type="pct"/>
            <w:tcBorders>
              <w:top w:val="nil"/>
              <w:left w:val="single" w:sz="8" w:space="0" w:color="auto"/>
              <w:bottom w:val="single" w:sz="8" w:space="0" w:color="auto"/>
              <w:right w:val="single" w:sz="8" w:space="0" w:color="auto"/>
            </w:tcBorders>
            <w:shd w:val="clear" w:color="auto" w:fill="auto"/>
            <w:noWrap/>
            <w:vAlign w:val="center"/>
            <w:hideMark/>
          </w:tcPr>
          <w:p w14:paraId="472FE728"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Concesiones</w:t>
            </w:r>
          </w:p>
        </w:tc>
        <w:tc>
          <w:tcPr>
            <w:tcW w:w="259" w:type="pct"/>
            <w:tcBorders>
              <w:top w:val="nil"/>
              <w:left w:val="nil"/>
              <w:bottom w:val="single" w:sz="8" w:space="0" w:color="auto"/>
              <w:right w:val="single" w:sz="8" w:space="0" w:color="auto"/>
            </w:tcBorders>
            <w:shd w:val="clear" w:color="auto" w:fill="auto"/>
            <w:noWrap/>
            <w:vAlign w:val="center"/>
            <w:hideMark/>
          </w:tcPr>
          <w:p w14:paraId="13C3D1A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w:t>
            </w:r>
          </w:p>
        </w:tc>
        <w:tc>
          <w:tcPr>
            <w:tcW w:w="397" w:type="pct"/>
            <w:tcBorders>
              <w:top w:val="nil"/>
              <w:left w:val="nil"/>
              <w:bottom w:val="single" w:sz="8" w:space="0" w:color="auto"/>
              <w:right w:val="single" w:sz="8" w:space="0" w:color="auto"/>
            </w:tcBorders>
            <w:shd w:val="clear" w:color="auto" w:fill="auto"/>
            <w:noWrap/>
            <w:vAlign w:val="center"/>
            <w:hideMark/>
          </w:tcPr>
          <w:p w14:paraId="5A4FEC7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9%</w:t>
            </w:r>
          </w:p>
        </w:tc>
        <w:tc>
          <w:tcPr>
            <w:tcW w:w="265" w:type="pct"/>
            <w:tcBorders>
              <w:top w:val="nil"/>
              <w:left w:val="nil"/>
              <w:bottom w:val="single" w:sz="8" w:space="0" w:color="auto"/>
              <w:right w:val="single" w:sz="8" w:space="0" w:color="auto"/>
            </w:tcBorders>
            <w:shd w:val="clear" w:color="auto" w:fill="auto"/>
            <w:noWrap/>
            <w:vAlign w:val="center"/>
            <w:hideMark/>
          </w:tcPr>
          <w:p w14:paraId="4730169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6</w:t>
            </w:r>
          </w:p>
        </w:tc>
        <w:tc>
          <w:tcPr>
            <w:tcW w:w="390" w:type="pct"/>
            <w:tcBorders>
              <w:top w:val="nil"/>
              <w:left w:val="nil"/>
              <w:bottom w:val="single" w:sz="8" w:space="0" w:color="auto"/>
              <w:right w:val="single" w:sz="8" w:space="0" w:color="auto"/>
            </w:tcBorders>
            <w:shd w:val="clear" w:color="auto" w:fill="auto"/>
            <w:noWrap/>
            <w:vAlign w:val="center"/>
            <w:hideMark/>
          </w:tcPr>
          <w:p w14:paraId="1ADF1B3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w:t>
            </w:r>
          </w:p>
        </w:tc>
        <w:tc>
          <w:tcPr>
            <w:tcW w:w="265" w:type="pct"/>
            <w:tcBorders>
              <w:top w:val="nil"/>
              <w:left w:val="nil"/>
              <w:bottom w:val="single" w:sz="8" w:space="0" w:color="auto"/>
              <w:right w:val="single" w:sz="8" w:space="0" w:color="auto"/>
            </w:tcBorders>
            <w:shd w:val="clear" w:color="auto" w:fill="auto"/>
            <w:noWrap/>
            <w:vAlign w:val="center"/>
            <w:hideMark/>
          </w:tcPr>
          <w:p w14:paraId="7C22B7B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8</w:t>
            </w:r>
          </w:p>
        </w:tc>
        <w:tc>
          <w:tcPr>
            <w:tcW w:w="390" w:type="pct"/>
            <w:tcBorders>
              <w:top w:val="nil"/>
              <w:left w:val="nil"/>
              <w:bottom w:val="single" w:sz="8" w:space="0" w:color="auto"/>
              <w:right w:val="single" w:sz="8" w:space="0" w:color="auto"/>
            </w:tcBorders>
            <w:shd w:val="clear" w:color="auto" w:fill="auto"/>
            <w:noWrap/>
            <w:vAlign w:val="center"/>
            <w:hideMark/>
          </w:tcPr>
          <w:p w14:paraId="5AEF831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5%</w:t>
            </w:r>
          </w:p>
        </w:tc>
        <w:tc>
          <w:tcPr>
            <w:tcW w:w="265" w:type="pct"/>
            <w:tcBorders>
              <w:top w:val="nil"/>
              <w:left w:val="nil"/>
              <w:bottom w:val="single" w:sz="8" w:space="0" w:color="auto"/>
              <w:right w:val="single" w:sz="8" w:space="0" w:color="auto"/>
            </w:tcBorders>
            <w:shd w:val="clear" w:color="auto" w:fill="auto"/>
            <w:noWrap/>
            <w:vAlign w:val="center"/>
            <w:hideMark/>
          </w:tcPr>
          <w:p w14:paraId="3184AA1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11</w:t>
            </w:r>
          </w:p>
        </w:tc>
        <w:tc>
          <w:tcPr>
            <w:tcW w:w="390" w:type="pct"/>
            <w:tcBorders>
              <w:top w:val="nil"/>
              <w:left w:val="nil"/>
              <w:bottom w:val="single" w:sz="8" w:space="0" w:color="auto"/>
              <w:right w:val="single" w:sz="8" w:space="0" w:color="auto"/>
            </w:tcBorders>
            <w:shd w:val="clear" w:color="auto" w:fill="auto"/>
            <w:noWrap/>
            <w:vAlign w:val="center"/>
            <w:hideMark/>
          </w:tcPr>
          <w:p w14:paraId="497E696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5%</w:t>
            </w:r>
          </w:p>
        </w:tc>
        <w:tc>
          <w:tcPr>
            <w:tcW w:w="298" w:type="pct"/>
            <w:tcBorders>
              <w:top w:val="nil"/>
              <w:left w:val="nil"/>
              <w:bottom w:val="single" w:sz="8" w:space="0" w:color="auto"/>
              <w:right w:val="single" w:sz="8" w:space="0" w:color="auto"/>
            </w:tcBorders>
            <w:shd w:val="clear" w:color="auto" w:fill="auto"/>
            <w:noWrap/>
            <w:vAlign w:val="center"/>
            <w:hideMark/>
          </w:tcPr>
          <w:p w14:paraId="119DA87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8</w:t>
            </w:r>
          </w:p>
        </w:tc>
        <w:tc>
          <w:tcPr>
            <w:tcW w:w="435" w:type="pct"/>
            <w:tcBorders>
              <w:top w:val="nil"/>
              <w:left w:val="nil"/>
              <w:bottom w:val="single" w:sz="8" w:space="0" w:color="auto"/>
              <w:right w:val="single" w:sz="8" w:space="0" w:color="auto"/>
            </w:tcBorders>
            <w:shd w:val="clear" w:color="auto" w:fill="auto"/>
            <w:noWrap/>
            <w:vAlign w:val="center"/>
            <w:hideMark/>
          </w:tcPr>
          <w:p w14:paraId="6854011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w:t>
            </w:r>
          </w:p>
        </w:tc>
      </w:tr>
      <w:tr w:rsidR="00B8364E" w:rsidRPr="00576FB9" w14:paraId="4426D739" w14:textId="77777777" w:rsidTr="009F574A">
        <w:trPr>
          <w:trHeight w:val="300"/>
        </w:trPr>
        <w:tc>
          <w:tcPr>
            <w:tcW w:w="1646" w:type="pct"/>
            <w:tcBorders>
              <w:top w:val="nil"/>
              <w:left w:val="single" w:sz="8" w:space="0" w:color="auto"/>
              <w:bottom w:val="single" w:sz="8" w:space="0" w:color="auto"/>
              <w:right w:val="single" w:sz="8" w:space="0" w:color="auto"/>
            </w:tcBorders>
            <w:shd w:val="clear" w:color="auto" w:fill="auto"/>
            <w:noWrap/>
            <w:vAlign w:val="center"/>
            <w:hideMark/>
          </w:tcPr>
          <w:p w14:paraId="69D3DB95"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Obras</w:t>
            </w:r>
          </w:p>
        </w:tc>
        <w:tc>
          <w:tcPr>
            <w:tcW w:w="259" w:type="pct"/>
            <w:tcBorders>
              <w:top w:val="nil"/>
              <w:left w:val="nil"/>
              <w:bottom w:val="single" w:sz="8" w:space="0" w:color="auto"/>
              <w:right w:val="single" w:sz="8" w:space="0" w:color="auto"/>
            </w:tcBorders>
            <w:shd w:val="clear" w:color="auto" w:fill="auto"/>
            <w:noWrap/>
            <w:vAlign w:val="center"/>
            <w:hideMark/>
          </w:tcPr>
          <w:p w14:paraId="7F9BE26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w:t>
            </w:r>
          </w:p>
        </w:tc>
        <w:tc>
          <w:tcPr>
            <w:tcW w:w="397" w:type="pct"/>
            <w:tcBorders>
              <w:top w:val="nil"/>
              <w:left w:val="nil"/>
              <w:bottom w:val="single" w:sz="8" w:space="0" w:color="auto"/>
              <w:right w:val="single" w:sz="8" w:space="0" w:color="auto"/>
            </w:tcBorders>
            <w:shd w:val="clear" w:color="auto" w:fill="auto"/>
            <w:noWrap/>
            <w:vAlign w:val="center"/>
            <w:hideMark/>
          </w:tcPr>
          <w:p w14:paraId="1A4A871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6%</w:t>
            </w:r>
          </w:p>
        </w:tc>
        <w:tc>
          <w:tcPr>
            <w:tcW w:w="265" w:type="pct"/>
            <w:tcBorders>
              <w:top w:val="nil"/>
              <w:left w:val="nil"/>
              <w:bottom w:val="single" w:sz="8" w:space="0" w:color="auto"/>
              <w:right w:val="single" w:sz="8" w:space="0" w:color="auto"/>
            </w:tcBorders>
            <w:shd w:val="clear" w:color="auto" w:fill="auto"/>
            <w:noWrap/>
            <w:vAlign w:val="center"/>
            <w:hideMark/>
          </w:tcPr>
          <w:p w14:paraId="382DD51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17</w:t>
            </w:r>
          </w:p>
        </w:tc>
        <w:tc>
          <w:tcPr>
            <w:tcW w:w="390" w:type="pct"/>
            <w:tcBorders>
              <w:top w:val="nil"/>
              <w:left w:val="nil"/>
              <w:bottom w:val="single" w:sz="8" w:space="0" w:color="auto"/>
              <w:right w:val="single" w:sz="8" w:space="0" w:color="auto"/>
            </w:tcBorders>
            <w:shd w:val="clear" w:color="auto" w:fill="auto"/>
            <w:noWrap/>
            <w:vAlign w:val="center"/>
            <w:hideMark/>
          </w:tcPr>
          <w:p w14:paraId="5154119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9%</w:t>
            </w:r>
          </w:p>
        </w:tc>
        <w:tc>
          <w:tcPr>
            <w:tcW w:w="265" w:type="pct"/>
            <w:tcBorders>
              <w:top w:val="nil"/>
              <w:left w:val="nil"/>
              <w:bottom w:val="single" w:sz="8" w:space="0" w:color="auto"/>
              <w:right w:val="single" w:sz="8" w:space="0" w:color="auto"/>
            </w:tcBorders>
            <w:shd w:val="clear" w:color="auto" w:fill="auto"/>
            <w:noWrap/>
            <w:vAlign w:val="center"/>
            <w:hideMark/>
          </w:tcPr>
          <w:p w14:paraId="2132D57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6</w:t>
            </w:r>
          </w:p>
        </w:tc>
        <w:tc>
          <w:tcPr>
            <w:tcW w:w="390" w:type="pct"/>
            <w:tcBorders>
              <w:top w:val="nil"/>
              <w:left w:val="nil"/>
              <w:bottom w:val="single" w:sz="8" w:space="0" w:color="auto"/>
              <w:right w:val="single" w:sz="8" w:space="0" w:color="auto"/>
            </w:tcBorders>
            <w:shd w:val="clear" w:color="auto" w:fill="auto"/>
            <w:noWrap/>
            <w:vAlign w:val="center"/>
            <w:hideMark/>
          </w:tcPr>
          <w:p w14:paraId="3633543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w:t>
            </w:r>
          </w:p>
        </w:tc>
        <w:tc>
          <w:tcPr>
            <w:tcW w:w="265" w:type="pct"/>
            <w:tcBorders>
              <w:top w:val="nil"/>
              <w:left w:val="nil"/>
              <w:bottom w:val="single" w:sz="8" w:space="0" w:color="auto"/>
              <w:right w:val="single" w:sz="8" w:space="0" w:color="auto"/>
            </w:tcBorders>
            <w:shd w:val="clear" w:color="auto" w:fill="auto"/>
            <w:noWrap/>
            <w:vAlign w:val="center"/>
            <w:hideMark/>
          </w:tcPr>
          <w:p w14:paraId="6A32F86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5</w:t>
            </w:r>
          </w:p>
        </w:tc>
        <w:tc>
          <w:tcPr>
            <w:tcW w:w="390" w:type="pct"/>
            <w:tcBorders>
              <w:top w:val="nil"/>
              <w:left w:val="nil"/>
              <w:bottom w:val="single" w:sz="8" w:space="0" w:color="auto"/>
              <w:right w:val="single" w:sz="8" w:space="0" w:color="auto"/>
            </w:tcBorders>
            <w:shd w:val="clear" w:color="auto" w:fill="auto"/>
            <w:noWrap/>
            <w:vAlign w:val="center"/>
            <w:hideMark/>
          </w:tcPr>
          <w:p w14:paraId="4071791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w:t>
            </w:r>
          </w:p>
        </w:tc>
        <w:tc>
          <w:tcPr>
            <w:tcW w:w="298" w:type="pct"/>
            <w:tcBorders>
              <w:top w:val="nil"/>
              <w:left w:val="nil"/>
              <w:bottom w:val="single" w:sz="8" w:space="0" w:color="auto"/>
              <w:right w:val="single" w:sz="8" w:space="0" w:color="auto"/>
            </w:tcBorders>
            <w:shd w:val="clear" w:color="auto" w:fill="auto"/>
            <w:noWrap/>
            <w:vAlign w:val="center"/>
            <w:hideMark/>
          </w:tcPr>
          <w:p w14:paraId="5C402F9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w:t>
            </w:r>
          </w:p>
        </w:tc>
        <w:tc>
          <w:tcPr>
            <w:tcW w:w="435" w:type="pct"/>
            <w:tcBorders>
              <w:top w:val="nil"/>
              <w:left w:val="nil"/>
              <w:bottom w:val="single" w:sz="8" w:space="0" w:color="auto"/>
              <w:right w:val="single" w:sz="8" w:space="0" w:color="auto"/>
            </w:tcBorders>
            <w:shd w:val="clear" w:color="auto" w:fill="auto"/>
            <w:noWrap/>
            <w:vAlign w:val="center"/>
            <w:hideMark/>
          </w:tcPr>
          <w:p w14:paraId="256F915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r>
      <w:tr w:rsidR="00B8364E" w:rsidRPr="00576FB9" w14:paraId="7D94503E" w14:textId="77777777" w:rsidTr="009F574A">
        <w:trPr>
          <w:trHeight w:val="300"/>
        </w:trPr>
        <w:tc>
          <w:tcPr>
            <w:tcW w:w="1646" w:type="pct"/>
            <w:tcBorders>
              <w:top w:val="nil"/>
              <w:left w:val="single" w:sz="8" w:space="0" w:color="auto"/>
              <w:bottom w:val="single" w:sz="8" w:space="0" w:color="auto"/>
              <w:right w:val="single" w:sz="8" w:space="0" w:color="auto"/>
            </w:tcBorders>
            <w:shd w:val="clear" w:color="auto" w:fill="auto"/>
            <w:noWrap/>
            <w:vAlign w:val="center"/>
            <w:hideMark/>
          </w:tcPr>
          <w:p w14:paraId="211B76C8"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Suministros</w:t>
            </w:r>
          </w:p>
        </w:tc>
        <w:tc>
          <w:tcPr>
            <w:tcW w:w="259" w:type="pct"/>
            <w:tcBorders>
              <w:top w:val="nil"/>
              <w:left w:val="nil"/>
              <w:bottom w:val="single" w:sz="8" w:space="0" w:color="auto"/>
              <w:right w:val="single" w:sz="8" w:space="0" w:color="auto"/>
            </w:tcBorders>
            <w:shd w:val="clear" w:color="auto" w:fill="auto"/>
            <w:noWrap/>
            <w:vAlign w:val="center"/>
            <w:hideMark/>
          </w:tcPr>
          <w:p w14:paraId="35A89EA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397" w:type="pct"/>
            <w:tcBorders>
              <w:top w:val="nil"/>
              <w:left w:val="nil"/>
              <w:bottom w:val="single" w:sz="8" w:space="0" w:color="auto"/>
              <w:right w:val="single" w:sz="8" w:space="0" w:color="auto"/>
            </w:tcBorders>
            <w:shd w:val="clear" w:color="auto" w:fill="auto"/>
            <w:noWrap/>
            <w:vAlign w:val="center"/>
            <w:hideMark/>
          </w:tcPr>
          <w:p w14:paraId="20DBA897"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265" w:type="pct"/>
            <w:tcBorders>
              <w:top w:val="nil"/>
              <w:left w:val="nil"/>
              <w:bottom w:val="single" w:sz="8" w:space="0" w:color="auto"/>
              <w:right w:val="single" w:sz="8" w:space="0" w:color="auto"/>
            </w:tcBorders>
            <w:shd w:val="clear" w:color="auto" w:fill="auto"/>
            <w:noWrap/>
            <w:vAlign w:val="center"/>
            <w:hideMark/>
          </w:tcPr>
          <w:p w14:paraId="25DF719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6</w:t>
            </w:r>
          </w:p>
        </w:tc>
        <w:tc>
          <w:tcPr>
            <w:tcW w:w="390" w:type="pct"/>
            <w:tcBorders>
              <w:top w:val="nil"/>
              <w:left w:val="nil"/>
              <w:bottom w:val="single" w:sz="8" w:space="0" w:color="auto"/>
              <w:right w:val="single" w:sz="8" w:space="0" w:color="auto"/>
            </w:tcBorders>
            <w:shd w:val="clear" w:color="auto" w:fill="auto"/>
            <w:noWrap/>
            <w:vAlign w:val="center"/>
            <w:hideMark/>
          </w:tcPr>
          <w:p w14:paraId="081655D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w:t>
            </w:r>
          </w:p>
        </w:tc>
        <w:tc>
          <w:tcPr>
            <w:tcW w:w="265" w:type="pct"/>
            <w:tcBorders>
              <w:top w:val="nil"/>
              <w:left w:val="nil"/>
              <w:bottom w:val="single" w:sz="8" w:space="0" w:color="auto"/>
              <w:right w:val="single" w:sz="8" w:space="0" w:color="auto"/>
            </w:tcBorders>
            <w:shd w:val="clear" w:color="auto" w:fill="auto"/>
            <w:noWrap/>
            <w:vAlign w:val="center"/>
            <w:hideMark/>
          </w:tcPr>
          <w:p w14:paraId="5BE7458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w:t>
            </w:r>
          </w:p>
        </w:tc>
        <w:tc>
          <w:tcPr>
            <w:tcW w:w="390" w:type="pct"/>
            <w:tcBorders>
              <w:top w:val="nil"/>
              <w:left w:val="nil"/>
              <w:bottom w:val="single" w:sz="8" w:space="0" w:color="auto"/>
              <w:right w:val="single" w:sz="8" w:space="0" w:color="auto"/>
            </w:tcBorders>
            <w:shd w:val="clear" w:color="auto" w:fill="auto"/>
            <w:noWrap/>
            <w:vAlign w:val="center"/>
            <w:hideMark/>
          </w:tcPr>
          <w:p w14:paraId="52646AD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w:t>
            </w:r>
          </w:p>
        </w:tc>
        <w:tc>
          <w:tcPr>
            <w:tcW w:w="265" w:type="pct"/>
            <w:tcBorders>
              <w:top w:val="nil"/>
              <w:left w:val="nil"/>
              <w:bottom w:val="single" w:sz="8" w:space="0" w:color="auto"/>
              <w:right w:val="single" w:sz="8" w:space="0" w:color="auto"/>
            </w:tcBorders>
            <w:shd w:val="clear" w:color="auto" w:fill="auto"/>
            <w:noWrap/>
            <w:vAlign w:val="center"/>
            <w:hideMark/>
          </w:tcPr>
          <w:p w14:paraId="7163CFE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7</w:t>
            </w:r>
          </w:p>
        </w:tc>
        <w:tc>
          <w:tcPr>
            <w:tcW w:w="390" w:type="pct"/>
            <w:tcBorders>
              <w:top w:val="nil"/>
              <w:left w:val="nil"/>
              <w:bottom w:val="single" w:sz="8" w:space="0" w:color="auto"/>
              <w:right w:val="single" w:sz="8" w:space="0" w:color="auto"/>
            </w:tcBorders>
            <w:shd w:val="clear" w:color="auto" w:fill="auto"/>
            <w:noWrap/>
            <w:vAlign w:val="center"/>
            <w:hideMark/>
          </w:tcPr>
          <w:p w14:paraId="1D2B152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w:t>
            </w:r>
          </w:p>
        </w:tc>
        <w:tc>
          <w:tcPr>
            <w:tcW w:w="298" w:type="pct"/>
            <w:tcBorders>
              <w:top w:val="nil"/>
              <w:left w:val="nil"/>
              <w:bottom w:val="single" w:sz="8" w:space="0" w:color="auto"/>
              <w:right w:val="single" w:sz="8" w:space="0" w:color="auto"/>
            </w:tcBorders>
            <w:shd w:val="clear" w:color="auto" w:fill="auto"/>
            <w:noWrap/>
            <w:vAlign w:val="center"/>
            <w:hideMark/>
          </w:tcPr>
          <w:p w14:paraId="18D6489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w:t>
            </w:r>
          </w:p>
        </w:tc>
        <w:tc>
          <w:tcPr>
            <w:tcW w:w="435" w:type="pct"/>
            <w:tcBorders>
              <w:top w:val="nil"/>
              <w:left w:val="nil"/>
              <w:bottom w:val="single" w:sz="8" w:space="0" w:color="auto"/>
              <w:right w:val="single" w:sz="8" w:space="0" w:color="auto"/>
            </w:tcBorders>
            <w:shd w:val="clear" w:color="auto" w:fill="auto"/>
            <w:noWrap/>
            <w:vAlign w:val="center"/>
            <w:hideMark/>
          </w:tcPr>
          <w:p w14:paraId="6FAA9147"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w:t>
            </w:r>
          </w:p>
        </w:tc>
      </w:tr>
      <w:tr w:rsidR="00B8364E" w:rsidRPr="00576FB9" w14:paraId="3A1484CC" w14:textId="77777777" w:rsidTr="009F574A">
        <w:trPr>
          <w:trHeight w:val="300"/>
        </w:trPr>
        <w:tc>
          <w:tcPr>
            <w:tcW w:w="1646" w:type="pct"/>
            <w:tcBorders>
              <w:top w:val="nil"/>
              <w:left w:val="single" w:sz="8" w:space="0" w:color="auto"/>
              <w:bottom w:val="single" w:sz="8" w:space="0" w:color="auto"/>
              <w:right w:val="single" w:sz="8" w:space="0" w:color="auto"/>
            </w:tcBorders>
            <w:shd w:val="clear" w:color="auto" w:fill="auto"/>
            <w:noWrap/>
            <w:vAlign w:val="center"/>
            <w:hideMark/>
          </w:tcPr>
          <w:p w14:paraId="3DD759AD"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Servicios</w:t>
            </w:r>
          </w:p>
        </w:tc>
        <w:tc>
          <w:tcPr>
            <w:tcW w:w="259" w:type="pct"/>
            <w:tcBorders>
              <w:top w:val="nil"/>
              <w:left w:val="nil"/>
              <w:bottom w:val="single" w:sz="8" w:space="0" w:color="auto"/>
              <w:right w:val="single" w:sz="8" w:space="0" w:color="auto"/>
            </w:tcBorders>
            <w:shd w:val="clear" w:color="auto" w:fill="auto"/>
            <w:noWrap/>
            <w:vAlign w:val="center"/>
            <w:hideMark/>
          </w:tcPr>
          <w:p w14:paraId="0998252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7</w:t>
            </w:r>
          </w:p>
        </w:tc>
        <w:tc>
          <w:tcPr>
            <w:tcW w:w="397" w:type="pct"/>
            <w:tcBorders>
              <w:top w:val="nil"/>
              <w:left w:val="nil"/>
              <w:bottom w:val="single" w:sz="8" w:space="0" w:color="auto"/>
              <w:right w:val="single" w:sz="8" w:space="0" w:color="auto"/>
            </w:tcBorders>
            <w:shd w:val="clear" w:color="auto" w:fill="auto"/>
            <w:noWrap/>
            <w:vAlign w:val="center"/>
            <w:hideMark/>
          </w:tcPr>
          <w:p w14:paraId="2CD5305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20%</w:t>
            </w:r>
          </w:p>
        </w:tc>
        <w:tc>
          <w:tcPr>
            <w:tcW w:w="265" w:type="pct"/>
            <w:tcBorders>
              <w:top w:val="nil"/>
              <w:left w:val="nil"/>
              <w:bottom w:val="single" w:sz="8" w:space="0" w:color="auto"/>
              <w:right w:val="single" w:sz="8" w:space="0" w:color="auto"/>
            </w:tcBorders>
            <w:shd w:val="clear" w:color="auto" w:fill="auto"/>
            <w:noWrap/>
            <w:vAlign w:val="center"/>
            <w:hideMark/>
          </w:tcPr>
          <w:p w14:paraId="09AB584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28</w:t>
            </w:r>
          </w:p>
        </w:tc>
        <w:tc>
          <w:tcPr>
            <w:tcW w:w="390" w:type="pct"/>
            <w:tcBorders>
              <w:top w:val="nil"/>
              <w:left w:val="nil"/>
              <w:bottom w:val="single" w:sz="8" w:space="0" w:color="auto"/>
              <w:right w:val="single" w:sz="8" w:space="0" w:color="auto"/>
            </w:tcBorders>
            <w:shd w:val="clear" w:color="auto" w:fill="auto"/>
            <w:noWrap/>
            <w:vAlign w:val="center"/>
            <w:hideMark/>
          </w:tcPr>
          <w:p w14:paraId="0D66BF97"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15%</w:t>
            </w:r>
          </w:p>
        </w:tc>
        <w:tc>
          <w:tcPr>
            <w:tcW w:w="265" w:type="pct"/>
            <w:tcBorders>
              <w:top w:val="nil"/>
              <w:left w:val="nil"/>
              <w:bottom w:val="single" w:sz="8" w:space="0" w:color="auto"/>
              <w:right w:val="single" w:sz="8" w:space="0" w:color="auto"/>
            </w:tcBorders>
            <w:shd w:val="clear" w:color="auto" w:fill="auto"/>
            <w:noWrap/>
            <w:vAlign w:val="center"/>
            <w:hideMark/>
          </w:tcPr>
          <w:p w14:paraId="39D0B9E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27</w:t>
            </w:r>
          </w:p>
        </w:tc>
        <w:tc>
          <w:tcPr>
            <w:tcW w:w="390" w:type="pct"/>
            <w:tcBorders>
              <w:top w:val="nil"/>
              <w:left w:val="nil"/>
              <w:bottom w:val="single" w:sz="8" w:space="0" w:color="auto"/>
              <w:right w:val="single" w:sz="8" w:space="0" w:color="auto"/>
            </w:tcBorders>
            <w:shd w:val="clear" w:color="auto" w:fill="auto"/>
            <w:noWrap/>
            <w:vAlign w:val="center"/>
            <w:hideMark/>
          </w:tcPr>
          <w:p w14:paraId="1777C52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16%</w:t>
            </w:r>
          </w:p>
        </w:tc>
        <w:tc>
          <w:tcPr>
            <w:tcW w:w="265" w:type="pct"/>
            <w:tcBorders>
              <w:top w:val="nil"/>
              <w:left w:val="nil"/>
              <w:bottom w:val="single" w:sz="8" w:space="0" w:color="auto"/>
              <w:right w:val="single" w:sz="8" w:space="0" w:color="auto"/>
            </w:tcBorders>
            <w:shd w:val="clear" w:color="auto" w:fill="auto"/>
            <w:noWrap/>
            <w:vAlign w:val="center"/>
            <w:hideMark/>
          </w:tcPr>
          <w:p w14:paraId="68D34FE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42</w:t>
            </w:r>
          </w:p>
        </w:tc>
        <w:tc>
          <w:tcPr>
            <w:tcW w:w="390" w:type="pct"/>
            <w:tcBorders>
              <w:top w:val="nil"/>
              <w:left w:val="nil"/>
              <w:bottom w:val="single" w:sz="8" w:space="0" w:color="auto"/>
              <w:right w:val="single" w:sz="8" w:space="0" w:color="auto"/>
            </w:tcBorders>
            <w:shd w:val="clear" w:color="auto" w:fill="auto"/>
            <w:noWrap/>
            <w:vAlign w:val="center"/>
            <w:hideMark/>
          </w:tcPr>
          <w:p w14:paraId="0DACDF2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19%</w:t>
            </w:r>
          </w:p>
        </w:tc>
        <w:tc>
          <w:tcPr>
            <w:tcW w:w="298" w:type="pct"/>
            <w:tcBorders>
              <w:top w:val="nil"/>
              <w:left w:val="nil"/>
              <w:bottom w:val="single" w:sz="8" w:space="0" w:color="auto"/>
              <w:right w:val="single" w:sz="8" w:space="0" w:color="auto"/>
            </w:tcBorders>
            <w:shd w:val="clear" w:color="auto" w:fill="auto"/>
            <w:noWrap/>
            <w:vAlign w:val="center"/>
            <w:hideMark/>
          </w:tcPr>
          <w:p w14:paraId="3BF9C8A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20</w:t>
            </w:r>
          </w:p>
        </w:tc>
        <w:tc>
          <w:tcPr>
            <w:tcW w:w="435" w:type="pct"/>
            <w:tcBorders>
              <w:top w:val="nil"/>
              <w:left w:val="nil"/>
              <w:bottom w:val="single" w:sz="8" w:space="0" w:color="auto"/>
              <w:right w:val="single" w:sz="8" w:space="0" w:color="auto"/>
            </w:tcBorders>
            <w:shd w:val="clear" w:color="auto" w:fill="auto"/>
            <w:noWrap/>
            <w:vAlign w:val="center"/>
            <w:hideMark/>
          </w:tcPr>
          <w:p w14:paraId="7892FD8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6%</w:t>
            </w:r>
          </w:p>
        </w:tc>
      </w:tr>
      <w:tr w:rsidR="00B8364E" w:rsidRPr="00576FB9" w14:paraId="699CFE29" w14:textId="77777777" w:rsidTr="009F574A">
        <w:trPr>
          <w:trHeight w:val="300"/>
        </w:trPr>
        <w:tc>
          <w:tcPr>
            <w:tcW w:w="1646" w:type="pct"/>
            <w:tcBorders>
              <w:top w:val="nil"/>
              <w:left w:val="single" w:sz="8" w:space="0" w:color="auto"/>
              <w:bottom w:val="single" w:sz="8" w:space="0" w:color="auto"/>
              <w:right w:val="single" w:sz="8" w:space="0" w:color="auto"/>
            </w:tcBorders>
            <w:shd w:val="clear" w:color="auto" w:fill="auto"/>
            <w:noWrap/>
            <w:vAlign w:val="center"/>
            <w:hideMark/>
          </w:tcPr>
          <w:p w14:paraId="403769D7"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Contratos menores</w:t>
            </w:r>
          </w:p>
        </w:tc>
        <w:tc>
          <w:tcPr>
            <w:tcW w:w="259" w:type="pct"/>
            <w:tcBorders>
              <w:top w:val="nil"/>
              <w:left w:val="nil"/>
              <w:bottom w:val="single" w:sz="8" w:space="0" w:color="auto"/>
              <w:right w:val="single" w:sz="8" w:space="0" w:color="auto"/>
            </w:tcBorders>
            <w:shd w:val="clear" w:color="auto" w:fill="auto"/>
            <w:noWrap/>
            <w:vAlign w:val="center"/>
            <w:hideMark/>
          </w:tcPr>
          <w:p w14:paraId="28E42DE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7" w:type="pct"/>
            <w:tcBorders>
              <w:top w:val="nil"/>
              <w:left w:val="nil"/>
              <w:bottom w:val="single" w:sz="8" w:space="0" w:color="auto"/>
              <w:right w:val="single" w:sz="8" w:space="0" w:color="auto"/>
            </w:tcBorders>
            <w:shd w:val="clear" w:color="auto" w:fill="auto"/>
            <w:noWrap/>
            <w:vAlign w:val="center"/>
            <w:hideMark/>
          </w:tcPr>
          <w:p w14:paraId="54C0E33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06DA4E1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7FF375C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39FABC9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6322EB8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4DB1F2E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3EC1755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98" w:type="pct"/>
            <w:tcBorders>
              <w:top w:val="nil"/>
              <w:left w:val="nil"/>
              <w:bottom w:val="single" w:sz="8" w:space="0" w:color="auto"/>
              <w:right w:val="single" w:sz="8" w:space="0" w:color="auto"/>
            </w:tcBorders>
            <w:shd w:val="clear" w:color="auto" w:fill="auto"/>
            <w:noWrap/>
            <w:vAlign w:val="center"/>
            <w:hideMark/>
          </w:tcPr>
          <w:p w14:paraId="1EBF857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9</w:t>
            </w:r>
          </w:p>
        </w:tc>
        <w:tc>
          <w:tcPr>
            <w:tcW w:w="435" w:type="pct"/>
            <w:tcBorders>
              <w:top w:val="nil"/>
              <w:left w:val="nil"/>
              <w:bottom w:val="single" w:sz="8" w:space="0" w:color="auto"/>
              <w:right w:val="single" w:sz="8" w:space="0" w:color="auto"/>
            </w:tcBorders>
            <w:shd w:val="clear" w:color="auto" w:fill="auto"/>
            <w:noWrap/>
            <w:vAlign w:val="center"/>
            <w:hideMark/>
          </w:tcPr>
          <w:p w14:paraId="3470E20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w:t>
            </w:r>
          </w:p>
        </w:tc>
      </w:tr>
      <w:tr w:rsidR="00B8364E" w:rsidRPr="00576FB9" w14:paraId="577772D6" w14:textId="77777777" w:rsidTr="009F574A">
        <w:trPr>
          <w:trHeight w:val="300"/>
        </w:trPr>
        <w:tc>
          <w:tcPr>
            <w:tcW w:w="1646" w:type="pct"/>
            <w:tcBorders>
              <w:top w:val="nil"/>
              <w:left w:val="single" w:sz="8" w:space="0" w:color="auto"/>
              <w:bottom w:val="single" w:sz="8" w:space="0" w:color="auto"/>
              <w:right w:val="single" w:sz="8" w:space="0" w:color="auto"/>
            </w:tcBorders>
            <w:shd w:val="clear" w:color="auto" w:fill="auto"/>
            <w:noWrap/>
            <w:vAlign w:val="center"/>
            <w:hideMark/>
          </w:tcPr>
          <w:p w14:paraId="46CF6B3F"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Fraccionamiento</w:t>
            </w:r>
          </w:p>
        </w:tc>
        <w:tc>
          <w:tcPr>
            <w:tcW w:w="259" w:type="pct"/>
            <w:tcBorders>
              <w:top w:val="nil"/>
              <w:left w:val="nil"/>
              <w:bottom w:val="single" w:sz="8" w:space="0" w:color="auto"/>
              <w:right w:val="single" w:sz="8" w:space="0" w:color="auto"/>
            </w:tcBorders>
            <w:shd w:val="clear" w:color="auto" w:fill="auto"/>
            <w:noWrap/>
            <w:vAlign w:val="center"/>
            <w:hideMark/>
          </w:tcPr>
          <w:p w14:paraId="1E522F7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7" w:type="pct"/>
            <w:tcBorders>
              <w:top w:val="nil"/>
              <w:left w:val="nil"/>
              <w:bottom w:val="single" w:sz="8" w:space="0" w:color="auto"/>
              <w:right w:val="single" w:sz="8" w:space="0" w:color="auto"/>
            </w:tcBorders>
            <w:shd w:val="clear" w:color="auto" w:fill="auto"/>
            <w:noWrap/>
            <w:vAlign w:val="center"/>
            <w:hideMark/>
          </w:tcPr>
          <w:p w14:paraId="51F4EC4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3C197B7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38A37BD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72D2FCF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233F4DF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4EA0076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6C47E29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98" w:type="pct"/>
            <w:tcBorders>
              <w:top w:val="nil"/>
              <w:left w:val="nil"/>
              <w:bottom w:val="single" w:sz="8" w:space="0" w:color="auto"/>
              <w:right w:val="single" w:sz="8" w:space="0" w:color="auto"/>
            </w:tcBorders>
            <w:shd w:val="clear" w:color="auto" w:fill="auto"/>
            <w:noWrap/>
            <w:vAlign w:val="center"/>
            <w:hideMark/>
          </w:tcPr>
          <w:p w14:paraId="1CCD7AB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w:t>
            </w:r>
          </w:p>
        </w:tc>
        <w:tc>
          <w:tcPr>
            <w:tcW w:w="435" w:type="pct"/>
            <w:tcBorders>
              <w:top w:val="nil"/>
              <w:left w:val="nil"/>
              <w:bottom w:val="single" w:sz="8" w:space="0" w:color="auto"/>
              <w:right w:val="single" w:sz="8" w:space="0" w:color="auto"/>
            </w:tcBorders>
            <w:shd w:val="clear" w:color="auto" w:fill="auto"/>
            <w:noWrap/>
            <w:vAlign w:val="center"/>
            <w:hideMark/>
          </w:tcPr>
          <w:p w14:paraId="11E9F56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w:t>
            </w:r>
          </w:p>
        </w:tc>
      </w:tr>
      <w:tr w:rsidR="00B8364E" w:rsidRPr="00576FB9" w14:paraId="61ECB19A" w14:textId="77777777" w:rsidTr="009F574A">
        <w:trPr>
          <w:trHeight w:val="300"/>
        </w:trPr>
        <w:tc>
          <w:tcPr>
            <w:tcW w:w="1646" w:type="pct"/>
            <w:tcBorders>
              <w:top w:val="nil"/>
              <w:left w:val="single" w:sz="8" w:space="0" w:color="auto"/>
              <w:bottom w:val="single" w:sz="8" w:space="0" w:color="auto"/>
              <w:right w:val="single" w:sz="8" w:space="0" w:color="auto"/>
            </w:tcBorders>
            <w:shd w:val="clear" w:color="auto" w:fill="auto"/>
            <w:noWrap/>
            <w:vAlign w:val="center"/>
            <w:hideMark/>
          </w:tcPr>
          <w:p w14:paraId="1C7D6B76"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Otros</w:t>
            </w:r>
          </w:p>
        </w:tc>
        <w:tc>
          <w:tcPr>
            <w:tcW w:w="259" w:type="pct"/>
            <w:tcBorders>
              <w:top w:val="nil"/>
              <w:left w:val="nil"/>
              <w:bottom w:val="single" w:sz="8" w:space="0" w:color="auto"/>
              <w:right w:val="single" w:sz="8" w:space="0" w:color="auto"/>
            </w:tcBorders>
            <w:shd w:val="clear" w:color="auto" w:fill="auto"/>
            <w:noWrap/>
            <w:vAlign w:val="center"/>
            <w:hideMark/>
          </w:tcPr>
          <w:p w14:paraId="1290610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397" w:type="pct"/>
            <w:tcBorders>
              <w:top w:val="nil"/>
              <w:left w:val="nil"/>
              <w:bottom w:val="single" w:sz="8" w:space="0" w:color="auto"/>
              <w:right w:val="single" w:sz="8" w:space="0" w:color="auto"/>
            </w:tcBorders>
            <w:shd w:val="clear" w:color="auto" w:fill="auto"/>
            <w:noWrap/>
            <w:vAlign w:val="center"/>
            <w:hideMark/>
          </w:tcPr>
          <w:p w14:paraId="47E787F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265" w:type="pct"/>
            <w:tcBorders>
              <w:top w:val="nil"/>
              <w:left w:val="nil"/>
              <w:bottom w:val="single" w:sz="8" w:space="0" w:color="auto"/>
              <w:right w:val="single" w:sz="8" w:space="0" w:color="auto"/>
            </w:tcBorders>
            <w:shd w:val="clear" w:color="auto" w:fill="auto"/>
            <w:noWrap/>
            <w:vAlign w:val="center"/>
            <w:hideMark/>
          </w:tcPr>
          <w:p w14:paraId="1856CAB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390" w:type="pct"/>
            <w:tcBorders>
              <w:top w:val="nil"/>
              <w:left w:val="nil"/>
              <w:bottom w:val="single" w:sz="8" w:space="0" w:color="auto"/>
              <w:right w:val="single" w:sz="8" w:space="0" w:color="auto"/>
            </w:tcBorders>
            <w:shd w:val="clear" w:color="auto" w:fill="auto"/>
            <w:noWrap/>
            <w:vAlign w:val="center"/>
            <w:hideMark/>
          </w:tcPr>
          <w:p w14:paraId="54ABC817"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265" w:type="pct"/>
            <w:tcBorders>
              <w:top w:val="nil"/>
              <w:left w:val="nil"/>
              <w:bottom w:val="single" w:sz="8" w:space="0" w:color="auto"/>
              <w:right w:val="single" w:sz="8" w:space="0" w:color="auto"/>
            </w:tcBorders>
            <w:shd w:val="clear" w:color="auto" w:fill="auto"/>
            <w:noWrap/>
            <w:vAlign w:val="center"/>
            <w:hideMark/>
          </w:tcPr>
          <w:p w14:paraId="5D27ECA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390" w:type="pct"/>
            <w:tcBorders>
              <w:top w:val="nil"/>
              <w:left w:val="nil"/>
              <w:bottom w:val="single" w:sz="8" w:space="0" w:color="auto"/>
              <w:right w:val="single" w:sz="8" w:space="0" w:color="auto"/>
            </w:tcBorders>
            <w:shd w:val="clear" w:color="auto" w:fill="auto"/>
            <w:noWrap/>
            <w:vAlign w:val="center"/>
            <w:hideMark/>
          </w:tcPr>
          <w:p w14:paraId="5FADA0E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265" w:type="pct"/>
            <w:tcBorders>
              <w:top w:val="nil"/>
              <w:left w:val="nil"/>
              <w:bottom w:val="single" w:sz="8" w:space="0" w:color="auto"/>
              <w:right w:val="single" w:sz="8" w:space="0" w:color="auto"/>
            </w:tcBorders>
            <w:shd w:val="clear" w:color="auto" w:fill="auto"/>
            <w:noWrap/>
            <w:vAlign w:val="center"/>
            <w:hideMark/>
          </w:tcPr>
          <w:p w14:paraId="23026B2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7</w:t>
            </w:r>
          </w:p>
        </w:tc>
        <w:tc>
          <w:tcPr>
            <w:tcW w:w="390" w:type="pct"/>
            <w:tcBorders>
              <w:top w:val="nil"/>
              <w:left w:val="nil"/>
              <w:bottom w:val="single" w:sz="8" w:space="0" w:color="auto"/>
              <w:right w:val="single" w:sz="8" w:space="0" w:color="auto"/>
            </w:tcBorders>
            <w:shd w:val="clear" w:color="auto" w:fill="auto"/>
            <w:noWrap/>
            <w:vAlign w:val="center"/>
            <w:hideMark/>
          </w:tcPr>
          <w:p w14:paraId="2ED66C1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w:t>
            </w:r>
          </w:p>
        </w:tc>
        <w:tc>
          <w:tcPr>
            <w:tcW w:w="298" w:type="pct"/>
            <w:tcBorders>
              <w:top w:val="nil"/>
              <w:left w:val="nil"/>
              <w:bottom w:val="single" w:sz="8" w:space="0" w:color="auto"/>
              <w:right w:val="single" w:sz="8" w:space="0" w:color="auto"/>
            </w:tcBorders>
            <w:shd w:val="clear" w:color="auto" w:fill="auto"/>
            <w:noWrap/>
            <w:vAlign w:val="center"/>
            <w:hideMark/>
          </w:tcPr>
          <w:p w14:paraId="72FDD13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5</w:t>
            </w:r>
          </w:p>
        </w:tc>
        <w:tc>
          <w:tcPr>
            <w:tcW w:w="435" w:type="pct"/>
            <w:tcBorders>
              <w:top w:val="nil"/>
              <w:left w:val="nil"/>
              <w:bottom w:val="single" w:sz="8" w:space="0" w:color="auto"/>
              <w:right w:val="single" w:sz="8" w:space="0" w:color="auto"/>
            </w:tcBorders>
            <w:shd w:val="clear" w:color="auto" w:fill="auto"/>
            <w:noWrap/>
            <w:vAlign w:val="center"/>
            <w:hideMark/>
          </w:tcPr>
          <w:p w14:paraId="0E5159B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w:t>
            </w:r>
          </w:p>
        </w:tc>
      </w:tr>
      <w:tr w:rsidR="00B8364E" w:rsidRPr="00576FB9" w14:paraId="54DAD709"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D8C1BD"/>
            <w:noWrap/>
            <w:vAlign w:val="center"/>
            <w:hideMark/>
          </w:tcPr>
          <w:p w14:paraId="50664A25"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Convenios Administrativos</w:t>
            </w:r>
          </w:p>
        </w:tc>
        <w:tc>
          <w:tcPr>
            <w:tcW w:w="259" w:type="pct"/>
            <w:tcBorders>
              <w:top w:val="nil"/>
              <w:left w:val="nil"/>
              <w:bottom w:val="single" w:sz="8" w:space="0" w:color="auto"/>
              <w:right w:val="single" w:sz="8" w:space="0" w:color="auto"/>
            </w:tcBorders>
            <w:shd w:val="clear" w:color="000000" w:fill="D8C1BD"/>
            <w:noWrap/>
            <w:vAlign w:val="center"/>
            <w:hideMark/>
          </w:tcPr>
          <w:p w14:paraId="7F37482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7" w:type="pct"/>
            <w:tcBorders>
              <w:top w:val="nil"/>
              <w:left w:val="nil"/>
              <w:bottom w:val="single" w:sz="8" w:space="0" w:color="auto"/>
              <w:right w:val="single" w:sz="8" w:space="0" w:color="auto"/>
            </w:tcBorders>
            <w:shd w:val="clear" w:color="000000" w:fill="D8C1BD"/>
            <w:noWrap/>
            <w:vAlign w:val="center"/>
            <w:hideMark/>
          </w:tcPr>
          <w:p w14:paraId="06D8E548"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49E0A33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49E3622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333A64B0"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623595F1"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3CC62ED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1A00DF34"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98" w:type="pct"/>
            <w:tcBorders>
              <w:top w:val="nil"/>
              <w:left w:val="nil"/>
              <w:bottom w:val="single" w:sz="8" w:space="0" w:color="auto"/>
              <w:right w:val="single" w:sz="8" w:space="0" w:color="auto"/>
            </w:tcBorders>
            <w:shd w:val="clear" w:color="000000" w:fill="D8C1BD"/>
            <w:noWrap/>
            <w:vAlign w:val="center"/>
            <w:hideMark/>
          </w:tcPr>
          <w:p w14:paraId="2E7F9E97"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w:t>
            </w:r>
          </w:p>
        </w:tc>
        <w:tc>
          <w:tcPr>
            <w:tcW w:w="435" w:type="pct"/>
            <w:tcBorders>
              <w:top w:val="nil"/>
              <w:left w:val="nil"/>
              <w:bottom w:val="single" w:sz="8" w:space="0" w:color="auto"/>
              <w:right w:val="single" w:sz="8" w:space="0" w:color="auto"/>
            </w:tcBorders>
            <w:shd w:val="clear" w:color="000000" w:fill="D8C1BD"/>
            <w:noWrap/>
            <w:vAlign w:val="center"/>
            <w:hideMark/>
          </w:tcPr>
          <w:p w14:paraId="70F3D261"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w:t>
            </w:r>
          </w:p>
        </w:tc>
      </w:tr>
      <w:tr w:rsidR="00B8364E" w:rsidRPr="00576FB9" w14:paraId="03E0F64C"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D8C1BD"/>
            <w:noWrap/>
            <w:vAlign w:val="center"/>
            <w:hideMark/>
          </w:tcPr>
          <w:p w14:paraId="6A786196"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Gestión de Activos/Patrimonio</w:t>
            </w:r>
          </w:p>
        </w:tc>
        <w:tc>
          <w:tcPr>
            <w:tcW w:w="259" w:type="pct"/>
            <w:tcBorders>
              <w:top w:val="nil"/>
              <w:left w:val="nil"/>
              <w:bottom w:val="single" w:sz="8" w:space="0" w:color="auto"/>
              <w:right w:val="single" w:sz="8" w:space="0" w:color="auto"/>
            </w:tcBorders>
            <w:shd w:val="clear" w:color="000000" w:fill="D8C1BD"/>
            <w:noWrap/>
            <w:vAlign w:val="center"/>
            <w:hideMark/>
          </w:tcPr>
          <w:p w14:paraId="2744B839"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4</w:t>
            </w:r>
          </w:p>
        </w:tc>
        <w:tc>
          <w:tcPr>
            <w:tcW w:w="397" w:type="pct"/>
            <w:tcBorders>
              <w:top w:val="nil"/>
              <w:left w:val="nil"/>
              <w:bottom w:val="single" w:sz="8" w:space="0" w:color="auto"/>
              <w:right w:val="single" w:sz="8" w:space="0" w:color="auto"/>
            </w:tcBorders>
            <w:shd w:val="clear" w:color="000000" w:fill="D8C1BD"/>
            <w:noWrap/>
            <w:vAlign w:val="center"/>
            <w:hideMark/>
          </w:tcPr>
          <w:p w14:paraId="125C186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11%</w:t>
            </w:r>
          </w:p>
        </w:tc>
        <w:tc>
          <w:tcPr>
            <w:tcW w:w="265" w:type="pct"/>
            <w:tcBorders>
              <w:top w:val="nil"/>
              <w:left w:val="nil"/>
              <w:bottom w:val="single" w:sz="8" w:space="0" w:color="auto"/>
              <w:right w:val="single" w:sz="8" w:space="0" w:color="auto"/>
            </w:tcBorders>
            <w:shd w:val="clear" w:color="000000" w:fill="D8C1BD"/>
            <w:noWrap/>
            <w:vAlign w:val="center"/>
            <w:hideMark/>
          </w:tcPr>
          <w:p w14:paraId="722216D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18</w:t>
            </w:r>
          </w:p>
        </w:tc>
        <w:tc>
          <w:tcPr>
            <w:tcW w:w="390" w:type="pct"/>
            <w:tcBorders>
              <w:top w:val="nil"/>
              <w:left w:val="nil"/>
              <w:bottom w:val="single" w:sz="8" w:space="0" w:color="auto"/>
              <w:right w:val="single" w:sz="8" w:space="0" w:color="auto"/>
            </w:tcBorders>
            <w:shd w:val="clear" w:color="000000" w:fill="D8C1BD"/>
            <w:noWrap/>
            <w:vAlign w:val="center"/>
            <w:hideMark/>
          </w:tcPr>
          <w:p w14:paraId="20D41380"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w:t>
            </w:r>
          </w:p>
        </w:tc>
        <w:tc>
          <w:tcPr>
            <w:tcW w:w="265" w:type="pct"/>
            <w:tcBorders>
              <w:top w:val="nil"/>
              <w:left w:val="nil"/>
              <w:bottom w:val="single" w:sz="8" w:space="0" w:color="auto"/>
              <w:right w:val="single" w:sz="8" w:space="0" w:color="auto"/>
            </w:tcBorders>
            <w:shd w:val="clear" w:color="000000" w:fill="D8C1BD"/>
            <w:noWrap/>
            <w:vAlign w:val="center"/>
            <w:hideMark/>
          </w:tcPr>
          <w:p w14:paraId="02FCC8A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7</w:t>
            </w:r>
          </w:p>
        </w:tc>
        <w:tc>
          <w:tcPr>
            <w:tcW w:w="390" w:type="pct"/>
            <w:tcBorders>
              <w:top w:val="nil"/>
              <w:left w:val="nil"/>
              <w:bottom w:val="single" w:sz="8" w:space="0" w:color="auto"/>
              <w:right w:val="single" w:sz="8" w:space="0" w:color="auto"/>
            </w:tcBorders>
            <w:shd w:val="clear" w:color="000000" w:fill="D8C1BD"/>
            <w:noWrap/>
            <w:vAlign w:val="center"/>
            <w:hideMark/>
          </w:tcPr>
          <w:p w14:paraId="36AB710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4%</w:t>
            </w:r>
          </w:p>
        </w:tc>
        <w:tc>
          <w:tcPr>
            <w:tcW w:w="265" w:type="pct"/>
            <w:tcBorders>
              <w:top w:val="nil"/>
              <w:left w:val="nil"/>
              <w:bottom w:val="single" w:sz="8" w:space="0" w:color="auto"/>
              <w:right w:val="single" w:sz="8" w:space="0" w:color="auto"/>
            </w:tcBorders>
            <w:shd w:val="clear" w:color="000000" w:fill="D8C1BD"/>
            <w:noWrap/>
            <w:vAlign w:val="center"/>
            <w:hideMark/>
          </w:tcPr>
          <w:p w14:paraId="6A1B439A"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9</w:t>
            </w:r>
          </w:p>
        </w:tc>
        <w:tc>
          <w:tcPr>
            <w:tcW w:w="390" w:type="pct"/>
            <w:tcBorders>
              <w:top w:val="nil"/>
              <w:left w:val="nil"/>
              <w:bottom w:val="single" w:sz="8" w:space="0" w:color="auto"/>
              <w:right w:val="single" w:sz="8" w:space="0" w:color="auto"/>
            </w:tcBorders>
            <w:shd w:val="clear" w:color="000000" w:fill="D8C1BD"/>
            <w:noWrap/>
            <w:vAlign w:val="center"/>
            <w:hideMark/>
          </w:tcPr>
          <w:p w14:paraId="32FD4EA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4%</w:t>
            </w:r>
          </w:p>
        </w:tc>
        <w:tc>
          <w:tcPr>
            <w:tcW w:w="298" w:type="pct"/>
            <w:tcBorders>
              <w:top w:val="nil"/>
              <w:left w:val="nil"/>
              <w:bottom w:val="single" w:sz="8" w:space="0" w:color="auto"/>
              <w:right w:val="single" w:sz="8" w:space="0" w:color="auto"/>
            </w:tcBorders>
            <w:shd w:val="clear" w:color="000000" w:fill="D8C1BD"/>
            <w:noWrap/>
            <w:vAlign w:val="center"/>
            <w:hideMark/>
          </w:tcPr>
          <w:p w14:paraId="3AC0139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4</w:t>
            </w:r>
          </w:p>
        </w:tc>
        <w:tc>
          <w:tcPr>
            <w:tcW w:w="435" w:type="pct"/>
            <w:tcBorders>
              <w:top w:val="nil"/>
              <w:left w:val="nil"/>
              <w:bottom w:val="single" w:sz="8" w:space="0" w:color="auto"/>
              <w:right w:val="single" w:sz="8" w:space="0" w:color="auto"/>
            </w:tcBorders>
            <w:shd w:val="clear" w:color="000000" w:fill="D8C1BD"/>
            <w:noWrap/>
            <w:vAlign w:val="center"/>
            <w:hideMark/>
          </w:tcPr>
          <w:p w14:paraId="75BD8D41"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w:t>
            </w:r>
          </w:p>
        </w:tc>
      </w:tr>
      <w:tr w:rsidR="00B8364E" w:rsidRPr="00576FB9" w14:paraId="38D80107"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D8C1BD"/>
            <w:noWrap/>
            <w:vAlign w:val="center"/>
            <w:hideMark/>
          </w:tcPr>
          <w:p w14:paraId="68556280"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Gestión de RR.HH.</w:t>
            </w:r>
          </w:p>
        </w:tc>
        <w:tc>
          <w:tcPr>
            <w:tcW w:w="259" w:type="pct"/>
            <w:tcBorders>
              <w:top w:val="nil"/>
              <w:left w:val="nil"/>
              <w:bottom w:val="single" w:sz="8" w:space="0" w:color="auto"/>
              <w:right w:val="single" w:sz="8" w:space="0" w:color="auto"/>
            </w:tcBorders>
            <w:shd w:val="clear" w:color="000000" w:fill="D8C1BD"/>
            <w:noWrap/>
            <w:vAlign w:val="center"/>
            <w:hideMark/>
          </w:tcPr>
          <w:p w14:paraId="2EB0BEB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8</w:t>
            </w:r>
          </w:p>
        </w:tc>
        <w:tc>
          <w:tcPr>
            <w:tcW w:w="397" w:type="pct"/>
            <w:tcBorders>
              <w:top w:val="nil"/>
              <w:left w:val="nil"/>
              <w:bottom w:val="single" w:sz="8" w:space="0" w:color="auto"/>
              <w:right w:val="single" w:sz="8" w:space="0" w:color="auto"/>
            </w:tcBorders>
            <w:shd w:val="clear" w:color="000000" w:fill="D8C1BD"/>
            <w:noWrap/>
            <w:vAlign w:val="center"/>
            <w:hideMark/>
          </w:tcPr>
          <w:p w14:paraId="4D92244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23%</w:t>
            </w:r>
          </w:p>
        </w:tc>
        <w:tc>
          <w:tcPr>
            <w:tcW w:w="265" w:type="pct"/>
            <w:tcBorders>
              <w:top w:val="nil"/>
              <w:left w:val="nil"/>
              <w:bottom w:val="single" w:sz="8" w:space="0" w:color="auto"/>
              <w:right w:val="single" w:sz="8" w:space="0" w:color="auto"/>
            </w:tcBorders>
            <w:shd w:val="clear" w:color="000000" w:fill="D8C1BD"/>
            <w:noWrap/>
            <w:vAlign w:val="center"/>
            <w:hideMark/>
          </w:tcPr>
          <w:p w14:paraId="7A8602B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64</w:t>
            </w:r>
          </w:p>
        </w:tc>
        <w:tc>
          <w:tcPr>
            <w:tcW w:w="390" w:type="pct"/>
            <w:tcBorders>
              <w:top w:val="nil"/>
              <w:left w:val="nil"/>
              <w:bottom w:val="single" w:sz="8" w:space="0" w:color="auto"/>
              <w:right w:val="single" w:sz="8" w:space="0" w:color="auto"/>
            </w:tcBorders>
            <w:shd w:val="clear" w:color="000000" w:fill="D8C1BD"/>
            <w:noWrap/>
            <w:vAlign w:val="center"/>
            <w:hideMark/>
          </w:tcPr>
          <w:p w14:paraId="02241C27"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35%</w:t>
            </w:r>
          </w:p>
        </w:tc>
        <w:tc>
          <w:tcPr>
            <w:tcW w:w="265" w:type="pct"/>
            <w:tcBorders>
              <w:top w:val="nil"/>
              <w:left w:val="nil"/>
              <w:bottom w:val="single" w:sz="8" w:space="0" w:color="auto"/>
              <w:right w:val="single" w:sz="8" w:space="0" w:color="auto"/>
            </w:tcBorders>
            <w:shd w:val="clear" w:color="000000" w:fill="D8C1BD"/>
            <w:noWrap/>
            <w:vAlign w:val="center"/>
            <w:hideMark/>
          </w:tcPr>
          <w:p w14:paraId="3E58B1A6"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68</w:t>
            </w:r>
          </w:p>
        </w:tc>
        <w:tc>
          <w:tcPr>
            <w:tcW w:w="390" w:type="pct"/>
            <w:tcBorders>
              <w:top w:val="nil"/>
              <w:left w:val="nil"/>
              <w:bottom w:val="single" w:sz="8" w:space="0" w:color="auto"/>
              <w:right w:val="single" w:sz="8" w:space="0" w:color="auto"/>
            </w:tcBorders>
            <w:shd w:val="clear" w:color="000000" w:fill="D8C1BD"/>
            <w:noWrap/>
            <w:vAlign w:val="center"/>
            <w:hideMark/>
          </w:tcPr>
          <w:p w14:paraId="6BA410F6"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40%</w:t>
            </w:r>
          </w:p>
        </w:tc>
        <w:tc>
          <w:tcPr>
            <w:tcW w:w="265" w:type="pct"/>
            <w:tcBorders>
              <w:top w:val="nil"/>
              <w:left w:val="nil"/>
              <w:bottom w:val="single" w:sz="8" w:space="0" w:color="auto"/>
              <w:right w:val="single" w:sz="8" w:space="0" w:color="auto"/>
            </w:tcBorders>
            <w:shd w:val="clear" w:color="000000" w:fill="D8C1BD"/>
            <w:noWrap/>
            <w:vAlign w:val="center"/>
            <w:hideMark/>
          </w:tcPr>
          <w:p w14:paraId="102B8E2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64</w:t>
            </w:r>
          </w:p>
        </w:tc>
        <w:tc>
          <w:tcPr>
            <w:tcW w:w="390" w:type="pct"/>
            <w:tcBorders>
              <w:top w:val="nil"/>
              <w:left w:val="nil"/>
              <w:bottom w:val="single" w:sz="8" w:space="0" w:color="auto"/>
              <w:right w:val="single" w:sz="8" w:space="0" w:color="auto"/>
            </w:tcBorders>
            <w:shd w:val="clear" w:color="000000" w:fill="D8C1BD"/>
            <w:noWrap/>
            <w:vAlign w:val="center"/>
            <w:hideMark/>
          </w:tcPr>
          <w:p w14:paraId="71FA21E5"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28%</w:t>
            </w:r>
          </w:p>
        </w:tc>
        <w:tc>
          <w:tcPr>
            <w:tcW w:w="298" w:type="pct"/>
            <w:tcBorders>
              <w:top w:val="nil"/>
              <w:left w:val="nil"/>
              <w:bottom w:val="single" w:sz="8" w:space="0" w:color="auto"/>
              <w:right w:val="single" w:sz="8" w:space="0" w:color="auto"/>
            </w:tcBorders>
            <w:shd w:val="clear" w:color="000000" w:fill="D8C1BD"/>
            <w:noWrap/>
            <w:vAlign w:val="center"/>
            <w:hideMark/>
          </w:tcPr>
          <w:p w14:paraId="23F34E52"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161</w:t>
            </w:r>
          </w:p>
        </w:tc>
        <w:tc>
          <w:tcPr>
            <w:tcW w:w="435" w:type="pct"/>
            <w:tcBorders>
              <w:top w:val="nil"/>
              <w:left w:val="nil"/>
              <w:bottom w:val="single" w:sz="8" w:space="0" w:color="auto"/>
              <w:right w:val="single" w:sz="8" w:space="0" w:color="auto"/>
            </w:tcBorders>
            <w:shd w:val="clear" w:color="000000" w:fill="D8C1BD"/>
            <w:noWrap/>
            <w:vAlign w:val="center"/>
            <w:hideMark/>
          </w:tcPr>
          <w:p w14:paraId="48106AA4"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45%</w:t>
            </w:r>
          </w:p>
        </w:tc>
      </w:tr>
      <w:tr w:rsidR="00B8364E" w:rsidRPr="00576FB9" w14:paraId="34E5DCBE"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FFFFFF"/>
            <w:noWrap/>
            <w:vAlign w:val="center"/>
            <w:hideMark/>
          </w:tcPr>
          <w:p w14:paraId="51AC2F27"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Acceso</w:t>
            </w:r>
          </w:p>
        </w:tc>
        <w:tc>
          <w:tcPr>
            <w:tcW w:w="259" w:type="pct"/>
            <w:tcBorders>
              <w:top w:val="nil"/>
              <w:left w:val="nil"/>
              <w:bottom w:val="single" w:sz="8" w:space="0" w:color="auto"/>
              <w:right w:val="single" w:sz="8" w:space="0" w:color="auto"/>
            </w:tcBorders>
            <w:shd w:val="clear" w:color="auto" w:fill="auto"/>
            <w:noWrap/>
            <w:vAlign w:val="center"/>
            <w:hideMark/>
          </w:tcPr>
          <w:p w14:paraId="5599BB3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7" w:type="pct"/>
            <w:tcBorders>
              <w:top w:val="nil"/>
              <w:left w:val="nil"/>
              <w:bottom w:val="single" w:sz="8" w:space="0" w:color="auto"/>
              <w:right w:val="single" w:sz="8" w:space="0" w:color="auto"/>
            </w:tcBorders>
            <w:shd w:val="clear" w:color="auto" w:fill="auto"/>
            <w:noWrap/>
            <w:vAlign w:val="center"/>
            <w:hideMark/>
          </w:tcPr>
          <w:p w14:paraId="05AF205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2A7885C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6CB09A1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4E13BDF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666C931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6E54913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3D5377A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98" w:type="pct"/>
            <w:tcBorders>
              <w:top w:val="nil"/>
              <w:left w:val="nil"/>
              <w:bottom w:val="single" w:sz="8" w:space="0" w:color="auto"/>
              <w:right w:val="single" w:sz="8" w:space="0" w:color="auto"/>
            </w:tcBorders>
            <w:shd w:val="clear" w:color="auto" w:fill="auto"/>
            <w:noWrap/>
            <w:vAlign w:val="center"/>
            <w:hideMark/>
          </w:tcPr>
          <w:p w14:paraId="4621C33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24</w:t>
            </w:r>
          </w:p>
        </w:tc>
        <w:tc>
          <w:tcPr>
            <w:tcW w:w="435" w:type="pct"/>
            <w:tcBorders>
              <w:top w:val="nil"/>
              <w:left w:val="nil"/>
              <w:bottom w:val="single" w:sz="8" w:space="0" w:color="auto"/>
              <w:right w:val="single" w:sz="8" w:space="0" w:color="auto"/>
            </w:tcBorders>
            <w:shd w:val="clear" w:color="auto" w:fill="auto"/>
            <w:noWrap/>
            <w:vAlign w:val="center"/>
            <w:hideMark/>
          </w:tcPr>
          <w:p w14:paraId="184BF43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7%</w:t>
            </w:r>
          </w:p>
        </w:tc>
      </w:tr>
      <w:tr w:rsidR="00B8364E" w:rsidRPr="00576FB9" w14:paraId="513A63EA"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FFFFFF"/>
            <w:noWrap/>
            <w:vAlign w:val="center"/>
            <w:hideMark/>
          </w:tcPr>
          <w:p w14:paraId="71524647"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Procedimientos Selectivos</w:t>
            </w:r>
          </w:p>
        </w:tc>
        <w:tc>
          <w:tcPr>
            <w:tcW w:w="259" w:type="pct"/>
            <w:tcBorders>
              <w:top w:val="nil"/>
              <w:left w:val="nil"/>
              <w:bottom w:val="single" w:sz="8" w:space="0" w:color="auto"/>
              <w:right w:val="single" w:sz="8" w:space="0" w:color="auto"/>
            </w:tcBorders>
            <w:shd w:val="clear" w:color="000000" w:fill="FFFFFF"/>
            <w:noWrap/>
            <w:vAlign w:val="center"/>
            <w:hideMark/>
          </w:tcPr>
          <w:p w14:paraId="7C5F092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5</w:t>
            </w:r>
          </w:p>
        </w:tc>
        <w:tc>
          <w:tcPr>
            <w:tcW w:w="397" w:type="pct"/>
            <w:tcBorders>
              <w:top w:val="nil"/>
              <w:left w:val="nil"/>
              <w:bottom w:val="single" w:sz="8" w:space="0" w:color="auto"/>
              <w:right w:val="single" w:sz="8" w:space="0" w:color="auto"/>
            </w:tcBorders>
            <w:shd w:val="clear" w:color="000000" w:fill="FFFFFF"/>
            <w:noWrap/>
            <w:vAlign w:val="center"/>
            <w:hideMark/>
          </w:tcPr>
          <w:p w14:paraId="64EF04A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14%</w:t>
            </w:r>
          </w:p>
        </w:tc>
        <w:tc>
          <w:tcPr>
            <w:tcW w:w="265" w:type="pct"/>
            <w:tcBorders>
              <w:top w:val="nil"/>
              <w:left w:val="nil"/>
              <w:bottom w:val="single" w:sz="8" w:space="0" w:color="auto"/>
              <w:right w:val="single" w:sz="8" w:space="0" w:color="auto"/>
            </w:tcBorders>
            <w:shd w:val="clear" w:color="000000" w:fill="FFFFFF"/>
            <w:noWrap/>
            <w:vAlign w:val="center"/>
            <w:hideMark/>
          </w:tcPr>
          <w:p w14:paraId="409201F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33</w:t>
            </w:r>
          </w:p>
        </w:tc>
        <w:tc>
          <w:tcPr>
            <w:tcW w:w="390" w:type="pct"/>
            <w:tcBorders>
              <w:top w:val="nil"/>
              <w:left w:val="nil"/>
              <w:bottom w:val="single" w:sz="8" w:space="0" w:color="auto"/>
              <w:right w:val="single" w:sz="8" w:space="0" w:color="auto"/>
            </w:tcBorders>
            <w:shd w:val="clear" w:color="000000" w:fill="FFFFFF"/>
            <w:noWrap/>
            <w:vAlign w:val="center"/>
            <w:hideMark/>
          </w:tcPr>
          <w:p w14:paraId="3C611F6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18%</w:t>
            </w:r>
          </w:p>
        </w:tc>
        <w:tc>
          <w:tcPr>
            <w:tcW w:w="265" w:type="pct"/>
            <w:tcBorders>
              <w:top w:val="nil"/>
              <w:left w:val="nil"/>
              <w:bottom w:val="single" w:sz="8" w:space="0" w:color="auto"/>
              <w:right w:val="single" w:sz="8" w:space="0" w:color="auto"/>
            </w:tcBorders>
            <w:shd w:val="clear" w:color="000000" w:fill="FFFFFF"/>
            <w:noWrap/>
            <w:vAlign w:val="center"/>
            <w:hideMark/>
          </w:tcPr>
          <w:p w14:paraId="74FF0D6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47</w:t>
            </w:r>
          </w:p>
        </w:tc>
        <w:tc>
          <w:tcPr>
            <w:tcW w:w="390" w:type="pct"/>
            <w:tcBorders>
              <w:top w:val="nil"/>
              <w:left w:val="nil"/>
              <w:bottom w:val="single" w:sz="8" w:space="0" w:color="auto"/>
              <w:right w:val="single" w:sz="8" w:space="0" w:color="auto"/>
            </w:tcBorders>
            <w:shd w:val="clear" w:color="000000" w:fill="FFFFFF"/>
            <w:noWrap/>
            <w:vAlign w:val="center"/>
            <w:hideMark/>
          </w:tcPr>
          <w:p w14:paraId="77B332B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28%</w:t>
            </w:r>
          </w:p>
        </w:tc>
        <w:tc>
          <w:tcPr>
            <w:tcW w:w="265" w:type="pct"/>
            <w:tcBorders>
              <w:top w:val="nil"/>
              <w:left w:val="nil"/>
              <w:bottom w:val="single" w:sz="8" w:space="0" w:color="auto"/>
              <w:right w:val="single" w:sz="8" w:space="0" w:color="auto"/>
            </w:tcBorders>
            <w:shd w:val="clear" w:color="000000" w:fill="FFFFFF"/>
            <w:noWrap/>
            <w:vAlign w:val="center"/>
            <w:hideMark/>
          </w:tcPr>
          <w:p w14:paraId="30AC825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22</w:t>
            </w:r>
          </w:p>
        </w:tc>
        <w:tc>
          <w:tcPr>
            <w:tcW w:w="390" w:type="pct"/>
            <w:tcBorders>
              <w:top w:val="nil"/>
              <w:left w:val="nil"/>
              <w:bottom w:val="single" w:sz="8" w:space="0" w:color="auto"/>
              <w:right w:val="single" w:sz="8" w:space="0" w:color="auto"/>
            </w:tcBorders>
            <w:shd w:val="clear" w:color="000000" w:fill="FFFFFF"/>
            <w:noWrap/>
            <w:vAlign w:val="center"/>
            <w:hideMark/>
          </w:tcPr>
          <w:p w14:paraId="6511664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10%</w:t>
            </w:r>
          </w:p>
        </w:tc>
        <w:tc>
          <w:tcPr>
            <w:tcW w:w="298" w:type="pct"/>
            <w:tcBorders>
              <w:top w:val="nil"/>
              <w:left w:val="nil"/>
              <w:bottom w:val="single" w:sz="8" w:space="0" w:color="auto"/>
              <w:right w:val="single" w:sz="8" w:space="0" w:color="auto"/>
            </w:tcBorders>
            <w:shd w:val="clear" w:color="000000" w:fill="FFFFFF"/>
            <w:noWrap/>
            <w:vAlign w:val="center"/>
            <w:hideMark/>
          </w:tcPr>
          <w:p w14:paraId="678D726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74</w:t>
            </w:r>
          </w:p>
        </w:tc>
        <w:tc>
          <w:tcPr>
            <w:tcW w:w="435" w:type="pct"/>
            <w:tcBorders>
              <w:top w:val="nil"/>
              <w:left w:val="nil"/>
              <w:bottom w:val="single" w:sz="8" w:space="0" w:color="auto"/>
              <w:right w:val="single" w:sz="8" w:space="0" w:color="auto"/>
            </w:tcBorders>
            <w:shd w:val="clear" w:color="000000" w:fill="FFFFFF"/>
            <w:noWrap/>
            <w:vAlign w:val="center"/>
            <w:hideMark/>
          </w:tcPr>
          <w:p w14:paraId="3869E31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21%</w:t>
            </w:r>
          </w:p>
        </w:tc>
      </w:tr>
      <w:tr w:rsidR="00B8364E" w:rsidRPr="00576FB9" w14:paraId="36489A85"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FFFFFF"/>
            <w:noWrap/>
            <w:vAlign w:val="center"/>
            <w:hideMark/>
          </w:tcPr>
          <w:p w14:paraId="4817F16F"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Procedimientos de Provisión</w:t>
            </w:r>
          </w:p>
        </w:tc>
        <w:tc>
          <w:tcPr>
            <w:tcW w:w="259" w:type="pct"/>
            <w:tcBorders>
              <w:top w:val="nil"/>
              <w:left w:val="nil"/>
              <w:bottom w:val="single" w:sz="8" w:space="0" w:color="auto"/>
              <w:right w:val="single" w:sz="8" w:space="0" w:color="auto"/>
            </w:tcBorders>
            <w:shd w:val="clear" w:color="000000" w:fill="FFFFFF"/>
            <w:noWrap/>
            <w:vAlign w:val="center"/>
            <w:hideMark/>
          </w:tcPr>
          <w:p w14:paraId="5995F89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w:t>
            </w:r>
          </w:p>
        </w:tc>
        <w:tc>
          <w:tcPr>
            <w:tcW w:w="397" w:type="pct"/>
            <w:tcBorders>
              <w:top w:val="nil"/>
              <w:left w:val="nil"/>
              <w:bottom w:val="single" w:sz="8" w:space="0" w:color="auto"/>
              <w:right w:val="single" w:sz="8" w:space="0" w:color="auto"/>
            </w:tcBorders>
            <w:shd w:val="clear" w:color="000000" w:fill="FFFFFF"/>
            <w:noWrap/>
            <w:vAlign w:val="center"/>
            <w:hideMark/>
          </w:tcPr>
          <w:p w14:paraId="696F1E8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w:t>
            </w:r>
          </w:p>
        </w:tc>
        <w:tc>
          <w:tcPr>
            <w:tcW w:w="265" w:type="pct"/>
            <w:tcBorders>
              <w:top w:val="nil"/>
              <w:left w:val="nil"/>
              <w:bottom w:val="single" w:sz="8" w:space="0" w:color="auto"/>
              <w:right w:val="single" w:sz="8" w:space="0" w:color="auto"/>
            </w:tcBorders>
            <w:shd w:val="clear" w:color="000000" w:fill="FFFFFF"/>
            <w:noWrap/>
            <w:vAlign w:val="center"/>
            <w:hideMark/>
          </w:tcPr>
          <w:p w14:paraId="66F2570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8</w:t>
            </w:r>
          </w:p>
        </w:tc>
        <w:tc>
          <w:tcPr>
            <w:tcW w:w="390" w:type="pct"/>
            <w:tcBorders>
              <w:top w:val="nil"/>
              <w:left w:val="nil"/>
              <w:bottom w:val="single" w:sz="8" w:space="0" w:color="auto"/>
              <w:right w:val="single" w:sz="8" w:space="0" w:color="auto"/>
            </w:tcBorders>
            <w:shd w:val="clear" w:color="000000" w:fill="FFFFFF"/>
            <w:noWrap/>
            <w:vAlign w:val="center"/>
            <w:hideMark/>
          </w:tcPr>
          <w:p w14:paraId="7A00FC9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w:t>
            </w:r>
          </w:p>
        </w:tc>
        <w:tc>
          <w:tcPr>
            <w:tcW w:w="265" w:type="pct"/>
            <w:tcBorders>
              <w:top w:val="nil"/>
              <w:left w:val="nil"/>
              <w:bottom w:val="single" w:sz="8" w:space="0" w:color="auto"/>
              <w:right w:val="single" w:sz="8" w:space="0" w:color="auto"/>
            </w:tcBorders>
            <w:shd w:val="clear" w:color="000000" w:fill="FFFFFF"/>
            <w:noWrap/>
            <w:vAlign w:val="center"/>
            <w:hideMark/>
          </w:tcPr>
          <w:p w14:paraId="12E7C37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6</w:t>
            </w:r>
          </w:p>
        </w:tc>
        <w:tc>
          <w:tcPr>
            <w:tcW w:w="390" w:type="pct"/>
            <w:tcBorders>
              <w:top w:val="nil"/>
              <w:left w:val="nil"/>
              <w:bottom w:val="single" w:sz="8" w:space="0" w:color="auto"/>
              <w:right w:val="single" w:sz="8" w:space="0" w:color="auto"/>
            </w:tcBorders>
            <w:shd w:val="clear" w:color="000000" w:fill="FFFFFF"/>
            <w:noWrap/>
            <w:vAlign w:val="center"/>
            <w:hideMark/>
          </w:tcPr>
          <w:p w14:paraId="604186B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w:t>
            </w:r>
          </w:p>
        </w:tc>
        <w:tc>
          <w:tcPr>
            <w:tcW w:w="265" w:type="pct"/>
            <w:tcBorders>
              <w:top w:val="nil"/>
              <w:left w:val="nil"/>
              <w:bottom w:val="single" w:sz="8" w:space="0" w:color="auto"/>
              <w:right w:val="single" w:sz="8" w:space="0" w:color="auto"/>
            </w:tcBorders>
            <w:shd w:val="clear" w:color="000000" w:fill="FFFFFF"/>
            <w:noWrap/>
            <w:vAlign w:val="center"/>
            <w:hideMark/>
          </w:tcPr>
          <w:p w14:paraId="4CD9EAF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18</w:t>
            </w:r>
          </w:p>
        </w:tc>
        <w:tc>
          <w:tcPr>
            <w:tcW w:w="390" w:type="pct"/>
            <w:tcBorders>
              <w:top w:val="nil"/>
              <w:left w:val="nil"/>
              <w:bottom w:val="single" w:sz="8" w:space="0" w:color="auto"/>
              <w:right w:val="single" w:sz="8" w:space="0" w:color="auto"/>
            </w:tcBorders>
            <w:shd w:val="clear" w:color="000000" w:fill="FFFFFF"/>
            <w:noWrap/>
            <w:vAlign w:val="center"/>
            <w:hideMark/>
          </w:tcPr>
          <w:p w14:paraId="5F176FA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8%</w:t>
            </w:r>
          </w:p>
        </w:tc>
        <w:tc>
          <w:tcPr>
            <w:tcW w:w="298" w:type="pct"/>
            <w:tcBorders>
              <w:top w:val="nil"/>
              <w:left w:val="nil"/>
              <w:bottom w:val="single" w:sz="8" w:space="0" w:color="auto"/>
              <w:right w:val="single" w:sz="8" w:space="0" w:color="auto"/>
            </w:tcBorders>
            <w:shd w:val="clear" w:color="000000" w:fill="FFFFFF"/>
            <w:noWrap/>
            <w:vAlign w:val="center"/>
            <w:hideMark/>
          </w:tcPr>
          <w:p w14:paraId="212236E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21</w:t>
            </w:r>
          </w:p>
        </w:tc>
        <w:tc>
          <w:tcPr>
            <w:tcW w:w="435" w:type="pct"/>
            <w:tcBorders>
              <w:top w:val="nil"/>
              <w:left w:val="nil"/>
              <w:bottom w:val="single" w:sz="8" w:space="0" w:color="auto"/>
              <w:right w:val="single" w:sz="8" w:space="0" w:color="auto"/>
            </w:tcBorders>
            <w:shd w:val="clear" w:color="000000" w:fill="FFFFFF"/>
            <w:noWrap/>
            <w:vAlign w:val="center"/>
            <w:hideMark/>
          </w:tcPr>
          <w:p w14:paraId="38A1E7D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6%</w:t>
            </w:r>
          </w:p>
        </w:tc>
      </w:tr>
      <w:tr w:rsidR="00B8364E" w:rsidRPr="00576FB9" w14:paraId="029262C4"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FFFFFF"/>
            <w:noWrap/>
            <w:vAlign w:val="center"/>
            <w:hideMark/>
          </w:tcPr>
          <w:p w14:paraId="1A5CB19E"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Derechos/Deberes/Incompatibilidades</w:t>
            </w:r>
          </w:p>
        </w:tc>
        <w:tc>
          <w:tcPr>
            <w:tcW w:w="259" w:type="pct"/>
            <w:tcBorders>
              <w:top w:val="nil"/>
              <w:left w:val="nil"/>
              <w:bottom w:val="single" w:sz="8" w:space="0" w:color="auto"/>
              <w:right w:val="single" w:sz="8" w:space="0" w:color="auto"/>
            </w:tcBorders>
            <w:shd w:val="clear" w:color="000000" w:fill="FFFFFF"/>
            <w:noWrap/>
            <w:vAlign w:val="center"/>
            <w:hideMark/>
          </w:tcPr>
          <w:p w14:paraId="7116B0F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w:t>
            </w:r>
          </w:p>
        </w:tc>
        <w:tc>
          <w:tcPr>
            <w:tcW w:w="397" w:type="pct"/>
            <w:tcBorders>
              <w:top w:val="nil"/>
              <w:left w:val="nil"/>
              <w:bottom w:val="single" w:sz="8" w:space="0" w:color="auto"/>
              <w:right w:val="single" w:sz="8" w:space="0" w:color="auto"/>
            </w:tcBorders>
            <w:shd w:val="clear" w:color="000000" w:fill="FFFFFF"/>
            <w:noWrap/>
            <w:vAlign w:val="center"/>
            <w:hideMark/>
          </w:tcPr>
          <w:p w14:paraId="0E8F16B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6%</w:t>
            </w:r>
          </w:p>
        </w:tc>
        <w:tc>
          <w:tcPr>
            <w:tcW w:w="265" w:type="pct"/>
            <w:tcBorders>
              <w:top w:val="nil"/>
              <w:left w:val="nil"/>
              <w:bottom w:val="single" w:sz="8" w:space="0" w:color="auto"/>
              <w:right w:val="single" w:sz="8" w:space="0" w:color="auto"/>
            </w:tcBorders>
            <w:shd w:val="clear" w:color="000000" w:fill="FFFFFF"/>
            <w:noWrap/>
            <w:vAlign w:val="center"/>
            <w:hideMark/>
          </w:tcPr>
          <w:p w14:paraId="2268675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21</w:t>
            </w:r>
          </w:p>
        </w:tc>
        <w:tc>
          <w:tcPr>
            <w:tcW w:w="390" w:type="pct"/>
            <w:tcBorders>
              <w:top w:val="nil"/>
              <w:left w:val="nil"/>
              <w:bottom w:val="single" w:sz="8" w:space="0" w:color="auto"/>
              <w:right w:val="single" w:sz="8" w:space="0" w:color="auto"/>
            </w:tcBorders>
            <w:shd w:val="clear" w:color="000000" w:fill="FFFFFF"/>
            <w:noWrap/>
            <w:vAlign w:val="center"/>
            <w:hideMark/>
          </w:tcPr>
          <w:p w14:paraId="1A51592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12%</w:t>
            </w:r>
          </w:p>
        </w:tc>
        <w:tc>
          <w:tcPr>
            <w:tcW w:w="265" w:type="pct"/>
            <w:tcBorders>
              <w:top w:val="nil"/>
              <w:left w:val="nil"/>
              <w:bottom w:val="single" w:sz="8" w:space="0" w:color="auto"/>
              <w:right w:val="single" w:sz="8" w:space="0" w:color="auto"/>
            </w:tcBorders>
            <w:shd w:val="clear" w:color="000000" w:fill="FFFFFF"/>
            <w:noWrap/>
            <w:vAlign w:val="center"/>
            <w:hideMark/>
          </w:tcPr>
          <w:p w14:paraId="3DD64A9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15</w:t>
            </w:r>
          </w:p>
        </w:tc>
        <w:tc>
          <w:tcPr>
            <w:tcW w:w="390" w:type="pct"/>
            <w:tcBorders>
              <w:top w:val="nil"/>
              <w:left w:val="nil"/>
              <w:bottom w:val="single" w:sz="8" w:space="0" w:color="auto"/>
              <w:right w:val="single" w:sz="8" w:space="0" w:color="auto"/>
            </w:tcBorders>
            <w:shd w:val="clear" w:color="000000" w:fill="FFFFFF"/>
            <w:noWrap/>
            <w:vAlign w:val="center"/>
            <w:hideMark/>
          </w:tcPr>
          <w:p w14:paraId="60F874B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9%</w:t>
            </w:r>
          </w:p>
        </w:tc>
        <w:tc>
          <w:tcPr>
            <w:tcW w:w="265" w:type="pct"/>
            <w:tcBorders>
              <w:top w:val="nil"/>
              <w:left w:val="nil"/>
              <w:bottom w:val="single" w:sz="8" w:space="0" w:color="auto"/>
              <w:right w:val="single" w:sz="8" w:space="0" w:color="auto"/>
            </w:tcBorders>
            <w:shd w:val="clear" w:color="000000" w:fill="FFFFFF"/>
            <w:noWrap/>
            <w:vAlign w:val="center"/>
            <w:hideMark/>
          </w:tcPr>
          <w:p w14:paraId="36A3A0D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16</w:t>
            </w:r>
          </w:p>
        </w:tc>
        <w:tc>
          <w:tcPr>
            <w:tcW w:w="390" w:type="pct"/>
            <w:tcBorders>
              <w:top w:val="nil"/>
              <w:left w:val="nil"/>
              <w:bottom w:val="single" w:sz="8" w:space="0" w:color="auto"/>
              <w:right w:val="single" w:sz="8" w:space="0" w:color="auto"/>
            </w:tcBorders>
            <w:shd w:val="clear" w:color="000000" w:fill="FFFFFF"/>
            <w:noWrap/>
            <w:vAlign w:val="center"/>
            <w:hideMark/>
          </w:tcPr>
          <w:p w14:paraId="3E5D858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7%</w:t>
            </w:r>
          </w:p>
        </w:tc>
        <w:tc>
          <w:tcPr>
            <w:tcW w:w="298" w:type="pct"/>
            <w:tcBorders>
              <w:top w:val="nil"/>
              <w:left w:val="nil"/>
              <w:bottom w:val="single" w:sz="8" w:space="0" w:color="auto"/>
              <w:right w:val="single" w:sz="8" w:space="0" w:color="auto"/>
            </w:tcBorders>
            <w:shd w:val="clear" w:color="000000" w:fill="FFFFFF"/>
            <w:noWrap/>
            <w:vAlign w:val="center"/>
            <w:hideMark/>
          </w:tcPr>
          <w:p w14:paraId="24D8AC2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14</w:t>
            </w:r>
          </w:p>
        </w:tc>
        <w:tc>
          <w:tcPr>
            <w:tcW w:w="435" w:type="pct"/>
            <w:tcBorders>
              <w:top w:val="nil"/>
              <w:left w:val="nil"/>
              <w:bottom w:val="single" w:sz="8" w:space="0" w:color="auto"/>
              <w:right w:val="single" w:sz="8" w:space="0" w:color="auto"/>
            </w:tcBorders>
            <w:shd w:val="clear" w:color="000000" w:fill="FFFFFF"/>
            <w:noWrap/>
            <w:vAlign w:val="center"/>
            <w:hideMark/>
          </w:tcPr>
          <w:p w14:paraId="2751A77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w:t>
            </w:r>
          </w:p>
        </w:tc>
      </w:tr>
      <w:tr w:rsidR="00B8364E" w:rsidRPr="00576FB9" w14:paraId="22297E17"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FFFFFF"/>
            <w:noWrap/>
            <w:vAlign w:val="center"/>
            <w:hideMark/>
          </w:tcPr>
          <w:p w14:paraId="44E3A736"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Retribuciones</w:t>
            </w:r>
          </w:p>
        </w:tc>
        <w:tc>
          <w:tcPr>
            <w:tcW w:w="259" w:type="pct"/>
            <w:tcBorders>
              <w:top w:val="nil"/>
              <w:left w:val="nil"/>
              <w:bottom w:val="single" w:sz="8" w:space="0" w:color="auto"/>
              <w:right w:val="single" w:sz="8" w:space="0" w:color="auto"/>
            </w:tcBorders>
            <w:shd w:val="clear" w:color="auto" w:fill="auto"/>
            <w:noWrap/>
            <w:vAlign w:val="center"/>
            <w:hideMark/>
          </w:tcPr>
          <w:p w14:paraId="6C928A5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7" w:type="pct"/>
            <w:tcBorders>
              <w:top w:val="nil"/>
              <w:left w:val="nil"/>
              <w:bottom w:val="single" w:sz="8" w:space="0" w:color="auto"/>
              <w:right w:val="single" w:sz="8" w:space="0" w:color="auto"/>
            </w:tcBorders>
            <w:shd w:val="clear" w:color="auto" w:fill="auto"/>
            <w:noWrap/>
            <w:vAlign w:val="center"/>
            <w:hideMark/>
          </w:tcPr>
          <w:p w14:paraId="4CD17C7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1BA1249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1004BD2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20D81E1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1E06107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69B1CDF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653658E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98" w:type="pct"/>
            <w:tcBorders>
              <w:top w:val="nil"/>
              <w:left w:val="nil"/>
              <w:bottom w:val="single" w:sz="8" w:space="0" w:color="auto"/>
              <w:right w:val="single" w:sz="8" w:space="0" w:color="auto"/>
            </w:tcBorders>
            <w:shd w:val="clear" w:color="000000" w:fill="FFFFFF"/>
            <w:noWrap/>
            <w:vAlign w:val="center"/>
            <w:hideMark/>
          </w:tcPr>
          <w:p w14:paraId="70FEC67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12</w:t>
            </w:r>
          </w:p>
        </w:tc>
        <w:tc>
          <w:tcPr>
            <w:tcW w:w="435" w:type="pct"/>
            <w:tcBorders>
              <w:top w:val="nil"/>
              <w:left w:val="nil"/>
              <w:bottom w:val="single" w:sz="8" w:space="0" w:color="auto"/>
              <w:right w:val="single" w:sz="8" w:space="0" w:color="auto"/>
            </w:tcBorders>
            <w:shd w:val="clear" w:color="000000" w:fill="FFFFFF"/>
            <w:noWrap/>
            <w:vAlign w:val="center"/>
            <w:hideMark/>
          </w:tcPr>
          <w:p w14:paraId="7911279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w:t>
            </w:r>
          </w:p>
        </w:tc>
      </w:tr>
      <w:tr w:rsidR="00B8364E" w:rsidRPr="00576FB9" w14:paraId="1CA4CAC8"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FFFFFF"/>
            <w:noWrap/>
            <w:vAlign w:val="center"/>
            <w:hideMark/>
          </w:tcPr>
          <w:p w14:paraId="2CD6F9EB"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Otros</w:t>
            </w:r>
          </w:p>
        </w:tc>
        <w:tc>
          <w:tcPr>
            <w:tcW w:w="259" w:type="pct"/>
            <w:tcBorders>
              <w:top w:val="nil"/>
              <w:left w:val="nil"/>
              <w:bottom w:val="single" w:sz="8" w:space="0" w:color="auto"/>
              <w:right w:val="single" w:sz="8" w:space="0" w:color="auto"/>
            </w:tcBorders>
            <w:shd w:val="clear" w:color="000000" w:fill="FFFFFF"/>
            <w:noWrap/>
            <w:vAlign w:val="center"/>
            <w:hideMark/>
          </w:tcPr>
          <w:p w14:paraId="4E3E83B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397" w:type="pct"/>
            <w:tcBorders>
              <w:top w:val="nil"/>
              <w:left w:val="nil"/>
              <w:bottom w:val="single" w:sz="8" w:space="0" w:color="auto"/>
              <w:right w:val="single" w:sz="8" w:space="0" w:color="auto"/>
            </w:tcBorders>
            <w:shd w:val="clear" w:color="000000" w:fill="FFFFFF"/>
            <w:noWrap/>
            <w:vAlign w:val="center"/>
            <w:hideMark/>
          </w:tcPr>
          <w:p w14:paraId="4F50BB8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265" w:type="pct"/>
            <w:tcBorders>
              <w:top w:val="nil"/>
              <w:left w:val="nil"/>
              <w:bottom w:val="single" w:sz="8" w:space="0" w:color="auto"/>
              <w:right w:val="single" w:sz="8" w:space="0" w:color="auto"/>
            </w:tcBorders>
            <w:shd w:val="clear" w:color="000000" w:fill="FFFFFF"/>
            <w:noWrap/>
            <w:vAlign w:val="center"/>
            <w:hideMark/>
          </w:tcPr>
          <w:p w14:paraId="673824E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w:t>
            </w:r>
          </w:p>
        </w:tc>
        <w:tc>
          <w:tcPr>
            <w:tcW w:w="390" w:type="pct"/>
            <w:tcBorders>
              <w:top w:val="nil"/>
              <w:left w:val="nil"/>
              <w:bottom w:val="single" w:sz="8" w:space="0" w:color="auto"/>
              <w:right w:val="single" w:sz="8" w:space="0" w:color="auto"/>
            </w:tcBorders>
            <w:shd w:val="clear" w:color="000000" w:fill="FFFFFF"/>
            <w:noWrap/>
            <w:vAlign w:val="center"/>
            <w:hideMark/>
          </w:tcPr>
          <w:p w14:paraId="6FEBB3F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w:t>
            </w:r>
          </w:p>
        </w:tc>
        <w:tc>
          <w:tcPr>
            <w:tcW w:w="265" w:type="pct"/>
            <w:tcBorders>
              <w:top w:val="nil"/>
              <w:left w:val="nil"/>
              <w:bottom w:val="single" w:sz="8" w:space="0" w:color="auto"/>
              <w:right w:val="single" w:sz="8" w:space="0" w:color="auto"/>
            </w:tcBorders>
            <w:shd w:val="clear" w:color="000000" w:fill="FFFFFF"/>
            <w:noWrap/>
            <w:vAlign w:val="center"/>
            <w:hideMark/>
          </w:tcPr>
          <w:p w14:paraId="4063D79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390" w:type="pct"/>
            <w:tcBorders>
              <w:top w:val="nil"/>
              <w:left w:val="nil"/>
              <w:bottom w:val="single" w:sz="8" w:space="0" w:color="auto"/>
              <w:right w:val="single" w:sz="8" w:space="0" w:color="auto"/>
            </w:tcBorders>
            <w:shd w:val="clear" w:color="000000" w:fill="FFFFFF"/>
            <w:noWrap/>
            <w:vAlign w:val="center"/>
            <w:hideMark/>
          </w:tcPr>
          <w:p w14:paraId="51533D3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c>
          <w:tcPr>
            <w:tcW w:w="265" w:type="pct"/>
            <w:tcBorders>
              <w:top w:val="nil"/>
              <w:left w:val="nil"/>
              <w:bottom w:val="single" w:sz="8" w:space="0" w:color="auto"/>
              <w:right w:val="single" w:sz="8" w:space="0" w:color="auto"/>
            </w:tcBorders>
            <w:shd w:val="clear" w:color="000000" w:fill="FFFFFF"/>
            <w:noWrap/>
            <w:vAlign w:val="center"/>
            <w:hideMark/>
          </w:tcPr>
          <w:p w14:paraId="0160FE2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8</w:t>
            </w:r>
          </w:p>
        </w:tc>
        <w:tc>
          <w:tcPr>
            <w:tcW w:w="390" w:type="pct"/>
            <w:tcBorders>
              <w:top w:val="nil"/>
              <w:left w:val="nil"/>
              <w:bottom w:val="single" w:sz="8" w:space="0" w:color="auto"/>
              <w:right w:val="single" w:sz="8" w:space="0" w:color="auto"/>
            </w:tcBorders>
            <w:shd w:val="clear" w:color="000000" w:fill="FFFFFF"/>
            <w:noWrap/>
            <w:vAlign w:val="center"/>
            <w:hideMark/>
          </w:tcPr>
          <w:p w14:paraId="0103632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w:t>
            </w:r>
          </w:p>
        </w:tc>
        <w:tc>
          <w:tcPr>
            <w:tcW w:w="298" w:type="pct"/>
            <w:tcBorders>
              <w:top w:val="nil"/>
              <w:left w:val="nil"/>
              <w:bottom w:val="single" w:sz="8" w:space="0" w:color="auto"/>
              <w:right w:val="single" w:sz="8" w:space="0" w:color="auto"/>
            </w:tcBorders>
            <w:shd w:val="clear" w:color="000000" w:fill="FFFFFF"/>
            <w:noWrap/>
            <w:vAlign w:val="center"/>
            <w:hideMark/>
          </w:tcPr>
          <w:p w14:paraId="79FFBD7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16</w:t>
            </w:r>
          </w:p>
        </w:tc>
        <w:tc>
          <w:tcPr>
            <w:tcW w:w="435" w:type="pct"/>
            <w:tcBorders>
              <w:top w:val="nil"/>
              <w:left w:val="nil"/>
              <w:bottom w:val="single" w:sz="8" w:space="0" w:color="auto"/>
              <w:right w:val="single" w:sz="8" w:space="0" w:color="auto"/>
            </w:tcBorders>
            <w:shd w:val="clear" w:color="000000" w:fill="FFFFFF"/>
            <w:noWrap/>
            <w:vAlign w:val="center"/>
            <w:hideMark/>
          </w:tcPr>
          <w:p w14:paraId="63144B97"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4%</w:t>
            </w:r>
          </w:p>
        </w:tc>
      </w:tr>
      <w:tr w:rsidR="00B8364E" w:rsidRPr="00576FB9" w14:paraId="64F54892"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D8C1BD"/>
            <w:noWrap/>
            <w:vAlign w:val="center"/>
            <w:hideMark/>
          </w:tcPr>
          <w:p w14:paraId="790415D9"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Medio Ambiente**</w:t>
            </w:r>
          </w:p>
        </w:tc>
        <w:tc>
          <w:tcPr>
            <w:tcW w:w="259" w:type="pct"/>
            <w:tcBorders>
              <w:top w:val="nil"/>
              <w:left w:val="nil"/>
              <w:bottom w:val="single" w:sz="8" w:space="0" w:color="auto"/>
              <w:right w:val="single" w:sz="8" w:space="0" w:color="auto"/>
            </w:tcBorders>
            <w:shd w:val="clear" w:color="000000" w:fill="D8C1BD"/>
            <w:noWrap/>
            <w:vAlign w:val="center"/>
            <w:hideMark/>
          </w:tcPr>
          <w:p w14:paraId="2CC712B4"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w:t>
            </w:r>
          </w:p>
        </w:tc>
        <w:tc>
          <w:tcPr>
            <w:tcW w:w="397" w:type="pct"/>
            <w:tcBorders>
              <w:top w:val="nil"/>
              <w:left w:val="nil"/>
              <w:bottom w:val="single" w:sz="8" w:space="0" w:color="auto"/>
              <w:right w:val="single" w:sz="8" w:space="0" w:color="auto"/>
            </w:tcBorders>
            <w:shd w:val="clear" w:color="000000" w:fill="D8C1BD"/>
            <w:noWrap/>
            <w:vAlign w:val="center"/>
            <w:hideMark/>
          </w:tcPr>
          <w:p w14:paraId="6C255A61"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6%</w:t>
            </w:r>
          </w:p>
        </w:tc>
        <w:tc>
          <w:tcPr>
            <w:tcW w:w="265" w:type="pct"/>
            <w:tcBorders>
              <w:top w:val="nil"/>
              <w:left w:val="nil"/>
              <w:bottom w:val="single" w:sz="8" w:space="0" w:color="auto"/>
              <w:right w:val="single" w:sz="8" w:space="0" w:color="auto"/>
            </w:tcBorders>
            <w:shd w:val="clear" w:color="000000" w:fill="D8C1BD"/>
            <w:noWrap/>
            <w:vAlign w:val="center"/>
            <w:hideMark/>
          </w:tcPr>
          <w:p w14:paraId="70093704"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13</w:t>
            </w:r>
          </w:p>
        </w:tc>
        <w:tc>
          <w:tcPr>
            <w:tcW w:w="390" w:type="pct"/>
            <w:tcBorders>
              <w:top w:val="nil"/>
              <w:left w:val="nil"/>
              <w:bottom w:val="single" w:sz="8" w:space="0" w:color="auto"/>
              <w:right w:val="single" w:sz="8" w:space="0" w:color="auto"/>
            </w:tcBorders>
            <w:shd w:val="clear" w:color="000000" w:fill="D8C1BD"/>
            <w:noWrap/>
            <w:vAlign w:val="center"/>
            <w:hideMark/>
          </w:tcPr>
          <w:p w14:paraId="2C90975B"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7%</w:t>
            </w:r>
          </w:p>
        </w:tc>
        <w:tc>
          <w:tcPr>
            <w:tcW w:w="265" w:type="pct"/>
            <w:tcBorders>
              <w:top w:val="nil"/>
              <w:left w:val="nil"/>
              <w:bottom w:val="single" w:sz="8" w:space="0" w:color="auto"/>
              <w:right w:val="single" w:sz="8" w:space="0" w:color="auto"/>
            </w:tcBorders>
            <w:shd w:val="clear" w:color="000000" w:fill="D8C1BD"/>
            <w:noWrap/>
            <w:vAlign w:val="center"/>
            <w:hideMark/>
          </w:tcPr>
          <w:p w14:paraId="420B3E1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17</w:t>
            </w:r>
          </w:p>
        </w:tc>
        <w:tc>
          <w:tcPr>
            <w:tcW w:w="390" w:type="pct"/>
            <w:tcBorders>
              <w:top w:val="nil"/>
              <w:left w:val="nil"/>
              <w:bottom w:val="single" w:sz="8" w:space="0" w:color="auto"/>
              <w:right w:val="single" w:sz="8" w:space="0" w:color="auto"/>
            </w:tcBorders>
            <w:shd w:val="clear" w:color="000000" w:fill="D8C1BD"/>
            <w:noWrap/>
            <w:vAlign w:val="center"/>
            <w:hideMark/>
          </w:tcPr>
          <w:p w14:paraId="445B10B7"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w:t>
            </w:r>
          </w:p>
        </w:tc>
        <w:tc>
          <w:tcPr>
            <w:tcW w:w="265" w:type="pct"/>
            <w:tcBorders>
              <w:top w:val="nil"/>
              <w:left w:val="nil"/>
              <w:bottom w:val="single" w:sz="8" w:space="0" w:color="auto"/>
              <w:right w:val="single" w:sz="8" w:space="0" w:color="auto"/>
            </w:tcBorders>
            <w:shd w:val="clear" w:color="000000" w:fill="D8C1BD"/>
            <w:noWrap/>
            <w:vAlign w:val="center"/>
            <w:hideMark/>
          </w:tcPr>
          <w:p w14:paraId="749D1412"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22</w:t>
            </w:r>
          </w:p>
        </w:tc>
        <w:tc>
          <w:tcPr>
            <w:tcW w:w="390" w:type="pct"/>
            <w:tcBorders>
              <w:top w:val="nil"/>
              <w:left w:val="nil"/>
              <w:bottom w:val="single" w:sz="8" w:space="0" w:color="auto"/>
              <w:right w:val="single" w:sz="8" w:space="0" w:color="auto"/>
            </w:tcBorders>
            <w:shd w:val="clear" w:color="000000" w:fill="D8C1BD"/>
            <w:noWrap/>
            <w:vAlign w:val="center"/>
            <w:hideMark/>
          </w:tcPr>
          <w:p w14:paraId="4917DD57"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w:t>
            </w:r>
          </w:p>
        </w:tc>
        <w:tc>
          <w:tcPr>
            <w:tcW w:w="298" w:type="pct"/>
            <w:tcBorders>
              <w:top w:val="nil"/>
              <w:left w:val="nil"/>
              <w:bottom w:val="single" w:sz="8" w:space="0" w:color="auto"/>
              <w:right w:val="single" w:sz="8" w:space="0" w:color="auto"/>
            </w:tcBorders>
            <w:shd w:val="clear" w:color="000000" w:fill="D8C1BD"/>
            <w:noWrap/>
            <w:vAlign w:val="center"/>
            <w:hideMark/>
          </w:tcPr>
          <w:p w14:paraId="3393348A"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12</w:t>
            </w:r>
          </w:p>
        </w:tc>
        <w:tc>
          <w:tcPr>
            <w:tcW w:w="435" w:type="pct"/>
            <w:tcBorders>
              <w:top w:val="nil"/>
              <w:left w:val="nil"/>
              <w:bottom w:val="single" w:sz="8" w:space="0" w:color="auto"/>
              <w:right w:val="single" w:sz="8" w:space="0" w:color="auto"/>
            </w:tcBorders>
            <w:shd w:val="clear" w:color="000000" w:fill="D8C1BD"/>
            <w:noWrap/>
            <w:vAlign w:val="center"/>
            <w:hideMark/>
          </w:tcPr>
          <w:p w14:paraId="3153551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3%</w:t>
            </w:r>
          </w:p>
        </w:tc>
      </w:tr>
      <w:tr w:rsidR="00B8364E" w:rsidRPr="00576FB9" w14:paraId="0A674A34"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D8C1BD"/>
            <w:noWrap/>
            <w:vAlign w:val="center"/>
            <w:hideMark/>
          </w:tcPr>
          <w:p w14:paraId="30EDFFBA"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Políticas Públicas</w:t>
            </w:r>
          </w:p>
        </w:tc>
        <w:tc>
          <w:tcPr>
            <w:tcW w:w="259" w:type="pct"/>
            <w:tcBorders>
              <w:top w:val="nil"/>
              <w:left w:val="nil"/>
              <w:bottom w:val="single" w:sz="8" w:space="0" w:color="auto"/>
              <w:right w:val="single" w:sz="8" w:space="0" w:color="auto"/>
            </w:tcBorders>
            <w:shd w:val="clear" w:color="000000" w:fill="D8C1BD"/>
            <w:noWrap/>
            <w:vAlign w:val="center"/>
            <w:hideMark/>
          </w:tcPr>
          <w:p w14:paraId="3578519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7" w:type="pct"/>
            <w:tcBorders>
              <w:top w:val="nil"/>
              <w:left w:val="nil"/>
              <w:bottom w:val="single" w:sz="8" w:space="0" w:color="auto"/>
              <w:right w:val="single" w:sz="8" w:space="0" w:color="auto"/>
            </w:tcBorders>
            <w:shd w:val="clear" w:color="000000" w:fill="D8C1BD"/>
            <w:noWrap/>
            <w:vAlign w:val="center"/>
            <w:hideMark/>
          </w:tcPr>
          <w:p w14:paraId="63E00C70"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254A1010"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2556F474"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13ECDA4A"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007EFBB0"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228A484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2E02E418"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98" w:type="pct"/>
            <w:tcBorders>
              <w:top w:val="nil"/>
              <w:left w:val="nil"/>
              <w:bottom w:val="single" w:sz="8" w:space="0" w:color="auto"/>
              <w:right w:val="single" w:sz="8" w:space="0" w:color="auto"/>
            </w:tcBorders>
            <w:shd w:val="clear" w:color="000000" w:fill="D8C1BD"/>
            <w:noWrap/>
            <w:vAlign w:val="center"/>
            <w:hideMark/>
          </w:tcPr>
          <w:p w14:paraId="3FF5431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w:t>
            </w:r>
          </w:p>
        </w:tc>
        <w:tc>
          <w:tcPr>
            <w:tcW w:w="435" w:type="pct"/>
            <w:tcBorders>
              <w:top w:val="nil"/>
              <w:left w:val="nil"/>
              <w:bottom w:val="single" w:sz="8" w:space="0" w:color="auto"/>
              <w:right w:val="single" w:sz="8" w:space="0" w:color="auto"/>
            </w:tcBorders>
            <w:shd w:val="clear" w:color="000000" w:fill="D8C1BD"/>
            <w:noWrap/>
            <w:vAlign w:val="center"/>
            <w:hideMark/>
          </w:tcPr>
          <w:p w14:paraId="3F1B03A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w:t>
            </w:r>
          </w:p>
        </w:tc>
      </w:tr>
      <w:tr w:rsidR="00B8364E" w:rsidRPr="00576FB9" w14:paraId="721FD385"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D8C1BD"/>
            <w:noWrap/>
            <w:vAlign w:val="center"/>
            <w:hideMark/>
          </w:tcPr>
          <w:p w14:paraId="37965308"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Servicios Públicos</w:t>
            </w:r>
          </w:p>
        </w:tc>
        <w:tc>
          <w:tcPr>
            <w:tcW w:w="259" w:type="pct"/>
            <w:tcBorders>
              <w:top w:val="nil"/>
              <w:left w:val="nil"/>
              <w:bottom w:val="single" w:sz="8" w:space="0" w:color="auto"/>
              <w:right w:val="single" w:sz="8" w:space="0" w:color="auto"/>
            </w:tcBorders>
            <w:shd w:val="clear" w:color="000000" w:fill="D8C1BD"/>
            <w:noWrap/>
            <w:vAlign w:val="center"/>
            <w:hideMark/>
          </w:tcPr>
          <w:p w14:paraId="1CFC1ED8"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7" w:type="pct"/>
            <w:tcBorders>
              <w:top w:val="nil"/>
              <w:left w:val="nil"/>
              <w:bottom w:val="single" w:sz="8" w:space="0" w:color="auto"/>
              <w:right w:val="single" w:sz="8" w:space="0" w:color="auto"/>
            </w:tcBorders>
            <w:shd w:val="clear" w:color="000000" w:fill="D8C1BD"/>
            <w:noWrap/>
            <w:vAlign w:val="center"/>
            <w:hideMark/>
          </w:tcPr>
          <w:p w14:paraId="0F37FC25"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71D0C957"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71C90DC2"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4921AEC2"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2C3A15E1"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4B662491"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2895A1A0"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98" w:type="pct"/>
            <w:tcBorders>
              <w:top w:val="nil"/>
              <w:left w:val="nil"/>
              <w:bottom w:val="single" w:sz="8" w:space="0" w:color="auto"/>
              <w:right w:val="single" w:sz="8" w:space="0" w:color="auto"/>
            </w:tcBorders>
            <w:shd w:val="clear" w:color="000000" w:fill="D8C1BD"/>
            <w:noWrap/>
            <w:vAlign w:val="center"/>
            <w:hideMark/>
          </w:tcPr>
          <w:p w14:paraId="0F662D87"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6</w:t>
            </w:r>
          </w:p>
        </w:tc>
        <w:tc>
          <w:tcPr>
            <w:tcW w:w="435" w:type="pct"/>
            <w:tcBorders>
              <w:top w:val="nil"/>
              <w:left w:val="nil"/>
              <w:bottom w:val="single" w:sz="8" w:space="0" w:color="auto"/>
              <w:right w:val="single" w:sz="8" w:space="0" w:color="auto"/>
            </w:tcBorders>
            <w:shd w:val="clear" w:color="000000" w:fill="D8C1BD"/>
            <w:noWrap/>
            <w:vAlign w:val="center"/>
            <w:hideMark/>
          </w:tcPr>
          <w:p w14:paraId="5DED4292"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w:t>
            </w:r>
          </w:p>
        </w:tc>
      </w:tr>
      <w:tr w:rsidR="00B8364E" w:rsidRPr="00576FB9" w14:paraId="57E70C45"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D8C1BD"/>
            <w:noWrap/>
            <w:vAlign w:val="center"/>
            <w:hideMark/>
          </w:tcPr>
          <w:p w14:paraId="4A029884"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Subvenciones</w:t>
            </w:r>
          </w:p>
        </w:tc>
        <w:tc>
          <w:tcPr>
            <w:tcW w:w="259" w:type="pct"/>
            <w:tcBorders>
              <w:top w:val="nil"/>
              <w:left w:val="nil"/>
              <w:bottom w:val="single" w:sz="8" w:space="0" w:color="auto"/>
              <w:right w:val="single" w:sz="8" w:space="0" w:color="auto"/>
            </w:tcBorders>
            <w:shd w:val="clear" w:color="000000" w:fill="D8C1BD"/>
            <w:noWrap/>
            <w:vAlign w:val="center"/>
            <w:hideMark/>
          </w:tcPr>
          <w:p w14:paraId="60A1DBE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6</w:t>
            </w:r>
          </w:p>
        </w:tc>
        <w:tc>
          <w:tcPr>
            <w:tcW w:w="397" w:type="pct"/>
            <w:tcBorders>
              <w:top w:val="nil"/>
              <w:left w:val="nil"/>
              <w:bottom w:val="single" w:sz="8" w:space="0" w:color="auto"/>
              <w:right w:val="single" w:sz="8" w:space="0" w:color="auto"/>
            </w:tcBorders>
            <w:shd w:val="clear" w:color="000000" w:fill="D8C1BD"/>
            <w:noWrap/>
            <w:vAlign w:val="center"/>
            <w:hideMark/>
          </w:tcPr>
          <w:p w14:paraId="3C7D8ECC"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17%</w:t>
            </w:r>
          </w:p>
        </w:tc>
        <w:tc>
          <w:tcPr>
            <w:tcW w:w="265" w:type="pct"/>
            <w:tcBorders>
              <w:top w:val="nil"/>
              <w:left w:val="nil"/>
              <w:bottom w:val="single" w:sz="8" w:space="0" w:color="auto"/>
              <w:right w:val="single" w:sz="8" w:space="0" w:color="auto"/>
            </w:tcBorders>
            <w:shd w:val="clear" w:color="000000" w:fill="D8C1BD"/>
            <w:noWrap/>
            <w:vAlign w:val="center"/>
            <w:hideMark/>
          </w:tcPr>
          <w:p w14:paraId="37DC013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16</w:t>
            </w:r>
          </w:p>
        </w:tc>
        <w:tc>
          <w:tcPr>
            <w:tcW w:w="390" w:type="pct"/>
            <w:tcBorders>
              <w:top w:val="nil"/>
              <w:left w:val="nil"/>
              <w:bottom w:val="single" w:sz="8" w:space="0" w:color="auto"/>
              <w:right w:val="single" w:sz="8" w:space="0" w:color="auto"/>
            </w:tcBorders>
            <w:shd w:val="clear" w:color="000000" w:fill="D8C1BD"/>
            <w:noWrap/>
            <w:vAlign w:val="center"/>
            <w:hideMark/>
          </w:tcPr>
          <w:p w14:paraId="0E26DA3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9%</w:t>
            </w:r>
          </w:p>
        </w:tc>
        <w:tc>
          <w:tcPr>
            <w:tcW w:w="265" w:type="pct"/>
            <w:tcBorders>
              <w:top w:val="nil"/>
              <w:left w:val="nil"/>
              <w:bottom w:val="single" w:sz="8" w:space="0" w:color="auto"/>
              <w:right w:val="single" w:sz="8" w:space="0" w:color="auto"/>
            </w:tcBorders>
            <w:shd w:val="clear" w:color="000000" w:fill="D8C1BD"/>
            <w:noWrap/>
            <w:vAlign w:val="center"/>
            <w:hideMark/>
          </w:tcPr>
          <w:p w14:paraId="038F58C4"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7</w:t>
            </w:r>
          </w:p>
        </w:tc>
        <w:tc>
          <w:tcPr>
            <w:tcW w:w="390" w:type="pct"/>
            <w:tcBorders>
              <w:top w:val="nil"/>
              <w:left w:val="nil"/>
              <w:bottom w:val="single" w:sz="8" w:space="0" w:color="auto"/>
              <w:right w:val="single" w:sz="8" w:space="0" w:color="auto"/>
            </w:tcBorders>
            <w:shd w:val="clear" w:color="000000" w:fill="D8C1BD"/>
            <w:noWrap/>
            <w:vAlign w:val="center"/>
            <w:hideMark/>
          </w:tcPr>
          <w:p w14:paraId="2D4CFB52"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4%</w:t>
            </w:r>
          </w:p>
        </w:tc>
        <w:tc>
          <w:tcPr>
            <w:tcW w:w="265" w:type="pct"/>
            <w:tcBorders>
              <w:top w:val="nil"/>
              <w:left w:val="nil"/>
              <w:bottom w:val="single" w:sz="8" w:space="0" w:color="auto"/>
              <w:right w:val="single" w:sz="8" w:space="0" w:color="auto"/>
            </w:tcBorders>
            <w:shd w:val="clear" w:color="000000" w:fill="D8C1BD"/>
            <w:noWrap/>
            <w:vAlign w:val="center"/>
            <w:hideMark/>
          </w:tcPr>
          <w:p w14:paraId="7D524164"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26</w:t>
            </w:r>
          </w:p>
        </w:tc>
        <w:tc>
          <w:tcPr>
            <w:tcW w:w="390" w:type="pct"/>
            <w:tcBorders>
              <w:top w:val="nil"/>
              <w:left w:val="nil"/>
              <w:bottom w:val="single" w:sz="8" w:space="0" w:color="auto"/>
              <w:right w:val="single" w:sz="8" w:space="0" w:color="auto"/>
            </w:tcBorders>
            <w:shd w:val="clear" w:color="000000" w:fill="D8C1BD"/>
            <w:noWrap/>
            <w:vAlign w:val="center"/>
            <w:hideMark/>
          </w:tcPr>
          <w:p w14:paraId="57A399E7"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12%</w:t>
            </w:r>
          </w:p>
        </w:tc>
        <w:tc>
          <w:tcPr>
            <w:tcW w:w="298" w:type="pct"/>
            <w:tcBorders>
              <w:top w:val="nil"/>
              <w:left w:val="nil"/>
              <w:bottom w:val="single" w:sz="8" w:space="0" w:color="auto"/>
              <w:right w:val="single" w:sz="8" w:space="0" w:color="auto"/>
            </w:tcBorders>
            <w:shd w:val="clear" w:color="000000" w:fill="D8C1BD"/>
            <w:noWrap/>
            <w:vAlign w:val="center"/>
            <w:hideMark/>
          </w:tcPr>
          <w:p w14:paraId="3A54276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24</w:t>
            </w:r>
          </w:p>
        </w:tc>
        <w:tc>
          <w:tcPr>
            <w:tcW w:w="435" w:type="pct"/>
            <w:tcBorders>
              <w:top w:val="nil"/>
              <w:left w:val="nil"/>
              <w:bottom w:val="single" w:sz="8" w:space="0" w:color="auto"/>
              <w:right w:val="single" w:sz="8" w:space="0" w:color="auto"/>
            </w:tcBorders>
            <w:shd w:val="clear" w:color="000000" w:fill="D8C1BD"/>
            <w:noWrap/>
            <w:vAlign w:val="center"/>
            <w:hideMark/>
          </w:tcPr>
          <w:p w14:paraId="4979921C"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7%</w:t>
            </w:r>
          </w:p>
        </w:tc>
      </w:tr>
      <w:tr w:rsidR="00B8364E" w:rsidRPr="00576FB9" w14:paraId="350D39B7"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FFFFFF"/>
            <w:noWrap/>
            <w:vAlign w:val="center"/>
            <w:hideMark/>
          </w:tcPr>
          <w:p w14:paraId="55CE9393"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Concesión Directa</w:t>
            </w:r>
          </w:p>
        </w:tc>
        <w:tc>
          <w:tcPr>
            <w:tcW w:w="259" w:type="pct"/>
            <w:tcBorders>
              <w:top w:val="nil"/>
              <w:left w:val="nil"/>
              <w:bottom w:val="single" w:sz="8" w:space="0" w:color="auto"/>
              <w:right w:val="single" w:sz="8" w:space="0" w:color="auto"/>
            </w:tcBorders>
            <w:shd w:val="clear" w:color="auto" w:fill="auto"/>
            <w:noWrap/>
            <w:vAlign w:val="center"/>
            <w:hideMark/>
          </w:tcPr>
          <w:p w14:paraId="7100467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7" w:type="pct"/>
            <w:tcBorders>
              <w:top w:val="nil"/>
              <w:left w:val="nil"/>
              <w:bottom w:val="single" w:sz="8" w:space="0" w:color="auto"/>
              <w:right w:val="single" w:sz="8" w:space="0" w:color="auto"/>
            </w:tcBorders>
            <w:shd w:val="clear" w:color="auto" w:fill="auto"/>
            <w:noWrap/>
            <w:vAlign w:val="center"/>
            <w:hideMark/>
          </w:tcPr>
          <w:p w14:paraId="329B474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0A0B1E5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67974FA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32D8DE3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44D2B90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6312215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49958C2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98" w:type="pct"/>
            <w:tcBorders>
              <w:top w:val="nil"/>
              <w:left w:val="nil"/>
              <w:bottom w:val="single" w:sz="8" w:space="0" w:color="auto"/>
              <w:right w:val="single" w:sz="8" w:space="0" w:color="auto"/>
            </w:tcBorders>
            <w:shd w:val="clear" w:color="auto" w:fill="auto"/>
            <w:noWrap/>
            <w:vAlign w:val="center"/>
            <w:hideMark/>
          </w:tcPr>
          <w:p w14:paraId="092E789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11</w:t>
            </w:r>
          </w:p>
        </w:tc>
        <w:tc>
          <w:tcPr>
            <w:tcW w:w="435" w:type="pct"/>
            <w:tcBorders>
              <w:top w:val="nil"/>
              <w:left w:val="nil"/>
              <w:bottom w:val="single" w:sz="8" w:space="0" w:color="auto"/>
              <w:right w:val="single" w:sz="8" w:space="0" w:color="auto"/>
            </w:tcBorders>
            <w:shd w:val="clear" w:color="auto" w:fill="auto"/>
            <w:noWrap/>
            <w:vAlign w:val="center"/>
            <w:hideMark/>
          </w:tcPr>
          <w:p w14:paraId="56D4996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3%</w:t>
            </w:r>
          </w:p>
        </w:tc>
      </w:tr>
      <w:tr w:rsidR="00B8364E" w:rsidRPr="00576FB9" w14:paraId="53098E90"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FFFFFF"/>
            <w:noWrap/>
            <w:vAlign w:val="center"/>
            <w:hideMark/>
          </w:tcPr>
          <w:p w14:paraId="576BF7A6"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Concesión Subvención</w:t>
            </w:r>
          </w:p>
        </w:tc>
        <w:tc>
          <w:tcPr>
            <w:tcW w:w="259" w:type="pct"/>
            <w:tcBorders>
              <w:top w:val="nil"/>
              <w:left w:val="nil"/>
              <w:bottom w:val="single" w:sz="8" w:space="0" w:color="auto"/>
              <w:right w:val="single" w:sz="8" w:space="0" w:color="auto"/>
            </w:tcBorders>
            <w:shd w:val="clear" w:color="auto" w:fill="auto"/>
            <w:noWrap/>
            <w:vAlign w:val="center"/>
            <w:hideMark/>
          </w:tcPr>
          <w:p w14:paraId="640870C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7" w:type="pct"/>
            <w:tcBorders>
              <w:top w:val="nil"/>
              <w:left w:val="nil"/>
              <w:bottom w:val="single" w:sz="8" w:space="0" w:color="auto"/>
              <w:right w:val="single" w:sz="8" w:space="0" w:color="auto"/>
            </w:tcBorders>
            <w:shd w:val="clear" w:color="auto" w:fill="auto"/>
            <w:noWrap/>
            <w:vAlign w:val="center"/>
            <w:hideMark/>
          </w:tcPr>
          <w:p w14:paraId="32DC259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429BDA4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7011418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610D098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4C326BC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455CDFC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170170C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98" w:type="pct"/>
            <w:tcBorders>
              <w:top w:val="nil"/>
              <w:left w:val="nil"/>
              <w:bottom w:val="single" w:sz="8" w:space="0" w:color="auto"/>
              <w:right w:val="single" w:sz="8" w:space="0" w:color="auto"/>
            </w:tcBorders>
            <w:shd w:val="clear" w:color="000000" w:fill="FFFFFF"/>
            <w:noWrap/>
            <w:vAlign w:val="center"/>
            <w:hideMark/>
          </w:tcPr>
          <w:p w14:paraId="2D50E8A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w:t>
            </w:r>
          </w:p>
        </w:tc>
        <w:tc>
          <w:tcPr>
            <w:tcW w:w="435" w:type="pct"/>
            <w:tcBorders>
              <w:top w:val="nil"/>
              <w:left w:val="nil"/>
              <w:bottom w:val="single" w:sz="8" w:space="0" w:color="auto"/>
              <w:right w:val="single" w:sz="8" w:space="0" w:color="auto"/>
            </w:tcBorders>
            <w:shd w:val="clear" w:color="000000" w:fill="FFFFFF"/>
            <w:noWrap/>
            <w:vAlign w:val="center"/>
            <w:hideMark/>
          </w:tcPr>
          <w:p w14:paraId="13F9038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r>
      <w:tr w:rsidR="00B8364E" w:rsidRPr="00576FB9" w14:paraId="76672741"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FFFFFF"/>
            <w:noWrap/>
            <w:vAlign w:val="center"/>
            <w:hideMark/>
          </w:tcPr>
          <w:p w14:paraId="30AF0474"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Concurrencia Competitiva</w:t>
            </w:r>
          </w:p>
        </w:tc>
        <w:tc>
          <w:tcPr>
            <w:tcW w:w="259" w:type="pct"/>
            <w:tcBorders>
              <w:top w:val="nil"/>
              <w:left w:val="nil"/>
              <w:bottom w:val="single" w:sz="8" w:space="0" w:color="auto"/>
              <w:right w:val="single" w:sz="8" w:space="0" w:color="auto"/>
            </w:tcBorders>
            <w:shd w:val="clear" w:color="auto" w:fill="auto"/>
            <w:noWrap/>
            <w:vAlign w:val="center"/>
            <w:hideMark/>
          </w:tcPr>
          <w:p w14:paraId="454A9D5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7" w:type="pct"/>
            <w:tcBorders>
              <w:top w:val="nil"/>
              <w:left w:val="nil"/>
              <w:bottom w:val="single" w:sz="8" w:space="0" w:color="auto"/>
              <w:right w:val="single" w:sz="8" w:space="0" w:color="auto"/>
            </w:tcBorders>
            <w:shd w:val="clear" w:color="auto" w:fill="auto"/>
            <w:noWrap/>
            <w:vAlign w:val="center"/>
            <w:hideMark/>
          </w:tcPr>
          <w:p w14:paraId="5A82420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522D092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24C5C104"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518A7CB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48E020A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5952414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439FE02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98" w:type="pct"/>
            <w:tcBorders>
              <w:top w:val="nil"/>
              <w:left w:val="nil"/>
              <w:bottom w:val="single" w:sz="8" w:space="0" w:color="auto"/>
              <w:right w:val="single" w:sz="8" w:space="0" w:color="auto"/>
            </w:tcBorders>
            <w:shd w:val="clear" w:color="000000" w:fill="FFFFFF"/>
            <w:noWrap/>
            <w:vAlign w:val="center"/>
            <w:hideMark/>
          </w:tcPr>
          <w:p w14:paraId="6766B59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w:t>
            </w:r>
          </w:p>
        </w:tc>
        <w:tc>
          <w:tcPr>
            <w:tcW w:w="435" w:type="pct"/>
            <w:tcBorders>
              <w:top w:val="nil"/>
              <w:left w:val="nil"/>
              <w:bottom w:val="single" w:sz="8" w:space="0" w:color="auto"/>
              <w:right w:val="single" w:sz="8" w:space="0" w:color="auto"/>
            </w:tcBorders>
            <w:shd w:val="clear" w:color="000000" w:fill="FFFFFF"/>
            <w:noWrap/>
            <w:vAlign w:val="center"/>
            <w:hideMark/>
          </w:tcPr>
          <w:p w14:paraId="6A5267D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r>
      <w:tr w:rsidR="00B8364E" w:rsidRPr="00576FB9" w14:paraId="1A412A34"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FFFFFF"/>
            <w:noWrap/>
            <w:vAlign w:val="center"/>
            <w:hideMark/>
          </w:tcPr>
          <w:p w14:paraId="6E59DBA0"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Convenio/Convocatoria</w:t>
            </w:r>
          </w:p>
        </w:tc>
        <w:tc>
          <w:tcPr>
            <w:tcW w:w="259" w:type="pct"/>
            <w:tcBorders>
              <w:top w:val="nil"/>
              <w:left w:val="nil"/>
              <w:bottom w:val="single" w:sz="8" w:space="0" w:color="auto"/>
              <w:right w:val="single" w:sz="8" w:space="0" w:color="auto"/>
            </w:tcBorders>
            <w:shd w:val="clear" w:color="auto" w:fill="auto"/>
            <w:noWrap/>
            <w:vAlign w:val="center"/>
            <w:hideMark/>
          </w:tcPr>
          <w:p w14:paraId="084B827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7" w:type="pct"/>
            <w:tcBorders>
              <w:top w:val="nil"/>
              <w:left w:val="nil"/>
              <w:bottom w:val="single" w:sz="8" w:space="0" w:color="auto"/>
              <w:right w:val="single" w:sz="8" w:space="0" w:color="auto"/>
            </w:tcBorders>
            <w:shd w:val="clear" w:color="auto" w:fill="auto"/>
            <w:noWrap/>
            <w:vAlign w:val="center"/>
            <w:hideMark/>
          </w:tcPr>
          <w:p w14:paraId="53D7B92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15E735C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6206217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203F228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311C93B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305CE62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76F5F88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98" w:type="pct"/>
            <w:tcBorders>
              <w:top w:val="nil"/>
              <w:left w:val="nil"/>
              <w:bottom w:val="single" w:sz="8" w:space="0" w:color="auto"/>
              <w:right w:val="single" w:sz="8" w:space="0" w:color="auto"/>
            </w:tcBorders>
            <w:shd w:val="clear" w:color="auto" w:fill="auto"/>
            <w:noWrap/>
            <w:vAlign w:val="center"/>
            <w:hideMark/>
          </w:tcPr>
          <w:p w14:paraId="554C19C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w:t>
            </w:r>
          </w:p>
        </w:tc>
        <w:tc>
          <w:tcPr>
            <w:tcW w:w="435" w:type="pct"/>
            <w:tcBorders>
              <w:top w:val="nil"/>
              <w:left w:val="nil"/>
              <w:bottom w:val="single" w:sz="8" w:space="0" w:color="auto"/>
              <w:right w:val="single" w:sz="8" w:space="0" w:color="auto"/>
            </w:tcBorders>
            <w:shd w:val="clear" w:color="auto" w:fill="auto"/>
            <w:noWrap/>
            <w:vAlign w:val="center"/>
            <w:hideMark/>
          </w:tcPr>
          <w:p w14:paraId="6385ACC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w:t>
            </w:r>
          </w:p>
        </w:tc>
      </w:tr>
      <w:tr w:rsidR="00B8364E" w:rsidRPr="00576FB9" w14:paraId="535DE691"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FFFFFF"/>
            <w:noWrap/>
            <w:vAlign w:val="center"/>
            <w:hideMark/>
          </w:tcPr>
          <w:p w14:paraId="50FCC84F"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General</w:t>
            </w:r>
          </w:p>
        </w:tc>
        <w:tc>
          <w:tcPr>
            <w:tcW w:w="259" w:type="pct"/>
            <w:tcBorders>
              <w:top w:val="nil"/>
              <w:left w:val="nil"/>
              <w:bottom w:val="single" w:sz="8" w:space="0" w:color="auto"/>
              <w:right w:val="single" w:sz="8" w:space="0" w:color="auto"/>
            </w:tcBorders>
            <w:shd w:val="clear" w:color="auto" w:fill="auto"/>
            <w:noWrap/>
            <w:vAlign w:val="center"/>
            <w:hideMark/>
          </w:tcPr>
          <w:p w14:paraId="0C9D5A1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7" w:type="pct"/>
            <w:tcBorders>
              <w:top w:val="nil"/>
              <w:left w:val="nil"/>
              <w:bottom w:val="single" w:sz="8" w:space="0" w:color="auto"/>
              <w:right w:val="single" w:sz="8" w:space="0" w:color="auto"/>
            </w:tcBorders>
            <w:shd w:val="clear" w:color="auto" w:fill="auto"/>
            <w:noWrap/>
            <w:vAlign w:val="center"/>
            <w:hideMark/>
          </w:tcPr>
          <w:p w14:paraId="0B96D51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3479A2E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396C5A8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0CDAC81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403BC1C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4F8690F7"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7874361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98" w:type="pct"/>
            <w:tcBorders>
              <w:top w:val="nil"/>
              <w:left w:val="nil"/>
              <w:bottom w:val="single" w:sz="8" w:space="0" w:color="auto"/>
              <w:right w:val="single" w:sz="8" w:space="0" w:color="auto"/>
            </w:tcBorders>
            <w:shd w:val="clear" w:color="000000" w:fill="FFFFFF"/>
            <w:noWrap/>
            <w:vAlign w:val="center"/>
            <w:hideMark/>
          </w:tcPr>
          <w:p w14:paraId="1D4CBCF8"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w:t>
            </w:r>
          </w:p>
        </w:tc>
        <w:tc>
          <w:tcPr>
            <w:tcW w:w="435" w:type="pct"/>
            <w:tcBorders>
              <w:top w:val="nil"/>
              <w:left w:val="nil"/>
              <w:bottom w:val="single" w:sz="8" w:space="0" w:color="auto"/>
              <w:right w:val="single" w:sz="8" w:space="0" w:color="auto"/>
            </w:tcBorders>
            <w:shd w:val="clear" w:color="000000" w:fill="FFFFFF"/>
            <w:noWrap/>
            <w:vAlign w:val="center"/>
            <w:hideMark/>
          </w:tcPr>
          <w:p w14:paraId="23FA460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r>
      <w:tr w:rsidR="00B8364E" w:rsidRPr="00576FB9" w14:paraId="42CF9FDD"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FFFFFF"/>
            <w:noWrap/>
            <w:vAlign w:val="center"/>
            <w:hideMark/>
          </w:tcPr>
          <w:p w14:paraId="546328F5"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Justificación</w:t>
            </w:r>
          </w:p>
        </w:tc>
        <w:tc>
          <w:tcPr>
            <w:tcW w:w="259" w:type="pct"/>
            <w:tcBorders>
              <w:top w:val="nil"/>
              <w:left w:val="nil"/>
              <w:bottom w:val="single" w:sz="8" w:space="0" w:color="auto"/>
              <w:right w:val="single" w:sz="8" w:space="0" w:color="auto"/>
            </w:tcBorders>
            <w:shd w:val="clear" w:color="auto" w:fill="auto"/>
            <w:noWrap/>
            <w:vAlign w:val="center"/>
            <w:hideMark/>
          </w:tcPr>
          <w:p w14:paraId="7B272880"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7" w:type="pct"/>
            <w:tcBorders>
              <w:top w:val="nil"/>
              <w:left w:val="nil"/>
              <w:bottom w:val="single" w:sz="8" w:space="0" w:color="auto"/>
              <w:right w:val="single" w:sz="8" w:space="0" w:color="auto"/>
            </w:tcBorders>
            <w:shd w:val="clear" w:color="auto" w:fill="auto"/>
            <w:noWrap/>
            <w:vAlign w:val="center"/>
            <w:hideMark/>
          </w:tcPr>
          <w:p w14:paraId="2849AD1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2D82F9B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14B1D21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04D4BD0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7065849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019DACF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19024F0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98" w:type="pct"/>
            <w:tcBorders>
              <w:top w:val="nil"/>
              <w:left w:val="nil"/>
              <w:bottom w:val="single" w:sz="8" w:space="0" w:color="auto"/>
              <w:right w:val="single" w:sz="8" w:space="0" w:color="auto"/>
            </w:tcBorders>
            <w:shd w:val="clear" w:color="000000" w:fill="FFFFFF"/>
            <w:noWrap/>
            <w:vAlign w:val="center"/>
            <w:hideMark/>
          </w:tcPr>
          <w:p w14:paraId="089EE00B"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w:t>
            </w:r>
          </w:p>
        </w:tc>
        <w:tc>
          <w:tcPr>
            <w:tcW w:w="435" w:type="pct"/>
            <w:tcBorders>
              <w:top w:val="nil"/>
              <w:left w:val="nil"/>
              <w:bottom w:val="single" w:sz="8" w:space="0" w:color="auto"/>
              <w:right w:val="single" w:sz="8" w:space="0" w:color="auto"/>
            </w:tcBorders>
            <w:shd w:val="clear" w:color="000000" w:fill="FFFFFF"/>
            <w:noWrap/>
            <w:vAlign w:val="center"/>
            <w:hideMark/>
          </w:tcPr>
          <w:p w14:paraId="5205C7D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r>
      <w:tr w:rsidR="00B8364E" w:rsidRPr="00576FB9" w14:paraId="25A0269D"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FFFFFF"/>
            <w:noWrap/>
            <w:vAlign w:val="center"/>
            <w:hideMark/>
          </w:tcPr>
          <w:p w14:paraId="3234B7E7"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Reintegro</w:t>
            </w:r>
          </w:p>
        </w:tc>
        <w:tc>
          <w:tcPr>
            <w:tcW w:w="259" w:type="pct"/>
            <w:tcBorders>
              <w:top w:val="nil"/>
              <w:left w:val="nil"/>
              <w:bottom w:val="single" w:sz="8" w:space="0" w:color="auto"/>
              <w:right w:val="single" w:sz="8" w:space="0" w:color="auto"/>
            </w:tcBorders>
            <w:shd w:val="clear" w:color="auto" w:fill="auto"/>
            <w:noWrap/>
            <w:vAlign w:val="center"/>
            <w:hideMark/>
          </w:tcPr>
          <w:p w14:paraId="2B7FF1DC"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7" w:type="pct"/>
            <w:tcBorders>
              <w:top w:val="nil"/>
              <w:left w:val="nil"/>
              <w:bottom w:val="single" w:sz="8" w:space="0" w:color="auto"/>
              <w:right w:val="single" w:sz="8" w:space="0" w:color="auto"/>
            </w:tcBorders>
            <w:shd w:val="clear" w:color="auto" w:fill="auto"/>
            <w:noWrap/>
            <w:vAlign w:val="center"/>
            <w:hideMark/>
          </w:tcPr>
          <w:p w14:paraId="666E4FB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30F46A82"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2BA6C6F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382B74A7"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762707B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52605B5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559CDA51"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98" w:type="pct"/>
            <w:tcBorders>
              <w:top w:val="nil"/>
              <w:left w:val="nil"/>
              <w:bottom w:val="single" w:sz="8" w:space="0" w:color="auto"/>
              <w:right w:val="single" w:sz="8" w:space="0" w:color="auto"/>
            </w:tcBorders>
            <w:shd w:val="clear" w:color="000000" w:fill="FFFFFF"/>
            <w:noWrap/>
            <w:vAlign w:val="center"/>
            <w:hideMark/>
          </w:tcPr>
          <w:p w14:paraId="7D703AB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1</w:t>
            </w:r>
          </w:p>
        </w:tc>
        <w:tc>
          <w:tcPr>
            <w:tcW w:w="435" w:type="pct"/>
            <w:tcBorders>
              <w:top w:val="nil"/>
              <w:left w:val="nil"/>
              <w:bottom w:val="single" w:sz="8" w:space="0" w:color="auto"/>
              <w:right w:val="single" w:sz="8" w:space="0" w:color="auto"/>
            </w:tcBorders>
            <w:shd w:val="clear" w:color="000000" w:fill="FFFFFF"/>
            <w:noWrap/>
            <w:vAlign w:val="center"/>
            <w:hideMark/>
          </w:tcPr>
          <w:p w14:paraId="5589E196"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0%</w:t>
            </w:r>
          </w:p>
        </w:tc>
      </w:tr>
      <w:tr w:rsidR="00B8364E" w:rsidRPr="00576FB9" w14:paraId="39388F8D"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FFFFFF"/>
            <w:noWrap/>
            <w:vAlign w:val="center"/>
            <w:hideMark/>
          </w:tcPr>
          <w:p w14:paraId="0BF616D3" w14:textId="77777777" w:rsidR="00B8364E" w:rsidRPr="00576FB9" w:rsidRDefault="00B8364E" w:rsidP="009F574A">
            <w:pPr>
              <w:spacing w:after="0" w:line="240" w:lineRule="auto"/>
              <w:ind w:firstLineChars="100" w:firstLine="160"/>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Otros</w:t>
            </w:r>
          </w:p>
        </w:tc>
        <w:tc>
          <w:tcPr>
            <w:tcW w:w="259" w:type="pct"/>
            <w:tcBorders>
              <w:top w:val="nil"/>
              <w:left w:val="nil"/>
              <w:bottom w:val="single" w:sz="8" w:space="0" w:color="auto"/>
              <w:right w:val="single" w:sz="8" w:space="0" w:color="auto"/>
            </w:tcBorders>
            <w:shd w:val="clear" w:color="auto" w:fill="auto"/>
            <w:noWrap/>
            <w:vAlign w:val="center"/>
            <w:hideMark/>
          </w:tcPr>
          <w:p w14:paraId="7AD6628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7" w:type="pct"/>
            <w:tcBorders>
              <w:top w:val="nil"/>
              <w:left w:val="nil"/>
              <w:bottom w:val="single" w:sz="8" w:space="0" w:color="auto"/>
              <w:right w:val="single" w:sz="8" w:space="0" w:color="auto"/>
            </w:tcBorders>
            <w:shd w:val="clear" w:color="auto" w:fill="auto"/>
            <w:noWrap/>
            <w:vAlign w:val="center"/>
            <w:hideMark/>
          </w:tcPr>
          <w:p w14:paraId="0D8FF3D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668A94E3"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6D7EA61F"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2EB7F56A"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624EAA9D"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65" w:type="pct"/>
            <w:tcBorders>
              <w:top w:val="nil"/>
              <w:left w:val="nil"/>
              <w:bottom w:val="single" w:sz="8" w:space="0" w:color="auto"/>
              <w:right w:val="single" w:sz="8" w:space="0" w:color="auto"/>
            </w:tcBorders>
            <w:shd w:val="clear" w:color="auto" w:fill="auto"/>
            <w:noWrap/>
            <w:vAlign w:val="center"/>
            <w:hideMark/>
          </w:tcPr>
          <w:p w14:paraId="7EF4315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390" w:type="pct"/>
            <w:tcBorders>
              <w:top w:val="nil"/>
              <w:left w:val="nil"/>
              <w:bottom w:val="single" w:sz="8" w:space="0" w:color="auto"/>
              <w:right w:val="single" w:sz="8" w:space="0" w:color="auto"/>
            </w:tcBorders>
            <w:shd w:val="clear" w:color="auto" w:fill="auto"/>
            <w:noWrap/>
            <w:vAlign w:val="center"/>
            <w:hideMark/>
          </w:tcPr>
          <w:p w14:paraId="79158415"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n/a</w:t>
            </w:r>
          </w:p>
        </w:tc>
        <w:tc>
          <w:tcPr>
            <w:tcW w:w="298" w:type="pct"/>
            <w:tcBorders>
              <w:top w:val="nil"/>
              <w:left w:val="nil"/>
              <w:bottom w:val="single" w:sz="8" w:space="0" w:color="auto"/>
              <w:right w:val="single" w:sz="8" w:space="0" w:color="auto"/>
            </w:tcBorders>
            <w:shd w:val="clear" w:color="000000" w:fill="FFFFFF"/>
            <w:noWrap/>
            <w:vAlign w:val="center"/>
            <w:hideMark/>
          </w:tcPr>
          <w:p w14:paraId="497923B9"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6</w:t>
            </w:r>
          </w:p>
        </w:tc>
        <w:tc>
          <w:tcPr>
            <w:tcW w:w="435" w:type="pct"/>
            <w:tcBorders>
              <w:top w:val="nil"/>
              <w:left w:val="nil"/>
              <w:bottom w:val="single" w:sz="8" w:space="0" w:color="auto"/>
              <w:right w:val="single" w:sz="8" w:space="0" w:color="auto"/>
            </w:tcBorders>
            <w:shd w:val="clear" w:color="000000" w:fill="FFFFFF"/>
            <w:noWrap/>
            <w:vAlign w:val="center"/>
            <w:hideMark/>
          </w:tcPr>
          <w:p w14:paraId="475C410E" w14:textId="77777777" w:rsidR="00B8364E" w:rsidRPr="00576FB9" w:rsidRDefault="00B8364E" w:rsidP="009F574A">
            <w:pPr>
              <w:spacing w:after="0" w:line="240" w:lineRule="auto"/>
              <w:jc w:val="center"/>
              <w:rPr>
                <w:rFonts w:ascii="Arial" w:eastAsia="Times New Roman" w:hAnsi="Arial" w:cs="Arial"/>
                <w:color w:val="000000"/>
                <w:sz w:val="16"/>
                <w:szCs w:val="16"/>
                <w:lang w:eastAsia="es-ES"/>
              </w:rPr>
            </w:pPr>
            <w:r w:rsidRPr="00576FB9">
              <w:rPr>
                <w:rFonts w:ascii="Arial" w:eastAsia="Times New Roman" w:hAnsi="Arial" w:cs="Arial"/>
                <w:color w:val="000000"/>
                <w:sz w:val="16"/>
                <w:szCs w:val="16"/>
                <w:lang w:eastAsia="es-ES"/>
              </w:rPr>
              <w:t>2%</w:t>
            </w:r>
          </w:p>
        </w:tc>
      </w:tr>
      <w:tr w:rsidR="00B8364E" w:rsidRPr="00576FB9" w14:paraId="592E6190"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D8C1BD"/>
            <w:noWrap/>
            <w:vAlign w:val="center"/>
            <w:hideMark/>
          </w:tcPr>
          <w:p w14:paraId="49E7E96A"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Transparencia</w:t>
            </w:r>
          </w:p>
        </w:tc>
        <w:tc>
          <w:tcPr>
            <w:tcW w:w="259" w:type="pct"/>
            <w:tcBorders>
              <w:top w:val="nil"/>
              <w:left w:val="nil"/>
              <w:bottom w:val="single" w:sz="8" w:space="0" w:color="auto"/>
              <w:right w:val="single" w:sz="8" w:space="0" w:color="auto"/>
            </w:tcBorders>
            <w:shd w:val="clear" w:color="000000" w:fill="D8C1BD"/>
            <w:noWrap/>
            <w:vAlign w:val="center"/>
            <w:hideMark/>
          </w:tcPr>
          <w:p w14:paraId="60F27580"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7" w:type="pct"/>
            <w:tcBorders>
              <w:top w:val="nil"/>
              <w:left w:val="nil"/>
              <w:bottom w:val="single" w:sz="8" w:space="0" w:color="auto"/>
              <w:right w:val="single" w:sz="8" w:space="0" w:color="auto"/>
            </w:tcBorders>
            <w:shd w:val="clear" w:color="000000" w:fill="D8C1BD"/>
            <w:noWrap/>
            <w:vAlign w:val="center"/>
            <w:hideMark/>
          </w:tcPr>
          <w:p w14:paraId="5092A237"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2465F558"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7681F0E1"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7202E59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742FBE3B"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65" w:type="pct"/>
            <w:tcBorders>
              <w:top w:val="nil"/>
              <w:left w:val="nil"/>
              <w:bottom w:val="single" w:sz="8" w:space="0" w:color="auto"/>
              <w:right w:val="single" w:sz="8" w:space="0" w:color="auto"/>
            </w:tcBorders>
            <w:shd w:val="clear" w:color="000000" w:fill="D8C1BD"/>
            <w:noWrap/>
            <w:vAlign w:val="center"/>
            <w:hideMark/>
          </w:tcPr>
          <w:p w14:paraId="66A1C38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390" w:type="pct"/>
            <w:tcBorders>
              <w:top w:val="nil"/>
              <w:left w:val="nil"/>
              <w:bottom w:val="single" w:sz="8" w:space="0" w:color="auto"/>
              <w:right w:val="single" w:sz="8" w:space="0" w:color="auto"/>
            </w:tcBorders>
            <w:shd w:val="clear" w:color="000000" w:fill="D8C1BD"/>
            <w:noWrap/>
            <w:vAlign w:val="center"/>
            <w:hideMark/>
          </w:tcPr>
          <w:p w14:paraId="66D834F7"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n/a</w:t>
            </w:r>
          </w:p>
        </w:tc>
        <w:tc>
          <w:tcPr>
            <w:tcW w:w="298" w:type="pct"/>
            <w:tcBorders>
              <w:top w:val="nil"/>
              <w:left w:val="nil"/>
              <w:bottom w:val="single" w:sz="8" w:space="0" w:color="auto"/>
              <w:right w:val="single" w:sz="8" w:space="0" w:color="auto"/>
            </w:tcBorders>
            <w:shd w:val="clear" w:color="000000" w:fill="D8C1BD"/>
            <w:noWrap/>
            <w:vAlign w:val="center"/>
            <w:hideMark/>
          </w:tcPr>
          <w:p w14:paraId="0F74D6C7"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w:t>
            </w:r>
          </w:p>
        </w:tc>
        <w:tc>
          <w:tcPr>
            <w:tcW w:w="435" w:type="pct"/>
            <w:tcBorders>
              <w:top w:val="nil"/>
              <w:left w:val="nil"/>
              <w:bottom w:val="single" w:sz="8" w:space="0" w:color="auto"/>
              <w:right w:val="single" w:sz="8" w:space="0" w:color="auto"/>
            </w:tcBorders>
            <w:shd w:val="clear" w:color="000000" w:fill="D8C1BD"/>
            <w:noWrap/>
            <w:vAlign w:val="center"/>
            <w:hideMark/>
          </w:tcPr>
          <w:p w14:paraId="10604B1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w:t>
            </w:r>
          </w:p>
        </w:tc>
      </w:tr>
      <w:tr w:rsidR="00B8364E" w:rsidRPr="00576FB9" w14:paraId="28F9FBDD"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D8C1BD"/>
            <w:noWrap/>
            <w:vAlign w:val="center"/>
            <w:hideMark/>
          </w:tcPr>
          <w:p w14:paraId="6361BCD5"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Urbanismo**</w:t>
            </w:r>
          </w:p>
        </w:tc>
        <w:tc>
          <w:tcPr>
            <w:tcW w:w="259" w:type="pct"/>
            <w:tcBorders>
              <w:top w:val="nil"/>
              <w:left w:val="nil"/>
              <w:bottom w:val="single" w:sz="8" w:space="0" w:color="auto"/>
              <w:right w:val="single" w:sz="8" w:space="0" w:color="auto"/>
            </w:tcBorders>
            <w:shd w:val="clear" w:color="000000" w:fill="D8C1BD"/>
            <w:noWrap/>
            <w:vAlign w:val="center"/>
            <w:hideMark/>
          </w:tcPr>
          <w:p w14:paraId="37962A52"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397" w:type="pct"/>
            <w:tcBorders>
              <w:top w:val="nil"/>
              <w:left w:val="nil"/>
              <w:bottom w:val="single" w:sz="8" w:space="0" w:color="auto"/>
              <w:right w:val="single" w:sz="8" w:space="0" w:color="auto"/>
            </w:tcBorders>
            <w:shd w:val="clear" w:color="000000" w:fill="D8C1BD"/>
            <w:noWrap/>
            <w:vAlign w:val="center"/>
            <w:hideMark/>
          </w:tcPr>
          <w:p w14:paraId="16E257B2"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265" w:type="pct"/>
            <w:tcBorders>
              <w:top w:val="nil"/>
              <w:left w:val="nil"/>
              <w:bottom w:val="single" w:sz="8" w:space="0" w:color="auto"/>
              <w:right w:val="single" w:sz="8" w:space="0" w:color="auto"/>
            </w:tcBorders>
            <w:shd w:val="clear" w:color="000000" w:fill="D8C1BD"/>
            <w:noWrap/>
            <w:vAlign w:val="center"/>
            <w:hideMark/>
          </w:tcPr>
          <w:p w14:paraId="044AFB38"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390" w:type="pct"/>
            <w:tcBorders>
              <w:top w:val="nil"/>
              <w:left w:val="nil"/>
              <w:bottom w:val="single" w:sz="8" w:space="0" w:color="auto"/>
              <w:right w:val="single" w:sz="8" w:space="0" w:color="auto"/>
            </w:tcBorders>
            <w:shd w:val="clear" w:color="000000" w:fill="D8C1BD"/>
            <w:noWrap/>
            <w:vAlign w:val="center"/>
            <w:hideMark/>
          </w:tcPr>
          <w:p w14:paraId="4B94459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265" w:type="pct"/>
            <w:tcBorders>
              <w:top w:val="nil"/>
              <w:left w:val="nil"/>
              <w:bottom w:val="single" w:sz="8" w:space="0" w:color="auto"/>
              <w:right w:val="single" w:sz="8" w:space="0" w:color="auto"/>
            </w:tcBorders>
            <w:shd w:val="clear" w:color="000000" w:fill="D8C1BD"/>
            <w:noWrap/>
            <w:vAlign w:val="center"/>
            <w:hideMark/>
          </w:tcPr>
          <w:p w14:paraId="123FBA09"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390" w:type="pct"/>
            <w:tcBorders>
              <w:top w:val="nil"/>
              <w:left w:val="nil"/>
              <w:bottom w:val="single" w:sz="8" w:space="0" w:color="auto"/>
              <w:right w:val="single" w:sz="8" w:space="0" w:color="auto"/>
            </w:tcBorders>
            <w:shd w:val="clear" w:color="000000" w:fill="D8C1BD"/>
            <w:noWrap/>
            <w:vAlign w:val="center"/>
            <w:hideMark/>
          </w:tcPr>
          <w:p w14:paraId="31D09382"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265" w:type="pct"/>
            <w:tcBorders>
              <w:top w:val="nil"/>
              <w:left w:val="nil"/>
              <w:bottom w:val="single" w:sz="8" w:space="0" w:color="auto"/>
              <w:right w:val="single" w:sz="8" w:space="0" w:color="auto"/>
            </w:tcBorders>
            <w:shd w:val="clear" w:color="000000" w:fill="D8C1BD"/>
            <w:noWrap/>
            <w:vAlign w:val="center"/>
            <w:hideMark/>
          </w:tcPr>
          <w:p w14:paraId="29B7AA76"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390" w:type="pct"/>
            <w:tcBorders>
              <w:top w:val="nil"/>
              <w:left w:val="nil"/>
              <w:bottom w:val="single" w:sz="8" w:space="0" w:color="auto"/>
              <w:right w:val="single" w:sz="8" w:space="0" w:color="auto"/>
            </w:tcBorders>
            <w:shd w:val="clear" w:color="000000" w:fill="D8C1BD"/>
            <w:noWrap/>
            <w:vAlign w:val="center"/>
            <w:hideMark/>
          </w:tcPr>
          <w:p w14:paraId="0613283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w:t>
            </w:r>
          </w:p>
        </w:tc>
        <w:tc>
          <w:tcPr>
            <w:tcW w:w="298" w:type="pct"/>
            <w:tcBorders>
              <w:top w:val="nil"/>
              <w:left w:val="nil"/>
              <w:bottom w:val="single" w:sz="8" w:space="0" w:color="auto"/>
              <w:right w:val="single" w:sz="8" w:space="0" w:color="auto"/>
            </w:tcBorders>
            <w:shd w:val="clear" w:color="000000" w:fill="D8C1BD"/>
            <w:noWrap/>
            <w:vAlign w:val="center"/>
            <w:hideMark/>
          </w:tcPr>
          <w:p w14:paraId="27FB8EEB"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20</w:t>
            </w:r>
          </w:p>
        </w:tc>
        <w:tc>
          <w:tcPr>
            <w:tcW w:w="435" w:type="pct"/>
            <w:tcBorders>
              <w:top w:val="nil"/>
              <w:left w:val="nil"/>
              <w:bottom w:val="single" w:sz="8" w:space="0" w:color="auto"/>
              <w:right w:val="single" w:sz="8" w:space="0" w:color="auto"/>
            </w:tcBorders>
            <w:shd w:val="clear" w:color="000000" w:fill="D8C1BD"/>
            <w:noWrap/>
            <w:vAlign w:val="center"/>
            <w:hideMark/>
          </w:tcPr>
          <w:p w14:paraId="78A69047"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6%</w:t>
            </w:r>
          </w:p>
        </w:tc>
      </w:tr>
      <w:tr w:rsidR="00B8364E" w:rsidRPr="00576FB9" w14:paraId="3C24FC22"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D8C1BD"/>
            <w:noWrap/>
            <w:vAlign w:val="center"/>
            <w:hideMark/>
          </w:tcPr>
          <w:p w14:paraId="194021BB"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Uso indebido de recursos públicos</w:t>
            </w:r>
          </w:p>
        </w:tc>
        <w:tc>
          <w:tcPr>
            <w:tcW w:w="259" w:type="pct"/>
            <w:tcBorders>
              <w:top w:val="nil"/>
              <w:left w:val="nil"/>
              <w:bottom w:val="single" w:sz="8" w:space="0" w:color="auto"/>
              <w:right w:val="single" w:sz="8" w:space="0" w:color="auto"/>
            </w:tcBorders>
            <w:shd w:val="clear" w:color="000000" w:fill="D8C1BD"/>
            <w:noWrap/>
            <w:vAlign w:val="center"/>
            <w:hideMark/>
          </w:tcPr>
          <w:p w14:paraId="4C5AD19C"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3</w:t>
            </w:r>
          </w:p>
        </w:tc>
        <w:tc>
          <w:tcPr>
            <w:tcW w:w="397" w:type="pct"/>
            <w:tcBorders>
              <w:top w:val="nil"/>
              <w:left w:val="nil"/>
              <w:bottom w:val="single" w:sz="8" w:space="0" w:color="auto"/>
              <w:right w:val="single" w:sz="8" w:space="0" w:color="auto"/>
            </w:tcBorders>
            <w:shd w:val="clear" w:color="000000" w:fill="D8C1BD"/>
            <w:noWrap/>
            <w:vAlign w:val="center"/>
            <w:hideMark/>
          </w:tcPr>
          <w:p w14:paraId="53281CD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9%</w:t>
            </w:r>
          </w:p>
        </w:tc>
        <w:tc>
          <w:tcPr>
            <w:tcW w:w="265" w:type="pct"/>
            <w:tcBorders>
              <w:top w:val="nil"/>
              <w:left w:val="nil"/>
              <w:bottom w:val="single" w:sz="8" w:space="0" w:color="auto"/>
              <w:right w:val="single" w:sz="8" w:space="0" w:color="auto"/>
            </w:tcBorders>
            <w:shd w:val="clear" w:color="000000" w:fill="D8C1BD"/>
            <w:noWrap/>
            <w:vAlign w:val="center"/>
            <w:hideMark/>
          </w:tcPr>
          <w:p w14:paraId="44E870A0"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13</w:t>
            </w:r>
          </w:p>
        </w:tc>
        <w:tc>
          <w:tcPr>
            <w:tcW w:w="390" w:type="pct"/>
            <w:tcBorders>
              <w:top w:val="nil"/>
              <w:left w:val="nil"/>
              <w:bottom w:val="single" w:sz="8" w:space="0" w:color="auto"/>
              <w:right w:val="single" w:sz="8" w:space="0" w:color="auto"/>
            </w:tcBorders>
            <w:shd w:val="clear" w:color="000000" w:fill="D8C1BD"/>
            <w:noWrap/>
            <w:vAlign w:val="center"/>
            <w:hideMark/>
          </w:tcPr>
          <w:p w14:paraId="24358D42"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7%</w:t>
            </w:r>
          </w:p>
        </w:tc>
        <w:tc>
          <w:tcPr>
            <w:tcW w:w="265" w:type="pct"/>
            <w:tcBorders>
              <w:top w:val="nil"/>
              <w:left w:val="nil"/>
              <w:bottom w:val="single" w:sz="8" w:space="0" w:color="auto"/>
              <w:right w:val="single" w:sz="8" w:space="0" w:color="auto"/>
            </w:tcBorders>
            <w:shd w:val="clear" w:color="000000" w:fill="D8C1BD"/>
            <w:noWrap/>
            <w:vAlign w:val="center"/>
            <w:hideMark/>
          </w:tcPr>
          <w:p w14:paraId="3578DC5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27</w:t>
            </w:r>
          </w:p>
        </w:tc>
        <w:tc>
          <w:tcPr>
            <w:tcW w:w="390" w:type="pct"/>
            <w:tcBorders>
              <w:top w:val="nil"/>
              <w:left w:val="nil"/>
              <w:bottom w:val="single" w:sz="8" w:space="0" w:color="auto"/>
              <w:right w:val="single" w:sz="8" w:space="0" w:color="auto"/>
            </w:tcBorders>
            <w:shd w:val="clear" w:color="000000" w:fill="D8C1BD"/>
            <w:noWrap/>
            <w:vAlign w:val="center"/>
            <w:hideMark/>
          </w:tcPr>
          <w:p w14:paraId="78AACF3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16%</w:t>
            </w:r>
          </w:p>
        </w:tc>
        <w:tc>
          <w:tcPr>
            <w:tcW w:w="265" w:type="pct"/>
            <w:tcBorders>
              <w:top w:val="nil"/>
              <w:left w:val="nil"/>
              <w:bottom w:val="single" w:sz="8" w:space="0" w:color="auto"/>
              <w:right w:val="single" w:sz="8" w:space="0" w:color="auto"/>
            </w:tcBorders>
            <w:shd w:val="clear" w:color="000000" w:fill="D8C1BD"/>
            <w:noWrap/>
            <w:vAlign w:val="center"/>
            <w:hideMark/>
          </w:tcPr>
          <w:p w14:paraId="4BDDA091"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w:t>
            </w:r>
          </w:p>
        </w:tc>
        <w:tc>
          <w:tcPr>
            <w:tcW w:w="390" w:type="pct"/>
            <w:tcBorders>
              <w:top w:val="nil"/>
              <w:left w:val="nil"/>
              <w:bottom w:val="single" w:sz="8" w:space="0" w:color="auto"/>
              <w:right w:val="single" w:sz="8" w:space="0" w:color="auto"/>
            </w:tcBorders>
            <w:shd w:val="clear" w:color="000000" w:fill="D8C1BD"/>
            <w:noWrap/>
            <w:vAlign w:val="center"/>
            <w:hideMark/>
          </w:tcPr>
          <w:p w14:paraId="1065BE1C"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0%</w:t>
            </w:r>
          </w:p>
        </w:tc>
        <w:tc>
          <w:tcPr>
            <w:tcW w:w="298" w:type="pct"/>
            <w:tcBorders>
              <w:top w:val="nil"/>
              <w:left w:val="nil"/>
              <w:bottom w:val="single" w:sz="8" w:space="0" w:color="auto"/>
              <w:right w:val="single" w:sz="8" w:space="0" w:color="auto"/>
            </w:tcBorders>
            <w:shd w:val="clear" w:color="000000" w:fill="D8C1BD"/>
            <w:noWrap/>
            <w:vAlign w:val="center"/>
            <w:hideMark/>
          </w:tcPr>
          <w:p w14:paraId="2A3AED1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6</w:t>
            </w:r>
          </w:p>
        </w:tc>
        <w:tc>
          <w:tcPr>
            <w:tcW w:w="435" w:type="pct"/>
            <w:tcBorders>
              <w:top w:val="nil"/>
              <w:left w:val="nil"/>
              <w:bottom w:val="single" w:sz="8" w:space="0" w:color="auto"/>
              <w:right w:val="single" w:sz="8" w:space="0" w:color="auto"/>
            </w:tcBorders>
            <w:shd w:val="clear" w:color="000000" w:fill="D8C1BD"/>
            <w:noWrap/>
            <w:vAlign w:val="center"/>
            <w:hideMark/>
          </w:tcPr>
          <w:p w14:paraId="31A5AE85"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w:t>
            </w:r>
          </w:p>
        </w:tc>
      </w:tr>
      <w:tr w:rsidR="00B8364E" w:rsidRPr="00576FB9" w14:paraId="6354A357" w14:textId="77777777" w:rsidTr="009F574A">
        <w:trPr>
          <w:trHeight w:val="300"/>
        </w:trPr>
        <w:tc>
          <w:tcPr>
            <w:tcW w:w="1646" w:type="pct"/>
            <w:tcBorders>
              <w:top w:val="nil"/>
              <w:left w:val="single" w:sz="8" w:space="0" w:color="auto"/>
              <w:bottom w:val="single" w:sz="8" w:space="0" w:color="auto"/>
              <w:right w:val="single" w:sz="8" w:space="0" w:color="auto"/>
            </w:tcBorders>
            <w:shd w:val="clear" w:color="000000" w:fill="D8C1BD"/>
            <w:noWrap/>
            <w:vAlign w:val="center"/>
            <w:hideMark/>
          </w:tcPr>
          <w:p w14:paraId="71E979B1" w14:textId="77777777" w:rsidR="00B8364E" w:rsidRPr="00576FB9" w:rsidRDefault="00B8364E" w:rsidP="009F574A">
            <w:pPr>
              <w:spacing w:after="0" w:line="240" w:lineRule="auto"/>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Otros</w:t>
            </w:r>
          </w:p>
        </w:tc>
        <w:tc>
          <w:tcPr>
            <w:tcW w:w="259" w:type="pct"/>
            <w:tcBorders>
              <w:top w:val="nil"/>
              <w:left w:val="nil"/>
              <w:bottom w:val="single" w:sz="8" w:space="0" w:color="auto"/>
              <w:right w:val="single" w:sz="8" w:space="0" w:color="auto"/>
            </w:tcBorders>
            <w:shd w:val="clear" w:color="000000" w:fill="D8C1BD"/>
            <w:noWrap/>
            <w:vAlign w:val="center"/>
            <w:hideMark/>
          </w:tcPr>
          <w:p w14:paraId="24EE773C"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0</w:t>
            </w:r>
          </w:p>
        </w:tc>
        <w:tc>
          <w:tcPr>
            <w:tcW w:w="397" w:type="pct"/>
            <w:tcBorders>
              <w:top w:val="nil"/>
              <w:left w:val="nil"/>
              <w:bottom w:val="single" w:sz="8" w:space="0" w:color="auto"/>
              <w:right w:val="single" w:sz="8" w:space="0" w:color="auto"/>
            </w:tcBorders>
            <w:shd w:val="clear" w:color="000000" w:fill="D8C1BD"/>
            <w:noWrap/>
            <w:vAlign w:val="center"/>
            <w:hideMark/>
          </w:tcPr>
          <w:p w14:paraId="6B60FD0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0%</w:t>
            </w:r>
          </w:p>
        </w:tc>
        <w:tc>
          <w:tcPr>
            <w:tcW w:w="265" w:type="pct"/>
            <w:tcBorders>
              <w:top w:val="nil"/>
              <w:left w:val="nil"/>
              <w:bottom w:val="single" w:sz="8" w:space="0" w:color="auto"/>
              <w:right w:val="single" w:sz="8" w:space="0" w:color="auto"/>
            </w:tcBorders>
            <w:shd w:val="clear" w:color="000000" w:fill="D8C1BD"/>
            <w:noWrap/>
            <w:vAlign w:val="center"/>
            <w:hideMark/>
          </w:tcPr>
          <w:p w14:paraId="02D8EE2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0</w:t>
            </w:r>
          </w:p>
        </w:tc>
        <w:tc>
          <w:tcPr>
            <w:tcW w:w="390" w:type="pct"/>
            <w:tcBorders>
              <w:top w:val="nil"/>
              <w:left w:val="nil"/>
              <w:bottom w:val="single" w:sz="8" w:space="0" w:color="auto"/>
              <w:right w:val="single" w:sz="8" w:space="0" w:color="auto"/>
            </w:tcBorders>
            <w:shd w:val="clear" w:color="000000" w:fill="D8C1BD"/>
            <w:noWrap/>
            <w:vAlign w:val="center"/>
            <w:hideMark/>
          </w:tcPr>
          <w:p w14:paraId="5734657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0%</w:t>
            </w:r>
          </w:p>
        </w:tc>
        <w:tc>
          <w:tcPr>
            <w:tcW w:w="265" w:type="pct"/>
            <w:tcBorders>
              <w:top w:val="nil"/>
              <w:left w:val="nil"/>
              <w:bottom w:val="single" w:sz="8" w:space="0" w:color="auto"/>
              <w:right w:val="single" w:sz="8" w:space="0" w:color="auto"/>
            </w:tcBorders>
            <w:shd w:val="clear" w:color="000000" w:fill="D8C1BD"/>
            <w:noWrap/>
            <w:vAlign w:val="center"/>
            <w:hideMark/>
          </w:tcPr>
          <w:p w14:paraId="10267622"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0</w:t>
            </w:r>
          </w:p>
        </w:tc>
        <w:tc>
          <w:tcPr>
            <w:tcW w:w="390" w:type="pct"/>
            <w:tcBorders>
              <w:top w:val="nil"/>
              <w:left w:val="nil"/>
              <w:bottom w:val="single" w:sz="8" w:space="0" w:color="auto"/>
              <w:right w:val="single" w:sz="8" w:space="0" w:color="auto"/>
            </w:tcBorders>
            <w:shd w:val="clear" w:color="000000" w:fill="D8C1BD"/>
            <w:noWrap/>
            <w:vAlign w:val="center"/>
            <w:hideMark/>
          </w:tcPr>
          <w:p w14:paraId="2E8EBB49"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0%</w:t>
            </w:r>
          </w:p>
        </w:tc>
        <w:tc>
          <w:tcPr>
            <w:tcW w:w="265" w:type="pct"/>
            <w:tcBorders>
              <w:top w:val="nil"/>
              <w:left w:val="nil"/>
              <w:bottom w:val="single" w:sz="8" w:space="0" w:color="auto"/>
              <w:right w:val="single" w:sz="8" w:space="0" w:color="auto"/>
            </w:tcBorders>
            <w:shd w:val="clear" w:color="000000" w:fill="D8C1BD"/>
            <w:noWrap/>
            <w:vAlign w:val="center"/>
            <w:hideMark/>
          </w:tcPr>
          <w:p w14:paraId="34B3BD8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32</w:t>
            </w:r>
          </w:p>
        </w:tc>
        <w:tc>
          <w:tcPr>
            <w:tcW w:w="390" w:type="pct"/>
            <w:tcBorders>
              <w:top w:val="nil"/>
              <w:left w:val="nil"/>
              <w:bottom w:val="single" w:sz="8" w:space="0" w:color="auto"/>
              <w:right w:val="single" w:sz="8" w:space="0" w:color="auto"/>
            </w:tcBorders>
            <w:shd w:val="clear" w:color="000000" w:fill="D8C1BD"/>
            <w:noWrap/>
            <w:vAlign w:val="center"/>
            <w:hideMark/>
          </w:tcPr>
          <w:p w14:paraId="6E7BC8D9"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14%</w:t>
            </w:r>
          </w:p>
        </w:tc>
        <w:tc>
          <w:tcPr>
            <w:tcW w:w="298" w:type="pct"/>
            <w:tcBorders>
              <w:top w:val="nil"/>
              <w:left w:val="nil"/>
              <w:bottom w:val="single" w:sz="8" w:space="0" w:color="auto"/>
              <w:right w:val="single" w:sz="8" w:space="0" w:color="auto"/>
            </w:tcBorders>
            <w:shd w:val="clear" w:color="000000" w:fill="D8C1BD"/>
            <w:noWrap/>
            <w:vAlign w:val="center"/>
            <w:hideMark/>
          </w:tcPr>
          <w:p w14:paraId="1DD52BF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58</w:t>
            </w:r>
          </w:p>
        </w:tc>
        <w:tc>
          <w:tcPr>
            <w:tcW w:w="435" w:type="pct"/>
            <w:tcBorders>
              <w:top w:val="nil"/>
              <w:left w:val="nil"/>
              <w:bottom w:val="single" w:sz="8" w:space="0" w:color="auto"/>
              <w:right w:val="single" w:sz="8" w:space="0" w:color="auto"/>
            </w:tcBorders>
            <w:shd w:val="clear" w:color="000000" w:fill="D8C1BD"/>
            <w:noWrap/>
            <w:vAlign w:val="center"/>
            <w:hideMark/>
          </w:tcPr>
          <w:p w14:paraId="160545D4"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16%</w:t>
            </w:r>
          </w:p>
        </w:tc>
      </w:tr>
      <w:tr w:rsidR="00B8364E" w:rsidRPr="00576FB9" w14:paraId="10413340" w14:textId="77777777" w:rsidTr="009F574A">
        <w:trPr>
          <w:trHeight w:val="300"/>
        </w:trPr>
        <w:tc>
          <w:tcPr>
            <w:tcW w:w="1646" w:type="pct"/>
            <w:tcBorders>
              <w:top w:val="nil"/>
              <w:left w:val="single" w:sz="8" w:space="0" w:color="auto"/>
              <w:bottom w:val="single" w:sz="8" w:space="0" w:color="auto"/>
              <w:right w:val="single" w:sz="8" w:space="0" w:color="auto"/>
            </w:tcBorders>
            <w:shd w:val="clear" w:color="auto" w:fill="auto"/>
            <w:noWrap/>
            <w:vAlign w:val="center"/>
            <w:hideMark/>
          </w:tcPr>
          <w:p w14:paraId="410B2BD4" w14:textId="77777777" w:rsidR="00B8364E" w:rsidRPr="00576FB9" w:rsidRDefault="00B8364E" w:rsidP="009F574A">
            <w:pPr>
              <w:spacing w:after="0" w:line="240" w:lineRule="auto"/>
              <w:jc w:val="right"/>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TOTAL</w:t>
            </w:r>
          </w:p>
        </w:tc>
        <w:tc>
          <w:tcPr>
            <w:tcW w:w="259" w:type="pct"/>
            <w:tcBorders>
              <w:top w:val="nil"/>
              <w:left w:val="nil"/>
              <w:bottom w:val="single" w:sz="8" w:space="0" w:color="auto"/>
              <w:right w:val="single" w:sz="8" w:space="0" w:color="auto"/>
            </w:tcBorders>
            <w:shd w:val="clear" w:color="auto" w:fill="auto"/>
            <w:noWrap/>
            <w:vAlign w:val="center"/>
            <w:hideMark/>
          </w:tcPr>
          <w:p w14:paraId="649D3B15"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35</w:t>
            </w:r>
          </w:p>
        </w:tc>
        <w:tc>
          <w:tcPr>
            <w:tcW w:w="397" w:type="pct"/>
            <w:tcBorders>
              <w:top w:val="nil"/>
              <w:left w:val="nil"/>
              <w:bottom w:val="single" w:sz="8" w:space="0" w:color="auto"/>
              <w:right w:val="single" w:sz="8" w:space="0" w:color="auto"/>
            </w:tcBorders>
            <w:shd w:val="clear" w:color="auto" w:fill="auto"/>
            <w:noWrap/>
            <w:vAlign w:val="center"/>
            <w:hideMark/>
          </w:tcPr>
          <w:p w14:paraId="7EF07103"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w:t>
            </w:r>
          </w:p>
        </w:tc>
        <w:tc>
          <w:tcPr>
            <w:tcW w:w="265" w:type="pct"/>
            <w:tcBorders>
              <w:top w:val="nil"/>
              <w:left w:val="nil"/>
              <w:bottom w:val="single" w:sz="8" w:space="0" w:color="auto"/>
              <w:right w:val="single" w:sz="8" w:space="0" w:color="auto"/>
            </w:tcBorders>
            <w:shd w:val="clear" w:color="auto" w:fill="auto"/>
            <w:noWrap/>
            <w:vAlign w:val="center"/>
            <w:hideMark/>
          </w:tcPr>
          <w:p w14:paraId="692C7EDE"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181</w:t>
            </w:r>
          </w:p>
        </w:tc>
        <w:tc>
          <w:tcPr>
            <w:tcW w:w="390" w:type="pct"/>
            <w:tcBorders>
              <w:top w:val="nil"/>
              <w:left w:val="nil"/>
              <w:bottom w:val="single" w:sz="8" w:space="0" w:color="auto"/>
              <w:right w:val="single" w:sz="8" w:space="0" w:color="auto"/>
            </w:tcBorders>
            <w:shd w:val="clear" w:color="auto" w:fill="auto"/>
            <w:noWrap/>
            <w:vAlign w:val="center"/>
            <w:hideMark/>
          </w:tcPr>
          <w:p w14:paraId="6B0BF15F"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w:t>
            </w:r>
          </w:p>
        </w:tc>
        <w:tc>
          <w:tcPr>
            <w:tcW w:w="265" w:type="pct"/>
            <w:tcBorders>
              <w:top w:val="nil"/>
              <w:left w:val="nil"/>
              <w:bottom w:val="single" w:sz="8" w:space="0" w:color="auto"/>
              <w:right w:val="single" w:sz="8" w:space="0" w:color="auto"/>
            </w:tcBorders>
            <w:shd w:val="clear" w:color="auto" w:fill="auto"/>
            <w:noWrap/>
            <w:vAlign w:val="center"/>
            <w:hideMark/>
          </w:tcPr>
          <w:p w14:paraId="4437CAD7"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168</w:t>
            </w:r>
          </w:p>
        </w:tc>
        <w:tc>
          <w:tcPr>
            <w:tcW w:w="390" w:type="pct"/>
            <w:tcBorders>
              <w:top w:val="nil"/>
              <w:left w:val="nil"/>
              <w:bottom w:val="single" w:sz="8" w:space="0" w:color="auto"/>
              <w:right w:val="single" w:sz="8" w:space="0" w:color="auto"/>
            </w:tcBorders>
            <w:shd w:val="clear" w:color="auto" w:fill="auto"/>
            <w:noWrap/>
            <w:vAlign w:val="center"/>
            <w:hideMark/>
          </w:tcPr>
          <w:p w14:paraId="2B6D615D"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w:t>
            </w:r>
          </w:p>
        </w:tc>
        <w:tc>
          <w:tcPr>
            <w:tcW w:w="265" w:type="pct"/>
            <w:tcBorders>
              <w:top w:val="nil"/>
              <w:left w:val="nil"/>
              <w:bottom w:val="single" w:sz="8" w:space="0" w:color="auto"/>
              <w:right w:val="single" w:sz="8" w:space="0" w:color="auto"/>
            </w:tcBorders>
            <w:shd w:val="clear" w:color="auto" w:fill="auto"/>
            <w:noWrap/>
            <w:vAlign w:val="center"/>
            <w:hideMark/>
          </w:tcPr>
          <w:p w14:paraId="1E3CFCA9"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226</w:t>
            </w:r>
          </w:p>
        </w:tc>
        <w:tc>
          <w:tcPr>
            <w:tcW w:w="390" w:type="pct"/>
            <w:tcBorders>
              <w:top w:val="nil"/>
              <w:left w:val="nil"/>
              <w:bottom w:val="single" w:sz="8" w:space="0" w:color="auto"/>
              <w:right w:val="single" w:sz="8" w:space="0" w:color="auto"/>
            </w:tcBorders>
            <w:shd w:val="clear" w:color="auto" w:fill="auto"/>
            <w:noWrap/>
            <w:vAlign w:val="center"/>
            <w:hideMark/>
          </w:tcPr>
          <w:p w14:paraId="24B5AB00"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w:t>
            </w:r>
          </w:p>
        </w:tc>
        <w:tc>
          <w:tcPr>
            <w:tcW w:w="298" w:type="pct"/>
            <w:tcBorders>
              <w:top w:val="nil"/>
              <w:left w:val="nil"/>
              <w:bottom w:val="single" w:sz="8" w:space="0" w:color="auto"/>
              <w:right w:val="single" w:sz="8" w:space="0" w:color="auto"/>
            </w:tcBorders>
            <w:shd w:val="clear" w:color="auto" w:fill="auto"/>
            <w:noWrap/>
            <w:vAlign w:val="center"/>
            <w:hideMark/>
          </w:tcPr>
          <w:p w14:paraId="686DDD0A"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359</w:t>
            </w:r>
          </w:p>
        </w:tc>
        <w:tc>
          <w:tcPr>
            <w:tcW w:w="435" w:type="pct"/>
            <w:tcBorders>
              <w:top w:val="nil"/>
              <w:left w:val="nil"/>
              <w:bottom w:val="single" w:sz="8" w:space="0" w:color="auto"/>
              <w:right w:val="single" w:sz="8" w:space="0" w:color="auto"/>
            </w:tcBorders>
            <w:shd w:val="clear" w:color="auto" w:fill="auto"/>
            <w:noWrap/>
            <w:vAlign w:val="center"/>
            <w:hideMark/>
          </w:tcPr>
          <w:p w14:paraId="59C5B1C2" w14:textId="77777777" w:rsidR="00B8364E" w:rsidRPr="00576FB9" w:rsidRDefault="00B8364E" w:rsidP="009F574A">
            <w:pPr>
              <w:spacing w:after="0" w:line="240" w:lineRule="auto"/>
              <w:jc w:val="center"/>
              <w:rPr>
                <w:rFonts w:ascii="Arial" w:eastAsia="Times New Roman" w:hAnsi="Arial" w:cs="Arial"/>
                <w:b/>
                <w:bCs/>
                <w:color w:val="000000"/>
                <w:sz w:val="16"/>
                <w:szCs w:val="16"/>
                <w:lang w:eastAsia="es-ES"/>
              </w:rPr>
            </w:pPr>
            <w:r w:rsidRPr="00576FB9">
              <w:rPr>
                <w:rFonts w:ascii="Arial" w:eastAsia="Times New Roman" w:hAnsi="Arial" w:cs="Arial"/>
                <w:b/>
                <w:bCs/>
                <w:color w:val="000000"/>
                <w:sz w:val="16"/>
                <w:szCs w:val="16"/>
                <w:lang w:eastAsia="es-ES"/>
              </w:rPr>
              <w:t>100%</w:t>
            </w:r>
          </w:p>
        </w:tc>
      </w:tr>
    </w:tbl>
    <w:p w14:paraId="3057D493" w14:textId="77777777" w:rsidR="00B8364E" w:rsidRPr="00DE4C34" w:rsidRDefault="00B8364E" w:rsidP="00B8364E">
      <w:pPr>
        <w:spacing w:after="240" w:line="276" w:lineRule="auto"/>
        <w:contextualSpacing/>
        <w:jc w:val="both"/>
        <w:rPr>
          <w:rFonts w:ascii="Arial" w:eastAsia="Times New Roman" w:hAnsi="Arial" w:cs="Arial"/>
          <w:bCs/>
          <w:i/>
          <w:iCs/>
          <w:sz w:val="16"/>
          <w:szCs w:val="16"/>
          <w:lang w:eastAsia="es-ES"/>
        </w:rPr>
      </w:pPr>
      <w:bookmarkStart w:id="159" w:name="_Hlk95374214"/>
      <w:r w:rsidRPr="00DE4C34">
        <w:rPr>
          <w:rFonts w:ascii="Arial" w:eastAsia="Times New Roman" w:hAnsi="Arial" w:cs="Arial"/>
          <w:bCs/>
          <w:i/>
          <w:iCs/>
          <w:sz w:val="16"/>
          <w:szCs w:val="16"/>
          <w:lang w:eastAsia="es-ES"/>
        </w:rPr>
        <w:t>* ‘n/a’: No aplica</w:t>
      </w:r>
    </w:p>
    <w:p w14:paraId="3482D954" w14:textId="77777777" w:rsidR="00B8364E" w:rsidRPr="00DE4C34" w:rsidRDefault="00B8364E" w:rsidP="00B8364E">
      <w:pPr>
        <w:spacing w:after="240" w:line="276" w:lineRule="auto"/>
        <w:jc w:val="both"/>
        <w:rPr>
          <w:rFonts w:ascii="Arial" w:eastAsia="Times New Roman" w:hAnsi="Arial" w:cs="Arial"/>
          <w:bCs/>
          <w:i/>
          <w:iCs/>
          <w:sz w:val="16"/>
          <w:szCs w:val="16"/>
          <w:lang w:eastAsia="es-ES"/>
        </w:rPr>
      </w:pPr>
      <w:r w:rsidRPr="00DE4C34">
        <w:rPr>
          <w:rFonts w:ascii="Arial" w:eastAsia="Times New Roman" w:hAnsi="Arial" w:cs="Arial"/>
          <w:bCs/>
          <w:i/>
          <w:iCs/>
          <w:sz w:val="16"/>
          <w:szCs w:val="16"/>
          <w:lang w:eastAsia="es-ES"/>
        </w:rPr>
        <w:t>** Antes de 2021, Medio Ambiente y Urbanismo eran una única categoría</w:t>
      </w:r>
    </w:p>
    <w:bookmarkEnd w:id="159"/>
    <w:p w14:paraId="1AD841C3" w14:textId="0C9C36D9" w:rsidR="00B8364E" w:rsidRPr="00DE4C34" w:rsidRDefault="00B8364E" w:rsidP="00B8364E">
      <w:pPr>
        <w:spacing w:after="240" w:line="276" w:lineRule="auto"/>
        <w:jc w:val="both"/>
        <w:rPr>
          <w:rFonts w:ascii="Arial" w:eastAsia="Times New Roman" w:hAnsi="Arial" w:cs="Arial"/>
          <w:bCs/>
          <w:sz w:val="21"/>
          <w:szCs w:val="21"/>
          <w:lang w:eastAsia="es-ES"/>
        </w:rPr>
      </w:pPr>
      <w:r w:rsidRPr="00DE4C34">
        <w:rPr>
          <w:rFonts w:ascii="Arial" w:eastAsia="Times New Roman" w:hAnsi="Arial" w:cs="Arial"/>
          <w:bCs/>
          <w:sz w:val="21"/>
          <w:szCs w:val="21"/>
          <w:lang w:eastAsia="es-ES"/>
        </w:rPr>
        <w:t>En el año 2021</w:t>
      </w:r>
      <w:r>
        <w:rPr>
          <w:rFonts w:ascii="Arial" w:eastAsia="Times New Roman" w:hAnsi="Arial" w:cs="Arial"/>
          <w:bCs/>
          <w:sz w:val="21"/>
          <w:szCs w:val="21"/>
          <w:lang w:eastAsia="es-ES"/>
        </w:rPr>
        <w:t>,</w:t>
      </w:r>
      <w:r w:rsidRPr="00DE4C34">
        <w:rPr>
          <w:rFonts w:ascii="Arial" w:eastAsia="Times New Roman" w:hAnsi="Arial" w:cs="Arial"/>
          <w:bCs/>
          <w:sz w:val="21"/>
          <w:szCs w:val="21"/>
          <w:lang w:eastAsia="es-ES"/>
        </w:rPr>
        <w:t xml:space="preserve"> se ha ampliado el detalle de materias y el desglose de submaterias, por lo que el seguimiento comparativo por años es más costoso por la ampliación de datos que dan un mayor nivel de detalle, que no permite comparar de manera directa ciertos datos con los años previos por la falta de desglose en dichos ejercicios. Cuando figura la llamada “n/a”</w:t>
      </w:r>
      <w:r>
        <w:rPr>
          <w:rFonts w:ascii="Arial" w:eastAsia="Times New Roman" w:hAnsi="Arial" w:cs="Arial"/>
          <w:bCs/>
          <w:sz w:val="21"/>
          <w:szCs w:val="21"/>
          <w:lang w:eastAsia="es-ES"/>
        </w:rPr>
        <w:t>,</w:t>
      </w:r>
      <w:r w:rsidRPr="00DE4C34">
        <w:rPr>
          <w:rFonts w:ascii="Arial" w:eastAsia="Times New Roman" w:hAnsi="Arial" w:cs="Arial"/>
          <w:bCs/>
          <w:sz w:val="21"/>
          <w:szCs w:val="21"/>
          <w:lang w:eastAsia="es-ES"/>
        </w:rPr>
        <w:t xml:space="preserve"> significa que no aplica por no tener el mismo nivel de desglose en los años precedentes. </w:t>
      </w:r>
    </w:p>
    <w:p w14:paraId="755F8BEF" w14:textId="77777777" w:rsidR="00B8364E" w:rsidRPr="00DE4C34" w:rsidRDefault="00B8364E" w:rsidP="00B8364E">
      <w:pPr>
        <w:spacing w:after="240" w:line="276" w:lineRule="auto"/>
        <w:jc w:val="both"/>
        <w:rPr>
          <w:rFonts w:ascii="Arial" w:eastAsia="Times New Roman" w:hAnsi="Arial" w:cs="Arial"/>
          <w:bCs/>
          <w:sz w:val="21"/>
          <w:szCs w:val="21"/>
          <w:lang w:eastAsia="es-ES"/>
        </w:rPr>
      </w:pPr>
      <w:r w:rsidRPr="00DE4C34">
        <w:rPr>
          <w:rFonts w:ascii="Arial" w:eastAsia="Times New Roman" w:hAnsi="Arial" w:cs="Arial"/>
          <w:bCs/>
          <w:sz w:val="21"/>
          <w:szCs w:val="21"/>
          <w:lang w:eastAsia="es-ES"/>
        </w:rPr>
        <w:t>Se han creado cinco nuevas categorías de materias; conflicto de interés en cargos públicos (CP), conflicto de interés en empleados públicos (EP), políticas públicas, servicios públicos y transparencia. A la vez</w:t>
      </w:r>
      <w:r>
        <w:rPr>
          <w:rFonts w:ascii="Arial" w:eastAsia="Times New Roman" w:hAnsi="Arial" w:cs="Arial"/>
          <w:bCs/>
          <w:sz w:val="21"/>
          <w:szCs w:val="21"/>
          <w:lang w:eastAsia="es-ES"/>
        </w:rPr>
        <w:t>,</w:t>
      </w:r>
      <w:r w:rsidRPr="00DE4C34">
        <w:rPr>
          <w:rFonts w:ascii="Arial" w:eastAsia="Times New Roman" w:hAnsi="Arial" w:cs="Arial"/>
          <w:bCs/>
          <w:sz w:val="21"/>
          <w:szCs w:val="21"/>
          <w:lang w:eastAsia="es-ES"/>
        </w:rPr>
        <w:t xml:space="preserve"> se han desglosado en dos categorías la previa de urbanismo, creando la categoría de medio ambiente y la de urbanismo, que en los años precedentes se agrupaban en una única categoría de urbanismo. Se han creado ocho nuevas subcategorías</w:t>
      </w:r>
      <w:r>
        <w:rPr>
          <w:rFonts w:ascii="Arial" w:eastAsia="Times New Roman" w:hAnsi="Arial" w:cs="Arial"/>
          <w:bCs/>
          <w:sz w:val="21"/>
          <w:szCs w:val="21"/>
          <w:lang w:eastAsia="es-ES"/>
        </w:rPr>
        <w:t>,</w:t>
      </w:r>
      <w:r w:rsidRPr="00DE4C34">
        <w:rPr>
          <w:rFonts w:ascii="Arial" w:eastAsia="Times New Roman" w:hAnsi="Arial" w:cs="Arial"/>
          <w:bCs/>
          <w:sz w:val="21"/>
          <w:szCs w:val="21"/>
          <w:lang w:eastAsia="es-ES"/>
        </w:rPr>
        <w:t xml:space="preserve"> desglosando el detalle de la categoría de subvenciones, y agregando a la categoría de contratación pública, dos nuevas subcategorías, contratos menores y fraccionamiento, por último, a la categoría de Gestión de RRHH se ha añadido una nueva categoría de retribuciones.</w:t>
      </w:r>
    </w:p>
    <w:p w14:paraId="6D885592" w14:textId="77777777" w:rsidR="00B8364E" w:rsidRDefault="00B8364E" w:rsidP="005A7684">
      <w:pPr>
        <w:keepNext/>
        <w:spacing w:after="240" w:line="276" w:lineRule="auto"/>
        <w:jc w:val="both"/>
      </w:pPr>
      <w:r w:rsidRPr="00DE4C34">
        <w:rPr>
          <w:rFonts w:ascii="Arial" w:eastAsia="Times New Roman" w:hAnsi="Arial" w:cs="Arial"/>
          <w:noProof/>
          <w:sz w:val="21"/>
          <w:szCs w:val="21"/>
          <w:lang w:eastAsia="es-ES"/>
        </w:rPr>
        <w:drawing>
          <wp:inline distT="0" distB="0" distL="0" distR="0" wp14:anchorId="6D4170CF" wp14:editId="0291AE23">
            <wp:extent cx="5358047" cy="2524125"/>
            <wp:effectExtent l="0" t="0" r="0" b="0"/>
            <wp:docPr id="71" name="Imagen 7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descr="Gráfico&#10;&#10;Descripción generada automáticamente"/>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5389054" cy="2538732"/>
                    </a:xfrm>
                    <a:prstGeom prst="rect">
                      <a:avLst/>
                    </a:prstGeom>
                    <a:noFill/>
                  </pic:spPr>
                </pic:pic>
              </a:graphicData>
            </a:graphic>
          </wp:inline>
        </w:drawing>
      </w:r>
    </w:p>
    <w:p w14:paraId="2247A4B9" w14:textId="1C3A02D9" w:rsidR="00B8364E" w:rsidRPr="00DE4C34" w:rsidRDefault="00B8364E" w:rsidP="005A7684">
      <w:pPr>
        <w:pStyle w:val="Descripcin"/>
        <w:spacing w:after="240" w:line="276" w:lineRule="auto"/>
        <w:jc w:val="center"/>
        <w:rPr>
          <w:rFonts w:ascii="Arial" w:eastAsia="Times New Roman" w:hAnsi="Arial" w:cs="Arial"/>
          <w:smallCaps w:val="0"/>
          <w:sz w:val="18"/>
          <w:szCs w:val="18"/>
          <w:lang w:eastAsia="es-ES"/>
        </w:rPr>
      </w:pPr>
      <w:bookmarkStart w:id="160" w:name="_Toc95676848"/>
      <w:bookmarkStart w:id="161" w:name="_Toc99099816"/>
      <w:r w:rsidRPr="00E433F5">
        <w:rPr>
          <w:rFonts w:ascii="Arial" w:hAnsi="Arial" w:cs="Arial"/>
          <w:smallCaps w:val="0"/>
          <w:color w:val="9D2235" w:themeColor="accent1"/>
          <w:sz w:val="18"/>
          <w:szCs w:val="18"/>
        </w:rPr>
        <w:t xml:space="preserve">Gráfico </w:t>
      </w:r>
      <w:r w:rsidRPr="00E433F5">
        <w:rPr>
          <w:rFonts w:ascii="Arial" w:hAnsi="Arial" w:cs="Arial"/>
          <w:smallCaps w:val="0"/>
          <w:color w:val="9D2235" w:themeColor="accent1"/>
          <w:sz w:val="18"/>
          <w:szCs w:val="18"/>
        </w:rPr>
        <w:fldChar w:fldCharType="begin" w:fldLock="1"/>
      </w:r>
      <w:r w:rsidRPr="00E433F5">
        <w:rPr>
          <w:rFonts w:ascii="Arial" w:hAnsi="Arial" w:cs="Arial"/>
          <w:smallCaps w:val="0"/>
          <w:color w:val="9D2235" w:themeColor="accent1"/>
          <w:sz w:val="18"/>
          <w:szCs w:val="18"/>
        </w:rPr>
        <w:instrText xml:space="preserve"> SEQ Gráfico \* ARABIC </w:instrText>
      </w:r>
      <w:r w:rsidRPr="00E433F5">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17</w:t>
      </w:r>
      <w:r w:rsidRPr="00E433F5">
        <w:rPr>
          <w:rFonts w:ascii="Arial" w:hAnsi="Arial" w:cs="Arial"/>
          <w:smallCaps w:val="0"/>
          <w:color w:val="9D2235" w:themeColor="accent1"/>
          <w:sz w:val="18"/>
          <w:szCs w:val="18"/>
        </w:rPr>
        <w:fldChar w:fldCharType="end"/>
      </w:r>
      <w:r w:rsidRPr="00E433F5">
        <w:rPr>
          <w:rFonts w:ascii="Arial" w:hAnsi="Arial" w:cs="Arial"/>
          <w:smallCaps w:val="0"/>
          <w:color w:val="9D2235" w:themeColor="accent1"/>
          <w:sz w:val="18"/>
          <w:szCs w:val="18"/>
        </w:rPr>
        <w:t xml:space="preserve">. </w:t>
      </w:r>
      <w:r w:rsidRPr="00E433F5">
        <w:rPr>
          <w:rFonts w:ascii="Arial" w:hAnsi="Arial" w:cs="Arial"/>
          <w:smallCaps w:val="0"/>
          <w:sz w:val="18"/>
          <w:szCs w:val="18"/>
        </w:rPr>
        <w:t>Denuncias presentadas según el ámbito material</w:t>
      </w:r>
      <w:bookmarkEnd w:id="160"/>
      <w:bookmarkEnd w:id="161"/>
    </w:p>
    <w:p w14:paraId="3187093A" w14:textId="77777777" w:rsidR="00B8364E" w:rsidRPr="00DE4C34" w:rsidRDefault="00B8364E" w:rsidP="00B8364E">
      <w:pPr>
        <w:spacing w:after="240" w:line="276" w:lineRule="auto"/>
        <w:jc w:val="both"/>
        <w:rPr>
          <w:rFonts w:ascii="Arial" w:eastAsia="Times New Roman" w:hAnsi="Arial" w:cs="Arial"/>
          <w:sz w:val="21"/>
          <w:szCs w:val="21"/>
          <w:lang w:eastAsia="es-ES"/>
        </w:rPr>
      </w:pPr>
      <w:r w:rsidRPr="00DE4C34">
        <w:rPr>
          <w:rFonts w:ascii="Arial" w:eastAsia="Times New Roman" w:hAnsi="Arial" w:cs="Arial"/>
          <w:sz w:val="21"/>
          <w:szCs w:val="21"/>
          <w:lang w:eastAsia="es-ES"/>
        </w:rPr>
        <w:t>La categoría más importante por ámbito material en el año 2021</w:t>
      </w:r>
      <w:r>
        <w:rPr>
          <w:rFonts w:ascii="Arial" w:eastAsia="Times New Roman" w:hAnsi="Arial" w:cs="Arial"/>
          <w:sz w:val="21"/>
          <w:szCs w:val="21"/>
          <w:lang w:eastAsia="es-ES"/>
        </w:rPr>
        <w:t>,</w:t>
      </w:r>
      <w:r w:rsidRPr="00DE4C34">
        <w:rPr>
          <w:rFonts w:ascii="Arial" w:eastAsia="Times New Roman" w:hAnsi="Arial" w:cs="Arial"/>
          <w:sz w:val="21"/>
          <w:szCs w:val="21"/>
          <w:lang w:eastAsia="es-ES"/>
        </w:rPr>
        <w:t xml:space="preserve"> con mucha diferencia</w:t>
      </w:r>
      <w:r>
        <w:rPr>
          <w:rFonts w:ascii="Arial" w:eastAsia="Times New Roman" w:hAnsi="Arial" w:cs="Arial"/>
          <w:sz w:val="21"/>
          <w:szCs w:val="21"/>
          <w:lang w:eastAsia="es-ES"/>
        </w:rPr>
        <w:t>,</w:t>
      </w:r>
      <w:r w:rsidRPr="00DE4C34">
        <w:rPr>
          <w:rFonts w:ascii="Arial" w:eastAsia="Times New Roman" w:hAnsi="Arial" w:cs="Arial"/>
          <w:sz w:val="21"/>
          <w:szCs w:val="21"/>
          <w:lang w:eastAsia="es-ES"/>
        </w:rPr>
        <w:t xml:space="preserve"> es la gestión de los recursos humanos, representado el 45% del total de las alertas, 161 denuncias. En términos absolutos y relativos gana peso, con un incremento de 17 puntos porcentuales y con 97 denuncias más presentadas respecto al 2020, siendo significativo el nivel de denuncias presentadas sobre el colectivo de la Policía Local. En segundo lugar, se sitúa la materia de contratación pública, que aglutina el 14% de las denuncias, con una reducción en términos porcentuales de 18 puntos, y en términos absolutos se ha minorado en 21 denuncias respecto al año anterior.</w:t>
      </w:r>
    </w:p>
    <w:p w14:paraId="17021953" w14:textId="2479BC81" w:rsidR="00B8364E" w:rsidRPr="00DE4C34" w:rsidRDefault="00B8364E" w:rsidP="00B8364E">
      <w:pPr>
        <w:spacing w:after="240" w:line="276" w:lineRule="auto"/>
        <w:jc w:val="both"/>
        <w:rPr>
          <w:rFonts w:ascii="Arial" w:eastAsia="Times New Roman" w:hAnsi="Arial" w:cs="Arial"/>
          <w:sz w:val="21"/>
          <w:szCs w:val="21"/>
          <w:lang w:eastAsia="es-ES"/>
        </w:rPr>
      </w:pPr>
      <w:r w:rsidRPr="00DE4C34">
        <w:rPr>
          <w:rFonts w:ascii="Arial" w:eastAsia="Times New Roman" w:hAnsi="Arial" w:cs="Arial"/>
          <w:sz w:val="21"/>
          <w:szCs w:val="21"/>
          <w:lang w:eastAsia="es-ES"/>
        </w:rPr>
        <w:t>El resto de las materias poseen unos valores de dispersión en cuanto a su peso relativo</w:t>
      </w:r>
      <w:r>
        <w:rPr>
          <w:rFonts w:ascii="Arial" w:eastAsia="Times New Roman" w:hAnsi="Arial" w:cs="Arial"/>
          <w:sz w:val="21"/>
          <w:szCs w:val="21"/>
          <w:lang w:eastAsia="es-ES"/>
        </w:rPr>
        <w:t>,</w:t>
      </w:r>
      <w:r w:rsidRPr="00DE4C34">
        <w:rPr>
          <w:rFonts w:ascii="Arial" w:eastAsia="Times New Roman" w:hAnsi="Arial" w:cs="Arial"/>
          <w:sz w:val="21"/>
          <w:szCs w:val="21"/>
          <w:lang w:eastAsia="es-ES"/>
        </w:rPr>
        <w:t xml:space="preserve"> entre el 1 y el 7% del total de denuncias, salvo la categoría “Otros”</w:t>
      </w:r>
      <w:r>
        <w:rPr>
          <w:rFonts w:ascii="Arial" w:eastAsia="Times New Roman" w:hAnsi="Arial" w:cs="Arial"/>
          <w:sz w:val="21"/>
          <w:szCs w:val="21"/>
          <w:lang w:eastAsia="es-ES"/>
        </w:rPr>
        <w:t>,</w:t>
      </w:r>
      <w:r w:rsidRPr="00DE4C34">
        <w:rPr>
          <w:rFonts w:ascii="Arial" w:eastAsia="Times New Roman" w:hAnsi="Arial" w:cs="Arial"/>
          <w:sz w:val="21"/>
          <w:szCs w:val="21"/>
          <w:lang w:eastAsia="es-ES"/>
        </w:rPr>
        <w:t xml:space="preserve"> que ha supuesto en 2021 el 16% del total de denuncias presentadas. En dicha categoría</w:t>
      </w:r>
      <w:r>
        <w:rPr>
          <w:rFonts w:ascii="Arial" w:eastAsia="Times New Roman" w:hAnsi="Arial" w:cs="Arial"/>
          <w:sz w:val="21"/>
          <w:szCs w:val="21"/>
          <w:lang w:eastAsia="es-ES"/>
        </w:rPr>
        <w:t>,</w:t>
      </w:r>
      <w:r w:rsidRPr="00DE4C34">
        <w:rPr>
          <w:rFonts w:ascii="Arial" w:eastAsia="Times New Roman" w:hAnsi="Arial" w:cs="Arial"/>
          <w:sz w:val="21"/>
          <w:szCs w:val="21"/>
          <w:lang w:eastAsia="es-ES"/>
        </w:rPr>
        <w:t xml:space="preserve"> se han incluido</w:t>
      </w:r>
      <w:r>
        <w:rPr>
          <w:rFonts w:ascii="Arial" w:eastAsia="Times New Roman" w:hAnsi="Arial" w:cs="Arial"/>
          <w:sz w:val="21"/>
          <w:szCs w:val="21"/>
          <w:lang w:eastAsia="es-ES"/>
        </w:rPr>
        <w:t>,</w:t>
      </w:r>
      <w:r w:rsidRPr="00DE4C34">
        <w:rPr>
          <w:rFonts w:ascii="Arial" w:eastAsia="Times New Roman" w:hAnsi="Arial" w:cs="Arial"/>
          <w:sz w:val="21"/>
          <w:szCs w:val="21"/>
          <w:lang w:eastAsia="es-ES"/>
        </w:rPr>
        <w:t xml:space="preserve"> mayoritariamente</w:t>
      </w:r>
      <w:r>
        <w:rPr>
          <w:rFonts w:ascii="Arial" w:eastAsia="Times New Roman" w:hAnsi="Arial" w:cs="Arial"/>
          <w:sz w:val="21"/>
          <w:szCs w:val="21"/>
          <w:lang w:eastAsia="es-ES"/>
        </w:rPr>
        <w:t>,</w:t>
      </w:r>
      <w:r w:rsidRPr="00DE4C34">
        <w:rPr>
          <w:rFonts w:ascii="Arial" w:eastAsia="Times New Roman" w:hAnsi="Arial" w:cs="Arial"/>
          <w:sz w:val="21"/>
          <w:szCs w:val="21"/>
          <w:lang w:eastAsia="es-ES"/>
        </w:rPr>
        <w:t xml:space="preserve"> denuncias sobre ámbitos de actuación no contemplados en la Ley 11/2016, y relativos a las competencias de otras administraciones públicas</w:t>
      </w:r>
      <w:r>
        <w:rPr>
          <w:rFonts w:ascii="Arial" w:eastAsia="Times New Roman" w:hAnsi="Arial" w:cs="Arial"/>
          <w:sz w:val="21"/>
          <w:szCs w:val="21"/>
          <w:lang w:eastAsia="es-ES"/>
        </w:rPr>
        <w:t>,</w:t>
      </w:r>
      <w:r w:rsidRPr="00DE4C34">
        <w:rPr>
          <w:rFonts w:ascii="Arial" w:eastAsia="Times New Roman" w:hAnsi="Arial" w:cs="Arial"/>
          <w:sz w:val="21"/>
          <w:szCs w:val="21"/>
          <w:lang w:eastAsia="es-ES"/>
        </w:rPr>
        <w:t xml:space="preserve"> asimismo no relacionadas en el ámbito subjetivo de la Agencia tasado en el art. 3 de dicha norma.</w:t>
      </w:r>
    </w:p>
    <w:p w14:paraId="0AC44915" w14:textId="59709A04" w:rsidR="009D6E85" w:rsidRPr="00483E19" w:rsidRDefault="009D6E85" w:rsidP="00AC1A12">
      <w:pPr>
        <w:pStyle w:val="Prrafodelista"/>
        <w:keepNext/>
        <w:numPr>
          <w:ilvl w:val="2"/>
          <w:numId w:val="17"/>
        </w:numPr>
        <w:spacing w:before="360" w:after="240" w:line="276" w:lineRule="auto"/>
        <w:ind w:left="851" w:hanging="930"/>
        <w:jc w:val="both"/>
        <w:outlineLvl w:val="2"/>
        <w:rPr>
          <w:rFonts w:ascii="Arial" w:eastAsia="Times New Roman" w:hAnsi="Arial" w:cs="Arial"/>
          <w:b/>
          <w:bCs/>
          <w:color w:val="9D2235" w:themeColor="accent1"/>
          <w:sz w:val="28"/>
          <w:szCs w:val="28"/>
          <w:lang w:eastAsia="es-ES"/>
        </w:rPr>
      </w:pPr>
      <w:bookmarkStart w:id="162" w:name="_Toc99107014"/>
      <w:r>
        <w:rPr>
          <w:rFonts w:ascii="Arial" w:eastAsia="Times New Roman" w:hAnsi="Arial" w:cs="Arial"/>
          <w:b/>
          <w:bCs/>
          <w:color w:val="9D2235" w:themeColor="accent1"/>
          <w:sz w:val="28"/>
          <w:szCs w:val="28"/>
          <w:lang w:eastAsia="es-ES"/>
        </w:rPr>
        <w:t>Denuncias presentadas según la tipología, condición o naturaleza del comunicante</w:t>
      </w:r>
      <w:bookmarkEnd w:id="162"/>
    </w:p>
    <w:p w14:paraId="4574F13C" w14:textId="77777777" w:rsidR="00B8364E" w:rsidRPr="00136B6D" w:rsidRDefault="00B8364E" w:rsidP="00B8364E">
      <w:pPr>
        <w:spacing w:after="240" w:line="276" w:lineRule="auto"/>
        <w:jc w:val="both"/>
        <w:rPr>
          <w:rFonts w:ascii="Arial" w:eastAsia="Times New Roman" w:hAnsi="Arial" w:cs="Arial"/>
          <w:sz w:val="21"/>
          <w:szCs w:val="21"/>
          <w:lang w:eastAsia="es-ES"/>
        </w:rPr>
      </w:pPr>
      <w:r w:rsidRPr="00136B6D">
        <w:rPr>
          <w:rFonts w:ascii="Arial" w:eastAsia="Times New Roman" w:hAnsi="Arial" w:cs="Arial"/>
          <w:sz w:val="21"/>
          <w:szCs w:val="21"/>
          <w:lang w:eastAsia="es-ES"/>
        </w:rPr>
        <w:t>En el presente apartado</w:t>
      </w:r>
      <w:r>
        <w:rPr>
          <w:rFonts w:ascii="Arial" w:eastAsia="Times New Roman" w:hAnsi="Arial" w:cs="Arial"/>
          <w:sz w:val="21"/>
          <w:szCs w:val="21"/>
          <w:lang w:eastAsia="es-ES"/>
        </w:rPr>
        <w:t>,</w:t>
      </w:r>
      <w:r w:rsidRPr="00136B6D">
        <w:rPr>
          <w:rFonts w:ascii="Arial" w:eastAsia="Times New Roman" w:hAnsi="Arial" w:cs="Arial"/>
          <w:sz w:val="21"/>
          <w:szCs w:val="21"/>
          <w:lang w:eastAsia="es-ES"/>
        </w:rPr>
        <w:t xml:space="preserve"> distingue el volumen de denunciantes que se presentan de manera anónima y el volumen que se realiza mediante identificación nominal. </w:t>
      </w:r>
    </w:p>
    <w:p w14:paraId="32575221" w14:textId="77777777" w:rsidR="00B8364E" w:rsidRPr="00136B6D" w:rsidRDefault="00B8364E" w:rsidP="00B8364E">
      <w:pPr>
        <w:spacing w:after="240" w:line="276" w:lineRule="auto"/>
        <w:jc w:val="both"/>
        <w:rPr>
          <w:rFonts w:ascii="Arial" w:eastAsia="Times New Roman" w:hAnsi="Arial" w:cs="Arial"/>
          <w:sz w:val="21"/>
          <w:szCs w:val="21"/>
          <w:lang w:eastAsia="es-ES"/>
        </w:rPr>
      </w:pPr>
      <w:r w:rsidRPr="00136B6D">
        <w:rPr>
          <w:rFonts w:ascii="Arial" w:eastAsia="Times New Roman" w:hAnsi="Arial" w:cs="Arial"/>
          <w:sz w:val="21"/>
          <w:szCs w:val="21"/>
          <w:lang w:eastAsia="es-ES"/>
        </w:rPr>
        <w:t>Dentro de la categoría de denuncias con identificación nominal, se ha procedido a realizar un desglose en atención al carácter de persona física o jurídica y, dentro de ambos grupos, se ha realizado una subdivisión entre diferentes categorías de especial relevancia, especialmente por la intensidad del nexo que une a cada una de dichas personas con la actividad administrativa denunciada.</w:t>
      </w:r>
    </w:p>
    <w:p w14:paraId="5AF692D4" w14:textId="37F5E049" w:rsidR="00B8364E" w:rsidRPr="00136B6D" w:rsidRDefault="00B8364E" w:rsidP="00B8364E">
      <w:pPr>
        <w:spacing w:after="240" w:line="276" w:lineRule="auto"/>
        <w:jc w:val="both"/>
        <w:rPr>
          <w:rFonts w:ascii="Arial" w:eastAsia="Times New Roman" w:hAnsi="Arial" w:cs="Arial"/>
          <w:sz w:val="21"/>
          <w:szCs w:val="21"/>
          <w:lang w:eastAsia="es-ES"/>
        </w:rPr>
      </w:pPr>
      <w:r w:rsidRPr="00136B6D">
        <w:rPr>
          <w:rFonts w:ascii="Arial" w:eastAsia="Times New Roman" w:hAnsi="Arial" w:cs="Arial"/>
          <w:sz w:val="21"/>
          <w:szCs w:val="21"/>
          <w:lang w:eastAsia="es-ES"/>
        </w:rPr>
        <w:t>La primera sección de la tabla</w:t>
      </w:r>
      <w:r>
        <w:rPr>
          <w:rFonts w:ascii="Arial" w:eastAsia="Times New Roman" w:hAnsi="Arial" w:cs="Arial"/>
          <w:sz w:val="21"/>
          <w:szCs w:val="21"/>
          <w:lang w:eastAsia="es-ES"/>
        </w:rPr>
        <w:t>,</w:t>
      </w:r>
      <w:r w:rsidRPr="00136B6D">
        <w:rPr>
          <w:rFonts w:ascii="Arial" w:eastAsia="Times New Roman" w:hAnsi="Arial" w:cs="Arial"/>
          <w:sz w:val="21"/>
          <w:szCs w:val="21"/>
          <w:lang w:eastAsia="es-ES"/>
        </w:rPr>
        <w:t xml:space="preserve"> que se muestra a continuación</w:t>
      </w:r>
      <w:r>
        <w:rPr>
          <w:rFonts w:ascii="Arial" w:eastAsia="Times New Roman" w:hAnsi="Arial" w:cs="Arial"/>
          <w:sz w:val="21"/>
          <w:szCs w:val="21"/>
          <w:lang w:eastAsia="es-ES"/>
        </w:rPr>
        <w:t>,</w:t>
      </w:r>
      <w:r w:rsidRPr="00136B6D">
        <w:rPr>
          <w:rFonts w:ascii="Arial" w:eastAsia="Times New Roman" w:hAnsi="Arial" w:cs="Arial"/>
          <w:sz w:val="21"/>
          <w:szCs w:val="21"/>
          <w:lang w:eastAsia="es-ES"/>
        </w:rPr>
        <w:t xml:space="preserve"> contempla las categorías correspondientes a personas físicas en general, mientras que la segunda parte de la </w:t>
      </w:r>
      <w:r w:rsidR="005A7684" w:rsidRPr="00136B6D">
        <w:rPr>
          <w:rFonts w:ascii="Arial" w:eastAsia="Times New Roman" w:hAnsi="Arial" w:cs="Arial"/>
          <w:sz w:val="21"/>
          <w:szCs w:val="21"/>
          <w:lang w:eastAsia="es-ES"/>
        </w:rPr>
        <w:t>tabla</w:t>
      </w:r>
      <w:r w:rsidRPr="00136B6D">
        <w:rPr>
          <w:rFonts w:ascii="Arial" w:eastAsia="Times New Roman" w:hAnsi="Arial" w:cs="Arial"/>
          <w:sz w:val="21"/>
          <w:szCs w:val="21"/>
          <w:lang w:eastAsia="es-ES"/>
        </w:rPr>
        <w:t xml:space="preserve"> contempla la clasificación por tipos de entidades con personalidad jurídica, además se incluye el porcentaje de denuncias presentadas de forma anónima.</w:t>
      </w:r>
    </w:p>
    <w:p w14:paraId="406BBCDC" w14:textId="5C4C3B2D" w:rsidR="00B8364E" w:rsidRPr="001A34D9" w:rsidRDefault="00B8364E" w:rsidP="00B8364E">
      <w:pPr>
        <w:pStyle w:val="Descripcin"/>
        <w:keepNext/>
        <w:spacing w:after="120"/>
        <w:rPr>
          <w:rFonts w:ascii="Arial" w:hAnsi="Arial" w:cs="Arial"/>
          <w:smallCaps w:val="0"/>
          <w:sz w:val="18"/>
          <w:szCs w:val="18"/>
        </w:rPr>
      </w:pPr>
      <w:bookmarkStart w:id="163" w:name="_Toc95676801"/>
      <w:bookmarkStart w:id="164" w:name="_Toc99107151"/>
      <w:r w:rsidRPr="001A34D9">
        <w:rPr>
          <w:rFonts w:ascii="Arial" w:hAnsi="Arial" w:cs="Arial"/>
          <w:smallCaps w:val="0"/>
          <w:color w:val="9D2235" w:themeColor="accent1"/>
          <w:sz w:val="18"/>
          <w:szCs w:val="18"/>
        </w:rPr>
        <w:t xml:space="preserve">Tabla </w:t>
      </w:r>
      <w:r w:rsidRPr="001A34D9">
        <w:rPr>
          <w:rFonts w:ascii="Arial" w:hAnsi="Arial" w:cs="Arial"/>
          <w:smallCaps w:val="0"/>
          <w:color w:val="9D2235" w:themeColor="accent1"/>
          <w:sz w:val="18"/>
          <w:szCs w:val="18"/>
        </w:rPr>
        <w:fldChar w:fldCharType="begin" w:fldLock="1"/>
      </w:r>
      <w:r w:rsidRPr="001A34D9">
        <w:rPr>
          <w:rFonts w:ascii="Arial" w:hAnsi="Arial" w:cs="Arial"/>
          <w:smallCaps w:val="0"/>
          <w:color w:val="9D2235" w:themeColor="accent1"/>
          <w:sz w:val="18"/>
          <w:szCs w:val="18"/>
        </w:rPr>
        <w:instrText xml:space="preserve"> SEQ Tabla \* ARABIC </w:instrText>
      </w:r>
      <w:r w:rsidRPr="001A34D9">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13</w:t>
      </w:r>
      <w:r w:rsidRPr="001A34D9">
        <w:rPr>
          <w:rFonts w:ascii="Arial" w:hAnsi="Arial" w:cs="Arial"/>
          <w:smallCaps w:val="0"/>
          <w:color w:val="9D2235" w:themeColor="accent1"/>
          <w:sz w:val="18"/>
          <w:szCs w:val="18"/>
        </w:rPr>
        <w:fldChar w:fldCharType="end"/>
      </w:r>
      <w:r w:rsidRPr="001A34D9">
        <w:rPr>
          <w:rFonts w:ascii="Arial" w:hAnsi="Arial" w:cs="Arial"/>
          <w:smallCaps w:val="0"/>
          <w:color w:val="9D2235" w:themeColor="accent1"/>
          <w:sz w:val="18"/>
          <w:szCs w:val="18"/>
        </w:rPr>
        <w:t xml:space="preserve">. </w:t>
      </w:r>
      <w:r w:rsidRPr="001A34D9">
        <w:rPr>
          <w:rFonts w:ascii="Arial" w:hAnsi="Arial" w:cs="Arial"/>
          <w:smallCaps w:val="0"/>
          <w:sz w:val="18"/>
          <w:szCs w:val="18"/>
        </w:rPr>
        <w:t>Denuncias presentadas según la tipología, condición o naturaleza del comunicante</w:t>
      </w:r>
      <w:bookmarkEnd w:id="163"/>
      <w:bookmarkEnd w:id="164"/>
    </w:p>
    <w:tbl>
      <w:tblPr>
        <w:tblW w:w="8448" w:type="dxa"/>
        <w:tblInd w:w="-10" w:type="dxa"/>
        <w:tblLayout w:type="fixed"/>
        <w:tblCellMar>
          <w:left w:w="70" w:type="dxa"/>
          <w:right w:w="70" w:type="dxa"/>
        </w:tblCellMar>
        <w:tblLook w:val="04A0" w:firstRow="1" w:lastRow="0" w:firstColumn="1" w:lastColumn="0" w:noHBand="0" w:noVBand="1"/>
      </w:tblPr>
      <w:tblGrid>
        <w:gridCol w:w="1560"/>
        <w:gridCol w:w="496"/>
        <w:gridCol w:w="772"/>
        <w:gridCol w:w="496"/>
        <w:gridCol w:w="772"/>
        <w:gridCol w:w="496"/>
        <w:gridCol w:w="772"/>
        <w:gridCol w:w="496"/>
        <w:gridCol w:w="772"/>
        <w:gridCol w:w="496"/>
        <w:gridCol w:w="772"/>
        <w:gridCol w:w="548"/>
      </w:tblGrid>
      <w:tr w:rsidR="00B8364E" w:rsidRPr="00670EC9" w14:paraId="76E26B65" w14:textId="77777777" w:rsidTr="009F574A">
        <w:trPr>
          <w:trHeight w:val="300"/>
          <w:tblHeader/>
        </w:trPr>
        <w:tc>
          <w:tcPr>
            <w:tcW w:w="1560" w:type="dxa"/>
            <w:tcBorders>
              <w:top w:val="single" w:sz="8" w:space="0" w:color="auto"/>
              <w:left w:val="single" w:sz="8" w:space="0" w:color="auto"/>
              <w:bottom w:val="single" w:sz="4" w:space="0" w:color="auto"/>
              <w:right w:val="single" w:sz="4" w:space="0" w:color="auto"/>
            </w:tcBorders>
            <w:shd w:val="clear" w:color="000000" w:fill="B6A39A"/>
            <w:noWrap/>
            <w:vAlign w:val="center"/>
            <w:hideMark/>
          </w:tcPr>
          <w:p w14:paraId="003928B4" w14:textId="77777777" w:rsidR="00B8364E" w:rsidRPr="00670EC9" w:rsidRDefault="00B8364E" w:rsidP="009F574A">
            <w:pPr>
              <w:spacing w:after="0" w:line="240" w:lineRule="auto"/>
              <w:rPr>
                <w:rFonts w:ascii="Arial" w:eastAsia="Times New Roman" w:hAnsi="Arial" w:cs="Arial"/>
                <w:b/>
                <w:bCs/>
                <w:color w:val="000000"/>
                <w:sz w:val="16"/>
                <w:szCs w:val="16"/>
                <w:lang w:eastAsia="es-ES"/>
              </w:rPr>
            </w:pPr>
            <w:bookmarkStart w:id="165" w:name="_Hlk95676027"/>
            <w:r w:rsidRPr="00670EC9">
              <w:rPr>
                <w:rFonts w:ascii="Arial" w:eastAsia="Times New Roman" w:hAnsi="Arial" w:cs="Arial"/>
                <w:b/>
                <w:bCs/>
                <w:color w:val="000000"/>
                <w:sz w:val="16"/>
                <w:szCs w:val="16"/>
                <w:lang w:eastAsia="es-ES"/>
              </w:rPr>
              <w:t> </w:t>
            </w:r>
          </w:p>
        </w:tc>
        <w:tc>
          <w:tcPr>
            <w:tcW w:w="496" w:type="dxa"/>
            <w:tcBorders>
              <w:top w:val="single" w:sz="8" w:space="0" w:color="auto"/>
              <w:left w:val="nil"/>
              <w:bottom w:val="single" w:sz="4" w:space="0" w:color="auto"/>
              <w:right w:val="single" w:sz="4" w:space="0" w:color="auto"/>
            </w:tcBorders>
            <w:shd w:val="clear" w:color="000000" w:fill="B6A39A"/>
            <w:noWrap/>
            <w:vAlign w:val="bottom"/>
            <w:hideMark/>
          </w:tcPr>
          <w:p w14:paraId="2BDB40A2"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2017</w:t>
            </w:r>
          </w:p>
        </w:tc>
        <w:tc>
          <w:tcPr>
            <w:tcW w:w="772" w:type="dxa"/>
            <w:tcBorders>
              <w:top w:val="single" w:sz="8" w:space="0" w:color="auto"/>
              <w:left w:val="nil"/>
              <w:bottom w:val="single" w:sz="4" w:space="0" w:color="auto"/>
              <w:right w:val="single" w:sz="4" w:space="0" w:color="auto"/>
            </w:tcBorders>
            <w:shd w:val="clear" w:color="000000" w:fill="B6A39A"/>
            <w:noWrap/>
            <w:vAlign w:val="bottom"/>
            <w:hideMark/>
          </w:tcPr>
          <w:p w14:paraId="154B4605"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w:t>
            </w:r>
          </w:p>
        </w:tc>
        <w:tc>
          <w:tcPr>
            <w:tcW w:w="496" w:type="dxa"/>
            <w:tcBorders>
              <w:top w:val="single" w:sz="8" w:space="0" w:color="auto"/>
              <w:left w:val="nil"/>
              <w:bottom w:val="single" w:sz="4" w:space="0" w:color="auto"/>
              <w:right w:val="single" w:sz="4" w:space="0" w:color="auto"/>
            </w:tcBorders>
            <w:shd w:val="clear" w:color="000000" w:fill="B6A39A"/>
            <w:noWrap/>
            <w:vAlign w:val="bottom"/>
            <w:hideMark/>
          </w:tcPr>
          <w:p w14:paraId="03C9F467"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2018</w:t>
            </w:r>
          </w:p>
        </w:tc>
        <w:tc>
          <w:tcPr>
            <w:tcW w:w="772" w:type="dxa"/>
            <w:tcBorders>
              <w:top w:val="single" w:sz="8" w:space="0" w:color="auto"/>
              <w:left w:val="nil"/>
              <w:bottom w:val="single" w:sz="4" w:space="0" w:color="auto"/>
              <w:right w:val="single" w:sz="4" w:space="0" w:color="auto"/>
            </w:tcBorders>
            <w:shd w:val="clear" w:color="000000" w:fill="B6A39A"/>
            <w:noWrap/>
            <w:vAlign w:val="bottom"/>
            <w:hideMark/>
          </w:tcPr>
          <w:p w14:paraId="75B1CAF0"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w:t>
            </w:r>
          </w:p>
        </w:tc>
        <w:tc>
          <w:tcPr>
            <w:tcW w:w="496" w:type="dxa"/>
            <w:tcBorders>
              <w:top w:val="single" w:sz="8" w:space="0" w:color="auto"/>
              <w:left w:val="nil"/>
              <w:bottom w:val="single" w:sz="4" w:space="0" w:color="auto"/>
              <w:right w:val="single" w:sz="4" w:space="0" w:color="auto"/>
            </w:tcBorders>
            <w:shd w:val="clear" w:color="000000" w:fill="B6A39A"/>
            <w:noWrap/>
            <w:vAlign w:val="bottom"/>
            <w:hideMark/>
          </w:tcPr>
          <w:p w14:paraId="40C349E1"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2019</w:t>
            </w:r>
          </w:p>
        </w:tc>
        <w:tc>
          <w:tcPr>
            <w:tcW w:w="772" w:type="dxa"/>
            <w:tcBorders>
              <w:top w:val="single" w:sz="8" w:space="0" w:color="auto"/>
              <w:left w:val="nil"/>
              <w:bottom w:val="single" w:sz="4" w:space="0" w:color="auto"/>
              <w:right w:val="single" w:sz="4" w:space="0" w:color="auto"/>
            </w:tcBorders>
            <w:shd w:val="clear" w:color="000000" w:fill="B6A39A"/>
            <w:noWrap/>
            <w:vAlign w:val="bottom"/>
            <w:hideMark/>
          </w:tcPr>
          <w:p w14:paraId="1EF61DC6"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w:t>
            </w:r>
          </w:p>
        </w:tc>
        <w:tc>
          <w:tcPr>
            <w:tcW w:w="496" w:type="dxa"/>
            <w:tcBorders>
              <w:top w:val="single" w:sz="8" w:space="0" w:color="auto"/>
              <w:left w:val="nil"/>
              <w:bottom w:val="single" w:sz="4" w:space="0" w:color="auto"/>
              <w:right w:val="single" w:sz="4" w:space="0" w:color="auto"/>
            </w:tcBorders>
            <w:shd w:val="clear" w:color="000000" w:fill="B6A39A"/>
            <w:noWrap/>
            <w:vAlign w:val="bottom"/>
            <w:hideMark/>
          </w:tcPr>
          <w:p w14:paraId="62E0F105"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2020</w:t>
            </w:r>
          </w:p>
        </w:tc>
        <w:tc>
          <w:tcPr>
            <w:tcW w:w="772" w:type="dxa"/>
            <w:tcBorders>
              <w:top w:val="single" w:sz="8" w:space="0" w:color="auto"/>
              <w:left w:val="nil"/>
              <w:bottom w:val="single" w:sz="4" w:space="0" w:color="auto"/>
              <w:right w:val="nil"/>
            </w:tcBorders>
            <w:shd w:val="clear" w:color="000000" w:fill="B6A39A"/>
            <w:noWrap/>
            <w:vAlign w:val="bottom"/>
            <w:hideMark/>
          </w:tcPr>
          <w:p w14:paraId="6A8B4094"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w:t>
            </w:r>
          </w:p>
        </w:tc>
        <w:tc>
          <w:tcPr>
            <w:tcW w:w="496" w:type="dxa"/>
            <w:tcBorders>
              <w:top w:val="single" w:sz="8" w:space="0" w:color="auto"/>
              <w:left w:val="single" w:sz="4" w:space="0" w:color="auto"/>
              <w:bottom w:val="single" w:sz="4" w:space="0" w:color="auto"/>
              <w:right w:val="single" w:sz="4" w:space="0" w:color="auto"/>
            </w:tcBorders>
            <w:shd w:val="clear" w:color="000000" w:fill="B6A39A"/>
            <w:noWrap/>
            <w:vAlign w:val="bottom"/>
            <w:hideMark/>
          </w:tcPr>
          <w:p w14:paraId="7B395FF4"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2021</w:t>
            </w:r>
          </w:p>
        </w:tc>
        <w:tc>
          <w:tcPr>
            <w:tcW w:w="772" w:type="dxa"/>
            <w:tcBorders>
              <w:top w:val="single" w:sz="8" w:space="0" w:color="auto"/>
              <w:left w:val="nil"/>
              <w:bottom w:val="single" w:sz="4" w:space="0" w:color="auto"/>
              <w:right w:val="single" w:sz="4" w:space="0" w:color="auto"/>
            </w:tcBorders>
            <w:shd w:val="clear" w:color="000000" w:fill="B6A39A"/>
            <w:noWrap/>
            <w:vAlign w:val="bottom"/>
            <w:hideMark/>
          </w:tcPr>
          <w:p w14:paraId="63230CF3"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w:t>
            </w:r>
          </w:p>
        </w:tc>
        <w:tc>
          <w:tcPr>
            <w:tcW w:w="548" w:type="dxa"/>
            <w:tcBorders>
              <w:top w:val="single" w:sz="8" w:space="0" w:color="auto"/>
              <w:left w:val="nil"/>
              <w:bottom w:val="single" w:sz="4" w:space="0" w:color="auto"/>
              <w:right w:val="single" w:sz="8" w:space="0" w:color="auto"/>
            </w:tcBorders>
            <w:shd w:val="clear" w:color="000000" w:fill="B6A39A"/>
            <w:noWrap/>
            <w:vAlign w:val="bottom"/>
            <w:hideMark/>
          </w:tcPr>
          <w:p w14:paraId="52B4A31D"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TOTAL</w:t>
            </w:r>
          </w:p>
        </w:tc>
      </w:tr>
      <w:bookmarkEnd w:id="165"/>
      <w:tr w:rsidR="00B8364E" w:rsidRPr="00670EC9" w14:paraId="328D6933" w14:textId="77777777" w:rsidTr="009F574A">
        <w:trPr>
          <w:trHeight w:val="300"/>
        </w:trPr>
        <w:tc>
          <w:tcPr>
            <w:tcW w:w="1560" w:type="dxa"/>
            <w:tcBorders>
              <w:top w:val="nil"/>
              <w:left w:val="single" w:sz="8" w:space="0" w:color="auto"/>
              <w:bottom w:val="single" w:sz="4" w:space="0" w:color="auto"/>
              <w:right w:val="single" w:sz="4" w:space="0" w:color="auto"/>
            </w:tcBorders>
            <w:shd w:val="clear" w:color="000000" w:fill="D1C6C0"/>
            <w:noWrap/>
            <w:vAlign w:val="bottom"/>
            <w:hideMark/>
          </w:tcPr>
          <w:p w14:paraId="673EF60E" w14:textId="77777777" w:rsidR="00B8364E" w:rsidRPr="00670EC9" w:rsidRDefault="00B8364E" w:rsidP="009F574A">
            <w:pPr>
              <w:spacing w:after="0" w:line="240" w:lineRule="auto"/>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Persona física</w:t>
            </w:r>
          </w:p>
        </w:tc>
        <w:tc>
          <w:tcPr>
            <w:tcW w:w="496" w:type="dxa"/>
            <w:tcBorders>
              <w:top w:val="nil"/>
              <w:left w:val="nil"/>
              <w:bottom w:val="single" w:sz="4" w:space="0" w:color="auto"/>
              <w:right w:val="single" w:sz="4" w:space="0" w:color="auto"/>
            </w:tcBorders>
            <w:shd w:val="clear" w:color="000000" w:fill="D1C6C0"/>
            <w:noWrap/>
            <w:vAlign w:val="bottom"/>
            <w:hideMark/>
          </w:tcPr>
          <w:p w14:paraId="7572545E"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30</w:t>
            </w:r>
          </w:p>
        </w:tc>
        <w:tc>
          <w:tcPr>
            <w:tcW w:w="772" w:type="dxa"/>
            <w:tcBorders>
              <w:top w:val="nil"/>
              <w:left w:val="nil"/>
              <w:bottom w:val="single" w:sz="4" w:space="0" w:color="auto"/>
              <w:right w:val="single" w:sz="4" w:space="0" w:color="auto"/>
            </w:tcBorders>
            <w:shd w:val="clear" w:color="000000" w:fill="D1C6C0"/>
            <w:noWrap/>
            <w:vAlign w:val="bottom"/>
            <w:hideMark/>
          </w:tcPr>
          <w:p w14:paraId="3E1B9FD2"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85,71%</w:t>
            </w:r>
          </w:p>
        </w:tc>
        <w:tc>
          <w:tcPr>
            <w:tcW w:w="496" w:type="dxa"/>
            <w:tcBorders>
              <w:top w:val="nil"/>
              <w:left w:val="nil"/>
              <w:bottom w:val="single" w:sz="4" w:space="0" w:color="auto"/>
              <w:right w:val="single" w:sz="4" w:space="0" w:color="auto"/>
            </w:tcBorders>
            <w:shd w:val="clear" w:color="000000" w:fill="D1C6C0"/>
            <w:noWrap/>
            <w:vAlign w:val="bottom"/>
            <w:hideMark/>
          </w:tcPr>
          <w:p w14:paraId="44CF16ED"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75</w:t>
            </w:r>
          </w:p>
        </w:tc>
        <w:tc>
          <w:tcPr>
            <w:tcW w:w="772" w:type="dxa"/>
            <w:tcBorders>
              <w:top w:val="nil"/>
              <w:left w:val="nil"/>
              <w:bottom w:val="single" w:sz="4" w:space="0" w:color="auto"/>
              <w:right w:val="single" w:sz="4" w:space="0" w:color="auto"/>
            </w:tcBorders>
            <w:shd w:val="clear" w:color="000000" w:fill="D1C6C0"/>
            <w:noWrap/>
            <w:vAlign w:val="bottom"/>
            <w:hideMark/>
          </w:tcPr>
          <w:p w14:paraId="57AF618E"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41,44%</w:t>
            </w:r>
          </w:p>
        </w:tc>
        <w:tc>
          <w:tcPr>
            <w:tcW w:w="496" w:type="dxa"/>
            <w:tcBorders>
              <w:top w:val="nil"/>
              <w:left w:val="nil"/>
              <w:bottom w:val="single" w:sz="4" w:space="0" w:color="auto"/>
              <w:right w:val="single" w:sz="4" w:space="0" w:color="auto"/>
            </w:tcBorders>
            <w:shd w:val="clear" w:color="000000" w:fill="D1C6C0"/>
            <w:noWrap/>
            <w:vAlign w:val="bottom"/>
            <w:hideMark/>
          </w:tcPr>
          <w:p w14:paraId="7E3E6E28"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74</w:t>
            </w:r>
          </w:p>
        </w:tc>
        <w:tc>
          <w:tcPr>
            <w:tcW w:w="772" w:type="dxa"/>
            <w:tcBorders>
              <w:top w:val="nil"/>
              <w:left w:val="nil"/>
              <w:bottom w:val="single" w:sz="4" w:space="0" w:color="auto"/>
              <w:right w:val="single" w:sz="4" w:space="0" w:color="auto"/>
            </w:tcBorders>
            <w:shd w:val="clear" w:color="000000" w:fill="D1C6C0"/>
            <w:noWrap/>
            <w:vAlign w:val="bottom"/>
            <w:hideMark/>
          </w:tcPr>
          <w:p w14:paraId="3C14F21D"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44,05%</w:t>
            </w:r>
          </w:p>
        </w:tc>
        <w:tc>
          <w:tcPr>
            <w:tcW w:w="496" w:type="dxa"/>
            <w:tcBorders>
              <w:top w:val="nil"/>
              <w:left w:val="nil"/>
              <w:bottom w:val="single" w:sz="4" w:space="0" w:color="auto"/>
              <w:right w:val="single" w:sz="4" w:space="0" w:color="auto"/>
            </w:tcBorders>
            <w:shd w:val="clear" w:color="000000" w:fill="D1C6C0"/>
            <w:noWrap/>
            <w:vAlign w:val="bottom"/>
            <w:hideMark/>
          </w:tcPr>
          <w:p w14:paraId="0A990680"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120</w:t>
            </w:r>
          </w:p>
        </w:tc>
        <w:tc>
          <w:tcPr>
            <w:tcW w:w="772" w:type="dxa"/>
            <w:tcBorders>
              <w:top w:val="nil"/>
              <w:left w:val="nil"/>
              <w:bottom w:val="single" w:sz="4" w:space="0" w:color="auto"/>
              <w:right w:val="nil"/>
            </w:tcBorders>
            <w:shd w:val="clear" w:color="000000" w:fill="D1C6C0"/>
            <w:noWrap/>
            <w:vAlign w:val="bottom"/>
            <w:hideMark/>
          </w:tcPr>
          <w:p w14:paraId="2B9B0650"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53,10%</w:t>
            </w:r>
          </w:p>
        </w:tc>
        <w:tc>
          <w:tcPr>
            <w:tcW w:w="496" w:type="dxa"/>
            <w:tcBorders>
              <w:top w:val="nil"/>
              <w:left w:val="single" w:sz="4" w:space="0" w:color="auto"/>
              <w:bottom w:val="single" w:sz="4" w:space="0" w:color="auto"/>
              <w:right w:val="single" w:sz="4" w:space="0" w:color="auto"/>
            </w:tcBorders>
            <w:shd w:val="clear" w:color="000000" w:fill="D1C6C0"/>
            <w:noWrap/>
            <w:vAlign w:val="bottom"/>
            <w:hideMark/>
          </w:tcPr>
          <w:p w14:paraId="754DEC2C"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142</w:t>
            </w:r>
          </w:p>
        </w:tc>
        <w:tc>
          <w:tcPr>
            <w:tcW w:w="772" w:type="dxa"/>
            <w:tcBorders>
              <w:top w:val="nil"/>
              <w:left w:val="nil"/>
              <w:bottom w:val="single" w:sz="4" w:space="0" w:color="auto"/>
              <w:right w:val="single" w:sz="4" w:space="0" w:color="auto"/>
            </w:tcBorders>
            <w:shd w:val="clear" w:color="000000" w:fill="D1C6C0"/>
            <w:noWrap/>
            <w:vAlign w:val="bottom"/>
            <w:hideMark/>
          </w:tcPr>
          <w:p w14:paraId="496A4E44"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39,55%</w:t>
            </w:r>
          </w:p>
        </w:tc>
        <w:tc>
          <w:tcPr>
            <w:tcW w:w="548" w:type="dxa"/>
            <w:tcBorders>
              <w:top w:val="nil"/>
              <w:left w:val="nil"/>
              <w:bottom w:val="single" w:sz="4" w:space="0" w:color="auto"/>
              <w:right w:val="single" w:sz="8" w:space="0" w:color="auto"/>
            </w:tcBorders>
            <w:shd w:val="clear" w:color="000000" w:fill="D1C6C0"/>
            <w:noWrap/>
            <w:vAlign w:val="bottom"/>
            <w:hideMark/>
          </w:tcPr>
          <w:p w14:paraId="0E497154"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441</w:t>
            </w:r>
          </w:p>
        </w:tc>
      </w:tr>
      <w:tr w:rsidR="00B8364E" w:rsidRPr="00670EC9" w14:paraId="24892703" w14:textId="77777777" w:rsidTr="009F574A">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7609A084" w14:textId="77777777" w:rsidR="00B8364E" w:rsidRPr="00670EC9" w:rsidRDefault="00B8364E" w:rsidP="009F574A">
            <w:pPr>
              <w:spacing w:after="0" w:line="240" w:lineRule="auto"/>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Cargo político</w:t>
            </w:r>
          </w:p>
        </w:tc>
        <w:tc>
          <w:tcPr>
            <w:tcW w:w="496" w:type="dxa"/>
            <w:tcBorders>
              <w:top w:val="nil"/>
              <w:left w:val="nil"/>
              <w:bottom w:val="single" w:sz="4" w:space="0" w:color="auto"/>
              <w:right w:val="single" w:sz="4" w:space="0" w:color="auto"/>
            </w:tcBorders>
            <w:shd w:val="clear" w:color="auto" w:fill="auto"/>
            <w:noWrap/>
            <w:vAlign w:val="bottom"/>
            <w:hideMark/>
          </w:tcPr>
          <w:p w14:paraId="6A5FE3BB"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w:t>
            </w:r>
          </w:p>
        </w:tc>
        <w:tc>
          <w:tcPr>
            <w:tcW w:w="772" w:type="dxa"/>
            <w:tcBorders>
              <w:top w:val="nil"/>
              <w:left w:val="nil"/>
              <w:bottom w:val="single" w:sz="4" w:space="0" w:color="auto"/>
              <w:right w:val="single" w:sz="4" w:space="0" w:color="auto"/>
            </w:tcBorders>
            <w:shd w:val="clear" w:color="auto" w:fill="auto"/>
            <w:noWrap/>
            <w:vAlign w:val="bottom"/>
            <w:hideMark/>
          </w:tcPr>
          <w:p w14:paraId="7BB07FD4"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5,71%</w:t>
            </w:r>
          </w:p>
        </w:tc>
        <w:tc>
          <w:tcPr>
            <w:tcW w:w="496" w:type="dxa"/>
            <w:tcBorders>
              <w:top w:val="nil"/>
              <w:left w:val="nil"/>
              <w:bottom w:val="single" w:sz="4" w:space="0" w:color="auto"/>
              <w:right w:val="single" w:sz="4" w:space="0" w:color="auto"/>
            </w:tcBorders>
            <w:shd w:val="clear" w:color="auto" w:fill="auto"/>
            <w:noWrap/>
            <w:vAlign w:val="bottom"/>
            <w:hideMark/>
          </w:tcPr>
          <w:p w14:paraId="3D24F4BB"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18</w:t>
            </w:r>
          </w:p>
        </w:tc>
        <w:tc>
          <w:tcPr>
            <w:tcW w:w="772" w:type="dxa"/>
            <w:tcBorders>
              <w:top w:val="nil"/>
              <w:left w:val="nil"/>
              <w:bottom w:val="single" w:sz="4" w:space="0" w:color="auto"/>
              <w:right w:val="single" w:sz="4" w:space="0" w:color="auto"/>
            </w:tcBorders>
            <w:shd w:val="clear" w:color="auto" w:fill="auto"/>
            <w:noWrap/>
            <w:vAlign w:val="bottom"/>
            <w:hideMark/>
          </w:tcPr>
          <w:p w14:paraId="4DCD8891"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9,94%</w:t>
            </w:r>
          </w:p>
        </w:tc>
        <w:tc>
          <w:tcPr>
            <w:tcW w:w="496" w:type="dxa"/>
            <w:tcBorders>
              <w:top w:val="nil"/>
              <w:left w:val="nil"/>
              <w:bottom w:val="single" w:sz="4" w:space="0" w:color="auto"/>
              <w:right w:val="single" w:sz="4" w:space="0" w:color="auto"/>
            </w:tcBorders>
            <w:shd w:val="clear" w:color="auto" w:fill="auto"/>
            <w:noWrap/>
            <w:vAlign w:val="bottom"/>
            <w:hideMark/>
          </w:tcPr>
          <w:p w14:paraId="60FD0C53"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11</w:t>
            </w:r>
          </w:p>
        </w:tc>
        <w:tc>
          <w:tcPr>
            <w:tcW w:w="772" w:type="dxa"/>
            <w:tcBorders>
              <w:top w:val="nil"/>
              <w:left w:val="nil"/>
              <w:bottom w:val="single" w:sz="4" w:space="0" w:color="auto"/>
              <w:right w:val="single" w:sz="4" w:space="0" w:color="auto"/>
            </w:tcBorders>
            <w:shd w:val="clear" w:color="auto" w:fill="auto"/>
            <w:noWrap/>
            <w:vAlign w:val="bottom"/>
            <w:hideMark/>
          </w:tcPr>
          <w:p w14:paraId="66CEAA56"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6,55%</w:t>
            </w:r>
          </w:p>
        </w:tc>
        <w:tc>
          <w:tcPr>
            <w:tcW w:w="496" w:type="dxa"/>
            <w:tcBorders>
              <w:top w:val="nil"/>
              <w:left w:val="nil"/>
              <w:bottom w:val="single" w:sz="4" w:space="0" w:color="auto"/>
              <w:right w:val="single" w:sz="4" w:space="0" w:color="auto"/>
            </w:tcBorders>
            <w:shd w:val="clear" w:color="auto" w:fill="auto"/>
            <w:noWrap/>
            <w:vAlign w:val="bottom"/>
            <w:hideMark/>
          </w:tcPr>
          <w:p w14:paraId="21698B72"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13</w:t>
            </w:r>
          </w:p>
        </w:tc>
        <w:tc>
          <w:tcPr>
            <w:tcW w:w="772" w:type="dxa"/>
            <w:tcBorders>
              <w:top w:val="nil"/>
              <w:left w:val="nil"/>
              <w:bottom w:val="single" w:sz="4" w:space="0" w:color="auto"/>
              <w:right w:val="nil"/>
            </w:tcBorders>
            <w:shd w:val="clear" w:color="auto" w:fill="auto"/>
            <w:noWrap/>
            <w:vAlign w:val="bottom"/>
            <w:hideMark/>
          </w:tcPr>
          <w:p w14:paraId="691764F6"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5,75%</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41891552"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23</w:t>
            </w:r>
          </w:p>
        </w:tc>
        <w:tc>
          <w:tcPr>
            <w:tcW w:w="772" w:type="dxa"/>
            <w:tcBorders>
              <w:top w:val="nil"/>
              <w:left w:val="nil"/>
              <w:bottom w:val="single" w:sz="4" w:space="0" w:color="auto"/>
              <w:right w:val="single" w:sz="4" w:space="0" w:color="auto"/>
            </w:tcBorders>
            <w:shd w:val="clear" w:color="auto" w:fill="auto"/>
            <w:noWrap/>
            <w:vAlign w:val="bottom"/>
            <w:hideMark/>
          </w:tcPr>
          <w:p w14:paraId="4303D078"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6,41%</w:t>
            </w:r>
          </w:p>
        </w:tc>
        <w:tc>
          <w:tcPr>
            <w:tcW w:w="548" w:type="dxa"/>
            <w:tcBorders>
              <w:top w:val="nil"/>
              <w:left w:val="nil"/>
              <w:bottom w:val="single" w:sz="4" w:space="0" w:color="auto"/>
              <w:right w:val="single" w:sz="8" w:space="0" w:color="auto"/>
            </w:tcBorders>
            <w:shd w:val="clear" w:color="auto" w:fill="auto"/>
            <w:noWrap/>
            <w:vAlign w:val="bottom"/>
            <w:hideMark/>
          </w:tcPr>
          <w:p w14:paraId="046151BB"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67</w:t>
            </w:r>
          </w:p>
        </w:tc>
      </w:tr>
      <w:tr w:rsidR="00B8364E" w:rsidRPr="00670EC9" w14:paraId="5B16FE00" w14:textId="77777777" w:rsidTr="009F574A">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3CAA5AC8" w14:textId="77777777" w:rsidR="00B8364E" w:rsidRPr="00670EC9" w:rsidRDefault="00B8364E" w:rsidP="009F574A">
            <w:pPr>
              <w:spacing w:after="0" w:line="240" w:lineRule="auto"/>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Empleado público</w:t>
            </w:r>
          </w:p>
        </w:tc>
        <w:tc>
          <w:tcPr>
            <w:tcW w:w="496" w:type="dxa"/>
            <w:tcBorders>
              <w:top w:val="nil"/>
              <w:left w:val="nil"/>
              <w:bottom w:val="single" w:sz="4" w:space="0" w:color="auto"/>
              <w:right w:val="single" w:sz="4" w:space="0" w:color="auto"/>
            </w:tcBorders>
            <w:shd w:val="clear" w:color="auto" w:fill="auto"/>
            <w:noWrap/>
            <w:vAlign w:val="bottom"/>
            <w:hideMark/>
          </w:tcPr>
          <w:p w14:paraId="6E698970"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23</w:t>
            </w:r>
          </w:p>
        </w:tc>
        <w:tc>
          <w:tcPr>
            <w:tcW w:w="772" w:type="dxa"/>
            <w:tcBorders>
              <w:top w:val="nil"/>
              <w:left w:val="nil"/>
              <w:bottom w:val="single" w:sz="4" w:space="0" w:color="auto"/>
              <w:right w:val="single" w:sz="4" w:space="0" w:color="auto"/>
            </w:tcBorders>
            <w:shd w:val="clear" w:color="auto" w:fill="auto"/>
            <w:noWrap/>
            <w:vAlign w:val="bottom"/>
            <w:hideMark/>
          </w:tcPr>
          <w:p w14:paraId="61CA8545"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65,71%</w:t>
            </w:r>
          </w:p>
        </w:tc>
        <w:tc>
          <w:tcPr>
            <w:tcW w:w="496" w:type="dxa"/>
            <w:tcBorders>
              <w:top w:val="nil"/>
              <w:left w:val="nil"/>
              <w:bottom w:val="single" w:sz="4" w:space="0" w:color="auto"/>
              <w:right w:val="single" w:sz="4" w:space="0" w:color="auto"/>
            </w:tcBorders>
            <w:shd w:val="clear" w:color="auto" w:fill="auto"/>
            <w:noWrap/>
            <w:vAlign w:val="bottom"/>
            <w:hideMark/>
          </w:tcPr>
          <w:p w14:paraId="3167A460"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28</w:t>
            </w:r>
          </w:p>
        </w:tc>
        <w:tc>
          <w:tcPr>
            <w:tcW w:w="772" w:type="dxa"/>
            <w:tcBorders>
              <w:top w:val="nil"/>
              <w:left w:val="nil"/>
              <w:bottom w:val="single" w:sz="4" w:space="0" w:color="auto"/>
              <w:right w:val="single" w:sz="4" w:space="0" w:color="auto"/>
            </w:tcBorders>
            <w:shd w:val="clear" w:color="auto" w:fill="auto"/>
            <w:noWrap/>
            <w:vAlign w:val="bottom"/>
            <w:hideMark/>
          </w:tcPr>
          <w:p w14:paraId="7019B776"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15,47%</w:t>
            </w:r>
          </w:p>
        </w:tc>
        <w:tc>
          <w:tcPr>
            <w:tcW w:w="496" w:type="dxa"/>
            <w:tcBorders>
              <w:top w:val="nil"/>
              <w:left w:val="nil"/>
              <w:bottom w:val="single" w:sz="4" w:space="0" w:color="auto"/>
              <w:right w:val="single" w:sz="4" w:space="0" w:color="auto"/>
            </w:tcBorders>
            <w:shd w:val="clear" w:color="auto" w:fill="auto"/>
            <w:noWrap/>
            <w:vAlign w:val="bottom"/>
            <w:hideMark/>
          </w:tcPr>
          <w:p w14:paraId="25A019BD"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18</w:t>
            </w:r>
          </w:p>
        </w:tc>
        <w:tc>
          <w:tcPr>
            <w:tcW w:w="772" w:type="dxa"/>
            <w:tcBorders>
              <w:top w:val="nil"/>
              <w:left w:val="nil"/>
              <w:bottom w:val="single" w:sz="4" w:space="0" w:color="auto"/>
              <w:right w:val="single" w:sz="4" w:space="0" w:color="auto"/>
            </w:tcBorders>
            <w:shd w:val="clear" w:color="auto" w:fill="auto"/>
            <w:noWrap/>
            <w:vAlign w:val="bottom"/>
            <w:hideMark/>
          </w:tcPr>
          <w:p w14:paraId="0A08227C"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10,71%</w:t>
            </w:r>
          </w:p>
        </w:tc>
        <w:tc>
          <w:tcPr>
            <w:tcW w:w="496" w:type="dxa"/>
            <w:tcBorders>
              <w:top w:val="nil"/>
              <w:left w:val="nil"/>
              <w:bottom w:val="single" w:sz="4" w:space="0" w:color="auto"/>
              <w:right w:val="single" w:sz="4" w:space="0" w:color="auto"/>
            </w:tcBorders>
            <w:shd w:val="clear" w:color="auto" w:fill="auto"/>
            <w:noWrap/>
            <w:vAlign w:val="bottom"/>
            <w:hideMark/>
          </w:tcPr>
          <w:p w14:paraId="751F92B6"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59</w:t>
            </w:r>
          </w:p>
        </w:tc>
        <w:tc>
          <w:tcPr>
            <w:tcW w:w="772" w:type="dxa"/>
            <w:tcBorders>
              <w:top w:val="nil"/>
              <w:left w:val="nil"/>
              <w:bottom w:val="single" w:sz="4" w:space="0" w:color="auto"/>
              <w:right w:val="nil"/>
            </w:tcBorders>
            <w:shd w:val="clear" w:color="auto" w:fill="auto"/>
            <w:noWrap/>
            <w:vAlign w:val="bottom"/>
            <w:hideMark/>
          </w:tcPr>
          <w:p w14:paraId="574C3BA3"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26,11%</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2298CF3B"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56</w:t>
            </w:r>
          </w:p>
        </w:tc>
        <w:tc>
          <w:tcPr>
            <w:tcW w:w="772" w:type="dxa"/>
            <w:tcBorders>
              <w:top w:val="nil"/>
              <w:left w:val="nil"/>
              <w:bottom w:val="single" w:sz="4" w:space="0" w:color="auto"/>
              <w:right w:val="single" w:sz="4" w:space="0" w:color="auto"/>
            </w:tcBorders>
            <w:shd w:val="clear" w:color="auto" w:fill="auto"/>
            <w:noWrap/>
            <w:vAlign w:val="bottom"/>
            <w:hideMark/>
          </w:tcPr>
          <w:p w14:paraId="5B52DD4E"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15,60%</w:t>
            </w:r>
          </w:p>
        </w:tc>
        <w:tc>
          <w:tcPr>
            <w:tcW w:w="548" w:type="dxa"/>
            <w:tcBorders>
              <w:top w:val="nil"/>
              <w:left w:val="nil"/>
              <w:bottom w:val="single" w:sz="4" w:space="0" w:color="auto"/>
              <w:right w:val="single" w:sz="8" w:space="0" w:color="auto"/>
            </w:tcBorders>
            <w:shd w:val="clear" w:color="auto" w:fill="auto"/>
            <w:noWrap/>
            <w:vAlign w:val="bottom"/>
            <w:hideMark/>
          </w:tcPr>
          <w:p w14:paraId="1500CF22"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184</w:t>
            </w:r>
          </w:p>
        </w:tc>
      </w:tr>
      <w:tr w:rsidR="00B8364E" w:rsidRPr="00670EC9" w14:paraId="5DD85612" w14:textId="77777777" w:rsidTr="009F574A">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1C1B3E1D" w14:textId="77777777" w:rsidR="00B8364E" w:rsidRPr="00670EC9" w:rsidRDefault="00B8364E" w:rsidP="009F574A">
            <w:pPr>
              <w:spacing w:after="0" w:line="240" w:lineRule="auto"/>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Particular</w:t>
            </w:r>
          </w:p>
        </w:tc>
        <w:tc>
          <w:tcPr>
            <w:tcW w:w="496" w:type="dxa"/>
            <w:tcBorders>
              <w:top w:val="nil"/>
              <w:left w:val="nil"/>
              <w:bottom w:val="single" w:sz="4" w:space="0" w:color="auto"/>
              <w:right w:val="single" w:sz="4" w:space="0" w:color="auto"/>
            </w:tcBorders>
            <w:shd w:val="clear" w:color="auto" w:fill="auto"/>
            <w:noWrap/>
            <w:vAlign w:val="bottom"/>
            <w:hideMark/>
          </w:tcPr>
          <w:p w14:paraId="5C2A9887"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5</w:t>
            </w:r>
          </w:p>
        </w:tc>
        <w:tc>
          <w:tcPr>
            <w:tcW w:w="772" w:type="dxa"/>
            <w:tcBorders>
              <w:top w:val="nil"/>
              <w:left w:val="nil"/>
              <w:bottom w:val="single" w:sz="4" w:space="0" w:color="auto"/>
              <w:right w:val="single" w:sz="4" w:space="0" w:color="auto"/>
            </w:tcBorders>
            <w:shd w:val="clear" w:color="auto" w:fill="auto"/>
            <w:noWrap/>
            <w:vAlign w:val="bottom"/>
            <w:hideMark/>
          </w:tcPr>
          <w:p w14:paraId="692A6382"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14,29%</w:t>
            </w:r>
          </w:p>
        </w:tc>
        <w:tc>
          <w:tcPr>
            <w:tcW w:w="496" w:type="dxa"/>
            <w:tcBorders>
              <w:top w:val="nil"/>
              <w:left w:val="nil"/>
              <w:bottom w:val="single" w:sz="4" w:space="0" w:color="auto"/>
              <w:right w:val="single" w:sz="4" w:space="0" w:color="auto"/>
            </w:tcBorders>
            <w:shd w:val="clear" w:color="auto" w:fill="auto"/>
            <w:noWrap/>
            <w:vAlign w:val="bottom"/>
            <w:hideMark/>
          </w:tcPr>
          <w:p w14:paraId="1A3864B8"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29</w:t>
            </w:r>
          </w:p>
        </w:tc>
        <w:tc>
          <w:tcPr>
            <w:tcW w:w="772" w:type="dxa"/>
            <w:tcBorders>
              <w:top w:val="nil"/>
              <w:left w:val="nil"/>
              <w:bottom w:val="single" w:sz="4" w:space="0" w:color="auto"/>
              <w:right w:val="single" w:sz="4" w:space="0" w:color="auto"/>
            </w:tcBorders>
            <w:shd w:val="clear" w:color="auto" w:fill="auto"/>
            <w:noWrap/>
            <w:vAlign w:val="bottom"/>
            <w:hideMark/>
          </w:tcPr>
          <w:p w14:paraId="007CAF4E"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16,02%</w:t>
            </w:r>
          </w:p>
        </w:tc>
        <w:tc>
          <w:tcPr>
            <w:tcW w:w="496" w:type="dxa"/>
            <w:tcBorders>
              <w:top w:val="nil"/>
              <w:left w:val="nil"/>
              <w:bottom w:val="single" w:sz="4" w:space="0" w:color="auto"/>
              <w:right w:val="single" w:sz="4" w:space="0" w:color="auto"/>
            </w:tcBorders>
            <w:shd w:val="clear" w:color="auto" w:fill="auto"/>
            <w:noWrap/>
            <w:vAlign w:val="bottom"/>
            <w:hideMark/>
          </w:tcPr>
          <w:p w14:paraId="4A5DE940"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45</w:t>
            </w:r>
          </w:p>
        </w:tc>
        <w:tc>
          <w:tcPr>
            <w:tcW w:w="772" w:type="dxa"/>
            <w:tcBorders>
              <w:top w:val="nil"/>
              <w:left w:val="nil"/>
              <w:bottom w:val="single" w:sz="4" w:space="0" w:color="auto"/>
              <w:right w:val="single" w:sz="4" w:space="0" w:color="auto"/>
            </w:tcBorders>
            <w:shd w:val="clear" w:color="auto" w:fill="auto"/>
            <w:noWrap/>
            <w:vAlign w:val="bottom"/>
            <w:hideMark/>
          </w:tcPr>
          <w:p w14:paraId="0FCA12A6"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26,79%</w:t>
            </w:r>
          </w:p>
        </w:tc>
        <w:tc>
          <w:tcPr>
            <w:tcW w:w="496" w:type="dxa"/>
            <w:tcBorders>
              <w:top w:val="nil"/>
              <w:left w:val="nil"/>
              <w:bottom w:val="single" w:sz="4" w:space="0" w:color="auto"/>
              <w:right w:val="single" w:sz="4" w:space="0" w:color="auto"/>
            </w:tcBorders>
            <w:shd w:val="clear" w:color="auto" w:fill="auto"/>
            <w:noWrap/>
            <w:vAlign w:val="bottom"/>
            <w:hideMark/>
          </w:tcPr>
          <w:p w14:paraId="563A1370"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48</w:t>
            </w:r>
          </w:p>
        </w:tc>
        <w:tc>
          <w:tcPr>
            <w:tcW w:w="772" w:type="dxa"/>
            <w:tcBorders>
              <w:top w:val="nil"/>
              <w:left w:val="nil"/>
              <w:bottom w:val="single" w:sz="4" w:space="0" w:color="auto"/>
              <w:right w:val="nil"/>
            </w:tcBorders>
            <w:shd w:val="clear" w:color="auto" w:fill="auto"/>
            <w:noWrap/>
            <w:vAlign w:val="bottom"/>
            <w:hideMark/>
          </w:tcPr>
          <w:p w14:paraId="0D08A52E"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21,24%</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1FB581FF"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63</w:t>
            </w:r>
          </w:p>
        </w:tc>
        <w:tc>
          <w:tcPr>
            <w:tcW w:w="772" w:type="dxa"/>
            <w:tcBorders>
              <w:top w:val="nil"/>
              <w:left w:val="nil"/>
              <w:bottom w:val="single" w:sz="4" w:space="0" w:color="auto"/>
              <w:right w:val="single" w:sz="4" w:space="0" w:color="auto"/>
            </w:tcBorders>
            <w:shd w:val="clear" w:color="auto" w:fill="auto"/>
            <w:noWrap/>
            <w:vAlign w:val="bottom"/>
            <w:hideMark/>
          </w:tcPr>
          <w:p w14:paraId="1148D487"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17,55%</w:t>
            </w:r>
          </w:p>
        </w:tc>
        <w:tc>
          <w:tcPr>
            <w:tcW w:w="548" w:type="dxa"/>
            <w:tcBorders>
              <w:top w:val="nil"/>
              <w:left w:val="nil"/>
              <w:bottom w:val="single" w:sz="4" w:space="0" w:color="auto"/>
              <w:right w:val="single" w:sz="8" w:space="0" w:color="auto"/>
            </w:tcBorders>
            <w:shd w:val="clear" w:color="auto" w:fill="auto"/>
            <w:noWrap/>
            <w:vAlign w:val="bottom"/>
            <w:hideMark/>
          </w:tcPr>
          <w:p w14:paraId="320DFE0F"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190</w:t>
            </w:r>
          </w:p>
        </w:tc>
      </w:tr>
      <w:tr w:rsidR="00B8364E" w:rsidRPr="00670EC9" w14:paraId="5AA51A18" w14:textId="77777777" w:rsidTr="009F574A">
        <w:trPr>
          <w:trHeight w:val="300"/>
        </w:trPr>
        <w:tc>
          <w:tcPr>
            <w:tcW w:w="1560" w:type="dxa"/>
            <w:tcBorders>
              <w:top w:val="nil"/>
              <w:left w:val="single" w:sz="8" w:space="0" w:color="auto"/>
              <w:bottom w:val="single" w:sz="4" w:space="0" w:color="auto"/>
              <w:right w:val="single" w:sz="4" w:space="0" w:color="auto"/>
            </w:tcBorders>
            <w:shd w:val="clear" w:color="000000" w:fill="D1C6C0"/>
            <w:noWrap/>
            <w:vAlign w:val="bottom"/>
            <w:hideMark/>
          </w:tcPr>
          <w:p w14:paraId="4F6ADB76" w14:textId="77777777" w:rsidR="00B8364E" w:rsidRPr="00670EC9" w:rsidRDefault="00B8364E" w:rsidP="009F574A">
            <w:pPr>
              <w:spacing w:after="0" w:line="240" w:lineRule="auto"/>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Persona jurídica</w:t>
            </w:r>
          </w:p>
        </w:tc>
        <w:tc>
          <w:tcPr>
            <w:tcW w:w="496" w:type="dxa"/>
            <w:tcBorders>
              <w:top w:val="nil"/>
              <w:left w:val="nil"/>
              <w:bottom w:val="single" w:sz="4" w:space="0" w:color="auto"/>
              <w:right w:val="single" w:sz="4" w:space="0" w:color="auto"/>
            </w:tcBorders>
            <w:shd w:val="clear" w:color="000000" w:fill="D1C6C0"/>
            <w:noWrap/>
            <w:vAlign w:val="bottom"/>
            <w:hideMark/>
          </w:tcPr>
          <w:p w14:paraId="51721F6C"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3</w:t>
            </w:r>
          </w:p>
        </w:tc>
        <w:tc>
          <w:tcPr>
            <w:tcW w:w="772" w:type="dxa"/>
            <w:tcBorders>
              <w:top w:val="nil"/>
              <w:left w:val="nil"/>
              <w:bottom w:val="single" w:sz="4" w:space="0" w:color="auto"/>
              <w:right w:val="single" w:sz="4" w:space="0" w:color="auto"/>
            </w:tcBorders>
            <w:shd w:val="clear" w:color="000000" w:fill="D1C6C0"/>
            <w:noWrap/>
            <w:vAlign w:val="bottom"/>
            <w:hideMark/>
          </w:tcPr>
          <w:p w14:paraId="222C5F1B"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8,57%</w:t>
            </w:r>
          </w:p>
        </w:tc>
        <w:tc>
          <w:tcPr>
            <w:tcW w:w="496" w:type="dxa"/>
            <w:tcBorders>
              <w:top w:val="nil"/>
              <w:left w:val="nil"/>
              <w:bottom w:val="single" w:sz="4" w:space="0" w:color="auto"/>
              <w:right w:val="single" w:sz="4" w:space="0" w:color="auto"/>
            </w:tcBorders>
            <w:shd w:val="clear" w:color="000000" w:fill="D1C6C0"/>
            <w:noWrap/>
            <w:vAlign w:val="bottom"/>
            <w:hideMark/>
          </w:tcPr>
          <w:p w14:paraId="1B4965BA"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14</w:t>
            </w:r>
          </w:p>
        </w:tc>
        <w:tc>
          <w:tcPr>
            <w:tcW w:w="772" w:type="dxa"/>
            <w:tcBorders>
              <w:top w:val="nil"/>
              <w:left w:val="nil"/>
              <w:bottom w:val="single" w:sz="4" w:space="0" w:color="auto"/>
              <w:right w:val="single" w:sz="4" w:space="0" w:color="auto"/>
            </w:tcBorders>
            <w:shd w:val="clear" w:color="000000" w:fill="D1C6C0"/>
            <w:noWrap/>
            <w:vAlign w:val="bottom"/>
            <w:hideMark/>
          </w:tcPr>
          <w:p w14:paraId="69D05F05"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7,73%</w:t>
            </w:r>
          </w:p>
        </w:tc>
        <w:tc>
          <w:tcPr>
            <w:tcW w:w="496" w:type="dxa"/>
            <w:tcBorders>
              <w:top w:val="nil"/>
              <w:left w:val="nil"/>
              <w:bottom w:val="single" w:sz="4" w:space="0" w:color="auto"/>
              <w:right w:val="single" w:sz="4" w:space="0" w:color="auto"/>
            </w:tcBorders>
            <w:shd w:val="clear" w:color="000000" w:fill="D1C6C0"/>
            <w:noWrap/>
            <w:vAlign w:val="bottom"/>
            <w:hideMark/>
          </w:tcPr>
          <w:p w14:paraId="79DA2378"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8</w:t>
            </w:r>
          </w:p>
        </w:tc>
        <w:tc>
          <w:tcPr>
            <w:tcW w:w="772" w:type="dxa"/>
            <w:tcBorders>
              <w:top w:val="nil"/>
              <w:left w:val="nil"/>
              <w:bottom w:val="single" w:sz="4" w:space="0" w:color="auto"/>
              <w:right w:val="single" w:sz="4" w:space="0" w:color="auto"/>
            </w:tcBorders>
            <w:shd w:val="clear" w:color="000000" w:fill="D1C6C0"/>
            <w:noWrap/>
            <w:vAlign w:val="bottom"/>
            <w:hideMark/>
          </w:tcPr>
          <w:p w14:paraId="408FBEEF"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4,76%</w:t>
            </w:r>
          </w:p>
        </w:tc>
        <w:tc>
          <w:tcPr>
            <w:tcW w:w="496" w:type="dxa"/>
            <w:tcBorders>
              <w:top w:val="nil"/>
              <w:left w:val="nil"/>
              <w:bottom w:val="single" w:sz="4" w:space="0" w:color="auto"/>
              <w:right w:val="single" w:sz="4" w:space="0" w:color="auto"/>
            </w:tcBorders>
            <w:shd w:val="clear" w:color="000000" w:fill="D1C6C0"/>
            <w:noWrap/>
            <w:vAlign w:val="bottom"/>
            <w:hideMark/>
          </w:tcPr>
          <w:p w14:paraId="659CB8E7"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15</w:t>
            </w:r>
          </w:p>
        </w:tc>
        <w:tc>
          <w:tcPr>
            <w:tcW w:w="772" w:type="dxa"/>
            <w:tcBorders>
              <w:top w:val="nil"/>
              <w:left w:val="nil"/>
              <w:bottom w:val="single" w:sz="4" w:space="0" w:color="auto"/>
              <w:right w:val="nil"/>
            </w:tcBorders>
            <w:shd w:val="clear" w:color="000000" w:fill="D1C6C0"/>
            <w:noWrap/>
            <w:vAlign w:val="bottom"/>
            <w:hideMark/>
          </w:tcPr>
          <w:p w14:paraId="486E6D34"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6,64%</w:t>
            </w:r>
          </w:p>
        </w:tc>
        <w:tc>
          <w:tcPr>
            <w:tcW w:w="496" w:type="dxa"/>
            <w:tcBorders>
              <w:top w:val="nil"/>
              <w:left w:val="single" w:sz="4" w:space="0" w:color="auto"/>
              <w:bottom w:val="single" w:sz="4" w:space="0" w:color="auto"/>
              <w:right w:val="single" w:sz="4" w:space="0" w:color="auto"/>
            </w:tcBorders>
            <w:shd w:val="clear" w:color="000000" w:fill="D1C6C0"/>
            <w:noWrap/>
            <w:vAlign w:val="bottom"/>
            <w:hideMark/>
          </w:tcPr>
          <w:p w14:paraId="4F604453"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18</w:t>
            </w:r>
          </w:p>
        </w:tc>
        <w:tc>
          <w:tcPr>
            <w:tcW w:w="772" w:type="dxa"/>
            <w:tcBorders>
              <w:top w:val="nil"/>
              <w:left w:val="nil"/>
              <w:bottom w:val="single" w:sz="4" w:space="0" w:color="auto"/>
              <w:right w:val="single" w:sz="4" w:space="0" w:color="auto"/>
            </w:tcBorders>
            <w:shd w:val="clear" w:color="000000" w:fill="D1C6C0"/>
            <w:noWrap/>
            <w:vAlign w:val="bottom"/>
            <w:hideMark/>
          </w:tcPr>
          <w:p w14:paraId="3B29F53A"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5,01%</w:t>
            </w:r>
          </w:p>
        </w:tc>
        <w:tc>
          <w:tcPr>
            <w:tcW w:w="548" w:type="dxa"/>
            <w:tcBorders>
              <w:top w:val="nil"/>
              <w:left w:val="nil"/>
              <w:bottom w:val="single" w:sz="4" w:space="0" w:color="auto"/>
              <w:right w:val="single" w:sz="8" w:space="0" w:color="auto"/>
            </w:tcBorders>
            <w:shd w:val="clear" w:color="000000" w:fill="D1C6C0"/>
            <w:noWrap/>
            <w:vAlign w:val="bottom"/>
            <w:hideMark/>
          </w:tcPr>
          <w:p w14:paraId="53B17A13"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58</w:t>
            </w:r>
          </w:p>
        </w:tc>
      </w:tr>
      <w:tr w:rsidR="00B8364E" w:rsidRPr="00670EC9" w14:paraId="3C913677" w14:textId="77777777" w:rsidTr="009F574A">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0AE6F9D7" w14:textId="77777777" w:rsidR="00B8364E" w:rsidRPr="00670EC9" w:rsidRDefault="00B8364E" w:rsidP="009F574A">
            <w:pPr>
              <w:spacing w:after="0" w:line="240" w:lineRule="auto"/>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Asociaciones - ONG</w:t>
            </w:r>
          </w:p>
        </w:tc>
        <w:tc>
          <w:tcPr>
            <w:tcW w:w="496" w:type="dxa"/>
            <w:tcBorders>
              <w:top w:val="nil"/>
              <w:left w:val="nil"/>
              <w:bottom w:val="single" w:sz="4" w:space="0" w:color="auto"/>
              <w:right w:val="single" w:sz="4" w:space="0" w:color="auto"/>
            </w:tcBorders>
            <w:shd w:val="clear" w:color="auto" w:fill="auto"/>
            <w:noWrap/>
            <w:vAlign w:val="bottom"/>
            <w:hideMark/>
          </w:tcPr>
          <w:p w14:paraId="5A0B6EE4"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w:t>
            </w:r>
          </w:p>
        </w:tc>
        <w:tc>
          <w:tcPr>
            <w:tcW w:w="772" w:type="dxa"/>
            <w:tcBorders>
              <w:top w:val="nil"/>
              <w:left w:val="nil"/>
              <w:bottom w:val="single" w:sz="4" w:space="0" w:color="auto"/>
              <w:right w:val="single" w:sz="4" w:space="0" w:color="auto"/>
            </w:tcBorders>
            <w:shd w:val="clear" w:color="auto" w:fill="auto"/>
            <w:noWrap/>
            <w:vAlign w:val="bottom"/>
            <w:hideMark/>
          </w:tcPr>
          <w:p w14:paraId="03AA0D1A"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2,86%</w:t>
            </w:r>
          </w:p>
        </w:tc>
        <w:tc>
          <w:tcPr>
            <w:tcW w:w="496" w:type="dxa"/>
            <w:tcBorders>
              <w:top w:val="nil"/>
              <w:left w:val="nil"/>
              <w:bottom w:val="single" w:sz="4" w:space="0" w:color="auto"/>
              <w:right w:val="single" w:sz="4" w:space="0" w:color="auto"/>
            </w:tcBorders>
            <w:shd w:val="clear" w:color="auto" w:fill="auto"/>
            <w:noWrap/>
            <w:vAlign w:val="bottom"/>
            <w:hideMark/>
          </w:tcPr>
          <w:p w14:paraId="2DC563FB"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w:t>
            </w:r>
          </w:p>
        </w:tc>
        <w:tc>
          <w:tcPr>
            <w:tcW w:w="772" w:type="dxa"/>
            <w:tcBorders>
              <w:top w:val="nil"/>
              <w:left w:val="nil"/>
              <w:bottom w:val="single" w:sz="4" w:space="0" w:color="auto"/>
              <w:right w:val="single" w:sz="4" w:space="0" w:color="auto"/>
            </w:tcBorders>
            <w:shd w:val="clear" w:color="auto" w:fill="auto"/>
            <w:noWrap/>
            <w:vAlign w:val="bottom"/>
            <w:hideMark/>
          </w:tcPr>
          <w:p w14:paraId="08995D3E"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0,55%</w:t>
            </w:r>
          </w:p>
        </w:tc>
        <w:tc>
          <w:tcPr>
            <w:tcW w:w="496" w:type="dxa"/>
            <w:tcBorders>
              <w:top w:val="nil"/>
              <w:left w:val="nil"/>
              <w:bottom w:val="single" w:sz="4" w:space="0" w:color="auto"/>
              <w:right w:val="single" w:sz="4" w:space="0" w:color="auto"/>
            </w:tcBorders>
            <w:shd w:val="clear" w:color="auto" w:fill="auto"/>
            <w:noWrap/>
            <w:vAlign w:val="bottom"/>
            <w:hideMark/>
          </w:tcPr>
          <w:p w14:paraId="7E9ACAD1"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w:t>
            </w:r>
          </w:p>
        </w:tc>
        <w:tc>
          <w:tcPr>
            <w:tcW w:w="772" w:type="dxa"/>
            <w:tcBorders>
              <w:top w:val="nil"/>
              <w:left w:val="nil"/>
              <w:bottom w:val="single" w:sz="4" w:space="0" w:color="auto"/>
              <w:right w:val="single" w:sz="4" w:space="0" w:color="auto"/>
            </w:tcBorders>
            <w:shd w:val="clear" w:color="auto" w:fill="auto"/>
            <w:noWrap/>
            <w:vAlign w:val="bottom"/>
            <w:hideMark/>
          </w:tcPr>
          <w:p w14:paraId="1363B614"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0,60%</w:t>
            </w:r>
          </w:p>
        </w:tc>
        <w:tc>
          <w:tcPr>
            <w:tcW w:w="496" w:type="dxa"/>
            <w:tcBorders>
              <w:top w:val="nil"/>
              <w:left w:val="nil"/>
              <w:bottom w:val="single" w:sz="4" w:space="0" w:color="auto"/>
              <w:right w:val="single" w:sz="4" w:space="0" w:color="auto"/>
            </w:tcBorders>
            <w:shd w:val="clear" w:color="auto" w:fill="auto"/>
            <w:noWrap/>
            <w:vAlign w:val="bottom"/>
            <w:hideMark/>
          </w:tcPr>
          <w:p w14:paraId="734CE45F"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4</w:t>
            </w:r>
          </w:p>
        </w:tc>
        <w:tc>
          <w:tcPr>
            <w:tcW w:w="772" w:type="dxa"/>
            <w:tcBorders>
              <w:top w:val="nil"/>
              <w:left w:val="nil"/>
              <w:bottom w:val="single" w:sz="4" w:space="0" w:color="auto"/>
              <w:right w:val="nil"/>
            </w:tcBorders>
            <w:shd w:val="clear" w:color="auto" w:fill="auto"/>
            <w:noWrap/>
            <w:vAlign w:val="bottom"/>
            <w:hideMark/>
          </w:tcPr>
          <w:p w14:paraId="67E1F8CF"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1,77%</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63131768"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w:t>
            </w:r>
          </w:p>
        </w:tc>
        <w:tc>
          <w:tcPr>
            <w:tcW w:w="772" w:type="dxa"/>
            <w:tcBorders>
              <w:top w:val="nil"/>
              <w:left w:val="nil"/>
              <w:bottom w:val="single" w:sz="4" w:space="0" w:color="auto"/>
              <w:right w:val="single" w:sz="4" w:space="0" w:color="auto"/>
            </w:tcBorders>
            <w:shd w:val="clear" w:color="auto" w:fill="auto"/>
            <w:noWrap/>
            <w:vAlign w:val="bottom"/>
            <w:hideMark/>
          </w:tcPr>
          <w:p w14:paraId="6E75D46F"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0,56%</w:t>
            </w:r>
          </w:p>
        </w:tc>
        <w:tc>
          <w:tcPr>
            <w:tcW w:w="548" w:type="dxa"/>
            <w:tcBorders>
              <w:top w:val="nil"/>
              <w:left w:val="nil"/>
              <w:bottom w:val="single" w:sz="4" w:space="0" w:color="auto"/>
              <w:right w:val="single" w:sz="8" w:space="0" w:color="auto"/>
            </w:tcBorders>
            <w:shd w:val="clear" w:color="auto" w:fill="auto"/>
            <w:noWrap/>
            <w:vAlign w:val="bottom"/>
            <w:hideMark/>
          </w:tcPr>
          <w:p w14:paraId="3963967E"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9</w:t>
            </w:r>
          </w:p>
        </w:tc>
      </w:tr>
      <w:tr w:rsidR="00B8364E" w:rsidRPr="00670EC9" w14:paraId="125983E9" w14:textId="77777777" w:rsidTr="009F574A">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29E35324" w14:textId="77777777" w:rsidR="00B8364E" w:rsidRPr="00670EC9" w:rsidRDefault="00B8364E" w:rsidP="009F574A">
            <w:pPr>
              <w:spacing w:after="0" w:line="240" w:lineRule="auto"/>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Instituciones</w:t>
            </w:r>
          </w:p>
        </w:tc>
        <w:tc>
          <w:tcPr>
            <w:tcW w:w="496" w:type="dxa"/>
            <w:tcBorders>
              <w:top w:val="nil"/>
              <w:left w:val="nil"/>
              <w:bottom w:val="single" w:sz="4" w:space="0" w:color="auto"/>
              <w:right w:val="single" w:sz="4" w:space="0" w:color="auto"/>
            </w:tcBorders>
            <w:shd w:val="clear" w:color="auto" w:fill="auto"/>
            <w:noWrap/>
            <w:vAlign w:val="bottom"/>
            <w:hideMark/>
          </w:tcPr>
          <w:p w14:paraId="10F952BD"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47E7DB26"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24CF2D61"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3</w:t>
            </w:r>
          </w:p>
        </w:tc>
        <w:tc>
          <w:tcPr>
            <w:tcW w:w="772" w:type="dxa"/>
            <w:tcBorders>
              <w:top w:val="nil"/>
              <w:left w:val="nil"/>
              <w:bottom w:val="single" w:sz="4" w:space="0" w:color="auto"/>
              <w:right w:val="single" w:sz="4" w:space="0" w:color="auto"/>
            </w:tcBorders>
            <w:shd w:val="clear" w:color="auto" w:fill="auto"/>
            <w:noWrap/>
            <w:vAlign w:val="bottom"/>
            <w:hideMark/>
          </w:tcPr>
          <w:p w14:paraId="3B0C9D48"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1,66%</w:t>
            </w:r>
          </w:p>
        </w:tc>
        <w:tc>
          <w:tcPr>
            <w:tcW w:w="496" w:type="dxa"/>
            <w:tcBorders>
              <w:top w:val="nil"/>
              <w:left w:val="nil"/>
              <w:bottom w:val="single" w:sz="4" w:space="0" w:color="auto"/>
              <w:right w:val="single" w:sz="4" w:space="0" w:color="auto"/>
            </w:tcBorders>
            <w:shd w:val="clear" w:color="auto" w:fill="auto"/>
            <w:noWrap/>
            <w:vAlign w:val="bottom"/>
            <w:hideMark/>
          </w:tcPr>
          <w:p w14:paraId="6DFAB217"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458EFB84"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1953C4CE"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3</w:t>
            </w:r>
          </w:p>
        </w:tc>
        <w:tc>
          <w:tcPr>
            <w:tcW w:w="772" w:type="dxa"/>
            <w:tcBorders>
              <w:top w:val="nil"/>
              <w:left w:val="nil"/>
              <w:bottom w:val="single" w:sz="4" w:space="0" w:color="auto"/>
              <w:right w:val="nil"/>
            </w:tcBorders>
            <w:shd w:val="clear" w:color="auto" w:fill="auto"/>
            <w:noWrap/>
            <w:vAlign w:val="bottom"/>
            <w:hideMark/>
          </w:tcPr>
          <w:p w14:paraId="3DB1E21C"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1,33%</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6C3C2CC1"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w:t>
            </w:r>
          </w:p>
        </w:tc>
        <w:tc>
          <w:tcPr>
            <w:tcW w:w="772" w:type="dxa"/>
            <w:tcBorders>
              <w:top w:val="nil"/>
              <w:left w:val="nil"/>
              <w:bottom w:val="single" w:sz="4" w:space="0" w:color="auto"/>
              <w:right w:val="single" w:sz="4" w:space="0" w:color="auto"/>
            </w:tcBorders>
            <w:shd w:val="clear" w:color="auto" w:fill="auto"/>
            <w:noWrap/>
            <w:vAlign w:val="bottom"/>
            <w:hideMark/>
          </w:tcPr>
          <w:p w14:paraId="5B8DC71F"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0,28%</w:t>
            </w:r>
          </w:p>
        </w:tc>
        <w:tc>
          <w:tcPr>
            <w:tcW w:w="548" w:type="dxa"/>
            <w:tcBorders>
              <w:top w:val="nil"/>
              <w:left w:val="nil"/>
              <w:bottom w:val="single" w:sz="4" w:space="0" w:color="auto"/>
              <w:right w:val="single" w:sz="8" w:space="0" w:color="auto"/>
            </w:tcBorders>
            <w:shd w:val="clear" w:color="auto" w:fill="auto"/>
            <w:noWrap/>
            <w:vAlign w:val="bottom"/>
            <w:hideMark/>
          </w:tcPr>
          <w:p w14:paraId="691CD663"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7</w:t>
            </w:r>
          </w:p>
        </w:tc>
      </w:tr>
      <w:tr w:rsidR="00B8364E" w:rsidRPr="00670EC9" w14:paraId="0266FF24" w14:textId="77777777" w:rsidTr="009F574A">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0F26435C" w14:textId="77777777" w:rsidR="00B8364E" w:rsidRPr="00670EC9" w:rsidRDefault="00B8364E" w:rsidP="009F574A">
            <w:pPr>
              <w:spacing w:after="0" w:line="240" w:lineRule="auto"/>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Empresas</w:t>
            </w:r>
          </w:p>
        </w:tc>
        <w:tc>
          <w:tcPr>
            <w:tcW w:w="496" w:type="dxa"/>
            <w:tcBorders>
              <w:top w:val="nil"/>
              <w:left w:val="nil"/>
              <w:bottom w:val="single" w:sz="4" w:space="0" w:color="auto"/>
              <w:right w:val="single" w:sz="4" w:space="0" w:color="auto"/>
            </w:tcBorders>
            <w:shd w:val="clear" w:color="auto" w:fill="auto"/>
            <w:noWrap/>
            <w:vAlign w:val="bottom"/>
            <w:hideMark/>
          </w:tcPr>
          <w:p w14:paraId="49F2DF5D"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w:t>
            </w:r>
          </w:p>
        </w:tc>
        <w:tc>
          <w:tcPr>
            <w:tcW w:w="772" w:type="dxa"/>
            <w:tcBorders>
              <w:top w:val="nil"/>
              <w:left w:val="nil"/>
              <w:bottom w:val="single" w:sz="4" w:space="0" w:color="auto"/>
              <w:right w:val="single" w:sz="4" w:space="0" w:color="auto"/>
            </w:tcBorders>
            <w:shd w:val="clear" w:color="auto" w:fill="auto"/>
            <w:noWrap/>
            <w:vAlign w:val="bottom"/>
            <w:hideMark/>
          </w:tcPr>
          <w:p w14:paraId="056FBC72"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2,86%</w:t>
            </w:r>
          </w:p>
        </w:tc>
        <w:tc>
          <w:tcPr>
            <w:tcW w:w="496" w:type="dxa"/>
            <w:tcBorders>
              <w:top w:val="nil"/>
              <w:left w:val="nil"/>
              <w:bottom w:val="single" w:sz="4" w:space="0" w:color="auto"/>
              <w:right w:val="single" w:sz="4" w:space="0" w:color="auto"/>
            </w:tcBorders>
            <w:shd w:val="clear" w:color="auto" w:fill="auto"/>
            <w:noWrap/>
            <w:vAlign w:val="bottom"/>
            <w:hideMark/>
          </w:tcPr>
          <w:p w14:paraId="2A9D03BC"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64A4FE1D"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28B58EEE"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5839059E"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1E997157"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w:t>
            </w:r>
          </w:p>
        </w:tc>
        <w:tc>
          <w:tcPr>
            <w:tcW w:w="772" w:type="dxa"/>
            <w:tcBorders>
              <w:top w:val="nil"/>
              <w:left w:val="nil"/>
              <w:bottom w:val="single" w:sz="4" w:space="0" w:color="auto"/>
              <w:right w:val="nil"/>
            </w:tcBorders>
            <w:shd w:val="clear" w:color="auto" w:fill="auto"/>
            <w:noWrap/>
            <w:vAlign w:val="bottom"/>
            <w:hideMark/>
          </w:tcPr>
          <w:p w14:paraId="7F9DE281"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0,44%</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67076F23"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4</w:t>
            </w:r>
          </w:p>
        </w:tc>
        <w:tc>
          <w:tcPr>
            <w:tcW w:w="772" w:type="dxa"/>
            <w:tcBorders>
              <w:top w:val="nil"/>
              <w:left w:val="nil"/>
              <w:bottom w:val="single" w:sz="4" w:space="0" w:color="auto"/>
              <w:right w:val="single" w:sz="4" w:space="0" w:color="auto"/>
            </w:tcBorders>
            <w:shd w:val="clear" w:color="auto" w:fill="auto"/>
            <w:noWrap/>
            <w:vAlign w:val="bottom"/>
            <w:hideMark/>
          </w:tcPr>
          <w:p w14:paraId="233F90B8"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1,11%</w:t>
            </w:r>
          </w:p>
        </w:tc>
        <w:tc>
          <w:tcPr>
            <w:tcW w:w="548" w:type="dxa"/>
            <w:tcBorders>
              <w:top w:val="nil"/>
              <w:left w:val="nil"/>
              <w:bottom w:val="single" w:sz="4" w:space="0" w:color="auto"/>
              <w:right w:val="single" w:sz="8" w:space="0" w:color="auto"/>
            </w:tcBorders>
            <w:shd w:val="clear" w:color="auto" w:fill="auto"/>
            <w:noWrap/>
            <w:vAlign w:val="bottom"/>
            <w:hideMark/>
          </w:tcPr>
          <w:p w14:paraId="589FB81C"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6</w:t>
            </w:r>
          </w:p>
        </w:tc>
      </w:tr>
      <w:tr w:rsidR="00B8364E" w:rsidRPr="00670EC9" w14:paraId="36CC3BE0" w14:textId="77777777" w:rsidTr="009F574A">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4456A9F2" w14:textId="77777777" w:rsidR="00B8364E" w:rsidRPr="00670EC9" w:rsidRDefault="00B8364E" w:rsidP="009F574A">
            <w:pPr>
              <w:spacing w:after="0" w:line="240" w:lineRule="auto"/>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Colegios profesionales</w:t>
            </w:r>
          </w:p>
        </w:tc>
        <w:tc>
          <w:tcPr>
            <w:tcW w:w="496" w:type="dxa"/>
            <w:tcBorders>
              <w:top w:val="nil"/>
              <w:left w:val="nil"/>
              <w:bottom w:val="single" w:sz="4" w:space="0" w:color="auto"/>
              <w:right w:val="single" w:sz="4" w:space="0" w:color="auto"/>
            </w:tcBorders>
            <w:shd w:val="clear" w:color="auto" w:fill="auto"/>
            <w:noWrap/>
            <w:vAlign w:val="bottom"/>
            <w:hideMark/>
          </w:tcPr>
          <w:p w14:paraId="4BC286A7"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00B48811"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28D4AE06"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0224D85A"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5A8CAE34"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6203D73F"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48657696"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w:t>
            </w:r>
          </w:p>
        </w:tc>
        <w:tc>
          <w:tcPr>
            <w:tcW w:w="772" w:type="dxa"/>
            <w:tcBorders>
              <w:top w:val="nil"/>
              <w:left w:val="nil"/>
              <w:bottom w:val="single" w:sz="4" w:space="0" w:color="auto"/>
              <w:right w:val="nil"/>
            </w:tcBorders>
            <w:shd w:val="clear" w:color="auto" w:fill="auto"/>
            <w:noWrap/>
            <w:vAlign w:val="bottom"/>
            <w:hideMark/>
          </w:tcPr>
          <w:p w14:paraId="77832524"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0,44%</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7D34CF4F"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6E020601"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0,00%</w:t>
            </w:r>
          </w:p>
        </w:tc>
        <w:tc>
          <w:tcPr>
            <w:tcW w:w="548" w:type="dxa"/>
            <w:tcBorders>
              <w:top w:val="nil"/>
              <w:left w:val="nil"/>
              <w:bottom w:val="single" w:sz="4" w:space="0" w:color="auto"/>
              <w:right w:val="single" w:sz="8" w:space="0" w:color="auto"/>
            </w:tcBorders>
            <w:shd w:val="clear" w:color="auto" w:fill="auto"/>
            <w:noWrap/>
            <w:vAlign w:val="bottom"/>
            <w:hideMark/>
          </w:tcPr>
          <w:p w14:paraId="5EAD3B63"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w:t>
            </w:r>
          </w:p>
        </w:tc>
      </w:tr>
      <w:tr w:rsidR="00B8364E" w:rsidRPr="00670EC9" w14:paraId="61848A79" w14:textId="77777777" w:rsidTr="009F574A">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5421E454" w14:textId="77777777" w:rsidR="00B8364E" w:rsidRPr="00670EC9" w:rsidRDefault="00B8364E" w:rsidP="009F574A">
            <w:pPr>
              <w:spacing w:after="0" w:line="240" w:lineRule="auto"/>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Sindicatos</w:t>
            </w:r>
          </w:p>
        </w:tc>
        <w:tc>
          <w:tcPr>
            <w:tcW w:w="496" w:type="dxa"/>
            <w:tcBorders>
              <w:top w:val="nil"/>
              <w:left w:val="nil"/>
              <w:bottom w:val="single" w:sz="4" w:space="0" w:color="auto"/>
              <w:right w:val="single" w:sz="4" w:space="0" w:color="auto"/>
            </w:tcBorders>
            <w:shd w:val="clear" w:color="auto" w:fill="auto"/>
            <w:noWrap/>
            <w:vAlign w:val="bottom"/>
            <w:hideMark/>
          </w:tcPr>
          <w:p w14:paraId="33415032"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w:t>
            </w:r>
          </w:p>
        </w:tc>
        <w:tc>
          <w:tcPr>
            <w:tcW w:w="772" w:type="dxa"/>
            <w:tcBorders>
              <w:top w:val="nil"/>
              <w:left w:val="nil"/>
              <w:bottom w:val="single" w:sz="4" w:space="0" w:color="auto"/>
              <w:right w:val="single" w:sz="4" w:space="0" w:color="auto"/>
            </w:tcBorders>
            <w:shd w:val="clear" w:color="auto" w:fill="auto"/>
            <w:noWrap/>
            <w:vAlign w:val="bottom"/>
            <w:hideMark/>
          </w:tcPr>
          <w:p w14:paraId="6BAE544B"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2,86%</w:t>
            </w:r>
          </w:p>
        </w:tc>
        <w:tc>
          <w:tcPr>
            <w:tcW w:w="496" w:type="dxa"/>
            <w:tcBorders>
              <w:top w:val="nil"/>
              <w:left w:val="nil"/>
              <w:bottom w:val="single" w:sz="4" w:space="0" w:color="auto"/>
              <w:right w:val="single" w:sz="4" w:space="0" w:color="auto"/>
            </w:tcBorders>
            <w:shd w:val="clear" w:color="auto" w:fill="auto"/>
            <w:noWrap/>
            <w:vAlign w:val="bottom"/>
            <w:hideMark/>
          </w:tcPr>
          <w:p w14:paraId="19E4C20D"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6</w:t>
            </w:r>
          </w:p>
        </w:tc>
        <w:tc>
          <w:tcPr>
            <w:tcW w:w="772" w:type="dxa"/>
            <w:tcBorders>
              <w:top w:val="nil"/>
              <w:left w:val="nil"/>
              <w:bottom w:val="single" w:sz="4" w:space="0" w:color="auto"/>
              <w:right w:val="single" w:sz="4" w:space="0" w:color="auto"/>
            </w:tcBorders>
            <w:shd w:val="clear" w:color="auto" w:fill="auto"/>
            <w:noWrap/>
            <w:vAlign w:val="bottom"/>
            <w:hideMark/>
          </w:tcPr>
          <w:p w14:paraId="77F5297D"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3,31%</w:t>
            </w:r>
          </w:p>
        </w:tc>
        <w:tc>
          <w:tcPr>
            <w:tcW w:w="496" w:type="dxa"/>
            <w:tcBorders>
              <w:top w:val="nil"/>
              <w:left w:val="nil"/>
              <w:bottom w:val="single" w:sz="4" w:space="0" w:color="auto"/>
              <w:right w:val="single" w:sz="4" w:space="0" w:color="auto"/>
            </w:tcBorders>
            <w:shd w:val="clear" w:color="auto" w:fill="auto"/>
            <w:noWrap/>
            <w:vAlign w:val="bottom"/>
            <w:hideMark/>
          </w:tcPr>
          <w:p w14:paraId="1345862A"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w:t>
            </w:r>
          </w:p>
        </w:tc>
        <w:tc>
          <w:tcPr>
            <w:tcW w:w="772" w:type="dxa"/>
            <w:tcBorders>
              <w:top w:val="nil"/>
              <w:left w:val="nil"/>
              <w:bottom w:val="single" w:sz="4" w:space="0" w:color="auto"/>
              <w:right w:val="single" w:sz="4" w:space="0" w:color="auto"/>
            </w:tcBorders>
            <w:shd w:val="clear" w:color="auto" w:fill="auto"/>
            <w:noWrap/>
            <w:vAlign w:val="bottom"/>
            <w:hideMark/>
          </w:tcPr>
          <w:p w14:paraId="6D38C682"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1,19%</w:t>
            </w:r>
          </w:p>
        </w:tc>
        <w:tc>
          <w:tcPr>
            <w:tcW w:w="496" w:type="dxa"/>
            <w:tcBorders>
              <w:top w:val="nil"/>
              <w:left w:val="nil"/>
              <w:bottom w:val="single" w:sz="4" w:space="0" w:color="auto"/>
              <w:right w:val="single" w:sz="4" w:space="0" w:color="auto"/>
            </w:tcBorders>
            <w:shd w:val="clear" w:color="auto" w:fill="auto"/>
            <w:noWrap/>
            <w:vAlign w:val="bottom"/>
            <w:hideMark/>
          </w:tcPr>
          <w:p w14:paraId="36244D7B"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w:t>
            </w:r>
          </w:p>
        </w:tc>
        <w:tc>
          <w:tcPr>
            <w:tcW w:w="772" w:type="dxa"/>
            <w:tcBorders>
              <w:top w:val="nil"/>
              <w:left w:val="nil"/>
              <w:bottom w:val="single" w:sz="4" w:space="0" w:color="auto"/>
              <w:right w:val="nil"/>
            </w:tcBorders>
            <w:shd w:val="clear" w:color="auto" w:fill="auto"/>
            <w:noWrap/>
            <w:vAlign w:val="bottom"/>
            <w:hideMark/>
          </w:tcPr>
          <w:p w14:paraId="29BD4306"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0,88%</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5CC100C3"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6</w:t>
            </w:r>
          </w:p>
        </w:tc>
        <w:tc>
          <w:tcPr>
            <w:tcW w:w="772" w:type="dxa"/>
            <w:tcBorders>
              <w:top w:val="nil"/>
              <w:left w:val="nil"/>
              <w:bottom w:val="single" w:sz="4" w:space="0" w:color="auto"/>
              <w:right w:val="single" w:sz="4" w:space="0" w:color="auto"/>
            </w:tcBorders>
            <w:shd w:val="clear" w:color="auto" w:fill="auto"/>
            <w:noWrap/>
            <w:vAlign w:val="bottom"/>
            <w:hideMark/>
          </w:tcPr>
          <w:p w14:paraId="734732E5"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1,67%</w:t>
            </w:r>
          </w:p>
        </w:tc>
        <w:tc>
          <w:tcPr>
            <w:tcW w:w="548" w:type="dxa"/>
            <w:tcBorders>
              <w:top w:val="nil"/>
              <w:left w:val="nil"/>
              <w:bottom w:val="single" w:sz="4" w:space="0" w:color="auto"/>
              <w:right w:val="single" w:sz="8" w:space="0" w:color="auto"/>
            </w:tcBorders>
            <w:shd w:val="clear" w:color="auto" w:fill="auto"/>
            <w:noWrap/>
            <w:vAlign w:val="bottom"/>
            <w:hideMark/>
          </w:tcPr>
          <w:p w14:paraId="0D787747"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17</w:t>
            </w:r>
          </w:p>
        </w:tc>
      </w:tr>
      <w:tr w:rsidR="00B8364E" w:rsidRPr="00670EC9" w14:paraId="2398FCF2" w14:textId="77777777" w:rsidTr="009F574A">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34C14030" w14:textId="77777777" w:rsidR="00B8364E" w:rsidRPr="00670EC9" w:rsidRDefault="00B8364E" w:rsidP="009F574A">
            <w:pPr>
              <w:spacing w:after="0" w:line="240" w:lineRule="auto"/>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Grupos Políticos</w:t>
            </w:r>
          </w:p>
        </w:tc>
        <w:tc>
          <w:tcPr>
            <w:tcW w:w="496" w:type="dxa"/>
            <w:tcBorders>
              <w:top w:val="nil"/>
              <w:left w:val="nil"/>
              <w:bottom w:val="single" w:sz="4" w:space="0" w:color="auto"/>
              <w:right w:val="single" w:sz="4" w:space="0" w:color="auto"/>
            </w:tcBorders>
            <w:shd w:val="clear" w:color="auto" w:fill="auto"/>
            <w:noWrap/>
            <w:vAlign w:val="bottom"/>
            <w:hideMark/>
          </w:tcPr>
          <w:p w14:paraId="74C8516B"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w:t>
            </w:r>
          </w:p>
        </w:tc>
        <w:tc>
          <w:tcPr>
            <w:tcW w:w="772" w:type="dxa"/>
            <w:tcBorders>
              <w:top w:val="nil"/>
              <w:left w:val="nil"/>
              <w:bottom w:val="single" w:sz="4" w:space="0" w:color="auto"/>
              <w:right w:val="single" w:sz="4" w:space="0" w:color="auto"/>
            </w:tcBorders>
            <w:shd w:val="clear" w:color="auto" w:fill="auto"/>
            <w:noWrap/>
            <w:vAlign w:val="bottom"/>
            <w:hideMark/>
          </w:tcPr>
          <w:p w14:paraId="43E869DC"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0,00%</w:t>
            </w:r>
          </w:p>
        </w:tc>
        <w:tc>
          <w:tcPr>
            <w:tcW w:w="496" w:type="dxa"/>
            <w:tcBorders>
              <w:top w:val="nil"/>
              <w:left w:val="nil"/>
              <w:bottom w:val="single" w:sz="4" w:space="0" w:color="auto"/>
              <w:right w:val="single" w:sz="4" w:space="0" w:color="auto"/>
            </w:tcBorders>
            <w:shd w:val="clear" w:color="auto" w:fill="auto"/>
            <w:noWrap/>
            <w:vAlign w:val="bottom"/>
            <w:hideMark/>
          </w:tcPr>
          <w:p w14:paraId="4631FDA7"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4</w:t>
            </w:r>
          </w:p>
        </w:tc>
        <w:tc>
          <w:tcPr>
            <w:tcW w:w="772" w:type="dxa"/>
            <w:tcBorders>
              <w:top w:val="nil"/>
              <w:left w:val="nil"/>
              <w:bottom w:val="single" w:sz="4" w:space="0" w:color="auto"/>
              <w:right w:val="single" w:sz="4" w:space="0" w:color="auto"/>
            </w:tcBorders>
            <w:shd w:val="clear" w:color="auto" w:fill="auto"/>
            <w:noWrap/>
            <w:vAlign w:val="bottom"/>
            <w:hideMark/>
          </w:tcPr>
          <w:p w14:paraId="06DCDC9E"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2,21%</w:t>
            </w:r>
          </w:p>
        </w:tc>
        <w:tc>
          <w:tcPr>
            <w:tcW w:w="496" w:type="dxa"/>
            <w:tcBorders>
              <w:top w:val="nil"/>
              <w:left w:val="nil"/>
              <w:bottom w:val="single" w:sz="4" w:space="0" w:color="auto"/>
              <w:right w:val="single" w:sz="4" w:space="0" w:color="auto"/>
            </w:tcBorders>
            <w:shd w:val="clear" w:color="auto" w:fill="auto"/>
            <w:noWrap/>
            <w:vAlign w:val="bottom"/>
            <w:hideMark/>
          </w:tcPr>
          <w:p w14:paraId="620850EB"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5</w:t>
            </w:r>
          </w:p>
        </w:tc>
        <w:tc>
          <w:tcPr>
            <w:tcW w:w="772" w:type="dxa"/>
            <w:tcBorders>
              <w:top w:val="nil"/>
              <w:left w:val="nil"/>
              <w:bottom w:val="single" w:sz="4" w:space="0" w:color="auto"/>
              <w:right w:val="single" w:sz="4" w:space="0" w:color="auto"/>
            </w:tcBorders>
            <w:shd w:val="clear" w:color="auto" w:fill="auto"/>
            <w:noWrap/>
            <w:vAlign w:val="bottom"/>
            <w:hideMark/>
          </w:tcPr>
          <w:p w14:paraId="7415380F"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2,98%</w:t>
            </w:r>
          </w:p>
        </w:tc>
        <w:tc>
          <w:tcPr>
            <w:tcW w:w="496" w:type="dxa"/>
            <w:tcBorders>
              <w:top w:val="nil"/>
              <w:left w:val="nil"/>
              <w:bottom w:val="single" w:sz="4" w:space="0" w:color="auto"/>
              <w:right w:val="single" w:sz="4" w:space="0" w:color="auto"/>
            </w:tcBorders>
            <w:shd w:val="clear" w:color="auto" w:fill="auto"/>
            <w:noWrap/>
            <w:vAlign w:val="bottom"/>
            <w:hideMark/>
          </w:tcPr>
          <w:p w14:paraId="6D149ED8"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4</w:t>
            </w:r>
          </w:p>
        </w:tc>
        <w:tc>
          <w:tcPr>
            <w:tcW w:w="772" w:type="dxa"/>
            <w:tcBorders>
              <w:top w:val="nil"/>
              <w:left w:val="nil"/>
              <w:bottom w:val="single" w:sz="4" w:space="0" w:color="auto"/>
              <w:right w:val="nil"/>
            </w:tcBorders>
            <w:shd w:val="clear" w:color="auto" w:fill="auto"/>
            <w:noWrap/>
            <w:vAlign w:val="bottom"/>
            <w:hideMark/>
          </w:tcPr>
          <w:p w14:paraId="4B1EA700"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1,77%</w:t>
            </w:r>
          </w:p>
        </w:tc>
        <w:tc>
          <w:tcPr>
            <w:tcW w:w="496" w:type="dxa"/>
            <w:tcBorders>
              <w:top w:val="nil"/>
              <w:left w:val="single" w:sz="4" w:space="0" w:color="auto"/>
              <w:bottom w:val="single" w:sz="4" w:space="0" w:color="auto"/>
              <w:right w:val="single" w:sz="4" w:space="0" w:color="auto"/>
            </w:tcBorders>
            <w:shd w:val="clear" w:color="auto" w:fill="auto"/>
            <w:noWrap/>
            <w:vAlign w:val="bottom"/>
            <w:hideMark/>
          </w:tcPr>
          <w:p w14:paraId="71F97F71"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5</w:t>
            </w:r>
          </w:p>
        </w:tc>
        <w:tc>
          <w:tcPr>
            <w:tcW w:w="772" w:type="dxa"/>
            <w:tcBorders>
              <w:top w:val="nil"/>
              <w:left w:val="nil"/>
              <w:bottom w:val="single" w:sz="4" w:space="0" w:color="auto"/>
              <w:right w:val="single" w:sz="4" w:space="0" w:color="auto"/>
            </w:tcBorders>
            <w:shd w:val="clear" w:color="auto" w:fill="auto"/>
            <w:noWrap/>
            <w:vAlign w:val="bottom"/>
            <w:hideMark/>
          </w:tcPr>
          <w:p w14:paraId="0B9B0718"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1,39%</w:t>
            </w:r>
          </w:p>
        </w:tc>
        <w:tc>
          <w:tcPr>
            <w:tcW w:w="548" w:type="dxa"/>
            <w:tcBorders>
              <w:top w:val="nil"/>
              <w:left w:val="nil"/>
              <w:bottom w:val="single" w:sz="4" w:space="0" w:color="auto"/>
              <w:right w:val="single" w:sz="8" w:space="0" w:color="auto"/>
            </w:tcBorders>
            <w:shd w:val="clear" w:color="auto" w:fill="auto"/>
            <w:noWrap/>
            <w:vAlign w:val="bottom"/>
            <w:hideMark/>
          </w:tcPr>
          <w:p w14:paraId="556BCCB4"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18</w:t>
            </w:r>
          </w:p>
        </w:tc>
      </w:tr>
      <w:tr w:rsidR="00B8364E" w:rsidRPr="00670EC9" w14:paraId="08F3480F" w14:textId="77777777" w:rsidTr="009F574A">
        <w:trPr>
          <w:trHeight w:val="300"/>
        </w:trPr>
        <w:tc>
          <w:tcPr>
            <w:tcW w:w="1560" w:type="dxa"/>
            <w:tcBorders>
              <w:top w:val="nil"/>
              <w:left w:val="single" w:sz="8" w:space="0" w:color="auto"/>
              <w:bottom w:val="single" w:sz="4" w:space="0" w:color="auto"/>
              <w:right w:val="single" w:sz="4" w:space="0" w:color="auto"/>
            </w:tcBorders>
            <w:shd w:val="clear" w:color="000000" w:fill="CE9FA1"/>
            <w:noWrap/>
            <w:vAlign w:val="bottom"/>
            <w:hideMark/>
          </w:tcPr>
          <w:p w14:paraId="3F2C8470" w14:textId="77777777" w:rsidR="00B8364E" w:rsidRPr="00670EC9" w:rsidRDefault="00B8364E" w:rsidP="009F574A">
            <w:pPr>
              <w:spacing w:after="0" w:line="240" w:lineRule="auto"/>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Anónimos</w:t>
            </w:r>
          </w:p>
        </w:tc>
        <w:tc>
          <w:tcPr>
            <w:tcW w:w="496" w:type="dxa"/>
            <w:tcBorders>
              <w:top w:val="nil"/>
              <w:left w:val="nil"/>
              <w:bottom w:val="single" w:sz="4" w:space="0" w:color="auto"/>
              <w:right w:val="single" w:sz="4" w:space="0" w:color="auto"/>
            </w:tcBorders>
            <w:shd w:val="clear" w:color="000000" w:fill="CE9FA1"/>
            <w:noWrap/>
            <w:vAlign w:val="bottom"/>
            <w:hideMark/>
          </w:tcPr>
          <w:p w14:paraId="29E1A331"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2</w:t>
            </w:r>
          </w:p>
        </w:tc>
        <w:tc>
          <w:tcPr>
            <w:tcW w:w="772" w:type="dxa"/>
            <w:tcBorders>
              <w:top w:val="nil"/>
              <w:left w:val="nil"/>
              <w:bottom w:val="single" w:sz="4" w:space="0" w:color="auto"/>
              <w:right w:val="single" w:sz="4" w:space="0" w:color="auto"/>
            </w:tcBorders>
            <w:shd w:val="clear" w:color="000000" w:fill="CE9FA1"/>
            <w:noWrap/>
            <w:vAlign w:val="bottom"/>
            <w:hideMark/>
          </w:tcPr>
          <w:p w14:paraId="503E54DC"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5,71%</w:t>
            </w:r>
          </w:p>
        </w:tc>
        <w:tc>
          <w:tcPr>
            <w:tcW w:w="496" w:type="dxa"/>
            <w:tcBorders>
              <w:top w:val="nil"/>
              <w:left w:val="nil"/>
              <w:bottom w:val="single" w:sz="4" w:space="0" w:color="auto"/>
              <w:right w:val="single" w:sz="4" w:space="0" w:color="auto"/>
            </w:tcBorders>
            <w:shd w:val="clear" w:color="000000" w:fill="CE9FA1"/>
            <w:noWrap/>
            <w:vAlign w:val="bottom"/>
            <w:hideMark/>
          </w:tcPr>
          <w:p w14:paraId="024A4F65"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92</w:t>
            </w:r>
          </w:p>
        </w:tc>
        <w:tc>
          <w:tcPr>
            <w:tcW w:w="772" w:type="dxa"/>
            <w:tcBorders>
              <w:top w:val="nil"/>
              <w:left w:val="nil"/>
              <w:bottom w:val="single" w:sz="4" w:space="0" w:color="auto"/>
              <w:right w:val="single" w:sz="4" w:space="0" w:color="auto"/>
            </w:tcBorders>
            <w:shd w:val="clear" w:color="000000" w:fill="CE9FA1"/>
            <w:noWrap/>
            <w:vAlign w:val="bottom"/>
            <w:hideMark/>
          </w:tcPr>
          <w:p w14:paraId="77D49680"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50,83%</w:t>
            </w:r>
          </w:p>
        </w:tc>
        <w:tc>
          <w:tcPr>
            <w:tcW w:w="496" w:type="dxa"/>
            <w:tcBorders>
              <w:top w:val="nil"/>
              <w:left w:val="nil"/>
              <w:bottom w:val="single" w:sz="4" w:space="0" w:color="auto"/>
              <w:right w:val="single" w:sz="4" w:space="0" w:color="auto"/>
            </w:tcBorders>
            <w:shd w:val="clear" w:color="000000" w:fill="CE9FA1"/>
            <w:noWrap/>
            <w:vAlign w:val="bottom"/>
            <w:hideMark/>
          </w:tcPr>
          <w:p w14:paraId="319EB147"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86</w:t>
            </w:r>
          </w:p>
        </w:tc>
        <w:tc>
          <w:tcPr>
            <w:tcW w:w="772" w:type="dxa"/>
            <w:tcBorders>
              <w:top w:val="nil"/>
              <w:left w:val="nil"/>
              <w:bottom w:val="single" w:sz="4" w:space="0" w:color="auto"/>
              <w:right w:val="single" w:sz="4" w:space="0" w:color="auto"/>
            </w:tcBorders>
            <w:shd w:val="clear" w:color="000000" w:fill="CE9FA1"/>
            <w:noWrap/>
            <w:vAlign w:val="bottom"/>
            <w:hideMark/>
          </w:tcPr>
          <w:p w14:paraId="3003B641"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51,19%</w:t>
            </w:r>
          </w:p>
        </w:tc>
        <w:tc>
          <w:tcPr>
            <w:tcW w:w="496" w:type="dxa"/>
            <w:tcBorders>
              <w:top w:val="nil"/>
              <w:left w:val="nil"/>
              <w:bottom w:val="single" w:sz="4" w:space="0" w:color="auto"/>
              <w:right w:val="single" w:sz="4" w:space="0" w:color="auto"/>
            </w:tcBorders>
            <w:shd w:val="clear" w:color="000000" w:fill="CE9FA1"/>
            <w:noWrap/>
            <w:vAlign w:val="bottom"/>
            <w:hideMark/>
          </w:tcPr>
          <w:p w14:paraId="19739DB4"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91</w:t>
            </w:r>
          </w:p>
        </w:tc>
        <w:tc>
          <w:tcPr>
            <w:tcW w:w="772" w:type="dxa"/>
            <w:tcBorders>
              <w:top w:val="nil"/>
              <w:left w:val="nil"/>
              <w:bottom w:val="single" w:sz="4" w:space="0" w:color="auto"/>
              <w:right w:val="nil"/>
            </w:tcBorders>
            <w:shd w:val="clear" w:color="000000" w:fill="CE9FA1"/>
            <w:noWrap/>
            <w:vAlign w:val="bottom"/>
            <w:hideMark/>
          </w:tcPr>
          <w:p w14:paraId="0375BDD0"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40,27%</w:t>
            </w:r>
          </w:p>
        </w:tc>
        <w:tc>
          <w:tcPr>
            <w:tcW w:w="496" w:type="dxa"/>
            <w:tcBorders>
              <w:top w:val="nil"/>
              <w:left w:val="single" w:sz="4" w:space="0" w:color="auto"/>
              <w:bottom w:val="single" w:sz="4" w:space="0" w:color="auto"/>
              <w:right w:val="single" w:sz="4" w:space="0" w:color="auto"/>
            </w:tcBorders>
            <w:shd w:val="clear" w:color="000000" w:fill="CE9FA1"/>
            <w:noWrap/>
            <w:vAlign w:val="bottom"/>
            <w:hideMark/>
          </w:tcPr>
          <w:p w14:paraId="56FF899C"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199</w:t>
            </w:r>
          </w:p>
        </w:tc>
        <w:tc>
          <w:tcPr>
            <w:tcW w:w="772" w:type="dxa"/>
            <w:tcBorders>
              <w:top w:val="nil"/>
              <w:left w:val="nil"/>
              <w:bottom w:val="single" w:sz="4" w:space="0" w:color="auto"/>
              <w:right w:val="single" w:sz="4" w:space="0" w:color="auto"/>
            </w:tcBorders>
            <w:shd w:val="clear" w:color="000000" w:fill="CE9FA1"/>
            <w:noWrap/>
            <w:vAlign w:val="bottom"/>
            <w:hideMark/>
          </w:tcPr>
          <w:p w14:paraId="244F1697"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55,43%</w:t>
            </w:r>
          </w:p>
        </w:tc>
        <w:tc>
          <w:tcPr>
            <w:tcW w:w="548" w:type="dxa"/>
            <w:tcBorders>
              <w:top w:val="nil"/>
              <w:left w:val="nil"/>
              <w:bottom w:val="single" w:sz="4" w:space="0" w:color="auto"/>
              <w:right w:val="single" w:sz="8" w:space="0" w:color="auto"/>
            </w:tcBorders>
            <w:shd w:val="clear" w:color="000000" w:fill="CE9FA1"/>
            <w:noWrap/>
            <w:vAlign w:val="bottom"/>
            <w:hideMark/>
          </w:tcPr>
          <w:p w14:paraId="09226E6F"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470</w:t>
            </w:r>
          </w:p>
        </w:tc>
      </w:tr>
      <w:tr w:rsidR="00B8364E" w:rsidRPr="00670EC9" w14:paraId="75E269FE" w14:textId="77777777" w:rsidTr="009F574A">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78200F9C" w14:textId="77777777" w:rsidR="00B8364E" w:rsidRPr="00670EC9" w:rsidRDefault="00B8364E" w:rsidP="009F574A">
            <w:pPr>
              <w:spacing w:after="0" w:line="240" w:lineRule="auto"/>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Cargo político</w:t>
            </w:r>
          </w:p>
        </w:tc>
        <w:tc>
          <w:tcPr>
            <w:tcW w:w="496" w:type="dxa"/>
            <w:tcBorders>
              <w:top w:val="nil"/>
              <w:left w:val="nil"/>
              <w:bottom w:val="single" w:sz="4" w:space="0" w:color="auto"/>
              <w:right w:val="single" w:sz="4" w:space="0" w:color="auto"/>
            </w:tcBorders>
            <w:shd w:val="clear" w:color="auto" w:fill="auto"/>
            <w:noWrap/>
            <w:vAlign w:val="bottom"/>
            <w:hideMark/>
          </w:tcPr>
          <w:p w14:paraId="0103BB4D"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0735348B"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1F2D7B7C"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2EE711DC"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71A503E4"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629337A7"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44CAE09A"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3617531B"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37DC0083"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3</w:t>
            </w:r>
          </w:p>
        </w:tc>
        <w:tc>
          <w:tcPr>
            <w:tcW w:w="772" w:type="dxa"/>
            <w:tcBorders>
              <w:top w:val="nil"/>
              <w:left w:val="nil"/>
              <w:bottom w:val="single" w:sz="4" w:space="0" w:color="auto"/>
              <w:right w:val="single" w:sz="4" w:space="0" w:color="auto"/>
            </w:tcBorders>
            <w:shd w:val="clear" w:color="auto" w:fill="auto"/>
            <w:noWrap/>
            <w:vAlign w:val="bottom"/>
            <w:hideMark/>
          </w:tcPr>
          <w:p w14:paraId="0E0C62EE"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0,84%</w:t>
            </w:r>
          </w:p>
        </w:tc>
        <w:tc>
          <w:tcPr>
            <w:tcW w:w="548" w:type="dxa"/>
            <w:tcBorders>
              <w:top w:val="nil"/>
              <w:left w:val="nil"/>
              <w:bottom w:val="single" w:sz="4" w:space="0" w:color="auto"/>
              <w:right w:val="single" w:sz="8" w:space="0" w:color="auto"/>
            </w:tcBorders>
            <w:shd w:val="clear" w:color="auto" w:fill="auto"/>
            <w:noWrap/>
            <w:vAlign w:val="bottom"/>
            <w:hideMark/>
          </w:tcPr>
          <w:p w14:paraId="0C3C06ED"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3</w:t>
            </w:r>
          </w:p>
        </w:tc>
      </w:tr>
      <w:tr w:rsidR="00B8364E" w:rsidRPr="00670EC9" w14:paraId="1B918C2A" w14:textId="77777777" w:rsidTr="009F574A">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0A092273" w14:textId="77777777" w:rsidR="00B8364E" w:rsidRPr="00670EC9" w:rsidRDefault="00B8364E" w:rsidP="009F574A">
            <w:pPr>
              <w:spacing w:after="0" w:line="240" w:lineRule="auto"/>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Empleado público</w:t>
            </w:r>
          </w:p>
        </w:tc>
        <w:tc>
          <w:tcPr>
            <w:tcW w:w="496" w:type="dxa"/>
            <w:tcBorders>
              <w:top w:val="nil"/>
              <w:left w:val="nil"/>
              <w:bottom w:val="single" w:sz="4" w:space="0" w:color="auto"/>
              <w:right w:val="single" w:sz="4" w:space="0" w:color="auto"/>
            </w:tcBorders>
            <w:shd w:val="clear" w:color="auto" w:fill="auto"/>
            <w:noWrap/>
            <w:vAlign w:val="bottom"/>
            <w:hideMark/>
          </w:tcPr>
          <w:p w14:paraId="1B7B3BEB"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61B66B4E"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2E3F6D5F"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5253ADC7"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6F3E8415"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4C5DFCD5"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4CB96419"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7F42026C"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2263E64B"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16</w:t>
            </w:r>
          </w:p>
        </w:tc>
        <w:tc>
          <w:tcPr>
            <w:tcW w:w="772" w:type="dxa"/>
            <w:tcBorders>
              <w:top w:val="nil"/>
              <w:left w:val="nil"/>
              <w:bottom w:val="single" w:sz="4" w:space="0" w:color="auto"/>
              <w:right w:val="single" w:sz="4" w:space="0" w:color="auto"/>
            </w:tcBorders>
            <w:shd w:val="clear" w:color="auto" w:fill="auto"/>
            <w:noWrap/>
            <w:vAlign w:val="bottom"/>
            <w:hideMark/>
          </w:tcPr>
          <w:p w14:paraId="6D8684DD"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4,46%</w:t>
            </w:r>
          </w:p>
        </w:tc>
        <w:tc>
          <w:tcPr>
            <w:tcW w:w="548" w:type="dxa"/>
            <w:tcBorders>
              <w:top w:val="nil"/>
              <w:left w:val="nil"/>
              <w:bottom w:val="single" w:sz="4" w:space="0" w:color="auto"/>
              <w:right w:val="single" w:sz="8" w:space="0" w:color="auto"/>
            </w:tcBorders>
            <w:shd w:val="clear" w:color="auto" w:fill="auto"/>
            <w:noWrap/>
            <w:vAlign w:val="bottom"/>
            <w:hideMark/>
          </w:tcPr>
          <w:p w14:paraId="5CA40646"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16</w:t>
            </w:r>
          </w:p>
        </w:tc>
      </w:tr>
      <w:tr w:rsidR="00B8364E" w:rsidRPr="00670EC9" w14:paraId="25908FC2" w14:textId="77777777" w:rsidTr="009F574A">
        <w:trPr>
          <w:trHeight w:val="300"/>
        </w:trPr>
        <w:tc>
          <w:tcPr>
            <w:tcW w:w="1560" w:type="dxa"/>
            <w:tcBorders>
              <w:top w:val="nil"/>
              <w:left w:val="single" w:sz="8" w:space="0" w:color="auto"/>
              <w:bottom w:val="single" w:sz="4" w:space="0" w:color="auto"/>
              <w:right w:val="single" w:sz="4" w:space="0" w:color="auto"/>
            </w:tcBorders>
            <w:shd w:val="clear" w:color="auto" w:fill="auto"/>
            <w:noWrap/>
            <w:vAlign w:val="bottom"/>
            <w:hideMark/>
          </w:tcPr>
          <w:p w14:paraId="39BAEDD7" w14:textId="77777777" w:rsidR="00B8364E" w:rsidRPr="00670EC9" w:rsidRDefault="00B8364E" w:rsidP="009F574A">
            <w:pPr>
              <w:spacing w:after="0" w:line="240" w:lineRule="auto"/>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Particular</w:t>
            </w:r>
          </w:p>
        </w:tc>
        <w:tc>
          <w:tcPr>
            <w:tcW w:w="496" w:type="dxa"/>
            <w:tcBorders>
              <w:top w:val="nil"/>
              <w:left w:val="nil"/>
              <w:bottom w:val="single" w:sz="4" w:space="0" w:color="auto"/>
              <w:right w:val="single" w:sz="4" w:space="0" w:color="auto"/>
            </w:tcBorders>
            <w:shd w:val="clear" w:color="auto" w:fill="auto"/>
            <w:noWrap/>
            <w:vAlign w:val="bottom"/>
            <w:hideMark/>
          </w:tcPr>
          <w:p w14:paraId="53432EFD"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536E909A"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53AE44FA"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5F990D46"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0D9F2A33"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2E228BFE"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7E616237"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772" w:type="dxa"/>
            <w:tcBorders>
              <w:top w:val="nil"/>
              <w:left w:val="nil"/>
              <w:bottom w:val="single" w:sz="4" w:space="0" w:color="auto"/>
              <w:right w:val="single" w:sz="4" w:space="0" w:color="auto"/>
            </w:tcBorders>
            <w:shd w:val="clear" w:color="auto" w:fill="auto"/>
            <w:noWrap/>
            <w:vAlign w:val="bottom"/>
            <w:hideMark/>
          </w:tcPr>
          <w:p w14:paraId="7901DB1A"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n/a</w:t>
            </w:r>
          </w:p>
        </w:tc>
        <w:tc>
          <w:tcPr>
            <w:tcW w:w="496" w:type="dxa"/>
            <w:tcBorders>
              <w:top w:val="nil"/>
              <w:left w:val="nil"/>
              <w:bottom w:val="single" w:sz="4" w:space="0" w:color="auto"/>
              <w:right w:val="single" w:sz="4" w:space="0" w:color="auto"/>
            </w:tcBorders>
            <w:shd w:val="clear" w:color="auto" w:fill="auto"/>
            <w:noWrap/>
            <w:vAlign w:val="bottom"/>
            <w:hideMark/>
          </w:tcPr>
          <w:p w14:paraId="573F6FDA"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16</w:t>
            </w:r>
          </w:p>
        </w:tc>
        <w:tc>
          <w:tcPr>
            <w:tcW w:w="772" w:type="dxa"/>
            <w:tcBorders>
              <w:top w:val="nil"/>
              <w:left w:val="nil"/>
              <w:bottom w:val="single" w:sz="4" w:space="0" w:color="auto"/>
              <w:right w:val="single" w:sz="4" w:space="0" w:color="auto"/>
            </w:tcBorders>
            <w:shd w:val="clear" w:color="auto" w:fill="auto"/>
            <w:noWrap/>
            <w:vAlign w:val="bottom"/>
            <w:hideMark/>
          </w:tcPr>
          <w:p w14:paraId="37B2DE54"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4,46%</w:t>
            </w:r>
          </w:p>
        </w:tc>
        <w:tc>
          <w:tcPr>
            <w:tcW w:w="548" w:type="dxa"/>
            <w:tcBorders>
              <w:top w:val="nil"/>
              <w:left w:val="nil"/>
              <w:bottom w:val="single" w:sz="4" w:space="0" w:color="auto"/>
              <w:right w:val="single" w:sz="8" w:space="0" w:color="auto"/>
            </w:tcBorders>
            <w:shd w:val="clear" w:color="auto" w:fill="auto"/>
            <w:noWrap/>
            <w:vAlign w:val="bottom"/>
            <w:hideMark/>
          </w:tcPr>
          <w:p w14:paraId="64081813" w14:textId="77777777" w:rsidR="00B8364E" w:rsidRPr="00670EC9" w:rsidRDefault="00B8364E" w:rsidP="009F574A">
            <w:pPr>
              <w:spacing w:after="0" w:line="240" w:lineRule="auto"/>
              <w:jc w:val="center"/>
              <w:rPr>
                <w:rFonts w:ascii="Arial" w:eastAsia="Times New Roman" w:hAnsi="Arial" w:cs="Arial"/>
                <w:color w:val="000000"/>
                <w:sz w:val="16"/>
                <w:szCs w:val="16"/>
                <w:lang w:eastAsia="es-ES"/>
              </w:rPr>
            </w:pPr>
            <w:r w:rsidRPr="00670EC9">
              <w:rPr>
                <w:rFonts w:ascii="Arial" w:eastAsia="Times New Roman" w:hAnsi="Arial" w:cs="Arial"/>
                <w:color w:val="000000"/>
                <w:sz w:val="16"/>
                <w:szCs w:val="16"/>
                <w:lang w:eastAsia="es-ES"/>
              </w:rPr>
              <w:t>16</w:t>
            </w:r>
          </w:p>
        </w:tc>
      </w:tr>
      <w:tr w:rsidR="00B8364E" w:rsidRPr="00670EC9" w14:paraId="112D851C" w14:textId="77777777" w:rsidTr="009F574A">
        <w:trPr>
          <w:trHeight w:val="300"/>
        </w:trPr>
        <w:tc>
          <w:tcPr>
            <w:tcW w:w="1560" w:type="dxa"/>
            <w:tcBorders>
              <w:top w:val="nil"/>
              <w:left w:val="single" w:sz="8" w:space="0" w:color="auto"/>
              <w:bottom w:val="single" w:sz="8" w:space="0" w:color="auto"/>
              <w:right w:val="single" w:sz="4" w:space="0" w:color="auto"/>
            </w:tcBorders>
            <w:shd w:val="clear" w:color="auto" w:fill="auto"/>
            <w:noWrap/>
            <w:vAlign w:val="bottom"/>
            <w:hideMark/>
          </w:tcPr>
          <w:p w14:paraId="35E7CCCF" w14:textId="77777777" w:rsidR="00B8364E" w:rsidRPr="00670EC9" w:rsidRDefault="00B8364E" w:rsidP="009F574A">
            <w:pPr>
              <w:spacing w:after="0" w:line="240" w:lineRule="auto"/>
              <w:jc w:val="right"/>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TOTAL</w:t>
            </w:r>
          </w:p>
        </w:tc>
        <w:tc>
          <w:tcPr>
            <w:tcW w:w="496" w:type="dxa"/>
            <w:tcBorders>
              <w:top w:val="nil"/>
              <w:left w:val="nil"/>
              <w:bottom w:val="single" w:sz="8" w:space="0" w:color="auto"/>
              <w:right w:val="single" w:sz="4" w:space="0" w:color="auto"/>
            </w:tcBorders>
            <w:shd w:val="clear" w:color="auto" w:fill="auto"/>
            <w:noWrap/>
            <w:vAlign w:val="bottom"/>
            <w:hideMark/>
          </w:tcPr>
          <w:p w14:paraId="18A8F80B"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35</w:t>
            </w:r>
          </w:p>
        </w:tc>
        <w:tc>
          <w:tcPr>
            <w:tcW w:w="772" w:type="dxa"/>
            <w:tcBorders>
              <w:top w:val="nil"/>
              <w:left w:val="nil"/>
              <w:bottom w:val="single" w:sz="8" w:space="0" w:color="auto"/>
              <w:right w:val="single" w:sz="4" w:space="0" w:color="auto"/>
            </w:tcBorders>
            <w:shd w:val="clear" w:color="auto" w:fill="auto"/>
            <w:noWrap/>
            <w:vAlign w:val="bottom"/>
            <w:hideMark/>
          </w:tcPr>
          <w:p w14:paraId="2540857B"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100,00%</w:t>
            </w:r>
          </w:p>
        </w:tc>
        <w:tc>
          <w:tcPr>
            <w:tcW w:w="496" w:type="dxa"/>
            <w:tcBorders>
              <w:top w:val="nil"/>
              <w:left w:val="nil"/>
              <w:bottom w:val="single" w:sz="8" w:space="0" w:color="auto"/>
              <w:right w:val="single" w:sz="4" w:space="0" w:color="auto"/>
            </w:tcBorders>
            <w:shd w:val="clear" w:color="auto" w:fill="auto"/>
            <w:noWrap/>
            <w:vAlign w:val="bottom"/>
            <w:hideMark/>
          </w:tcPr>
          <w:p w14:paraId="374D7E1A"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181</w:t>
            </w:r>
          </w:p>
        </w:tc>
        <w:tc>
          <w:tcPr>
            <w:tcW w:w="772" w:type="dxa"/>
            <w:tcBorders>
              <w:top w:val="nil"/>
              <w:left w:val="nil"/>
              <w:bottom w:val="single" w:sz="8" w:space="0" w:color="auto"/>
              <w:right w:val="single" w:sz="4" w:space="0" w:color="auto"/>
            </w:tcBorders>
            <w:shd w:val="clear" w:color="auto" w:fill="auto"/>
            <w:noWrap/>
            <w:vAlign w:val="bottom"/>
            <w:hideMark/>
          </w:tcPr>
          <w:p w14:paraId="32EB6AB0"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100,00%</w:t>
            </w:r>
          </w:p>
        </w:tc>
        <w:tc>
          <w:tcPr>
            <w:tcW w:w="496" w:type="dxa"/>
            <w:tcBorders>
              <w:top w:val="nil"/>
              <w:left w:val="nil"/>
              <w:bottom w:val="single" w:sz="8" w:space="0" w:color="auto"/>
              <w:right w:val="single" w:sz="4" w:space="0" w:color="auto"/>
            </w:tcBorders>
            <w:shd w:val="clear" w:color="auto" w:fill="auto"/>
            <w:noWrap/>
            <w:vAlign w:val="bottom"/>
            <w:hideMark/>
          </w:tcPr>
          <w:p w14:paraId="0C68A11B"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168</w:t>
            </w:r>
          </w:p>
        </w:tc>
        <w:tc>
          <w:tcPr>
            <w:tcW w:w="772" w:type="dxa"/>
            <w:tcBorders>
              <w:top w:val="nil"/>
              <w:left w:val="nil"/>
              <w:bottom w:val="single" w:sz="8" w:space="0" w:color="auto"/>
              <w:right w:val="single" w:sz="4" w:space="0" w:color="auto"/>
            </w:tcBorders>
            <w:shd w:val="clear" w:color="auto" w:fill="auto"/>
            <w:noWrap/>
            <w:vAlign w:val="bottom"/>
            <w:hideMark/>
          </w:tcPr>
          <w:p w14:paraId="24F94102"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100,00%</w:t>
            </w:r>
          </w:p>
        </w:tc>
        <w:tc>
          <w:tcPr>
            <w:tcW w:w="496" w:type="dxa"/>
            <w:tcBorders>
              <w:top w:val="nil"/>
              <w:left w:val="nil"/>
              <w:bottom w:val="single" w:sz="8" w:space="0" w:color="auto"/>
              <w:right w:val="single" w:sz="4" w:space="0" w:color="auto"/>
            </w:tcBorders>
            <w:shd w:val="clear" w:color="auto" w:fill="auto"/>
            <w:noWrap/>
            <w:vAlign w:val="bottom"/>
            <w:hideMark/>
          </w:tcPr>
          <w:p w14:paraId="093FA60C"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226</w:t>
            </w:r>
          </w:p>
        </w:tc>
        <w:tc>
          <w:tcPr>
            <w:tcW w:w="772" w:type="dxa"/>
            <w:tcBorders>
              <w:top w:val="nil"/>
              <w:left w:val="nil"/>
              <w:bottom w:val="single" w:sz="8" w:space="0" w:color="auto"/>
              <w:right w:val="nil"/>
            </w:tcBorders>
            <w:shd w:val="clear" w:color="auto" w:fill="auto"/>
            <w:noWrap/>
            <w:vAlign w:val="bottom"/>
            <w:hideMark/>
          </w:tcPr>
          <w:p w14:paraId="69D1D64D"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100,00%</w:t>
            </w:r>
          </w:p>
        </w:tc>
        <w:tc>
          <w:tcPr>
            <w:tcW w:w="496" w:type="dxa"/>
            <w:tcBorders>
              <w:top w:val="nil"/>
              <w:left w:val="single" w:sz="4" w:space="0" w:color="auto"/>
              <w:bottom w:val="single" w:sz="8" w:space="0" w:color="auto"/>
              <w:right w:val="single" w:sz="4" w:space="0" w:color="auto"/>
            </w:tcBorders>
            <w:shd w:val="clear" w:color="auto" w:fill="auto"/>
            <w:noWrap/>
            <w:vAlign w:val="bottom"/>
            <w:hideMark/>
          </w:tcPr>
          <w:p w14:paraId="32172DCD"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359</w:t>
            </w:r>
          </w:p>
        </w:tc>
        <w:tc>
          <w:tcPr>
            <w:tcW w:w="772" w:type="dxa"/>
            <w:tcBorders>
              <w:top w:val="nil"/>
              <w:left w:val="nil"/>
              <w:bottom w:val="single" w:sz="8" w:space="0" w:color="auto"/>
              <w:right w:val="single" w:sz="4" w:space="0" w:color="auto"/>
            </w:tcBorders>
            <w:shd w:val="clear" w:color="auto" w:fill="auto"/>
            <w:noWrap/>
            <w:vAlign w:val="bottom"/>
            <w:hideMark/>
          </w:tcPr>
          <w:p w14:paraId="3E44E58B"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100,00%</w:t>
            </w:r>
          </w:p>
        </w:tc>
        <w:tc>
          <w:tcPr>
            <w:tcW w:w="548" w:type="dxa"/>
            <w:tcBorders>
              <w:top w:val="nil"/>
              <w:left w:val="nil"/>
              <w:bottom w:val="single" w:sz="8" w:space="0" w:color="auto"/>
              <w:right w:val="single" w:sz="8" w:space="0" w:color="auto"/>
            </w:tcBorders>
            <w:shd w:val="clear" w:color="auto" w:fill="auto"/>
            <w:noWrap/>
            <w:vAlign w:val="bottom"/>
            <w:hideMark/>
          </w:tcPr>
          <w:p w14:paraId="7426D7B1" w14:textId="77777777" w:rsidR="00B8364E" w:rsidRPr="00670EC9" w:rsidRDefault="00B8364E" w:rsidP="009F574A">
            <w:pPr>
              <w:spacing w:after="0" w:line="240" w:lineRule="auto"/>
              <w:jc w:val="center"/>
              <w:rPr>
                <w:rFonts w:ascii="Arial" w:eastAsia="Times New Roman" w:hAnsi="Arial" w:cs="Arial"/>
                <w:b/>
                <w:bCs/>
                <w:color w:val="000000"/>
                <w:sz w:val="16"/>
                <w:szCs w:val="16"/>
                <w:lang w:eastAsia="es-ES"/>
              </w:rPr>
            </w:pPr>
            <w:r w:rsidRPr="00670EC9">
              <w:rPr>
                <w:rFonts w:ascii="Arial" w:eastAsia="Times New Roman" w:hAnsi="Arial" w:cs="Arial"/>
                <w:b/>
                <w:bCs/>
                <w:color w:val="000000"/>
                <w:sz w:val="16"/>
                <w:szCs w:val="16"/>
                <w:lang w:eastAsia="es-ES"/>
              </w:rPr>
              <w:t>969</w:t>
            </w:r>
          </w:p>
        </w:tc>
      </w:tr>
    </w:tbl>
    <w:p w14:paraId="1A58348D" w14:textId="77777777" w:rsidR="00B8364E" w:rsidRPr="00136B6D" w:rsidRDefault="00B8364E" w:rsidP="00B8364E">
      <w:pPr>
        <w:spacing w:after="120" w:line="276" w:lineRule="auto"/>
        <w:jc w:val="both"/>
        <w:rPr>
          <w:rFonts w:ascii="Arial" w:eastAsia="Times New Roman" w:hAnsi="Arial" w:cs="Arial"/>
          <w:b/>
          <w:sz w:val="21"/>
          <w:szCs w:val="21"/>
          <w:lang w:eastAsia="es-ES"/>
        </w:rPr>
      </w:pPr>
    </w:p>
    <w:p w14:paraId="44E4D399" w14:textId="77777777" w:rsidR="00B8364E" w:rsidRDefault="00B8364E" w:rsidP="005A7684">
      <w:pPr>
        <w:keepNext/>
        <w:spacing w:after="240" w:line="276" w:lineRule="auto"/>
        <w:jc w:val="both"/>
      </w:pPr>
      <w:r w:rsidRPr="00136B6D">
        <w:rPr>
          <w:rFonts w:ascii="Arial" w:eastAsia="Times New Roman" w:hAnsi="Arial" w:cs="Arial"/>
          <w:noProof/>
          <w:sz w:val="21"/>
          <w:szCs w:val="21"/>
          <w:lang w:eastAsia="es-ES"/>
        </w:rPr>
        <w:drawing>
          <wp:inline distT="0" distB="0" distL="0" distR="0" wp14:anchorId="68CD234D" wp14:editId="20D03A22">
            <wp:extent cx="5372652" cy="2647950"/>
            <wp:effectExtent l="0" t="0" r="0" b="0"/>
            <wp:docPr id="73" name="Imagen 73"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descr="Gráfico, Gráfico de barras&#10;&#10;Descripción generada automáticamente"/>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5406601" cy="2664682"/>
                    </a:xfrm>
                    <a:prstGeom prst="rect">
                      <a:avLst/>
                    </a:prstGeom>
                    <a:noFill/>
                  </pic:spPr>
                </pic:pic>
              </a:graphicData>
            </a:graphic>
          </wp:inline>
        </w:drawing>
      </w:r>
    </w:p>
    <w:p w14:paraId="19966E46" w14:textId="66B6EAE5" w:rsidR="00B8364E" w:rsidRPr="00136B6D" w:rsidRDefault="00B8364E" w:rsidP="005A7684">
      <w:pPr>
        <w:pStyle w:val="Descripcin"/>
        <w:spacing w:after="240"/>
        <w:jc w:val="center"/>
        <w:rPr>
          <w:rFonts w:ascii="Arial" w:eastAsia="Times New Roman" w:hAnsi="Arial" w:cs="Arial"/>
          <w:smallCaps w:val="0"/>
          <w:sz w:val="18"/>
          <w:szCs w:val="18"/>
          <w:lang w:eastAsia="es-ES"/>
        </w:rPr>
      </w:pPr>
      <w:bookmarkStart w:id="166" w:name="_Toc95676849"/>
      <w:bookmarkStart w:id="167" w:name="_Toc99099817"/>
      <w:r w:rsidRPr="00A212E2">
        <w:rPr>
          <w:rFonts w:ascii="Arial" w:hAnsi="Arial" w:cs="Arial"/>
          <w:smallCaps w:val="0"/>
          <w:color w:val="9D2235" w:themeColor="accent1"/>
          <w:sz w:val="18"/>
          <w:szCs w:val="18"/>
        </w:rPr>
        <w:t xml:space="preserve">Gráfico </w:t>
      </w:r>
      <w:r w:rsidRPr="00A212E2">
        <w:rPr>
          <w:rFonts w:ascii="Arial" w:hAnsi="Arial" w:cs="Arial"/>
          <w:smallCaps w:val="0"/>
          <w:color w:val="9D2235" w:themeColor="accent1"/>
          <w:sz w:val="18"/>
          <w:szCs w:val="18"/>
        </w:rPr>
        <w:fldChar w:fldCharType="begin" w:fldLock="1"/>
      </w:r>
      <w:r w:rsidRPr="00A212E2">
        <w:rPr>
          <w:rFonts w:ascii="Arial" w:hAnsi="Arial" w:cs="Arial"/>
          <w:smallCaps w:val="0"/>
          <w:color w:val="9D2235" w:themeColor="accent1"/>
          <w:sz w:val="18"/>
          <w:szCs w:val="18"/>
        </w:rPr>
        <w:instrText xml:space="preserve"> SEQ Gráfico \* ARABIC </w:instrText>
      </w:r>
      <w:r w:rsidRPr="00A212E2">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18</w:t>
      </w:r>
      <w:r w:rsidRPr="00A212E2">
        <w:rPr>
          <w:rFonts w:ascii="Arial" w:hAnsi="Arial" w:cs="Arial"/>
          <w:smallCaps w:val="0"/>
          <w:color w:val="9D2235" w:themeColor="accent1"/>
          <w:sz w:val="18"/>
          <w:szCs w:val="18"/>
        </w:rPr>
        <w:fldChar w:fldCharType="end"/>
      </w:r>
      <w:r w:rsidRPr="00A212E2">
        <w:rPr>
          <w:rFonts w:ascii="Arial" w:hAnsi="Arial" w:cs="Arial"/>
          <w:smallCaps w:val="0"/>
          <w:color w:val="9D2235" w:themeColor="accent1"/>
          <w:sz w:val="18"/>
          <w:szCs w:val="18"/>
        </w:rPr>
        <w:t xml:space="preserve">. </w:t>
      </w:r>
      <w:r w:rsidRPr="00A212E2">
        <w:rPr>
          <w:rFonts w:ascii="Arial" w:hAnsi="Arial" w:cs="Arial"/>
          <w:smallCaps w:val="0"/>
          <w:sz w:val="18"/>
          <w:szCs w:val="18"/>
        </w:rPr>
        <w:t>Denuncias presentadas según la tipología, condición o naturaleza del comunicante</w:t>
      </w:r>
      <w:bookmarkEnd w:id="166"/>
      <w:bookmarkEnd w:id="167"/>
    </w:p>
    <w:p w14:paraId="3B11372A" w14:textId="77777777" w:rsidR="00B8364E" w:rsidRPr="00136B6D" w:rsidRDefault="00B8364E" w:rsidP="00B8364E">
      <w:pPr>
        <w:spacing w:after="240" w:line="276" w:lineRule="auto"/>
        <w:jc w:val="both"/>
        <w:rPr>
          <w:rFonts w:ascii="Arial" w:eastAsia="Times New Roman" w:hAnsi="Arial" w:cs="Arial"/>
          <w:sz w:val="21"/>
          <w:szCs w:val="21"/>
          <w:lang w:eastAsia="es-ES"/>
        </w:rPr>
      </w:pPr>
      <w:r w:rsidRPr="00136B6D">
        <w:rPr>
          <w:rFonts w:ascii="Arial" w:eastAsia="Times New Roman" w:hAnsi="Arial" w:cs="Arial"/>
          <w:sz w:val="21"/>
          <w:szCs w:val="21"/>
          <w:lang w:eastAsia="es-ES"/>
        </w:rPr>
        <w:t>De los datos incluidos en las tablas anteriores</w:t>
      </w:r>
      <w:r>
        <w:rPr>
          <w:rFonts w:ascii="Arial" w:eastAsia="Times New Roman" w:hAnsi="Arial" w:cs="Arial"/>
          <w:sz w:val="21"/>
          <w:szCs w:val="21"/>
          <w:lang w:eastAsia="es-ES"/>
        </w:rPr>
        <w:t>,</w:t>
      </w:r>
      <w:r w:rsidRPr="00136B6D">
        <w:rPr>
          <w:rFonts w:ascii="Arial" w:eastAsia="Times New Roman" w:hAnsi="Arial" w:cs="Arial"/>
          <w:sz w:val="21"/>
          <w:szCs w:val="21"/>
          <w:lang w:eastAsia="es-ES"/>
        </w:rPr>
        <w:t xml:space="preserve"> se puede observar que, en 2021</w:t>
      </w:r>
      <w:r>
        <w:rPr>
          <w:rFonts w:ascii="Arial" w:eastAsia="Times New Roman" w:hAnsi="Arial" w:cs="Arial"/>
          <w:sz w:val="21"/>
          <w:szCs w:val="21"/>
          <w:lang w:eastAsia="es-ES"/>
        </w:rPr>
        <w:t>,</w:t>
      </w:r>
      <w:r w:rsidRPr="00136B6D">
        <w:rPr>
          <w:rFonts w:ascii="Arial" w:eastAsia="Times New Roman" w:hAnsi="Arial" w:cs="Arial"/>
          <w:sz w:val="21"/>
          <w:szCs w:val="21"/>
          <w:lang w:eastAsia="es-ES"/>
        </w:rPr>
        <w:t xml:space="preserve"> el 55,43% del total de denuncias se han presentado anónimas, porcentaje que ha aumentado respecto los dos años precedentes, siendo el ejercicio con mayor volumen de denuncias anónimas.</w:t>
      </w:r>
    </w:p>
    <w:p w14:paraId="1522767C" w14:textId="1E7E27E4" w:rsidR="00B8364E" w:rsidRPr="00136B6D" w:rsidRDefault="00B8364E" w:rsidP="00B8364E">
      <w:pPr>
        <w:spacing w:after="240" w:line="276" w:lineRule="auto"/>
        <w:jc w:val="both"/>
        <w:rPr>
          <w:rFonts w:ascii="Arial" w:eastAsia="Times New Roman" w:hAnsi="Arial" w:cs="Arial"/>
          <w:sz w:val="21"/>
          <w:szCs w:val="21"/>
          <w:lang w:eastAsia="es-ES"/>
        </w:rPr>
      </w:pPr>
      <w:r w:rsidRPr="00136B6D">
        <w:rPr>
          <w:rFonts w:ascii="Arial" w:eastAsia="Times New Roman" w:hAnsi="Arial" w:cs="Arial"/>
          <w:sz w:val="21"/>
          <w:szCs w:val="21"/>
          <w:lang w:eastAsia="es-ES"/>
        </w:rPr>
        <w:t>De las denuncias identificadas, el 39,55% han sido presentadas por personas físicas, representando una minoración de más de 12% porcentuales respecto a 2020, y dentro de estas, el 15,60% de las denuncias presentadas corresponden con empleados públicos. Las denuncias presentadas por personas jurídicas identificadas representan el 5,01% del total</w:t>
      </w:r>
      <w:r>
        <w:rPr>
          <w:rFonts w:ascii="Arial" w:eastAsia="Times New Roman" w:hAnsi="Arial" w:cs="Arial"/>
          <w:sz w:val="21"/>
          <w:szCs w:val="21"/>
          <w:lang w:eastAsia="es-ES"/>
        </w:rPr>
        <w:t>,</w:t>
      </w:r>
      <w:r w:rsidRPr="00136B6D">
        <w:rPr>
          <w:rFonts w:ascii="Arial" w:eastAsia="Times New Roman" w:hAnsi="Arial" w:cs="Arial"/>
          <w:sz w:val="21"/>
          <w:szCs w:val="21"/>
          <w:lang w:eastAsia="es-ES"/>
        </w:rPr>
        <w:t xml:space="preserve"> frente al 6,64% que representaban en 2020.</w:t>
      </w:r>
    </w:p>
    <w:p w14:paraId="6C908540" w14:textId="257B96CE" w:rsidR="009D6E85" w:rsidRPr="00483E19" w:rsidRDefault="009D6E85" w:rsidP="00AC1A12">
      <w:pPr>
        <w:pStyle w:val="Prrafodelista"/>
        <w:keepNext/>
        <w:numPr>
          <w:ilvl w:val="2"/>
          <w:numId w:val="17"/>
        </w:numPr>
        <w:spacing w:before="360" w:after="240" w:line="276" w:lineRule="auto"/>
        <w:ind w:left="426" w:hanging="505"/>
        <w:jc w:val="both"/>
        <w:outlineLvl w:val="2"/>
        <w:rPr>
          <w:rFonts w:ascii="Arial" w:eastAsia="Times New Roman" w:hAnsi="Arial" w:cs="Arial"/>
          <w:b/>
          <w:bCs/>
          <w:color w:val="9D2235" w:themeColor="accent1"/>
          <w:sz w:val="28"/>
          <w:szCs w:val="28"/>
          <w:lang w:eastAsia="es-ES"/>
        </w:rPr>
      </w:pPr>
      <w:bookmarkStart w:id="168" w:name="_Toc99107015"/>
      <w:r>
        <w:rPr>
          <w:rFonts w:ascii="Arial" w:eastAsia="Times New Roman" w:hAnsi="Arial" w:cs="Arial"/>
          <w:b/>
          <w:bCs/>
          <w:color w:val="9D2235" w:themeColor="accent1"/>
          <w:sz w:val="28"/>
          <w:szCs w:val="28"/>
          <w:lang w:eastAsia="es-ES"/>
        </w:rPr>
        <w:t>Denuncias de personas físicas clasificadas por género</w:t>
      </w:r>
      <w:bookmarkEnd w:id="168"/>
    </w:p>
    <w:p w14:paraId="2BE59731" w14:textId="77777777" w:rsidR="00B8364E" w:rsidRPr="00D42A91" w:rsidRDefault="00B8364E" w:rsidP="00B8364E">
      <w:pPr>
        <w:spacing w:after="240" w:line="276" w:lineRule="auto"/>
        <w:jc w:val="both"/>
        <w:rPr>
          <w:rFonts w:ascii="Arial" w:eastAsia="Times New Roman" w:hAnsi="Arial" w:cs="Arial"/>
          <w:sz w:val="21"/>
          <w:szCs w:val="21"/>
          <w:lang w:eastAsia="es-ES"/>
        </w:rPr>
      </w:pPr>
      <w:r w:rsidRPr="00D42A91">
        <w:rPr>
          <w:rFonts w:ascii="Arial" w:eastAsia="Times New Roman" w:hAnsi="Arial" w:cs="Arial"/>
          <w:sz w:val="21"/>
          <w:szCs w:val="21"/>
          <w:lang w:eastAsia="es-ES"/>
        </w:rPr>
        <w:t>Siguiendo con la información facilitada en las anteriores memorias de la Agencia, se finaliza la exposición de datos de relevancia estadística</w:t>
      </w:r>
      <w:r>
        <w:rPr>
          <w:rFonts w:ascii="Arial" w:eastAsia="Times New Roman" w:hAnsi="Arial" w:cs="Arial"/>
          <w:sz w:val="21"/>
          <w:szCs w:val="21"/>
          <w:lang w:eastAsia="es-ES"/>
        </w:rPr>
        <w:t>,</w:t>
      </w:r>
      <w:r w:rsidRPr="00D42A91">
        <w:rPr>
          <w:rFonts w:ascii="Arial" w:eastAsia="Times New Roman" w:hAnsi="Arial" w:cs="Arial"/>
          <w:sz w:val="21"/>
          <w:szCs w:val="21"/>
          <w:lang w:eastAsia="es-ES"/>
        </w:rPr>
        <w:t xml:space="preserve"> realizándose un breve análisis de la distribución de las denuncias según el género del denunciante, en aquellos supuestos en los que se ha podido identificar el mismo.</w:t>
      </w:r>
    </w:p>
    <w:p w14:paraId="21E5F1E4" w14:textId="6EDF0377" w:rsidR="00B8364E" w:rsidRPr="00D42A91" w:rsidRDefault="00B8364E" w:rsidP="00B8364E">
      <w:pPr>
        <w:pStyle w:val="Descripcin"/>
        <w:keepNext/>
        <w:rPr>
          <w:rFonts w:ascii="Arial" w:hAnsi="Arial" w:cs="Arial"/>
          <w:smallCaps w:val="0"/>
          <w:sz w:val="18"/>
          <w:szCs w:val="18"/>
        </w:rPr>
      </w:pPr>
      <w:bookmarkStart w:id="169" w:name="_Toc95676802"/>
      <w:bookmarkStart w:id="170" w:name="_Toc99107152"/>
      <w:r w:rsidRPr="00D42A91">
        <w:rPr>
          <w:rFonts w:ascii="Arial" w:hAnsi="Arial" w:cs="Arial"/>
          <w:smallCaps w:val="0"/>
          <w:color w:val="9D2235" w:themeColor="accent1"/>
          <w:sz w:val="18"/>
          <w:szCs w:val="18"/>
        </w:rPr>
        <w:t xml:space="preserve">Tabla </w:t>
      </w:r>
      <w:r w:rsidRPr="00D42A91">
        <w:rPr>
          <w:rFonts w:ascii="Arial" w:hAnsi="Arial" w:cs="Arial"/>
          <w:smallCaps w:val="0"/>
          <w:color w:val="9D2235" w:themeColor="accent1"/>
          <w:sz w:val="18"/>
          <w:szCs w:val="18"/>
        </w:rPr>
        <w:fldChar w:fldCharType="begin" w:fldLock="1"/>
      </w:r>
      <w:r w:rsidRPr="00D42A91">
        <w:rPr>
          <w:rFonts w:ascii="Arial" w:hAnsi="Arial" w:cs="Arial"/>
          <w:smallCaps w:val="0"/>
          <w:color w:val="9D2235" w:themeColor="accent1"/>
          <w:sz w:val="18"/>
          <w:szCs w:val="18"/>
        </w:rPr>
        <w:instrText xml:space="preserve"> SEQ Tabla \* ARABIC </w:instrText>
      </w:r>
      <w:r w:rsidRPr="00D42A91">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14</w:t>
      </w:r>
      <w:r w:rsidRPr="00D42A91">
        <w:rPr>
          <w:rFonts w:ascii="Arial" w:hAnsi="Arial" w:cs="Arial"/>
          <w:smallCaps w:val="0"/>
          <w:color w:val="9D2235" w:themeColor="accent1"/>
          <w:sz w:val="18"/>
          <w:szCs w:val="18"/>
        </w:rPr>
        <w:fldChar w:fldCharType="end"/>
      </w:r>
      <w:r w:rsidRPr="00D42A91">
        <w:rPr>
          <w:rFonts w:ascii="Arial" w:hAnsi="Arial" w:cs="Arial"/>
          <w:smallCaps w:val="0"/>
          <w:color w:val="9D2235" w:themeColor="accent1"/>
          <w:sz w:val="18"/>
          <w:szCs w:val="18"/>
        </w:rPr>
        <w:t xml:space="preserve">. </w:t>
      </w:r>
      <w:r w:rsidRPr="00D42A91">
        <w:rPr>
          <w:rFonts w:ascii="Arial" w:hAnsi="Arial" w:cs="Arial"/>
          <w:smallCaps w:val="0"/>
          <w:sz w:val="18"/>
          <w:szCs w:val="18"/>
        </w:rPr>
        <w:t>Denuncias de personas físicas clasificadas por género</w:t>
      </w:r>
      <w:bookmarkEnd w:id="169"/>
      <w:bookmarkEnd w:id="170"/>
    </w:p>
    <w:tbl>
      <w:tblPr>
        <w:tblW w:w="5000" w:type="pct"/>
        <w:tblCellMar>
          <w:left w:w="70" w:type="dxa"/>
          <w:right w:w="70" w:type="dxa"/>
        </w:tblCellMar>
        <w:tblLook w:val="04A0" w:firstRow="1" w:lastRow="0" w:firstColumn="1" w:lastColumn="0" w:noHBand="0" w:noVBand="1"/>
      </w:tblPr>
      <w:tblGrid>
        <w:gridCol w:w="1821"/>
        <w:gridCol w:w="400"/>
        <w:gridCol w:w="851"/>
        <w:gridCol w:w="400"/>
        <w:gridCol w:w="851"/>
        <w:gridCol w:w="402"/>
        <w:gridCol w:w="852"/>
        <w:gridCol w:w="511"/>
        <w:gridCol w:w="744"/>
        <w:gridCol w:w="676"/>
        <w:gridCol w:w="976"/>
      </w:tblGrid>
      <w:tr w:rsidR="00B8364E" w:rsidRPr="00F95832" w14:paraId="08D9AD51" w14:textId="77777777" w:rsidTr="009F574A">
        <w:trPr>
          <w:trHeight w:val="300"/>
          <w:tblHeader/>
        </w:trPr>
        <w:tc>
          <w:tcPr>
            <w:tcW w:w="1053" w:type="pct"/>
            <w:vMerge w:val="restart"/>
            <w:tcBorders>
              <w:top w:val="single" w:sz="8" w:space="0" w:color="auto"/>
              <w:left w:val="single" w:sz="8" w:space="0" w:color="auto"/>
              <w:bottom w:val="single" w:sz="4" w:space="0" w:color="auto"/>
              <w:right w:val="single" w:sz="4" w:space="0" w:color="auto"/>
            </w:tcBorders>
            <w:shd w:val="clear" w:color="000000" w:fill="B6A39A"/>
            <w:noWrap/>
            <w:vAlign w:val="center"/>
            <w:hideMark/>
          </w:tcPr>
          <w:p w14:paraId="0D7D8F6C" w14:textId="77777777" w:rsidR="00B8364E" w:rsidRPr="00F95832" w:rsidRDefault="00B8364E" w:rsidP="009F574A">
            <w:pPr>
              <w:spacing w:after="0" w:line="240" w:lineRule="auto"/>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Género persona física</w:t>
            </w:r>
          </w:p>
        </w:tc>
        <w:tc>
          <w:tcPr>
            <w:tcW w:w="742"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24F3E2AD"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2017</w:t>
            </w:r>
          </w:p>
        </w:tc>
        <w:tc>
          <w:tcPr>
            <w:tcW w:w="742"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3B4BC26B"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2018</w:t>
            </w:r>
          </w:p>
        </w:tc>
        <w:tc>
          <w:tcPr>
            <w:tcW w:w="743"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646E45DB"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2019</w:t>
            </w:r>
          </w:p>
        </w:tc>
        <w:tc>
          <w:tcPr>
            <w:tcW w:w="743" w:type="pct"/>
            <w:gridSpan w:val="2"/>
            <w:tcBorders>
              <w:top w:val="single" w:sz="8" w:space="0" w:color="auto"/>
              <w:left w:val="nil"/>
              <w:bottom w:val="single" w:sz="4" w:space="0" w:color="auto"/>
              <w:right w:val="single" w:sz="8" w:space="0" w:color="000000"/>
            </w:tcBorders>
            <w:shd w:val="clear" w:color="000000" w:fill="B6A39A"/>
            <w:noWrap/>
            <w:vAlign w:val="bottom"/>
            <w:hideMark/>
          </w:tcPr>
          <w:p w14:paraId="757ACB3B"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2020</w:t>
            </w:r>
          </w:p>
        </w:tc>
        <w:tc>
          <w:tcPr>
            <w:tcW w:w="978" w:type="pct"/>
            <w:gridSpan w:val="2"/>
            <w:tcBorders>
              <w:top w:val="single" w:sz="8" w:space="0" w:color="auto"/>
              <w:left w:val="single" w:sz="4" w:space="0" w:color="auto"/>
              <w:bottom w:val="single" w:sz="4" w:space="0" w:color="auto"/>
              <w:right w:val="single" w:sz="8" w:space="0" w:color="000000"/>
            </w:tcBorders>
            <w:shd w:val="clear" w:color="000000" w:fill="B6A39A"/>
            <w:noWrap/>
            <w:vAlign w:val="bottom"/>
            <w:hideMark/>
          </w:tcPr>
          <w:p w14:paraId="02D38D20"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2021</w:t>
            </w:r>
          </w:p>
        </w:tc>
      </w:tr>
      <w:tr w:rsidR="00B8364E" w:rsidRPr="00F95832" w14:paraId="032A0433" w14:textId="77777777" w:rsidTr="009F574A">
        <w:trPr>
          <w:trHeight w:val="300"/>
          <w:tblHeader/>
        </w:trPr>
        <w:tc>
          <w:tcPr>
            <w:tcW w:w="1053" w:type="pct"/>
            <w:vMerge/>
            <w:tcBorders>
              <w:top w:val="single" w:sz="8" w:space="0" w:color="auto"/>
              <w:left w:val="single" w:sz="8" w:space="0" w:color="auto"/>
              <w:bottom w:val="single" w:sz="4" w:space="0" w:color="auto"/>
              <w:right w:val="single" w:sz="4" w:space="0" w:color="auto"/>
            </w:tcBorders>
            <w:vAlign w:val="center"/>
            <w:hideMark/>
          </w:tcPr>
          <w:p w14:paraId="21DAA1BF" w14:textId="77777777" w:rsidR="00B8364E" w:rsidRPr="00F95832" w:rsidRDefault="00B8364E" w:rsidP="009F574A">
            <w:pPr>
              <w:spacing w:after="0" w:line="240" w:lineRule="auto"/>
              <w:rPr>
                <w:rFonts w:ascii="Arial" w:eastAsia="Times New Roman" w:hAnsi="Arial" w:cs="Arial"/>
                <w:b/>
                <w:bCs/>
                <w:color w:val="000000"/>
                <w:sz w:val="16"/>
                <w:szCs w:val="16"/>
                <w:lang w:eastAsia="es-ES"/>
              </w:rPr>
            </w:pPr>
          </w:p>
        </w:tc>
        <w:tc>
          <w:tcPr>
            <w:tcW w:w="238" w:type="pct"/>
            <w:tcBorders>
              <w:top w:val="nil"/>
              <w:left w:val="nil"/>
              <w:bottom w:val="single" w:sz="4" w:space="0" w:color="auto"/>
              <w:right w:val="single" w:sz="4" w:space="0" w:color="auto"/>
            </w:tcBorders>
            <w:shd w:val="clear" w:color="000000" w:fill="B6A39A"/>
            <w:noWrap/>
            <w:vAlign w:val="bottom"/>
            <w:hideMark/>
          </w:tcPr>
          <w:p w14:paraId="5B7BD206"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 </w:t>
            </w:r>
          </w:p>
        </w:tc>
        <w:tc>
          <w:tcPr>
            <w:tcW w:w="503" w:type="pct"/>
            <w:tcBorders>
              <w:top w:val="nil"/>
              <w:left w:val="nil"/>
              <w:bottom w:val="single" w:sz="4" w:space="0" w:color="auto"/>
              <w:right w:val="single" w:sz="4" w:space="0" w:color="auto"/>
            </w:tcBorders>
            <w:shd w:val="clear" w:color="000000" w:fill="B6A39A"/>
            <w:noWrap/>
            <w:vAlign w:val="bottom"/>
            <w:hideMark/>
          </w:tcPr>
          <w:p w14:paraId="3835233C"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w:t>
            </w:r>
          </w:p>
        </w:tc>
        <w:tc>
          <w:tcPr>
            <w:tcW w:w="238" w:type="pct"/>
            <w:tcBorders>
              <w:top w:val="nil"/>
              <w:left w:val="nil"/>
              <w:bottom w:val="single" w:sz="4" w:space="0" w:color="auto"/>
              <w:right w:val="single" w:sz="4" w:space="0" w:color="auto"/>
            </w:tcBorders>
            <w:shd w:val="clear" w:color="000000" w:fill="B6A39A"/>
            <w:noWrap/>
            <w:vAlign w:val="bottom"/>
            <w:hideMark/>
          </w:tcPr>
          <w:p w14:paraId="699577EE"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 </w:t>
            </w:r>
          </w:p>
        </w:tc>
        <w:tc>
          <w:tcPr>
            <w:tcW w:w="503" w:type="pct"/>
            <w:tcBorders>
              <w:top w:val="nil"/>
              <w:left w:val="nil"/>
              <w:bottom w:val="single" w:sz="4" w:space="0" w:color="auto"/>
              <w:right w:val="single" w:sz="4" w:space="0" w:color="auto"/>
            </w:tcBorders>
            <w:shd w:val="clear" w:color="000000" w:fill="B6A39A"/>
            <w:noWrap/>
            <w:vAlign w:val="bottom"/>
            <w:hideMark/>
          </w:tcPr>
          <w:p w14:paraId="2626DC13"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w:t>
            </w:r>
          </w:p>
        </w:tc>
        <w:tc>
          <w:tcPr>
            <w:tcW w:w="239" w:type="pct"/>
            <w:tcBorders>
              <w:top w:val="nil"/>
              <w:left w:val="nil"/>
              <w:bottom w:val="single" w:sz="4" w:space="0" w:color="auto"/>
              <w:right w:val="single" w:sz="4" w:space="0" w:color="auto"/>
            </w:tcBorders>
            <w:shd w:val="clear" w:color="000000" w:fill="B6A39A"/>
            <w:noWrap/>
            <w:vAlign w:val="bottom"/>
            <w:hideMark/>
          </w:tcPr>
          <w:p w14:paraId="3BD58CFC"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 </w:t>
            </w:r>
          </w:p>
        </w:tc>
        <w:tc>
          <w:tcPr>
            <w:tcW w:w="504" w:type="pct"/>
            <w:tcBorders>
              <w:top w:val="nil"/>
              <w:left w:val="nil"/>
              <w:bottom w:val="single" w:sz="4" w:space="0" w:color="auto"/>
              <w:right w:val="single" w:sz="4" w:space="0" w:color="auto"/>
            </w:tcBorders>
            <w:shd w:val="clear" w:color="000000" w:fill="B6A39A"/>
            <w:noWrap/>
            <w:vAlign w:val="bottom"/>
            <w:hideMark/>
          </w:tcPr>
          <w:p w14:paraId="0A8E6F59"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w:t>
            </w:r>
          </w:p>
        </w:tc>
        <w:tc>
          <w:tcPr>
            <w:tcW w:w="303" w:type="pct"/>
            <w:tcBorders>
              <w:top w:val="nil"/>
              <w:left w:val="nil"/>
              <w:bottom w:val="single" w:sz="4" w:space="0" w:color="auto"/>
              <w:right w:val="single" w:sz="4" w:space="0" w:color="auto"/>
            </w:tcBorders>
            <w:shd w:val="clear" w:color="000000" w:fill="B6A39A"/>
            <w:noWrap/>
            <w:vAlign w:val="bottom"/>
            <w:hideMark/>
          </w:tcPr>
          <w:p w14:paraId="15526DF8"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 </w:t>
            </w:r>
          </w:p>
        </w:tc>
        <w:tc>
          <w:tcPr>
            <w:tcW w:w="440" w:type="pct"/>
            <w:tcBorders>
              <w:top w:val="nil"/>
              <w:left w:val="nil"/>
              <w:bottom w:val="single" w:sz="4" w:space="0" w:color="auto"/>
              <w:right w:val="single" w:sz="8" w:space="0" w:color="auto"/>
            </w:tcBorders>
            <w:shd w:val="clear" w:color="000000" w:fill="B6A39A"/>
            <w:noWrap/>
            <w:vAlign w:val="bottom"/>
            <w:hideMark/>
          </w:tcPr>
          <w:p w14:paraId="16518542"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w:t>
            </w:r>
          </w:p>
        </w:tc>
        <w:tc>
          <w:tcPr>
            <w:tcW w:w="400" w:type="pct"/>
            <w:tcBorders>
              <w:top w:val="nil"/>
              <w:left w:val="single" w:sz="4" w:space="0" w:color="auto"/>
              <w:bottom w:val="single" w:sz="4" w:space="0" w:color="auto"/>
              <w:right w:val="single" w:sz="4" w:space="0" w:color="auto"/>
            </w:tcBorders>
            <w:shd w:val="clear" w:color="000000" w:fill="B6A39A"/>
            <w:noWrap/>
            <w:vAlign w:val="bottom"/>
            <w:hideMark/>
          </w:tcPr>
          <w:p w14:paraId="5071F75D"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 </w:t>
            </w:r>
          </w:p>
        </w:tc>
        <w:tc>
          <w:tcPr>
            <w:tcW w:w="577" w:type="pct"/>
            <w:tcBorders>
              <w:top w:val="nil"/>
              <w:left w:val="nil"/>
              <w:bottom w:val="single" w:sz="4" w:space="0" w:color="auto"/>
              <w:right w:val="single" w:sz="8" w:space="0" w:color="auto"/>
            </w:tcBorders>
            <w:shd w:val="clear" w:color="000000" w:fill="B6A39A"/>
            <w:noWrap/>
            <w:vAlign w:val="bottom"/>
            <w:hideMark/>
          </w:tcPr>
          <w:p w14:paraId="3F2B8214"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w:t>
            </w:r>
          </w:p>
        </w:tc>
      </w:tr>
      <w:tr w:rsidR="00B8364E" w:rsidRPr="00F95832" w14:paraId="072E0B41" w14:textId="77777777" w:rsidTr="009F574A">
        <w:trPr>
          <w:trHeight w:val="300"/>
        </w:trPr>
        <w:tc>
          <w:tcPr>
            <w:tcW w:w="1053" w:type="pct"/>
            <w:tcBorders>
              <w:top w:val="nil"/>
              <w:left w:val="single" w:sz="8" w:space="0" w:color="auto"/>
              <w:bottom w:val="single" w:sz="4" w:space="0" w:color="auto"/>
              <w:right w:val="single" w:sz="4" w:space="0" w:color="auto"/>
            </w:tcBorders>
            <w:shd w:val="clear" w:color="auto" w:fill="auto"/>
            <w:noWrap/>
            <w:vAlign w:val="bottom"/>
            <w:hideMark/>
          </w:tcPr>
          <w:p w14:paraId="7DEFBE36" w14:textId="77777777" w:rsidR="00B8364E" w:rsidRPr="00F95832" w:rsidRDefault="00B8364E" w:rsidP="009F574A">
            <w:pPr>
              <w:spacing w:after="0" w:line="240" w:lineRule="auto"/>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Hombre</w:t>
            </w:r>
          </w:p>
        </w:tc>
        <w:tc>
          <w:tcPr>
            <w:tcW w:w="238" w:type="pct"/>
            <w:tcBorders>
              <w:top w:val="nil"/>
              <w:left w:val="nil"/>
              <w:bottom w:val="single" w:sz="4" w:space="0" w:color="auto"/>
              <w:right w:val="single" w:sz="4" w:space="0" w:color="auto"/>
            </w:tcBorders>
            <w:shd w:val="clear" w:color="auto" w:fill="auto"/>
            <w:noWrap/>
            <w:vAlign w:val="bottom"/>
            <w:hideMark/>
          </w:tcPr>
          <w:p w14:paraId="71612BD5"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29</w:t>
            </w:r>
          </w:p>
        </w:tc>
        <w:tc>
          <w:tcPr>
            <w:tcW w:w="503" w:type="pct"/>
            <w:tcBorders>
              <w:top w:val="nil"/>
              <w:left w:val="nil"/>
              <w:bottom w:val="single" w:sz="4" w:space="0" w:color="auto"/>
              <w:right w:val="single" w:sz="4" w:space="0" w:color="auto"/>
            </w:tcBorders>
            <w:shd w:val="clear" w:color="auto" w:fill="auto"/>
            <w:noWrap/>
            <w:vAlign w:val="bottom"/>
            <w:hideMark/>
          </w:tcPr>
          <w:p w14:paraId="37DB71DB"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100%</w:t>
            </w:r>
          </w:p>
        </w:tc>
        <w:tc>
          <w:tcPr>
            <w:tcW w:w="238" w:type="pct"/>
            <w:tcBorders>
              <w:top w:val="nil"/>
              <w:left w:val="nil"/>
              <w:bottom w:val="single" w:sz="4" w:space="0" w:color="auto"/>
              <w:right w:val="single" w:sz="4" w:space="0" w:color="auto"/>
            </w:tcBorders>
            <w:shd w:val="clear" w:color="auto" w:fill="auto"/>
            <w:noWrap/>
            <w:vAlign w:val="bottom"/>
            <w:hideMark/>
          </w:tcPr>
          <w:p w14:paraId="78ABB28D"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57</w:t>
            </w:r>
          </w:p>
        </w:tc>
        <w:tc>
          <w:tcPr>
            <w:tcW w:w="503" w:type="pct"/>
            <w:tcBorders>
              <w:top w:val="nil"/>
              <w:left w:val="nil"/>
              <w:bottom w:val="single" w:sz="4" w:space="0" w:color="auto"/>
              <w:right w:val="single" w:sz="4" w:space="0" w:color="auto"/>
            </w:tcBorders>
            <w:shd w:val="clear" w:color="auto" w:fill="auto"/>
            <w:noWrap/>
            <w:vAlign w:val="bottom"/>
            <w:hideMark/>
          </w:tcPr>
          <w:p w14:paraId="6DEDBCD0"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75%</w:t>
            </w:r>
          </w:p>
        </w:tc>
        <w:tc>
          <w:tcPr>
            <w:tcW w:w="239" w:type="pct"/>
            <w:tcBorders>
              <w:top w:val="nil"/>
              <w:left w:val="nil"/>
              <w:bottom w:val="single" w:sz="4" w:space="0" w:color="auto"/>
              <w:right w:val="single" w:sz="4" w:space="0" w:color="auto"/>
            </w:tcBorders>
            <w:shd w:val="clear" w:color="auto" w:fill="auto"/>
            <w:noWrap/>
            <w:vAlign w:val="bottom"/>
            <w:hideMark/>
          </w:tcPr>
          <w:p w14:paraId="54715F7D"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59</w:t>
            </w:r>
          </w:p>
        </w:tc>
        <w:tc>
          <w:tcPr>
            <w:tcW w:w="504" w:type="pct"/>
            <w:tcBorders>
              <w:top w:val="nil"/>
              <w:left w:val="nil"/>
              <w:bottom w:val="single" w:sz="4" w:space="0" w:color="auto"/>
              <w:right w:val="single" w:sz="4" w:space="0" w:color="auto"/>
            </w:tcBorders>
            <w:shd w:val="clear" w:color="auto" w:fill="auto"/>
            <w:noWrap/>
            <w:vAlign w:val="bottom"/>
            <w:hideMark/>
          </w:tcPr>
          <w:p w14:paraId="1C6915DB"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73%</w:t>
            </w:r>
          </w:p>
        </w:tc>
        <w:tc>
          <w:tcPr>
            <w:tcW w:w="303" w:type="pct"/>
            <w:tcBorders>
              <w:top w:val="nil"/>
              <w:left w:val="nil"/>
              <w:bottom w:val="single" w:sz="4" w:space="0" w:color="auto"/>
              <w:right w:val="single" w:sz="4" w:space="0" w:color="auto"/>
            </w:tcBorders>
            <w:shd w:val="clear" w:color="auto" w:fill="auto"/>
            <w:noWrap/>
            <w:vAlign w:val="bottom"/>
            <w:hideMark/>
          </w:tcPr>
          <w:p w14:paraId="06782510"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99</w:t>
            </w:r>
          </w:p>
        </w:tc>
        <w:tc>
          <w:tcPr>
            <w:tcW w:w="440" w:type="pct"/>
            <w:tcBorders>
              <w:top w:val="nil"/>
              <w:left w:val="nil"/>
              <w:bottom w:val="single" w:sz="4" w:space="0" w:color="auto"/>
              <w:right w:val="single" w:sz="8" w:space="0" w:color="auto"/>
            </w:tcBorders>
            <w:shd w:val="clear" w:color="auto" w:fill="auto"/>
            <w:noWrap/>
            <w:vAlign w:val="bottom"/>
            <w:hideMark/>
          </w:tcPr>
          <w:p w14:paraId="4A329A9F"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83%</w:t>
            </w:r>
          </w:p>
        </w:tc>
        <w:tc>
          <w:tcPr>
            <w:tcW w:w="400" w:type="pct"/>
            <w:tcBorders>
              <w:top w:val="nil"/>
              <w:left w:val="single" w:sz="4" w:space="0" w:color="auto"/>
              <w:bottom w:val="single" w:sz="4" w:space="0" w:color="auto"/>
              <w:right w:val="single" w:sz="4" w:space="0" w:color="auto"/>
            </w:tcBorders>
            <w:shd w:val="clear" w:color="auto" w:fill="auto"/>
            <w:noWrap/>
            <w:vAlign w:val="bottom"/>
            <w:hideMark/>
          </w:tcPr>
          <w:p w14:paraId="1262AE5D"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110</w:t>
            </w:r>
          </w:p>
        </w:tc>
        <w:tc>
          <w:tcPr>
            <w:tcW w:w="577" w:type="pct"/>
            <w:tcBorders>
              <w:top w:val="nil"/>
              <w:left w:val="nil"/>
              <w:bottom w:val="single" w:sz="4" w:space="0" w:color="auto"/>
              <w:right w:val="single" w:sz="8" w:space="0" w:color="auto"/>
            </w:tcBorders>
            <w:shd w:val="clear" w:color="auto" w:fill="auto"/>
            <w:noWrap/>
            <w:vAlign w:val="bottom"/>
            <w:hideMark/>
          </w:tcPr>
          <w:p w14:paraId="6EC7EF23"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77%</w:t>
            </w:r>
          </w:p>
        </w:tc>
      </w:tr>
      <w:tr w:rsidR="00B8364E" w:rsidRPr="00F95832" w14:paraId="123B0EEB" w14:textId="77777777" w:rsidTr="009F574A">
        <w:trPr>
          <w:trHeight w:val="300"/>
        </w:trPr>
        <w:tc>
          <w:tcPr>
            <w:tcW w:w="1053" w:type="pct"/>
            <w:tcBorders>
              <w:top w:val="nil"/>
              <w:left w:val="single" w:sz="8" w:space="0" w:color="auto"/>
              <w:bottom w:val="single" w:sz="4" w:space="0" w:color="auto"/>
              <w:right w:val="single" w:sz="4" w:space="0" w:color="auto"/>
            </w:tcBorders>
            <w:shd w:val="clear" w:color="auto" w:fill="auto"/>
            <w:noWrap/>
            <w:vAlign w:val="bottom"/>
            <w:hideMark/>
          </w:tcPr>
          <w:p w14:paraId="0C7261B5" w14:textId="77777777" w:rsidR="00B8364E" w:rsidRPr="00F95832" w:rsidRDefault="00B8364E" w:rsidP="009F574A">
            <w:pPr>
              <w:spacing w:after="0" w:line="240" w:lineRule="auto"/>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Mujer</w:t>
            </w:r>
          </w:p>
        </w:tc>
        <w:tc>
          <w:tcPr>
            <w:tcW w:w="238" w:type="pct"/>
            <w:tcBorders>
              <w:top w:val="nil"/>
              <w:left w:val="nil"/>
              <w:bottom w:val="single" w:sz="4" w:space="0" w:color="auto"/>
              <w:right w:val="single" w:sz="4" w:space="0" w:color="auto"/>
            </w:tcBorders>
            <w:shd w:val="clear" w:color="auto" w:fill="auto"/>
            <w:noWrap/>
            <w:vAlign w:val="bottom"/>
            <w:hideMark/>
          </w:tcPr>
          <w:p w14:paraId="1B1B0CDC"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w:t>
            </w:r>
          </w:p>
        </w:tc>
        <w:tc>
          <w:tcPr>
            <w:tcW w:w="503" w:type="pct"/>
            <w:tcBorders>
              <w:top w:val="nil"/>
              <w:left w:val="nil"/>
              <w:bottom w:val="single" w:sz="4" w:space="0" w:color="auto"/>
              <w:right w:val="single" w:sz="4" w:space="0" w:color="auto"/>
            </w:tcBorders>
            <w:shd w:val="clear" w:color="auto" w:fill="auto"/>
            <w:noWrap/>
            <w:vAlign w:val="bottom"/>
            <w:hideMark/>
          </w:tcPr>
          <w:p w14:paraId="77C91EEC"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w:t>
            </w:r>
          </w:p>
        </w:tc>
        <w:tc>
          <w:tcPr>
            <w:tcW w:w="238" w:type="pct"/>
            <w:tcBorders>
              <w:top w:val="nil"/>
              <w:left w:val="nil"/>
              <w:bottom w:val="single" w:sz="4" w:space="0" w:color="auto"/>
              <w:right w:val="single" w:sz="4" w:space="0" w:color="auto"/>
            </w:tcBorders>
            <w:shd w:val="clear" w:color="auto" w:fill="auto"/>
            <w:noWrap/>
            <w:vAlign w:val="bottom"/>
            <w:hideMark/>
          </w:tcPr>
          <w:p w14:paraId="79B43D1D"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19</w:t>
            </w:r>
          </w:p>
        </w:tc>
        <w:tc>
          <w:tcPr>
            <w:tcW w:w="503" w:type="pct"/>
            <w:tcBorders>
              <w:top w:val="nil"/>
              <w:left w:val="nil"/>
              <w:bottom w:val="single" w:sz="4" w:space="0" w:color="auto"/>
              <w:right w:val="single" w:sz="4" w:space="0" w:color="auto"/>
            </w:tcBorders>
            <w:shd w:val="clear" w:color="auto" w:fill="auto"/>
            <w:noWrap/>
            <w:vAlign w:val="bottom"/>
            <w:hideMark/>
          </w:tcPr>
          <w:p w14:paraId="12998BA2"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25%</w:t>
            </w:r>
          </w:p>
        </w:tc>
        <w:tc>
          <w:tcPr>
            <w:tcW w:w="239" w:type="pct"/>
            <w:tcBorders>
              <w:top w:val="nil"/>
              <w:left w:val="nil"/>
              <w:bottom w:val="single" w:sz="4" w:space="0" w:color="auto"/>
              <w:right w:val="single" w:sz="4" w:space="0" w:color="auto"/>
            </w:tcBorders>
            <w:shd w:val="clear" w:color="auto" w:fill="auto"/>
            <w:noWrap/>
            <w:vAlign w:val="bottom"/>
            <w:hideMark/>
          </w:tcPr>
          <w:p w14:paraId="278E7056"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22</w:t>
            </w:r>
          </w:p>
        </w:tc>
        <w:tc>
          <w:tcPr>
            <w:tcW w:w="504" w:type="pct"/>
            <w:tcBorders>
              <w:top w:val="nil"/>
              <w:left w:val="nil"/>
              <w:bottom w:val="single" w:sz="4" w:space="0" w:color="auto"/>
              <w:right w:val="single" w:sz="4" w:space="0" w:color="auto"/>
            </w:tcBorders>
            <w:shd w:val="clear" w:color="auto" w:fill="auto"/>
            <w:noWrap/>
            <w:vAlign w:val="bottom"/>
            <w:hideMark/>
          </w:tcPr>
          <w:p w14:paraId="1E786CB5"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27%</w:t>
            </w:r>
          </w:p>
        </w:tc>
        <w:tc>
          <w:tcPr>
            <w:tcW w:w="303" w:type="pct"/>
            <w:tcBorders>
              <w:top w:val="nil"/>
              <w:left w:val="nil"/>
              <w:bottom w:val="single" w:sz="4" w:space="0" w:color="auto"/>
              <w:right w:val="single" w:sz="4" w:space="0" w:color="auto"/>
            </w:tcBorders>
            <w:shd w:val="clear" w:color="auto" w:fill="auto"/>
            <w:noWrap/>
            <w:vAlign w:val="bottom"/>
            <w:hideMark/>
          </w:tcPr>
          <w:p w14:paraId="0CEF30F3"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21</w:t>
            </w:r>
          </w:p>
        </w:tc>
        <w:tc>
          <w:tcPr>
            <w:tcW w:w="440" w:type="pct"/>
            <w:tcBorders>
              <w:top w:val="nil"/>
              <w:left w:val="nil"/>
              <w:bottom w:val="single" w:sz="4" w:space="0" w:color="auto"/>
              <w:right w:val="single" w:sz="8" w:space="0" w:color="auto"/>
            </w:tcBorders>
            <w:shd w:val="clear" w:color="auto" w:fill="auto"/>
            <w:noWrap/>
            <w:vAlign w:val="bottom"/>
            <w:hideMark/>
          </w:tcPr>
          <w:p w14:paraId="4F35A1E8"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18%</w:t>
            </w:r>
          </w:p>
        </w:tc>
        <w:tc>
          <w:tcPr>
            <w:tcW w:w="400" w:type="pct"/>
            <w:tcBorders>
              <w:top w:val="nil"/>
              <w:left w:val="single" w:sz="4" w:space="0" w:color="auto"/>
              <w:bottom w:val="single" w:sz="4" w:space="0" w:color="auto"/>
              <w:right w:val="single" w:sz="4" w:space="0" w:color="auto"/>
            </w:tcBorders>
            <w:shd w:val="clear" w:color="auto" w:fill="auto"/>
            <w:noWrap/>
            <w:vAlign w:val="bottom"/>
            <w:hideMark/>
          </w:tcPr>
          <w:p w14:paraId="579133FF"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32</w:t>
            </w:r>
          </w:p>
        </w:tc>
        <w:tc>
          <w:tcPr>
            <w:tcW w:w="577" w:type="pct"/>
            <w:tcBorders>
              <w:top w:val="nil"/>
              <w:left w:val="nil"/>
              <w:bottom w:val="single" w:sz="4" w:space="0" w:color="auto"/>
              <w:right w:val="single" w:sz="8" w:space="0" w:color="auto"/>
            </w:tcBorders>
            <w:shd w:val="clear" w:color="auto" w:fill="auto"/>
            <w:noWrap/>
            <w:vAlign w:val="bottom"/>
            <w:hideMark/>
          </w:tcPr>
          <w:p w14:paraId="78849AFF"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23%</w:t>
            </w:r>
          </w:p>
        </w:tc>
      </w:tr>
      <w:tr w:rsidR="00B8364E" w:rsidRPr="00F95832" w14:paraId="7DF977DF" w14:textId="77777777" w:rsidTr="009F574A">
        <w:trPr>
          <w:trHeight w:val="300"/>
        </w:trPr>
        <w:tc>
          <w:tcPr>
            <w:tcW w:w="1053" w:type="pct"/>
            <w:tcBorders>
              <w:top w:val="nil"/>
              <w:left w:val="single" w:sz="8" w:space="0" w:color="auto"/>
              <w:bottom w:val="single" w:sz="8" w:space="0" w:color="auto"/>
              <w:right w:val="single" w:sz="4" w:space="0" w:color="auto"/>
            </w:tcBorders>
            <w:shd w:val="clear" w:color="auto" w:fill="auto"/>
            <w:noWrap/>
            <w:vAlign w:val="bottom"/>
            <w:hideMark/>
          </w:tcPr>
          <w:p w14:paraId="7EB7FE98" w14:textId="77777777" w:rsidR="00B8364E" w:rsidRPr="00F95832" w:rsidRDefault="00B8364E" w:rsidP="009F574A">
            <w:pPr>
              <w:spacing w:after="0" w:line="240" w:lineRule="auto"/>
              <w:jc w:val="right"/>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TOTAL</w:t>
            </w:r>
          </w:p>
        </w:tc>
        <w:tc>
          <w:tcPr>
            <w:tcW w:w="238" w:type="pct"/>
            <w:tcBorders>
              <w:top w:val="nil"/>
              <w:left w:val="nil"/>
              <w:bottom w:val="single" w:sz="8" w:space="0" w:color="auto"/>
              <w:right w:val="single" w:sz="4" w:space="0" w:color="auto"/>
            </w:tcBorders>
            <w:shd w:val="clear" w:color="auto" w:fill="auto"/>
            <w:noWrap/>
            <w:vAlign w:val="bottom"/>
            <w:hideMark/>
          </w:tcPr>
          <w:p w14:paraId="73AF1A61"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29</w:t>
            </w:r>
          </w:p>
        </w:tc>
        <w:tc>
          <w:tcPr>
            <w:tcW w:w="503" w:type="pct"/>
            <w:tcBorders>
              <w:top w:val="nil"/>
              <w:left w:val="nil"/>
              <w:bottom w:val="single" w:sz="8" w:space="0" w:color="auto"/>
              <w:right w:val="single" w:sz="4" w:space="0" w:color="auto"/>
            </w:tcBorders>
            <w:shd w:val="clear" w:color="auto" w:fill="auto"/>
            <w:noWrap/>
            <w:vAlign w:val="bottom"/>
            <w:hideMark/>
          </w:tcPr>
          <w:p w14:paraId="1F940389"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100%</w:t>
            </w:r>
          </w:p>
        </w:tc>
        <w:tc>
          <w:tcPr>
            <w:tcW w:w="238" w:type="pct"/>
            <w:tcBorders>
              <w:top w:val="nil"/>
              <w:left w:val="nil"/>
              <w:bottom w:val="single" w:sz="8" w:space="0" w:color="auto"/>
              <w:right w:val="single" w:sz="4" w:space="0" w:color="auto"/>
            </w:tcBorders>
            <w:shd w:val="clear" w:color="auto" w:fill="auto"/>
            <w:noWrap/>
            <w:vAlign w:val="bottom"/>
            <w:hideMark/>
          </w:tcPr>
          <w:p w14:paraId="0C5861D5"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76</w:t>
            </w:r>
          </w:p>
        </w:tc>
        <w:tc>
          <w:tcPr>
            <w:tcW w:w="503" w:type="pct"/>
            <w:tcBorders>
              <w:top w:val="nil"/>
              <w:left w:val="nil"/>
              <w:bottom w:val="single" w:sz="8" w:space="0" w:color="auto"/>
              <w:right w:val="single" w:sz="4" w:space="0" w:color="auto"/>
            </w:tcBorders>
            <w:shd w:val="clear" w:color="auto" w:fill="auto"/>
            <w:noWrap/>
            <w:vAlign w:val="bottom"/>
            <w:hideMark/>
          </w:tcPr>
          <w:p w14:paraId="35ADF1A9"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100%</w:t>
            </w:r>
          </w:p>
        </w:tc>
        <w:tc>
          <w:tcPr>
            <w:tcW w:w="239" w:type="pct"/>
            <w:tcBorders>
              <w:top w:val="nil"/>
              <w:left w:val="nil"/>
              <w:bottom w:val="single" w:sz="8" w:space="0" w:color="auto"/>
              <w:right w:val="single" w:sz="4" w:space="0" w:color="auto"/>
            </w:tcBorders>
            <w:shd w:val="clear" w:color="auto" w:fill="auto"/>
            <w:noWrap/>
            <w:vAlign w:val="bottom"/>
            <w:hideMark/>
          </w:tcPr>
          <w:p w14:paraId="6D1CAC98"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81</w:t>
            </w:r>
          </w:p>
        </w:tc>
        <w:tc>
          <w:tcPr>
            <w:tcW w:w="504" w:type="pct"/>
            <w:tcBorders>
              <w:top w:val="nil"/>
              <w:left w:val="nil"/>
              <w:bottom w:val="single" w:sz="8" w:space="0" w:color="auto"/>
              <w:right w:val="single" w:sz="4" w:space="0" w:color="auto"/>
            </w:tcBorders>
            <w:shd w:val="clear" w:color="auto" w:fill="auto"/>
            <w:noWrap/>
            <w:vAlign w:val="bottom"/>
            <w:hideMark/>
          </w:tcPr>
          <w:p w14:paraId="00163903"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100%</w:t>
            </w:r>
          </w:p>
        </w:tc>
        <w:tc>
          <w:tcPr>
            <w:tcW w:w="303" w:type="pct"/>
            <w:tcBorders>
              <w:top w:val="nil"/>
              <w:left w:val="nil"/>
              <w:bottom w:val="single" w:sz="8" w:space="0" w:color="auto"/>
              <w:right w:val="single" w:sz="4" w:space="0" w:color="auto"/>
            </w:tcBorders>
            <w:shd w:val="clear" w:color="auto" w:fill="auto"/>
            <w:noWrap/>
            <w:vAlign w:val="bottom"/>
            <w:hideMark/>
          </w:tcPr>
          <w:p w14:paraId="6F95C9E1"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120</w:t>
            </w:r>
          </w:p>
        </w:tc>
        <w:tc>
          <w:tcPr>
            <w:tcW w:w="440" w:type="pct"/>
            <w:tcBorders>
              <w:top w:val="nil"/>
              <w:left w:val="nil"/>
              <w:bottom w:val="single" w:sz="8" w:space="0" w:color="auto"/>
              <w:right w:val="single" w:sz="8" w:space="0" w:color="auto"/>
            </w:tcBorders>
            <w:shd w:val="clear" w:color="auto" w:fill="auto"/>
            <w:noWrap/>
            <w:vAlign w:val="bottom"/>
            <w:hideMark/>
          </w:tcPr>
          <w:p w14:paraId="606EB9DE"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100%</w:t>
            </w:r>
          </w:p>
        </w:tc>
        <w:tc>
          <w:tcPr>
            <w:tcW w:w="400" w:type="pct"/>
            <w:tcBorders>
              <w:top w:val="nil"/>
              <w:left w:val="single" w:sz="4" w:space="0" w:color="auto"/>
              <w:bottom w:val="single" w:sz="8" w:space="0" w:color="auto"/>
              <w:right w:val="single" w:sz="4" w:space="0" w:color="auto"/>
            </w:tcBorders>
            <w:shd w:val="clear" w:color="auto" w:fill="auto"/>
            <w:noWrap/>
            <w:vAlign w:val="bottom"/>
            <w:hideMark/>
          </w:tcPr>
          <w:p w14:paraId="12DD6E51"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142</w:t>
            </w:r>
          </w:p>
        </w:tc>
        <w:tc>
          <w:tcPr>
            <w:tcW w:w="577" w:type="pct"/>
            <w:tcBorders>
              <w:top w:val="nil"/>
              <w:left w:val="nil"/>
              <w:bottom w:val="single" w:sz="8" w:space="0" w:color="auto"/>
              <w:right w:val="single" w:sz="8" w:space="0" w:color="auto"/>
            </w:tcBorders>
            <w:shd w:val="clear" w:color="auto" w:fill="auto"/>
            <w:noWrap/>
            <w:vAlign w:val="bottom"/>
            <w:hideMark/>
          </w:tcPr>
          <w:p w14:paraId="53DDC5C8"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100%</w:t>
            </w:r>
          </w:p>
        </w:tc>
      </w:tr>
    </w:tbl>
    <w:p w14:paraId="6678ADA1" w14:textId="77777777" w:rsidR="00B8364E" w:rsidRPr="00D42A91" w:rsidRDefault="00B8364E" w:rsidP="00B8364E">
      <w:pPr>
        <w:spacing w:after="120" w:line="276" w:lineRule="auto"/>
        <w:jc w:val="both"/>
        <w:rPr>
          <w:rFonts w:ascii="Arial" w:eastAsia="Times New Roman" w:hAnsi="Arial" w:cs="Arial"/>
          <w:b/>
          <w:sz w:val="21"/>
          <w:szCs w:val="21"/>
          <w:lang w:eastAsia="es-ES"/>
        </w:rPr>
      </w:pPr>
    </w:p>
    <w:p w14:paraId="3EA9F100" w14:textId="77777777" w:rsidR="00B8364E" w:rsidRDefault="00B8364E" w:rsidP="00B8364E">
      <w:pPr>
        <w:keepNext/>
        <w:spacing w:after="120" w:line="276" w:lineRule="auto"/>
        <w:jc w:val="both"/>
      </w:pPr>
      <w:r w:rsidRPr="00D42A91">
        <w:rPr>
          <w:rFonts w:ascii="Arial" w:eastAsia="Times New Roman" w:hAnsi="Arial" w:cs="Arial"/>
          <w:noProof/>
          <w:sz w:val="21"/>
          <w:szCs w:val="21"/>
          <w:lang w:eastAsia="es-ES"/>
        </w:rPr>
        <w:drawing>
          <wp:inline distT="0" distB="0" distL="0" distR="0" wp14:anchorId="74E00C89" wp14:editId="524DC866">
            <wp:extent cx="5334000" cy="3506132"/>
            <wp:effectExtent l="0" t="0" r="0" b="0"/>
            <wp:docPr id="78" name="Imagen 78"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descr="Gráfico, Gráfico de barras&#10;&#10;Descripción generada automáticamente"/>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358895" cy="3522496"/>
                    </a:xfrm>
                    <a:prstGeom prst="rect">
                      <a:avLst/>
                    </a:prstGeom>
                    <a:noFill/>
                  </pic:spPr>
                </pic:pic>
              </a:graphicData>
            </a:graphic>
          </wp:inline>
        </w:drawing>
      </w:r>
    </w:p>
    <w:p w14:paraId="188F5BFA" w14:textId="1D4AFC3A" w:rsidR="00B8364E" w:rsidRPr="00D42A91" w:rsidRDefault="00B8364E" w:rsidP="005A7684">
      <w:pPr>
        <w:pStyle w:val="Descripcin"/>
        <w:spacing w:after="240"/>
        <w:jc w:val="center"/>
        <w:rPr>
          <w:rFonts w:ascii="Arial" w:eastAsia="Times New Roman" w:hAnsi="Arial" w:cs="Arial"/>
          <w:smallCaps w:val="0"/>
          <w:sz w:val="18"/>
          <w:szCs w:val="18"/>
          <w:lang w:eastAsia="es-ES"/>
        </w:rPr>
      </w:pPr>
      <w:bookmarkStart w:id="171" w:name="_Toc95676850"/>
      <w:bookmarkStart w:id="172" w:name="_Toc99099818"/>
      <w:r w:rsidRPr="00D42A91">
        <w:rPr>
          <w:rFonts w:ascii="Arial" w:hAnsi="Arial" w:cs="Arial"/>
          <w:smallCaps w:val="0"/>
          <w:color w:val="9D2235" w:themeColor="accent1"/>
          <w:sz w:val="18"/>
          <w:szCs w:val="18"/>
        </w:rPr>
        <w:t xml:space="preserve">Gráfico </w:t>
      </w:r>
      <w:r w:rsidRPr="00D42A91">
        <w:rPr>
          <w:rFonts w:ascii="Arial" w:hAnsi="Arial" w:cs="Arial"/>
          <w:smallCaps w:val="0"/>
          <w:color w:val="9D2235" w:themeColor="accent1"/>
          <w:sz w:val="18"/>
          <w:szCs w:val="18"/>
        </w:rPr>
        <w:fldChar w:fldCharType="begin" w:fldLock="1"/>
      </w:r>
      <w:r w:rsidRPr="00D42A91">
        <w:rPr>
          <w:rFonts w:ascii="Arial" w:hAnsi="Arial" w:cs="Arial"/>
          <w:smallCaps w:val="0"/>
          <w:color w:val="9D2235" w:themeColor="accent1"/>
          <w:sz w:val="18"/>
          <w:szCs w:val="18"/>
        </w:rPr>
        <w:instrText xml:space="preserve"> SEQ Gráfico \* ARABIC </w:instrText>
      </w:r>
      <w:r w:rsidRPr="00D42A91">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19</w:t>
      </w:r>
      <w:r w:rsidRPr="00D42A91">
        <w:rPr>
          <w:rFonts w:ascii="Arial" w:hAnsi="Arial" w:cs="Arial"/>
          <w:smallCaps w:val="0"/>
          <w:color w:val="9D2235" w:themeColor="accent1"/>
          <w:sz w:val="18"/>
          <w:szCs w:val="18"/>
        </w:rPr>
        <w:fldChar w:fldCharType="end"/>
      </w:r>
      <w:r w:rsidRPr="00D42A91">
        <w:rPr>
          <w:rFonts w:ascii="Arial" w:hAnsi="Arial" w:cs="Arial"/>
          <w:smallCaps w:val="0"/>
          <w:color w:val="9D2235" w:themeColor="accent1"/>
          <w:sz w:val="18"/>
          <w:szCs w:val="18"/>
        </w:rPr>
        <w:t xml:space="preserve">. </w:t>
      </w:r>
      <w:r w:rsidRPr="00D42A91">
        <w:rPr>
          <w:rFonts w:ascii="Arial" w:hAnsi="Arial" w:cs="Arial"/>
          <w:smallCaps w:val="0"/>
          <w:sz w:val="18"/>
          <w:szCs w:val="18"/>
        </w:rPr>
        <w:t>Denuncias de personas físicas clasificadas por género</w:t>
      </w:r>
      <w:bookmarkEnd w:id="171"/>
      <w:bookmarkEnd w:id="172"/>
    </w:p>
    <w:p w14:paraId="1181C1B3" w14:textId="4EC84A87" w:rsidR="00B8364E" w:rsidRPr="00D42A91" w:rsidRDefault="00B8364E" w:rsidP="00B8364E">
      <w:pPr>
        <w:spacing w:after="240" w:line="276" w:lineRule="auto"/>
        <w:jc w:val="both"/>
        <w:rPr>
          <w:rFonts w:ascii="Arial" w:eastAsia="Times New Roman" w:hAnsi="Arial" w:cs="Arial"/>
          <w:sz w:val="21"/>
          <w:szCs w:val="21"/>
          <w:lang w:eastAsia="es-ES"/>
        </w:rPr>
      </w:pPr>
      <w:r w:rsidRPr="00D42A91">
        <w:rPr>
          <w:rFonts w:ascii="Arial" w:eastAsia="Times New Roman" w:hAnsi="Arial" w:cs="Arial"/>
          <w:sz w:val="21"/>
          <w:szCs w:val="21"/>
          <w:lang w:eastAsia="es-ES"/>
        </w:rPr>
        <w:t>De dichos datos</w:t>
      </w:r>
      <w:r>
        <w:rPr>
          <w:rFonts w:ascii="Arial" w:eastAsia="Times New Roman" w:hAnsi="Arial" w:cs="Arial"/>
          <w:sz w:val="21"/>
          <w:szCs w:val="21"/>
          <w:lang w:eastAsia="es-ES"/>
        </w:rPr>
        <w:t>,</w:t>
      </w:r>
      <w:r w:rsidRPr="00D42A91">
        <w:rPr>
          <w:rFonts w:ascii="Arial" w:eastAsia="Times New Roman" w:hAnsi="Arial" w:cs="Arial"/>
          <w:sz w:val="21"/>
          <w:szCs w:val="21"/>
          <w:lang w:eastAsia="es-ES"/>
        </w:rPr>
        <w:t xml:space="preserve"> se deduce un incremento del porcentaje de personas denunciantes que identifican su género mujeres, que ha pasado del 18% en 2020 al 23% en 2021, y en contrario</w:t>
      </w:r>
      <w:r>
        <w:rPr>
          <w:rFonts w:ascii="Arial" w:eastAsia="Times New Roman" w:hAnsi="Arial" w:cs="Arial"/>
          <w:sz w:val="21"/>
          <w:szCs w:val="21"/>
          <w:lang w:eastAsia="es-ES"/>
        </w:rPr>
        <w:t>,</w:t>
      </w:r>
      <w:r w:rsidRPr="00D42A91">
        <w:rPr>
          <w:rFonts w:ascii="Arial" w:eastAsia="Times New Roman" w:hAnsi="Arial" w:cs="Arial"/>
          <w:sz w:val="21"/>
          <w:szCs w:val="21"/>
          <w:lang w:eastAsia="es-ES"/>
        </w:rPr>
        <w:t xml:space="preserve"> se ha minorado el porcentaje de representatividad del género hombre, de las denuncias que identifican género, pasando del 82% en 2020 al 77% en 2021.</w:t>
      </w:r>
    </w:p>
    <w:p w14:paraId="5C20419C" w14:textId="362C7D6F" w:rsidR="006B510A" w:rsidRPr="00E973F1" w:rsidRDefault="00D14767" w:rsidP="00AC1A12">
      <w:pPr>
        <w:pStyle w:val="Prrafodelista"/>
        <w:keepNext/>
        <w:numPr>
          <w:ilvl w:val="1"/>
          <w:numId w:val="17"/>
        </w:numPr>
        <w:spacing w:before="360" w:after="240" w:line="276" w:lineRule="auto"/>
        <w:ind w:left="851" w:hanging="851"/>
        <w:jc w:val="both"/>
        <w:outlineLvl w:val="1"/>
        <w:rPr>
          <w:rFonts w:ascii="Arial" w:eastAsia="Times New Roman" w:hAnsi="Arial" w:cs="Arial"/>
          <w:b/>
          <w:color w:val="9D2235" w:themeColor="accent1"/>
          <w:sz w:val="32"/>
          <w:szCs w:val="32"/>
        </w:rPr>
      </w:pPr>
      <w:bookmarkStart w:id="173" w:name="_Toc99107016"/>
      <w:r>
        <w:rPr>
          <w:rFonts w:ascii="Arial" w:eastAsia="Times New Roman" w:hAnsi="Arial" w:cs="Arial"/>
          <w:b/>
          <w:color w:val="9D2235" w:themeColor="accent1"/>
          <w:sz w:val="32"/>
          <w:szCs w:val="32"/>
        </w:rPr>
        <w:t>Seguimiento de la gestión de los expedientes de investigación durante el año 2021 y evolución</w:t>
      </w:r>
      <w:bookmarkEnd w:id="173"/>
    </w:p>
    <w:p w14:paraId="7C3BEC43" w14:textId="4FC36174" w:rsidR="00B8364E" w:rsidRPr="00D14767" w:rsidRDefault="00B8364E" w:rsidP="00B8364E">
      <w:pPr>
        <w:spacing w:after="240" w:line="276" w:lineRule="auto"/>
        <w:jc w:val="both"/>
        <w:rPr>
          <w:rFonts w:ascii="Arial" w:eastAsia="Times New Roman" w:hAnsi="Arial" w:cs="Arial"/>
          <w:sz w:val="21"/>
          <w:szCs w:val="21"/>
          <w:lang w:eastAsia="es-ES"/>
        </w:rPr>
      </w:pPr>
      <w:r w:rsidRPr="00D14767">
        <w:rPr>
          <w:rFonts w:ascii="Arial" w:eastAsia="Times New Roman" w:hAnsi="Arial" w:cs="Arial"/>
          <w:sz w:val="21"/>
          <w:szCs w:val="21"/>
          <w:lang w:eastAsia="es-ES"/>
        </w:rPr>
        <w:t>Durante el ejercicio 2021 se han abierto un total de 359 expedientes en la Dirección de Análisis e Investigación; desde el inicio de su actividad la Agencia ha iniciado un total de 9</w:t>
      </w:r>
      <w:r w:rsidR="005B60D4">
        <w:rPr>
          <w:rFonts w:ascii="Arial" w:eastAsia="Times New Roman" w:hAnsi="Arial" w:cs="Arial"/>
          <w:sz w:val="21"/>
          <w:szCs w:val="21"/>
          <w:lang w:eastAsia="es-ES"/>
        </w:rPr>
        <w:t>69</w:t>
      </w:r>
      <w:r w:rsidRPr="00D14767">
        <w:rPr>
          <w:rFonts w:ascii="Arial" w:eastAsia="Times New Roman" w:hAnsi="Arial" w:cs="Arial"/>
          <w:sz w:val="21"/>
          <w:szCs w:val="21"/>
          <w:lang w:eastAsia="es-ES"/>
        </w:rPr>
        <w:t xml:space="preserve"> expedientes.</w:t>
      </w:r>
    </w:p>
    <w:p w14:paraId="21E3C2CC" w14:textId="0B0EA027" w:rsidR="00B8364E" w:rsidRPr="00D14767" w:rsidRDefault="00B8364E" w:rsidP="00B8364E">
      <w:pPr>
        <w:spacing w:after="240" w:line="276" w:lineRule="auto"/>
        <w:jc w:val="both"/>
        <w:rPr>
          <w:rFonts w:ascii="Arial" w:eastAsia="Times New Roman" w:hAnsi="Arial" w:cs="Arial"/>
          <w:sz w:val="21"/>
          <w:szCs w:val="21"/>
          <w:lang w:eastAsia="es-ES"/>
        </w:rPr>
      </w:pPr>
      <w:r w:rsidRPr="00D14767">
        <w:rPr>
          <w:rFonts w:ascii="Arial" w:eastAsia="Times New Roman" w:hAnsi="Arial" w:cs="Arial"/>
          <w:sz w:val="21"/>
          <w:szCs w:val="21"/>
          <w:lang w:eastAsia="es-ES"/>
        </w:rPr>
        <w:t>El estado de tramitación de los 9</w:t>
      </w:r>
      <w:r w:rsidR="005B60D4">
        <w:rPr>
          <w:rFonts w:ascii="Arial" w:eastAsia="Times New Roman" w:hAnsi="Arial" w:cs="Arial"/>
          <w:sz w:val="21"/>
          <w:szCs w:val="21"/>
          <w:lang w:eastAsia="es-ES"/>
        </w:rPr>
        <w:t>69</w:t>
      </w:r>
      <w:r w:rsidRPr="00D14767">
        <w:rPr>
          <w:rFonts w:ascii="Arial" w:eastAsia="Times New Roman" w:hAnsi="Arial" w:cs="Arial"/>
          <w:sz w:val="21"/>
          <w:szCs w:val="21"/>
          <w:lang w:eastAsia="es-ES"/>
        </w:rPr>
        <w:t xml:space="preserve"> expedientes abiertos desde el inicio de funcionamiento de la Agencia a fecha 31/12/2021, es </w:t>
      </w:r>
      <w:r>
        <w:rPr>
          <w:rFonts w:ascii="Arial" w:eastAsia="Times New Roman" w:hAnsi="Arial" w:cs="Arial"/>
          <w:sz w:val="21"/>
          <w:szCs w:val="21"/>
          <w:lang w:eastAsia="es-ES"/>
        </w:rPr>
        <w:t>el</w:t>
      </w:r>
      <w:r w:rsidRPr="00D14767">
        <w:rPr>
          <w:rFonts w:ascii="Arial" w:eastAsia="Times New Roman" w:hAnsi="Arial" w:cs="Arial"/>
          <w:sz w:val="21"/>
          <w:szCs w:val="21"/>
          <w:lang w:eastAsia="es-ES"/>
        </w:rPr>
        <w:t xml:space="preserve"> que se muestra en la siguiente tabla:</w:t>
      </w:r>
    </w:p>
    <w:p w14:paraId="39B4DAB6" w14:textId="7FAB9DE5" w:rsidR="00B8364E" w:rsidRPr="00D14767" w:rsidRDefault="00B8364E" w:rsidP="00B8364E">
      <w:pPr>
        <w:pStyle w:val="Descripcin"/>
        <w:keepNext/>
        <w:spacing w:after="120"/>
        <w:rPr>
          <w:rFonts w:ascii="Arial" w:hAnsi="Arial" w:cs="Arial"/>
          <w:smallCaps w:val="0"/>
          <w:sz w:val="18"/>
          <w:szCs w:val="18"/>
        </w:rPr>
      </w:pPr>
      <w:bookmarkStart w:id="174" w:name="_Toc95676803"/>
      <w:bookmarkStart w:id="175" w:name="_Toc99107153"/>
      <w:r w:rsidRPr="00D14767">
        <w:rPr>
          <w:rFonts w:ascii="Arial" w:hAnsi="Arial" w:cs="Arial"/>
          <w:smallCaps w:val="0"/>
          <w:color w:val="9D2235" w:themeColor="accent1"/>
          <w:sz w:val="18"/>
          <w:szCs w:val="18"/>
        </w:rPr>
        <w:t xml:space="preserve">Tabla </w:t>
      </w:r>
      <w:r w:rsidRPr="00D14767">
        <w:rPr>
          <w:rFonts w:ascii="Arial" w:hAnsi="Arial" w:cs="Arial"/>
          <w:smallCaps w:val="0"/>
          <w:color w:val="9D2235" w:themeColor="accent1"/>
          <w:sz w:val="18"/>
          <w:szCs w:val="18"/>
        </w:rPr>
        <w:fldChar w:fldCharType="begin" w:fldLock="1"/>
      </w:r>
      <w:r w:rsidRPr="00D14767">
        <w:rPr>
          <w:rFonts w:ascii="Arial" w:hAnsi="Arial" w:cs="Arial"/>
          <w:smallCaps w:val="0"/>
          <w:color w:val="9D2235" w:themeColor="accent1"/>
          <w:sz w:val="18"/>
          <w:szCs w:val="18"/>
        </w:rPr>
        <w:instrText xml:space="preserve"> SEQ Tabla \* ARABIC </w:instrText>
      </w:r>
      <w:r w:rsidRPr="00D14767">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15</w:t>
      </w:r>
      <w:r w:rsidRPr="00D14767">
        <w:rPr>
          <w:rFonts w:ascii="Arial" w:hAnsi="Arial" w:cs="Arial"/>
          <w:smallCaps w:val="0"/>
          <w:color w:val="9D2235" w:themeColor="accent1"/>
          <w:sz w:val="18"/>
          <w:szCs w:val="18"/>
        </w:rPr>
        <w:fldChar w:fldCharType="end"/>
      </w:r>
      <w:r w:rsidRPr="00D14767">
        <w:rPr>
          <w:rFonts w:ascii="Arial" w:hAnsi="Arial" w:cs="Arial"/>
          <w:smallCaps w:val="0"/>
          <w:color w:val="9D2235" w:themeColor="accent1"/>
          <w:sz w:val="18"/>
          <w:szCs w:val="18"/>
        </w:rPr>
        <w:t xml:space="preserve">. </w:t>
      </w:r>
      <w:r w:rsidRPr="00D14767">
        <w:rPr>
          <w:rFonts w:ascii="Arial" w:hAnsi="Arial" w:cs="Arial"/>
          <w:smallCaps w:val="0"/>
          <w:sz w:val="18"/>
          <w:szCs w:val="18"/>
        </w:rPr>
        <w:t>Estado de situación de los expedientes de análisis e investigación</w:t>
      </w:r>
      <w:bookmarkEnd w:id="174"/>
      <w:bookmarkEnd w:id="175"/>
    </w:p>
    <w:tbl>
      <w:tblPr>
        <w:tblW w:w="5000" w:type="pct"/>
        <w:tblCellMar>
          <w:left w:w="70" w:type="dxa"/>
          <w:right w:w="70" w:type="dxa"/>
        </w:tblCellMar>
        <w:tblLook w:val="04A0" w:firstRow="1" w:lastRow="0" w:firstColumn="1" w:lastColumn="0" w:noHBand="0" w:noVBand="1"/>
      </w:tblPr>
      <w:tblGrid>
        <w:gridCol w:w="1643"/>
        <w:gridCol w:w="318"/>
        <w:gridCol w:w="693"/>
        <w:gridCol w:w="504"/>
        <w:gridCol w:w="684"/>
        <w:gridCol w:w="504"/>
        <w:gridCol w:w="684"/>
        <w:gridCol w:w="407"/>
        <w:gridCol w:w="684"/>
        <w:gridCol w:w="407"/>
        <w:gridCol w:w="740"/>
        <w:gridCol w:w="407"/>
        <w:gridCol w:w="809"/>
      </w:tblGrid>
      <w:tr w:rsidR="00B8364E" w:rsidRPr="00F95832" w14:paraId="72E0C492" w14:textId="77777777" w:rsidTr="009F574A">
        <w:trPr>
          <w:trHeight w:val="300"/>
          <w:tblHeader/>
        </w:trPr>
        <w:tc>
          <w:tcPr>
            <w:tcW w:w="968" w:type="pct"/>
            <w:vMerge w:val="restart"/>
            <w:tcBorders>
              <w:top w:val="single" w:sz="8" w:space="0" w:color="auto"/>
              <w:left w:val="single" w:sz="8" w:space="0" w:color="auto"/>
              <w:bottom w:val="single" w:sz="4" w:space="0" w:color="auto"/>
              <w:right w:val="single" w:sz="4" w:space="0" w:color="auto"/>
            </w:tcBorders>
            <w:shd w:val="clear" w:color="000000" w:fill="B6A39A"/>
            <w:noWrap/>
            <w:vAlign w:val="center"/>
            <w:hideMark/>
          </w:tcPr>
          <w:p w14:paraId="6A374059" w14:textId="77777777" w:rsidR="00B8364E" w:rsidRPr="00F95832" w:rsidRDefault="00B8364E" w:rsidP="009F574A">
            <w:pPr>
              <w:spacing w:after="0" w:line="240" w:lineRule="auto"/>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Estado expedientes</w:t>
            </w:r>
          </w:p>
        </w:tc>
        <w:tc>
          <w:tcPr>
            <w:tcW w:w="596"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64AC7411"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2017</w:t>
            </w:r>
          </w:p>
        </w:tc>
        <w:tc>
          <w:tcPr>
            <w:tcW w:w="700"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46ED92EE"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2018</w:t>
            </w:r>
          </w:p>
        </w:tc>
        <w:tc>
          <w:tcPr>
            <w:tcW w:w="700"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232A9DBD"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2019</w:t>
            </w:r>
          </w:p>
        </w:tc>
        <w:tc>
          <w:tcPr>
            <w:tcW w:w="642" w:type="pct"/>
            <w:gridSpan w:val="2"/>
            <w:tcBorders>
              <w:top w:val="single" w:sz="8" w:space="0" w:color="auto"/>
              <w:left w:val="nil"/>
              <w:bottom w:val="single" w:sz="4" w:space="0" w:color="auto"/>
              <w:right w:val="single" w:sz="8" w:space="0" w:color="000000"/>
            </w:tcBorders>
            <w:shd w:val="clear" w:color="000000" w:fill="B6A39A"/>
            <w:noWrap/>
            <w:vAlign w:val="bottom"/>
            <w:hideMark/>
          </w:tcPr>
          <w:p w14:paraId="34F21701"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2020</w:t>
            </w:r>
          </w:p>
        </w:tc>
        <w:tc>
          <w:tcPr>
            <w:tcW w:w="675" w:type="pct"/>
            <w:gridSpan w:val="2"/>
            <w:tcBorders>
              <w:top w:val="single" w:sz="8" w:space="0" w:color="auto"/>
              <w:left w:val="nil"/>
              <w:bottom w:val="single" w:sz="4" w:space="0" w:color="auto"/>
              <w:right w:val="single" w:sz="8" w:space="0" w:color="000000"/>
            </w:tcBorders>
            <w:shd w:val="clear" w:color="000000" w:fill="B6A39A"/>
            <w:noWrap/>
            <w:vAlign w:val="bottom"/>
            <w:hideMark/>
          </w:tcPr>
          <w:p w14:paraId="466955CF"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2021</w:t>
            </w:r>
          </w:p>
        </w:tc>
        <w:tc>
          <w:tcPr>
            <w:tcW w:w="718" w:type="pct"/>
            <w:gridSpan w:val="2"/>
            <w:tcBorders>
              <w:top w:val="single" w:sz="8" w:space="0" w:color="auto"/>
              <w:left w:val="single" w:sz="4" w:space="0" w:color="auto"/>
              <w:bottom w:val="single" w:sz="4" w:space="0" w:color="auto"/>
              <w:right w:val="single" w:sz="8" w:space="0" w:color="000000"/>
            </w:tcBorders>
            <w:shd w:val="clear" w:color="000000" w:fill="B6A39A"/>
            <w:noWrap/>
            <w:vAlign w:val="bottom"/>
            <w:hideMark/>
          </w:tcPr>
          <w:p w14:paraId="520DB4E0"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Total</w:t>
            </w:r>
          </w:p>
        </w:tc>
      </w:tr>
      <w:tr w:rsidR="00B8364E" w:rsidRPr="00F95832" w14:paraId="747D255E" w14:textId="77777777" w:rsidTr="009F574A">
        <w:trPr>
          <w:trHeight w:val="300"/>
          <w:tblHeader/>
        </w:trPr>
        <w:tc>
          <w:tcPr>
            <w:tcW w:w="968" w:type="pct"/>
            <w:vMerge/>
            <w:tcBorders>
              <w:top w:val="single" w:sz="8" w:space="0" w:color="auto"/>
              <w:left w:val="single" w:sz="8" w:space="0" w:color="auto"/>
              <w:bottom w:val="single" w:sz="4" w:space="0" w:color="auto"/>
              <w:right w:val="single" w:sz="4" w:space="0" w:color="auto"/>
            </w:tcBorders>
            <w:vAlign w:val="center"/>
            <w:hideMark/>
          </w:tcPr>
          <w:p w14:paraId="33E21505" w14:textId="77777777" w:rsidR="00B8364E" w:rsidRPr="00F95832" w:rsidRDefault="00B8364E" w:rsidP="009F574A">
            <w:pPr>
              <w:spacing w:after="0" w:line="240" w:lineRule="auto"/>
              <w:rPr>
                <w:rFonts w:ascii="Arial" w:eastAsia="Times New Roman" w:hAnsi="Arial" w:cs="Arial"/>
                <w:b/>
                <w:bCs/>
                <w:color w:val="000000"/>
                <w:sz w:val="16"/>
                <w:szCs w:val="16"/>
                <w:lang w:eastAsia="es-ES"/>
              </w:rPr>
            </w:pPr>
          </w:p>
        </w:tc>
        <w:tc>
          <w:tcPr>
            <w:tcW w:w="187" w:type="pct"/>
            <w:tcBorders>
              <w:top w:val="nil"/>
              <w:left w:val="nil"/>
              <w:bottom w:val="single" w:sz="4" w:space="0" w:color="auto"/>
              <w:right w:val="single" w:sz="4" w:space="0" w:color="auto"/>
            </w:tcBorders>
            <w:shd w:val="clear" w:color="000000" w:fill="B6A39A"/>
            <w:noWrap/>
            <w:vAlign w:val="bottom"/>
            <w:hideMark/>
          </w:tcPr>
          <w:p w14:paraId="034D1D96"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 </w:t>
            </w:r>
          </w:p>
        </w:tc>
        <w:tc>
          <w:tcPr>
            <w:tcW w:w="409" w:type="pct"/>
            <w:tcBorders>
              <w:top w:val="nil"/>
              <w:left w:val="nil"/>
              <w:bottom w:val="single" w:sz="4" w:space="0" w:color="auto"/>
              <w:right w:val="single" w:sz="4" w:space="0" w:color="auto"/>
            </w:tcBorders>
            <w:shd w:val="clear" w:color="000000" w:fill="B6A39A"/>
            <w:noWrap/>
            <w:vAlign w:val="bottom"/>
            <w:hideMark/>
          </w:tcPr>
          <w:p w14:paraId="4074C2E2"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w:t>
            </w:r>
          </w:p>
        </w:tc>
        <w:tc>
          <w:tcPr>
            <w:tcW w:w="297" w:type="pct"/>
            <w:tcBorders>
              <w:top w:val="nil"/>
              <w:left w:val="nil"/>
              <w:bottom w:val="single" w:sz="4" w:space="0" w:color="auto"/>
              <w:right w:val="single" w:sz="4" w:space="0" w:color="auto"/>
            </w:tcBorders>
            <w:shd w:val="clear" w:color="000000" w:fill="B6A39A"/>
            <w:noWrap/>
            <w:vAlign w:val="bottom"/>
            <w:hideMark/>
          </w:tcPr>
          <w:p w14:paraId="5A652534"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 </w:t>
            </w:r>
          </w:p>
        </w:tc>
        <w:tc>
          <w:tcPr>
            <w:tcW w:w="403" w:type="pct"/>
            <w:tcBorders>
              <w:top w:val="nil"/>
              <w:left w:val="nil"/>
              <w:bottom w:val="single" w:sz="4" w:space="0" w:color="auto"/>
              <w:right w:val="single" w:sz="4" w:space="0" w:color="auto"/>
            </w:tcBorders>
            <w:shd w:val="clear" w:color="000000" w:fill="B6A39A"/>
            <w:noWrap/>
            <w:vAlign w:val="bottom"/>
            <w:hideMark/>
          </w:tcPr>
          <w:p w14:paraId="75512935"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w:t>
            </w:r>
          </w:p>
        </w:tc>
        <w:tc>
          <w:tcPr>
            <w:tcW w:w="297" w:type="pct"/>
            <w:tcBorders>
              <w:top w:val="nil"/>
              <w:left w:val="nil"/>
              <w:bottom w:val="single" w:sz="4" w:space="0" w:color="auto"/>
              <w:right w:val="single" w:sz="4" w:space="0" w:color="auto"/>
            </w:tcBorders>
            <w:shd w:val="clear" w:color="000000" w:fill="B6A39A"/>
            <w:noWrap/>
            <w:vAlign w:val="bottom"/>
            <w:hideMark/>
          </w:tcPr>
          <w:p w14:paraId="45A6D6FB"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 </w:t>
            </w:r>
          </w:p>
        </w:tc>
        <w:tc>
          <w:tcPr>
            <w:tcW w:w="403" w:type="pct"/>
            <w:tcBorders>
              <w:top w:val="nil"/>
              <w:left w:val="nil"/>
              <w:bottom w:val="single" w:sz="4" w:space="0" w:color="auto"/>
              <w:right w:val="single" w:sz="4" w:space="0" w:color="auto"/>
            </w:tcBorders>
            <w:shd w:val="clear" w:color="000000" w:fill="B6A39A"/>
            <w:noWrap/>
            <w:vAlign w:val="bottom"/>
            <w:hideMark/>
          </w:tcPr>
          <w:p w14:paraId="2C92376C"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w:t>
            </w:r>
          </w:p>
        </w:tc>
        <w:tc>
          <w:tcPr>
            <w:tcW w:w="240" w:type="pct"/>
            <w:tcBorders>
              <w:top w:val="nil"/>
              <w:left w:val="nil"/>
              <w:bottom w:val="single" w:sz="4" w:space="0" w:color="auto"/>
              <w:right w:val="single" w:sz="4" w:space="0" w:color="auto"/>
            </w:tcBorders>
            <w:shd w:val="clear" w:color="000000" w:fill="B6A39A"/>
            <w:noWrap/>
            <w:vAlign w:val="bottom"/>
            <w:hideMark/>
          </w:tcPr>
          <w:p w14:paraId="0064F4B8"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 </w:t>
            </w:r>
          </w:p>
        </w:tc>
        <w:tc>
          <w:tcPr>
            <w:tcW w:w="403" w:type="pct"/>
            <w:tcBorders>
              <w:top w:val="nil"/>
              <w:left w:val="nil"/>
              <w:bottom w:val="single" w:sz="4" w:space="0" w:color="auto"/>
              <w:right w:val="single" w:sz="8" w:space="0" w:color="auto"/>
            </w:tcBorders>
            <w:shd w:val="clear" w:color="000000" w:fill="B6A39A"/>
            <w:noWrap/>
            <w:vAlign w:val="bottom"/>
            <w:hideMark/>
          </w:tcPr>
          <w:p w14:paraId="3C0CD916"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w:t>
            </w:r>
          </w:p>
        </w:tc>
        <w:tc>
          <w:tcPr>
            <w:tcW w:w="240" w:type="pct"/>
            <w:tcBorders>
              <w:top w:val="nil"/>
              <w:left w:val="nil"/>
              <w:bottom w:val="single" w:sz="4" w:space="0" w:color="auto"/>
              <w:right w:val="single" w:sz="4" w:space="0" w:color="auto"/>
            </w:tcBorders>
            <w:shd w:val="clear" w:color="000000" w:fill="B6A39A"/>
            <w:noWrap/>
            <w:vAlign w:val="bottom"/>
            <w:hideMark/>
          </w:tcPr>
          <w:p w14:paraId="53F0FB35"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 </w:t>
            </w:r>
          </w:p>
        </w:tc>
        <w:tc>
          <w:tcPr>
            <w:tcW w:w="436" w:type="pct"/>
            <w:tcBorders>
              <w:top w:val="nil"/>
              <w:left w:val="nil"/>
              <w:bottom w:val="single" w:sz="4" w:space="0" w:color="auto"/>
              <w:right w:val="single" w:sz="8" w:space="0" w:color="auto"/>
            </w:tcBorders>
            <w:shd w:val="clear" w:color="000000" w:fill="B6A39A"/>
            <w:noWrap/>
            <w:vAlign w:val="bottom"/>
            <w:hideMark/>
          </w:tcPr>
          <w:p w14:paraId="5EE1FCCA"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w:t>
            </w:r>
          </w:p>
        </w:tc>
        <w:tc>
          <w:tcPr>
            <w:tcW w:w="240" w:type="pct"/>
            <w:tcBorders>
              <w:top w:val="nil"/>
              <w:left w:val="single" w:sz="4" w:space="0" w:color="auto"/>
              <w:bottom w:val="single" w:sz="4" w:space="0" w:color="auto"/>
              <w:right w:val="single" w:sz="4" w:space="0" w:color="auto"/>
            </w:tcBorders>
            <w:shd w:val="clear" w:color="000000" w:fill="B6A39A"/>
            <w:noWrap/>
            <w:vAlign w:val="bottom"/>
            <w:hideMark/>
          </w:tcPr>
          <w:p w14:paraId="1EABB7BD"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 </w:t>
            </w:r>
          </w:p>
        </w:tc>
        <w:tc>
          <w:tcPr>
            <w:tcW w:w="479" w:type="pct"/>
            <w:tcBorders>
              <w:top w:val="nil"/>
              <w:left w:val="nil"/>
              <w:bottom w:val="single" w:sz="4" w:space="0" w:color="auto"/>
              <w:right w:val="single" w:sz="8" w:space="0" w:color="auto"/>
            </w:tcBorders>
            <w:shd w:val="clear" w:color="000000" w:fill="B6A39A"/>
            <w:noWrap/>
            <w:vAlign w:val="bottom"/>
            <w:hideMark/>
          </w:tcPr>
          <w:p w14:paraId="3CB485C8"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w:t>
            </w:r>
          </w:p>
        </w:tc>
      </w:tr>
      <w:tr w:rsidR="00B8364E" w:rsidRPr="00F95832" w14:paraId="18234A9A" w14:textId="77777777" w:rsidTr="009F574A">
        <w:trPr>
          <w:trHeight w:val="300"/>
        </w:trPr>
        <w:tc>
          <w:tcPr>
            <w:tcW w:w="968" w:type="pct"/>
            <w:tcBorders>
              <w:top w:val="nil"/>
              <w:left w:val="single" w:sz="8" w:space="0" w:color="auto"/>
              <w:bottom w:val="single" w:sz="4" w:space="0" w:color="auto"/>
              <w:right w:val="single" w:sz="4" w:space="0" w:color="auto"/>
            </w:tcBorders>
            <w:shd w:val="clear" w:color="auto" w:fill="auto"/>
            <w:noWrap/>
            <w:vAlign w:val="bottom"/>
            <w:hideMark/>
          </w:tcPr>
          <w:p w14:paraId="000F6D94" w14:textId="77777777" w:rsidR="00B8364E" w:rsidRPr="00F95832" w:rsidRDefault="00B8364E" w:rsidP="009F574A">
            <w:pPr>
              <w:spacing w:after="0" w:line="240" w:lineRule="auto"/>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Pendientes</w:t>
            </w:r>
          </w:p>
        </w:tc>
        <w:tc>
          <w:tcPr>
            <w:tcW w:w="187" w:type="pct"/>
            <w:tcBorders>
              <w:top w:val="nil"/>
              <w:left w:val="nil"/>
              <w:bottom w:val="single" w:sz="4" w:space="0" w:color="auto"/>
              <w:right w:val="single" w:sz="4" w:space="0" w:color="auto"/>
            </w:tcBorders>
            <w:shd w:val="clear" w:color="auto" w:fill="auto"/>
            <w:noWrap/>
            <w:vAlign w:val="bottom"/>
            <w:hideMark/>
          </w:tcPr>
          <w:p w14:paraId="6AEB85EE"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w:t>
            </w:r>
          </w:p>
        </w:tc>
        <w:tc>
          <w:tcPr>
            <w:tcW w:w="409" w:type="pct"/>
            <w:tcBorders>
              <w:top w:val="nil"/>
              <w:left w:val="nil"/>
              <w:bottom w:val="single" w:sz="4" w:space="0" w:color="auto"/>
              <w:right w:val="single" w:sz="4" w:space="0" w:color="auto"/>
            </w:tcBorders>
            <w:shd w:val="clear" w:color="auto" w:fill="auto"/>
            <w:noWrap/>
            <w:vAlign w:val="bottom"/>
            <w:hideMark/>
          </w:tcPr>
          <w:p w14:paraId="687DDA05"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0,00%</w:t>
            </w:r>
          </w:p>
        </w:tc>
        <w:tc>
          <w:tcPr>
            <w:tcW w:w="297" w:type="pct"/>
            <w:tcBorders>
              <w:top w:val="nil"/>
              <w:left w:val="nil"/>
              <w:bottom w:val="single" w:sz="4" w:space="0" w:color="000000"/>
              <w:right w:val="single" w:sz="4" w:space="0" w:color="000000"/>
            </w:tcBorders>
            <w:shd w:val="clear" w:color="000000" w:fill="FFFFFF"/>
            <w:noWrap/>
            <w:vAlign w:val="center"/>
            <w:hideMark/>
          </w:tcPr>
          <w:p w14:paraId="3F21E249"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w:t>
            </w:r>
          </w:p>
        </w:tc>
        <w:tc>
          <w:tcPr>
            <w:tcW w:w="403" w:type="pct"/>
            <w:tcBorders>
              <w:top w:val="nil"/>
              <w:left w:val="nil"/>
              <w:bottom w:val="single" w:sz="4" w:space="0" w:color="auto"/>
              <w:right w:val="single" w:sz="4" w:space="0" w:color="auto"/>
            </w:tcBorders>
            <w:shd w:val="clear" w:color="auto" w:fill="auto"/>
            <w:noWrap/>
            <w:vAlign w:val="bottom"/>
            <w:hideMark/>
          </w:tcPr>
          <w:p w14:paraId="11F2D6A6"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0,00%</w:t>
            </w:r>
          </w:p>
        </w:tc>
        <w:tc>
          <w:tcPr>
            <w:tcW w:w="297" w:type="pct"/>
            <w:tcBorders>
              <w:top w:val="nil"/>
              <w:left w:val="nil"/>
              <w:bottom w:val="single" w:sz="4" w:space="0" w:color="000000"/>
              <w:right w:val="single" w:sz="4" w:space="0" w:color="000000"/>
            </w:tcBorders>
            <w:shd w:val="clear" w:color="000000" w:fill="FFFFFF"/>
            <w:vAlign w:val="center"/>
            <w:hideMark/>
          </w:tcPr>
          <w:p w14:paraId="2C2166C3"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w:t>
            </w:r>
          </w:p>
        </w:tc>
        <w:tc>
          <w:tcPr>
            <w:tcW w:w="403" w:type="pct"/>
            <w:tcBorders>
              <w:top w:val="nil"/>
              <w:left w:val="nil"/>
              <w:bottom w:val="single" w:sz="4" w:space="0" w:color="auto"/>
              <w:right w:val="single" w:sz="4" w:space="0" w:color="auto"/>
            </w:tcBorders>
            <w:shd w:val="clear" w:color="auto" w:fill="auto"/>
            <w:noWrap/>
            <w:vAlign w:val="bottom"/>
            <w:hideMark/>
          </w:tcPr>
          <w:p w14:paraId="1870131F"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0,00%</w:t>
            </w:r>
          </w:p>
        </w:tc>
        <w:tc>
          <w:tcPr>
            <w:tcW w:w="240" w:type="pct"/>
            <w:tcBorders>
              <w:top w:val="nil"/>
              <w:left w:val="nil"/>
              <w:bottom w:val="single" w:sz="4" w:space="0" w:color="000000"/>
              <w:right w:val="single" w:sz="4" w:space="0" w:color="000000"/>
            </w:tcBorders>
            <w:shd w:val="clear" w:color="000000" w:fill="FFFFFF"/>
            <w:noWrap/>
            <w:vAlign w:val="center"/>
            <w:hideMark/>
          </w:tcPr>
          <w:p w14:paraId="1E9A3C4B"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w:t>
            </w:r>
          </w:p>
        </w:tc>
        <w:tc>
          <w:tcPr>
            <w:tcW w:w="403" w:type="pct"/>
            <w:tcBorders>
              <w:top w:val="nil"/>
              <w:left w:val="nil"/>
              <w:bottom w:val="single" w:sz="4" w:space="0" w:color="auto"/>
              <w:right w:val="single" w:sz="8" w:space="0" w:color="auto"/>
            </w:tcBorders>
            <w:shd w:val="clear" w:color="auto" w:fill="auto"/>
            <w:noWrap/>
            <w:vAlign w:val="bottom"/>
            <w:hideMark/>
          </w:tcPr>
          <w:p w14:paraId="1E07CD49"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0,00%</w:t>
            </w:r>
          </w:p>
        </w:tc>
        <w:tc>
          <w:tcPr>
            <w:tcW w:w="240" w:type="pct"/>
            <w:tcBorders>
              <w:top w:val="nil"/>
              <w:left w:val="nil"/>
              <w:bottom w:val="single" w:sz="4" w:space="0" w:color="000000"/>
              <w:right w:val="single" w:sz="4" w:space="0" w:color="000000"/>
            </w:tcBorders>
            <w:shd w:val="clear" w:color="000000" w:fill="FFFFFF"/>
            <w:noWrap/>
            <w:vAlign w:val="center"/>
            <w:hideMark/>
          </w:tcPr>
          <w:p w14:paraId="2C5B1A4D"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162</w:t>
            </w:r>
          </w:p>
        </w:tc>
        <w:tc>
          <w:tcPr>
            <w:tcW w:w="436" w:type="pct"/>
            <w:tcBorders>
              <w:top w:val="nil"/>
              <w:left w:val="nil"/>
              <w:bottom w:val="single" w:sz="4" w:space="0" w:color="auto"/>
              <w:right w:val="single" w:sz="8" w:space="0" w:color="auto"/>
            </w:tcBorders>
            <w:shd w:val="clear" w:color="auto" w:fill="auto"/>
            <w:noWrap/>
            <w:vAlign w:val="bottom"/>
            <w:hideMark/>
          </w:tcPr>
          <w:p w14:paraId="3E0CB8F7"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45,13%</w:t>
            </w:r>
          </w:p>
        </w:tc>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0920B007"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162</w:t>
            </w:r>
          </w:p>
        </w:tc>
        <w:tc>
          <w:tcPr>
            <w:tcW w:w="479" w:type="pct"/>
            <w:tcBorders>
              <w:top w:val="nil"/>
              <w:left w:val="nil"/>
              <w:bottom w:val="single" w:sz="4" w:space="0" w:color="auto"/>
              <w:right w:val="single" w:sz="8" w:space="0" w:color="auto"/>
            </w:tcBorders>
            <w:shd w:val="clear" w:color="auto" w:fill="auto"/>
            <w:noWrap/>
            <w:vAlign w:val="bottom"/>
            <w:hideMark/>
          </w:tcPr>
          <w:p w14:paraId="460DBD48"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16,72%</w:t>
            </w:r>
          </w:p>
        </w:tc>
      </w:tr>
      <w:tr w:rsidR="00B8364E" w:rsidRPr="00F95832" w14:paraId="093B7BD3" w14:textId="77777777" w:rsidTr="009F574A">
        <w:trPr>
          <w:trHeight w:val="300"/>
        </w:trPr>
        <w:tc>
          <w:tcPr>
            <w:tcW w:w="968" w:type="pct"/>
            <w:tcBorders>
              <w:top w:val="nil"/>
              <w:left w:val="single" w:sz="8" w:space="0" w:color="auto"/>
              <w:bottom w:val="single" w:sz="4" w:space="0" w:color="auto"/>
              <w:right w:val="single" w:sz="4" w:space="0" w:color="auto"/>
            </w:tcBorders>
            <w:shd w:val="clear" w:color="auto" w:fill="auto"/>
            <w:noWrap/>
            <w:vAlign w:val="bottom"/>
            <w:hideMark/>
          </w:tcPr>
          <w:p w14:paraId="1CF1A873" w14:textId="77777777" w:rsidR="00B8364E" w:rsidRPr="00F95832" w:rsidRDefault="00B8364E" w:rsidP="009F574A">
            <w:pPr>
              <w:spacing w:after="0" w:line="240" w:lineRule="auto"/>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Análisis</w:t>
            </w:r>
          </w:p>
        </w:tc>
        <w:tc>
          <w:tcPr>
            <w:tcW w:w="187" w:type="pct"/>
            <w:tcBorders>
              <w:top w:val="nil"/>
              <w:left w:val="nil"/>
              <w:bottom w:val="single" w:sz="4" w:space="0" w:color="auto"/>
              <w:right w:val="single" w:sz="4" w:space="0" w:color="auto"/>
            </w:tcBorders>
            <w:shd w:val="clear" w:color="auto" w:fill="auto"/>
            <w:noWrap/>
            <w:vAlign w:val="bottom"/>
            <w:hideMark/>
          </w:tcPr>
          <w:p w14:paraId="7DD80796"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w:t>
            </w:r>
          </w:p>
        </w:tc>
        <w:tc>
          <w:tcPr>
            <w:tcW w:w="409" w:type="pct"/>
            <w:tcBorders>
              <w:top w:val="nil"/>
              <w:left w:val="nil"/>
              <w:bottom w:val="single" w:sz="4" w:space="0" w:color="auto"/>
              <w:right w:val="single" w:sz="4" w:space="0" w:color="auto"/>
            </w:tcBorders>
            <w:shd w:val="clear" w:color="auto" w:fill="auto"/>
            <w:noWrap/>
            <w:vAlign w:val="bottom"/>
            <w:hideMark/>
          </w:tcPr>
          <w:p w14:paraId="63A7EE17"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2,86%</w:t>
            </w:r>
          </w:p>
        </w:tc>
        <w:tc>
          <w:tcPr>
            <w:tcW w:w="297" w:type="pct"/>
            <w:tcBorders>
              <w:top w:val="nil"/>
              <w:left w:val="nil"/>
              <w:bottom w:val="single" w:sz="4" w:space="0" w:color="000000"/>
              <w:right w:val="single" w:sz="4" w:space="0" w:color="000000"/>
            </w:tcBorders>
            <w:shd w:val="clear" w:color="000000" w:fill="FFFFFF"/>
            <w:noWrap/>
            <w:vAlign w:val="center"/>
            <w:hideMark/>
          </w:tcPr>
          <w:p w14:paraId="3C65D813"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w:t>
            </w:r>
          </w:p>
        </w:tc>
        <w:tc>
          <w:tcPr>
            <w:tcW w:w="403" w:type="pct"/>
            <w:tcBorders>
              <w:top w:val="nil"/>
              <w:left w:val="nil"/>
              <w:bottom w:val="single" w:sz="4" w:space="0" w:color="auto"/>
              <w:right w:val="single" w:sz="4" w:space="0" w:color="auto"/>
            </w:tcBorders>
            <w:shd w:val="clear" w:color="auto" w:fill="auto"/>
            <w:noWrap/>
            <w:vAlign w:val="bottom"/>
            <w:hideMark/>
          </w:tcPr>
          <w:p w14:paraId="2A1F2413"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1,10%</w:t>
            </w:r>
          </w:p>
        </w:tc>
        <w:tc>
          <w:tcPr>
            <w:tcW w:w="297" w:type="pct"/>
            <w:tcBorders>
              <w:top w:val="nil"/>
              <w:left w:val="nil"/>
              <w:bottom w:val="single" w:sz="4" w:space="0" w:color="000000"/>
              <w:right w:val="single" w:sz="4" w:space="0" w:color="000000"/>
            </w:tcBorders>
            <w:shd w:val="clear" w:color="000000" w:fill="FFFFFF"/>
            <w:noWrap/>
            <w:vAlign w:val="center"/>
            <w:hideMark/>
          </w:tcPr>
          <w:p w14:paraId="07B7B836"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4</w:t>
            </w:r>
          </w:p>
        </w:tc>
        <w:tc>
          <w:tcPr>
            <w:tcW w:w="403" w:type="pct"/>
            <w:tcBorders>
              <w:top w:val="nil"/>
              <w:left w:val="nil"/>
              <w:bottom w:val="single" w:sz="4" w:space="0" w:color="auto"/>
              <w:right w:val="single" w:sz="4" w:space="0" w:color="auto"/>
            </w:tcBorders>
            <w:shd w:val="clear" w:color="auto" w:fill="auto"/>
            <w:noWrap/>
            <w:vAlign w:val="bottom"/>
            <w:hideMark/>
          </w:tcPr>
          <w:p w14:paraId="2E2291C9"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2,38%</w:t>
            </w:r>
          </w:p>
        </w:tc>
        <w:tc>
          <w:tcPr>
            <w:tcW w:w="240" w:type="pct"/>
            <w:tcBorders>
              <w:top w:val="nil"/>
              <w:left w:val="nil"/>
              <w:bottom w:val="single" w:sz="4" w:space="0" w:color="000000"/>
              <w:right w:val="single" w:sz="4" w:space="0" w:color="000000"/>
            </w:tcBorders>
            <w:shd w:val="clear" w:color="000000" w:fill="FFFFFF"/>
            <w:noWrap/>
            <w:vAlign w:val="center"/>
            <w:hideMark/>
          </w:tcPr>
          <w:p w14:paraId="7F3F9F43"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33</w:t>
            </w:r>
          </w:p>
        </w:tc>
        <w:tc>
          <w:tcPr>
            <w:tcW w:w="403" w:type="pct"/>
            <w:tcBorders>
              <w:top w:val="nil"/>
              <w:left w:val="nil"/>
              <w:bottom w:val="single" w:sz="4" w:space="0" w:color="auto"/>
              <w:right w:val="single" w:sz="8" w:space="0" w:color="auto"/>
            </w:tcBorders>
            <w:shd w:val="clear" w:color="auto" w:fill="auto"/>
            <w:noWrap/>
            <w:vAlign w:val="bottom"/>
            <w:hideMark/>
          </w:tcPr>
          <w:p w14:paraId="46CDC5F9"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14,60%</w:t>
            </w:r>
          </w:p>
        </w:tc>
        <w:tc>
          <w:tcPr>
            <w:tcW w:w="240" w:type="pct"/>
            <w:tcBorders>
              <w:top w:val="nil"/>
              <w:left w:val="nil"/>
              <w:bottom w:val="single" w:sz="4" w:space="0" w:color="000000"/>
              <w:right w:val="single" w:sz="4" w:space="0" w:color="000000"/>
            </w:tcBorders>
            <w:shd w:val="clear" w:color="000000" w:fill="FFFFFF"/>
            <w:noWrap/>
            <w:vAlign w:val="center"/>
            <w:hideMark/>
          </w:tcPr>
          <w:p w14:paraId="5F30CC61"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74</w:t>
            </w:r>
          </w:p>
        </w:tc>
        <w:tc>
          <w:tcPr>
            <w:tcW w:w="436" w:type="pct"/>
            <w:tcBorders>
              <w:top w:val="nil"/>
              <w:left w:val="nil"/>
              <w:bottom w:val="single" w:sz="4" w:space="0" w:color="auto"/>
              <w:right w:val="single" w:sz="8" w:space="0" w:color="auto"/>
            </w:tcBorders>
            <w:shd w:val="clear" w:color="auto" w:fill="auto"/>
            <w:noWrap/>
            <w:vAlign w:val="bottom"/>
            <w:hideMark/>
          </w:tcPr>
          <w:p w14:paraId="6E1D86CB"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20,61%</w:t>
            </w:r>
          </w:p>
        </w:tc>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7DC9069D"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114</w:t>
            </w:r>
          </w:p>
        </w:tc>
        <w:tc>
          <w:tcPr>
            <w:tcW w:w="479" w:type="pct"/>
            <w:tcBorders>
              <w:top w:val="nil"/>
              <w:left w:val="nil"/>
              <w:bottom w:val="single" w:sz="4" w:space="0" w:color="auto"/>
              <w:right w:val="single" w:sz="8" w:space="0" w:color="auto"/>
            </w:tcBorders>
            <w:shd w:val="clear" w:color="auto" w:fill="auto"/>
            <w:noWrap/>
            <w:vAlign w:val="bottom"/>
            <w:hideMark/>
          </w:tcPr>
          <w:p w14:paraId="240FB264"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11,76%</w:t>
            </w:r>
          </w:p>
        </w:tc>
      </w:tr>
      <w:tr w:rsidR="00B8364E" w:rsidRPr="00F95832" w14:paraId="0231F2F5" w14:textId="77777777" w:rsidTr="009F574A">
        <w:trPr>
          <w:trHeight w:val="300"/>
        </w:trPr>
        <w:tc>
          <w:tcPr>
            <w:tcW w:w="968" w:type="pct"/>
            <w:tcBorders>
              <w:top w:val="nil"/>
              <w:left w:val="single" w:sz="8" w:space="0" w:color="auto"/>
              <w:bottom w:val="single" w:sz="4" w:space="0" w:color="auto"/>
              <w:right w:val="single" w:sz="4" w:space="0" w:color="auto"/>
            </w:tcBorders>
            <w:shd w:val="clear" w:color="auto" w:fill="auto"/>
            <w:noWrap/>
            <w:vAlign w:val="bottom"/>
            <w:hideMark/>
          </w:tcPr>
          <w:p w14:paraId="4A0A0ACB" w14:textId="77777777" w:rsidR="00B8364E" w:rsidRPr="00F95832" w:rsidRDefault="00B8364E" w:rsidP="009F574A">
            <w:pPr>
              <w:spacing w:after="0" w:line="240" w:lineRule="auto"/>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Investigación</w:t>
            </w:r>
          </w:p>
        </w:tc>
        <w:tc>
          <w:tcPr>
            <w:tcW w:w="187" w:type="pct"/>
            <w:tcBorders>
              <w:top w:val="nil"/>
              <w:left w:val="nil"/>
              <w:bottom w:val="single" w:sz="4" w:space="0" w:color="auto"/>
              <w:right w:val="single" w:sz="4" w:space="0" w:color="auto"/>
            </w:tcBorders>
            <w:shd w:val="clear" w:color="auto" w:fill="auto"/>
            <w:noWrap/>
            <w:vAlign w:val="bottom"/>
            <w:hideMark/>
          </w:tcPr>
          <w:p w14:paraId="7E4CEFF9"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w:t>
            </w:r>
          </w:p>
        </w:tc>
        <w:tc>
          <w:tcPr>
            <w:tcW w:w="409" w:type="pct"/>
            <w:tcBorders>
              <w:top w:val="nil"/>
              <w:left w:val="nil"/>
              <w:bottom w:val="single" w:sz="4" w:space="0" w:color="auto"/>
              <w:right w:val="single" w:sz="4" w:space="0" w:color="auto"/>
            </w:tcBorders>
            <w:shd w:val="clear" w:color="auto" w:fill="auto"/>
            <w:noWrap/>
            <w:vAlign w:val="bottom"/>
            <w:hideMark/>
          </w:tcPr>
          <w:p w14:paraId="689F28AD"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0,00%</w:t>
            </w:r>
          </w:p>
        </w:tc>
        <w:tc>
          <w:tcPr>
            <w:tcW w:w="297" w:type="pct"/>
            <w:tcBorders>
              <w:top w:val="nil"/>
              <w:left w:val="nil"/>
              <w:bottom w:val="single" w:sz="4" w:space="0" w:color="000000"/>
              <w:right w:val="single" w:sz="4" w:space="0" w:color="000000"/>
            </w:tcBorders>
            <w:shd w:val="clear" w:color="000000" w:fill="FFFFFF"/>
            <w:noWrap/>
            <w:vAlign w:val="center"/>
            <w:hideMark/>
          </w:tcPr>
          <w:p w14:paraId="3CE8738D"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4</w:t>
            </w:r>
          </w:p>
        </w:tc>
        <w:tc>
          <w:tcPr>
            <w:tcW w:w="403" w:type="pct"/>
            <w:tcBorders>
              <w:top w:val="nil"/>
              <w:left w:val="nil"/>
              <w:bottom w:val="single" w:sz="4" w:space="0" w:color="auto"/>
              <w:right w:val="single" w:sz="4" w:space="0" w:color="auto"/>
            </w:tcBorders>
            <w:shd w:val="clear" w:color="auto" w:fill="auto"/>
            <w:noWrap/>
            <w:vAlign w:val="bottom"/>
            <w:hideMark/>
          </w:tcPr>
          <w:p w14:paraId="3CA5C7FB"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2,21%</w:t>
            </w:r>
          </w:p>
        </w:tc>
        <w:tc>
          <w:tcPr>
            <w:tcW w:w="297" w:type="pct"/>
            <w:tcBorders>
              <w:top w:val="nil"/>
              <w:left w:val="nil"/>
              <w:bottom w:val="single" w:sz="4" w:space="0" w:color="000000"/>
              <w:right w:val="single" w:sz="4" w:space="0" w:color="000000"/>
            </w:tcBorders>
            <w:shd w:val="clear" w:color="000000" w:fill="FFFFFF"/>
            <w:noWrap/>
            <w:vAlign w:val="center"/>
            <w:hideMark/>
          </w:tcPr>
          <w:p w14:paraId="3EF5C745"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8</w:t>
            </w:r>
          </w:p>
        </w:tc>
        <w:tc>
          <w:tcPr>
            <w:tcW w:w="403" w:type="pct"/>
            <w:tcBorders>
              <w:top w:val="nil"/>
              <w:left w:val="nil"/>
              <w:bottom w:val="single" w:sz="4" w:space="0" w:color="auto"/>
              <w:right w:val="single" w:sz="4" w:space="0" w:color="auto"/>
            </w:tcBorders>
            <w:shd w:val="clear" w:color="auto" w:fill="auto"/>
            <w:noWrap/>
            <w:vAlign w:val="bottom"/>
            <w:hideMark/>
          </w:tcPr>
          <w:p w14:paraId="75EA68CC"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4,76%</w:t>
            </w:r>
          </w:p>
        </w:tc>
        <w:tc>
          <w:tcPr>
            <w:tcW w:w="240" w:type="pct"/>
            <w:tcBorders>
              <w:top w:val="nil"/>
              <w:left w:val="nil"/>
              <w:bottom w:val="single" w:sz="4" w:space="0" w:color="000000"/>
              <w:right w:val="single" w:sz="4" w:space="0" w:color="000000"/>
            </w:tcBorders>
            <w:shd w:val="clear" w:color="000000" w:fill="FFFFFF"/>
            <w:noWrap/>
            <w:vAlign w:val="center"/>
            <w:hideMark/>
          </w:tcPr>
          <w:p w14:paraId="3CC345EF"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23</w:t>
            </w:r>
          </w:p>
        </w:tc>
        <w:tc>
          <w:tcPr>
            <w:tcW w:w="403" w:type="pct"/>
            <w:tcBorders>
              <w:top w:val="nil"/>
              <w:left w:val="nil"/>
              <w:bottom w:val="single" w:sz="4" w:space="0" w:color="auto"/>
              <w:right w:val="single" w:sz="8" w:space="0" w:color="auto"/>
            </w:tcBorders>
            <w:shd w:val="clear" w:color="auto" w:fill="auto"/>
            <w:noWrap/>
            <w:vAlign w:val="bottom"/>
            <w:hideMark/>
          </w:tcPr>
          <w:p w14:paraId="2A5EA3FD"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10,18%</w:t>
            </w:r>
          </w:p>
        </w:tc>
        <w:tc>
          <w:tcPr>
            <w:tcW w:w="240" w:type="pct"/>
            <w:tcBorders>
              <w:top w:val="nil"/>
              <w:left w:val="nil"/>
              <w:bottom w:val="single" w:sz="4" w:space="0" w:color="000000"/>
              <w:right w:val="single" w:sz="4" w:space="0" w:color="000000"/>
            </w:tcBorders>
            <w:shd w:val="clear" w:color="000000" w:fill="FFFFFF"/>
            <w:noWrap/>
            <w:vAlign w:val="center"/>
            <w:hideMark/>
          </w:tcPr>
          <w:p w14:paraId="0BC5E34D"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35</w:t>
            </w:r>
          </w:p>
        </w:tc>
        <w:tc>
          <w:tcPr>
            <w:tcW w:w="436" w:type="pct"/>
            <w:tcBorders>
              <w:top w:val="nil"/>
              <w:left w:val="nil"/>
              <w:bottom w:val="single" w:sz="4" w:space="0" w:color="auto"/>
              <w:right w:val="single" w:sz="8" w:space="0" w:color="auto"/>
            </w:tcBorders>
            <w:shd w:val="clear" w:color="auto" w:fill="auto"/>
            <w:noWrap/>
            <w:vAlign w:val="bottom"/>
            <w:hideMark/>
          </w:tcPr>
          <w:p w14:paraId="41ADB1E7"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9,75%</w:t>
            </w:r>
          </w:p>
        </w:tc>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3F8EB5D9"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70</w:t>
            </w:r>
          </w:p>
        </w:tc>
        <w:tc>
          <w:tcPr>
            <w:tcW w:w="479" w:type="pct"/>
            <w:tcBorders>
              <w:top w:val="nil"/>
              <w:left w:val="nil"/>
              <w:bottom w:val="single" w:sz="4" w:space="0" w:color="auto"/>
              <w:right w:val="single" w:sz="8" w:space="0" w:color="auto"/>
            </w:tcBorders>
            <w:shd w:val="clear" w:color="auto" w:fill="auto"/>
            <w:noWrap/>
            <w:vAlign w:val="bottom"/>
            <w:hideMark/>
          </w:tcPr>
          <w:p w14:paraId="60E311E2"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7,22%</w:t>
            </w:r>
          </w:p>
        </w:tc>
      </w:tr>
      <w:tr w:rsidR="00B8364E" w:rsidRPr="00F95832" w14:paraId="7B9BABF3" w14:textId="77777777" w:rsidTr="009F574A">
        <w:trPr>
          <w:trHeight w:val="300"/>
        </w:trPr>
        <w:tc>
          <w:tcPr>
            <w:tcW w:w="968" w:type="pct"/>
            <w:tcBorders>
              <w:top w:val="nil"/>
              <w:left w:val="single" w:sz="8" w:space="0" w:color="auto"/>
              <w:bottom w:val="single" w:sz="4" w:space="0" w:color="auto"/>
              <w:right w:val="single" w:sz="4" w:space="0" w:color="auto"/>
            </w:tcBorders>
            <w:shd w:val="clear" w:color="auto" w:fill="auto"/>
            <w:noWrap/>
            <w:vAlign w:val="bottom"/>
            <w:hideMark/>
          </w:tcPr>
          <w:p w14:paraId="51424B0A" w14:textId="77777777" w:rsidR="00B8364E" w:rsidRPr="00F95832" w:rsidRDefault="00B8364E" w:rsidP="009F574A">
            <w:pPr>
              <w:spacing w:after="0" w:line="240" w:lineRule="auto"/>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Interrupción</w:t>
            </w:r>
          </w:p>
        </w:tc>
        <w:tc>
          <w:tcPr>
            <w:tcW w:w="187" w:type="pct"/>
            <w:tcBorders>
              <w:top w:val="nil"/>
              <w:left w:val="nil"/>
              <w:bottom w:val="single" w:sz="4" w:space="0" w:color="auto"/>
              <w:right w:val="single" w:sz="4" w:space="0" w:color="auto"/>
            </w:tcBorders>
            <w:shd w:val="clear" w:color="auto" w:fill="auto"/>
            <w:noWrap/>
            <w:vAlign w:val="bottom"/>
            <w:hideMark/>
          </w:tcPr>
          <w:p w14:paraId="774594A6"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w:t>
            </w:r>
          </w:p>
        </w:tc>
        <w:tc>
          <w:tcPr>
            <w:tcW w:w="409" w:type="pct"/>
            <w:tcBorders>
              <w:top w:val="nil"/>
              <w:left w:val="nil"/>
              <w:bottom w:val="single" w:sz="4" w:space="0" w:color="auto"/>
              <w:right w:val="single" w:sz="4" w:space="0" w:color="auto"/>
            </w:tcBorders>
            <w:shd w:val="clear" w:color="auto" w:fill="auto"/>
            <w:noWrap/>
            <w:vAlign w:val="bottom"/>
            <w:hideMark/>
          </w:tcPr>
          <w:p w14:paraId="4364A93A"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5,71%</w:t>
            </w:r>
          </w:p>
        </w:tc>
        <w:tc>
          <w:tcPr>
            <w:tcW w:w="297" w:type="pct"/>
            <w:tcBorders>
              <w:top w:val="nil"/>
              <w:left w:val="nil"/>
              <w:bottom w:val="single" w:sz="4" w:space="0" w:color="000000"/>
              <w:right w:val="single" w:sz="4" w:space="0" w:color="000000"/>
            </w:tcBorders>
            <w:shd w:val="clear" w:color="000000" w:fill="FFFFFF"/>
            <w:noWrap/>
            <w:vAlign w:val="center"/>
            <w:hideMark/>
          </w:tcPr>
          <w:p w14:paraId="07BCF8E8"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10</w:t>
            </w:r>
          </w:p>
        </w:tc>
        <w:tc>
          <w:tcPr>
            <w:tcW w:w="403" w:type="pct"/>
            <w:tcBorders>
              <w:top w:val="nil"/>
              <w:left w:val="nil"/>
              <w:bottom w:val="single" w:sz="4" w:space="0" w:color="auto"/>
              <w:right w:val="single" w:sz="4" w:space="0" w:color="auto"/>
            </w:tcBorders>
            <w:shd w:val="clear" w:color="auto" w:fill="auto"/>
            <w:noWrap/>
            <w:vAlign w:val="bottom"/>
            <w:hideMark/>
          </w:tcPr>
          <w:p w14:paraId="77A57FCB"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5,52%</w:t>
            </w:r>
          </w:p>
        </w:tc>
        <w:tc>
          <w:tcPr>
            <w:tcW w:w="297" w:type="pct"/>
            <w:tcBorders>
              <w:top w:val="nil"/>
              <w:left w:val="nil"/>
              <w:bottom w:val="single" w:sz="4" w:space="0" w:color="000000"/>
              <w:right w:val="single" w:sz="4" w:space="0" w:color="000000"/>
            </w:tcBorders>
            <w:shd w:val="clear" w:color="000000" w:fill="FFFFFF"/>
            <w:vAlign w:val="center"/>
            <w:hideMark/>
          </w:tcPr>
          <w:p w14:paraId="232492B2"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13</w:t>
            </w:r>
          </w:p>
        </w:tc>
        <w:tc>
          <w:tcPr>
            <w:tcW w:w="403" w:type="pct"/>
            <w:tcBorders>
              <w:top w:val="nil"/>
              <w:left w:val="nil"/>
              <w:bottom w:val="single" w:sz="4" w:space="0" w:color="auto"/>
              <w:right w:val="single" w:sz="4" w:space="0" w:color="auto"/>
            </w:tcBorders>
            <w:shd w:val="clear" w:color="auto" w:fill="auto"/>
            <w:noWrap/>
            <w:vAlign w:val="bottom"/>
            <w:hideMark/>
          </w:tcPr>
          <w:p w14:paraId="4D1C8B8F"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7,74%</w:t>
            </w:r>
          </w:p>
        </w:tc>
        <w:tc>
          <w:tcPr>
            <w:tcW w:w="240" w:type="pct"/>
            <w:tcBorders>
              <w:top w:val="nil"/>
              <w:left w:val="nil"/>
              <w:bottom w:val="single" w:sz="4" w:space="0" w:color="000000"/>
              <w:right w:val="single" w:sz="4" w:space="0" w:color="000000"/>
            </w:tcBorders>
            <w:shd w:val="clear" w:color="000000" w:fill="FFFFFF"/>
            <w:noWrap/>
            <w:vAlign w:val="center"/>
            <w:hideMark/>
          </w:tcPr>
          <w:p w14:paraId="5B22BF12"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5</w:t>
            </w:r>
          </w:p>
        </w:tc>
        <w:tc>
          <w:tcPr>
            <w:tcW w:w="403" w:type="pct"/>
            <w:tcBorders>
              <w:top w:val="nil"/>
              <w:left w:val="nil"/>
              <w:bottom w:val="single" w:sz="4" w:space="0" w:color="auto"/>
              <w:right w:val="single" w:sz="8" w:space="0" w:color="auto"/>
            </w:tcBorders>
            <w:shd w:val="clear" w:color="auto" w:fill="auto"/>
            <w:noWrap/>
            <w:vAlign w:val="bottom"/>
            <w:hideMark/>
          </w:tcPr>
          <w:p w14:paraId="5F08F260"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2,21%</w:t>
            </w:r>
          </w:p>
        </w:tc>
        <w:tc>
          <w:tcPr>
            <w:tcW w:w="240" w:type="pct"/>
            <w:tcBorders>
              <w:top w:val="nil"/>
              <w:left w:val="nil"/>
              <w:bottom w:val="single" w:sz="4" w:space="0" w:color="000000"/>
              <w:right w:val="single" w:sz="4" w:space="0" w:color="000000"/>
            </w:tcBorders>
            <w:shd w:val="clear" w:color="000000" w:fill="FFFFFF"/>
            <w:noWrap/>
            <w:vAlign w:val="center"/>
            <w:hideMark/>
          </w:tcPr>
          <w:p w14:paraId="754728BC"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w:t>
            </w:r>
          </w:p>
        </w:tc>
        <w:tc>
          <w:tcPr>
            <w:tcW w:w="436" w:type="pct"/>
            <w:tcBorders>
              <w:top w:val="nil"/>
              <w:left w:val="nil"/>
              <w:bottom w:val="single" w:sz="4" w:space="0" w:color="auto"/>
              <w:right w:val="single" w:sz="8" w:space="0" w:color="auto"/>
            </w:tcBorders>
            <w:shd w:val="clear" w:color="auto" w:fill="auto"/>
            <w:noWrap/>
            <w:vAlign w:val="bottom"/>
            <w:hideMark/>
          </w:tcPr>
          <w:p w14:paraId="45F2A8A9"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0,28%</w:t>
            </w:r>
          </w:p>
        </w:tc>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093D38AF"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31</w:t>
            </w:r>
          </w:p>
        </w:tc>
        <w:tc>
          <w:tcPr>
            <w:tcW w:w="479" w:type="pct"/>
            <w:tcBorders>
              <w:top w:val="nil"/>
              <w:left w:val="nil"/>
              <w:bottom w:val="single" w:sz="4" w:space="0" w:color="auto"/>
              <w:right w:val="single" w:sz="8" w:space="0" w:color="auto"/>
            </w:tcBorders>
            <w:shd w:val="clear" w:color="auto" w:fill="auto"/>
            <w:noWrap/>
            <w:vAlign w:val="bottom"/>
            <w:hideMark/>
          </w:tcPr>
          <w:p w14:paraId="0CB44A86"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3,20%</w:t>
            </w:r>
          </w:p>
        </w:tc>
      </w:tr>
      <w:tr w:rsidR="00B8364E" w:rsidRPr="00F95832" w14:paraId="508C8D22" w14:textId="77777777" w:rsidTr="009F574A">
        <w:trPr>
          <w:trHeight w:val="300"/>
        </w:trPr>
        <w:tc>
          <w:tcPr>
            <w:tcW w:w="968" w:type="pct"/>
            <w:tcBorders>
              <w:top w:val="nil"/>
              <w:left w:val="single" w:sz="8" w:space="0" w:color="auto"/>
              <w:bottom w:val="single" w:sz="4" w:space="0" w:color="auto"/>
              <w:right w:val="single" w:sz="4" w:space="0" w:color="auto"/>
            </w:tcBorders>
            <w:shd w:val="clear" w:color="auto" w:fill="auto"/>
            <w:noWrap/>
            <w:vAlign w:val="bottom"/>
            <w:hideMark/>
          </w:tcPr>
          <w:p w14:paraId="1E208F1A" w14:textId="77777777" w:rsidR="00B8364E" w:rsidRPr="00F95832" w:rsidRDefault="00B8364E" w:rsidP="009F574A">
            <w:pPr>
              <w:spacing w:after="0" w:line="240" w:lineRule="auto"/>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Resueltos</w:t>
            </w:r>
          </w:p>
        </w:tc>
        <w:tc>
          <w:tcPr>
            <w:tcW w:w="187" w:type="pct"/>
            <w:tcBorders>
              <w:top w:val="nil"/>
              <w:left w:val="nil"/>
              <w:bottom w:val="single" w:sz="4" w:space="0" w:color="auto"/>
              <w:right w:val="single" w:sz="4" w:space="0" w:color="auto"/>
            </w:tcBorders>
            <w:shd w:val="clear" w:color="auto" w:fill="auto"/>
            <w:noWrap/>
            <w:vAlign w:val="bottom"/>
            <w:hideMark/>
          </w:tcPr>
          <w:p w14:paraId="621E9BCE"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32</w:t>
            </w:r>
          </w:p>
        </w:tc>
        <w:tc>
          <w:tcPr>
            <w:tcW w:w="409" w:type="pct"/>
            <w:tcBorders>
              <w:top w:val="nil"/>
              <w:left w:val="nil"/>
              <w:bottom w:val="single" w:sz="4" w:space="0" w:color="auto"/>
              <w:right w:val="single" w:sz="4" w:space="0" w:color="auto"/>
            </w:tcBorders>
            <w:shd w:val="clear" w:color="auto" w:fill="auto"/>
            <w:noWrap/>
            <w:vAlign w:val="bottom"/>
            <w:hideMark/>
          </w:tcPr>
          <w:p w14:paraId="4B4C12FD"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91,43%</w:t>
            </w:r>
          </w:p>
        </w:tc>
        <w:tc>
          <w:tcPr>
            <w:tcW w:w="297" w:type="pct"/>
            <w:tcBorders>
              <w:top w:val="nil"/>
              <w:left w:val="nil"/>
              <w:bottom w:val="single" w:sz="4" w:space="0" w:color="000000"/>
              <w:right w:val="single" w:sz="4" w:space="0" w:color="000000"/>
            </w:tcBorders>
            <w:shd w:val="clear" w:color="000000" w:fill="FFFFFF"/>
            <w:noWrap/>
            <w:vAlign w:val="center"/>
            <w:hideMark/>
          </w:tcPr>
          <w:p w14:paraId="408155FE"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156</w:t>
            </w:r>
          </w:p>
        </w:tc>
        <w:tc>
          <w:tcPr>
            <w:tcW w:w="403" w:type="pct"/>
            <w:tcBorders>
              <w:top w:val="nil"/>
              <w:left w:val="nil"/>
              <w:bottom w:val="single" w:sz="4" w:space="0" w:color="auto"/>
              <w:right w:val="single" w:sz="4" w:space="0" w:color="auto"/>
            </w:tcBorders>
            <w:shd w:val="clear" w:color="auto" w:fill="auto"/>
            <w:noWrap/>
            <w:vAlign w:val="bottom"/>
            <w:hideMark/>
          </w:tcPr>
          <w:p w14:paraId="3CCCC232"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86,19%</w:t>
            </w:r>
          </w:p>
        </w:tc>
        <w:tc>
          <w:tcPr>
            <w:tcW w:w="297" w:type="pct"/>
            <w:tcBorders>
              <w:top w:val="nil"/>
              <w:left w:val="nil"/>
              <w:bottom w:val="single" w:sz="4" w:space="0" w:color="000000"/>
              <w:right w:val="single" w:sz="4" w:space="0" w:color="000000"/>
            </w:tcBorders>
            <w:shd w:val="clear" w:color="000000" w:fill="FFFFFF"/>
            <w:vAlign w:val="center"/>
            <w:hideMark/>
          </w:tcPr>
          <w:p w14:paraId="1642D89A"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130</w:t>
            </w:r>
          </w:p>
        </w:tc>
        <w:tc>
          <w:tcPr>
            <w:tcW w:w="403" w:type="pct"/>
            <w:tcBorders>
              <w:top w:val="nil"/>
              <w:left w:val="nil"/>
              <w:bottom w:val="single" w:sz="4" w:space="0" w:color="auto"/>
              <w:right w:val="single" w:sz="4" w:space="0" w:color="auto"/>
            </w:tcBorders>
            <w:shd w:val="clear" w:color="auto" w:fill="auto"/>
            <w:noWrap/>
            <w:vAlign w:val="bottom"/>
            <w:hideMark/>
          </w:tcPr>
          <w:p w14:paraId="1D7C36A8"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77,38%</w:t>
            </w:r>
          </w:p>
        </w:tc>
        <w:tc>
          <w:tcPr>
            <w:tcW w:w="240" w:type="pct"/>
            <w:tcBorders>
              <w:top w:val="nil"/>
              <w:left w:val="nil"/>
              <w:bottom w:val="single" w:sz="4" w:space="0" w:color="000000"/>
              <w:right w:val="single" w:sz="4" w:space="0" w:color="000000"/>
            </w:tcBorders>
            <w:shd w:val="clear" w:color="000000" w:fill="FFFFFF"/>
            <w:noWrap/>
            <w:vAlign w:val="center"/>
            <w:hideMark/>
          </w:tcPr>
          <w:p w14:paraId="4149930A"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149</w:t>
            </w:r>
          </w:p>
        </w:tc>
        <w:tc>
          <w:tcPr>
            <w:tcW w:w="403" w:type="pct"/>
            <w:tcBorders>
              <w:top w:val="nil"/>
              <w:left w:val="nil"/>
              <w:bottom w:val="single" w:sz="4" w:space="0" w:color="auto"/>
              <w:right w:val="single" w:sz="8" w:space="0" w:color="auto"/>
            </w:tcBorders>
            <w:shd w:val="clear" w:color="auto" w:fill="auto"/>
            <w:noWrap/>
            <w:vAlign w:val="bottom"/>
            <w:hideMark/>
          </w:tcPr>
          <w:p w14:paraId="3E9AAF77"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65,93%</w:t>
            </w:r>
          </w:p>
        </w:tc>
        <w:tc>
          <w:tcPr>
            <w:tcW w:w="240" w:type="pct"/>
            <w:tcBorders>
              <w:top w:val="nil"/>
              <w:left w:val="nil"/>
              <w:bottom w:val="single" w:sz="4" w:space="0" w:color="000000"/>
              <w:right w:val="single" w:sz="4" w:space="0" w:color="000000"/>
            </w:tcBorders>
            <w:shd w:val="clear" w:color="000000" w:fill="FFFFFF"/>
            <w:noWrap/>
            <w:vAlign w:val="center"/>
            <w:hideMark/>
          </w:tcPr>
          <w:p w14:paraId="4F4A30FC"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84</w:t>
            </w:r>
          </w:p>
        </w:tc>
        <w:tc>
          <w:tcPr>
            <w:tcW w:w="436" w:type="pct"/>
            <w:tcBorders>
              <w:top w:val="nil"/>
              <w:left w:val="nil"/>
              <w:bottom w:val="single" w:sz="4" w:space="0" w:color="auto"/>
              <w:right w:val="single" w:sz="8" w:space="0" w:color="auto"/>
            </w:tcBorders>
            <w:shd w:val="clear" w:color="auto" w:fill="auto"/>
            <w:noWrap/>
            <w:vAlign w:val="bottom"/>
            <w:hideMark/>
          </w:tcPr>
          <w:p w14:paraId="6C461BB2"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23,40%</w:t>
            </w:r>
          </w:p>
        </w:tc>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58A167EF"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551</w:t>
            </w:r>
          </w:p>
        </w:tc>
        <w:tc>
          <w:tcPr>
            <w:tcW w:w="479" w:type="pct"/>
            <w:tcBorders>
              <w:top w:val="nil"/>
              <w:left w:val="nil"/>
              <w:bottom w:val="single" w:sz="4" w:space="0" w:color="auto"/>
              <w:right w:val="single" w:sz="8" w:space="0" w:color="auto"/>
            </w:tcBorders>
            <w:shd w:val="clear" w:color="auto" w:fill="auto"/>
            <w:noWrap/>
            <w:vAlign w:val="bottom"/>
            <w:hideMark/>
          </w:tcPr>
          <w:p w14:paraId="431D27CC"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56,86%</w:t>
            </w:r>
          </w:p>
        </w:tc>
      </w:tr>
      <w:tr w:rsidR="00B8364E" w:rsidRPr="00F95832" w14:paraId="583FF9D7" w14:textId="77777777" w:rsidTr="00B8364E">
        <w:trPr>
          <w:trHeight w:val="300"/>
        </w:trPr>
        <w:tc>
          <w:tcPr>
            <w:tcW w:w="968" w:type="pct"/>
            <w:tcBorders>
              <w:top w:val="nil"/>
              <w:left w:val="single" w:sz="8" w:space="0" w:color="auto"/>
              <w:bottom w:val="single" w:sz="4" w:space="0" w:color="auto"/>
              <w:right w:val="single" w:sz="4" w:space="0" w:color="auto"/>
            </w:tcBorders>
            <w:shd w:val="clear" w:color="auto" w:fill="auto"/>
            <w:noWrap/>
            <w:vAlign w:val="bottom"/>
            <w:hideMark/>
          </w:tcPr>
          <w:p w14:paraId="3B0F2AE4" w14:textId="77777777" w:rsidR="00B8364E" w:rsidRPr="00F95832" w:rsidRDefault="00B8364E" w:rsidP="009F574A">
            <w:pPr>
              <w:spacing w:after="0" w:line="240" w:lineRule="auto"/>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Seguimiento</w:t>
            </w:r>
          </w:p>
        </w:tc>
        <w:tc>
          <w:tcPr>
            <w:tcW w:w="187" w:type="pct"/>
            <w:tcBorders>
              <w:top w:val="nil"/>
              <w:left w:val="nil"/>
              <w:bottom w:val="single" w:sz="4" w:space="0" w:color="auto"/>
              <w:right w:val="single" w:sz="4" w:space="0" w:color="auto"/>
            </w:tcBorders>
            <w:shd w:val="clear" w:color="auto" w:fill="auto"/>
            <w:noWrap/>
            <w:vAlign w:val="bottom"/>
            <w:hideMark/>
          </w:tcPr>
          <w:p w14:paraId="4FED48FD"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w:t>
            </w:r>
          </w:p>
        </w:tc>
        <w:tc>
          <w:tcPr>
            <w:tcW w:w="409" w:type="pct"/>
            <w:tcBorders>
              <w:top w:val="nil"/>
              <w:left w:val="nil"/>
              <w:bottom w:val="single" w:sz="4" w:space="0" w:color="auto"/>
              <w:right w:val="single" w:sz="4" w:space="0" w:color="auto"/>
            </w:tcBorders>
            <w:shd w:val="clear" w:color="auto" w:fill="auto"/>
            <w:noWrap/>
            <w:vAlign w:val="bottom"/>
            <w:hideMark/>
          </w:tcPr>
          <w:p w14:paraId="5D15FBC8"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0,00%</w:t>
            </w:r>
          </w:p>
        </w:tc>
        <w:tc>
          <w:tcPr>
            <w:tcW w:w="297" w:type="pct"/>
            <w:tcBorders>
              <w:top w:val="nil"/>
              <w:left w:val="nil"/>
              <w:bottom w:val="single" w:sz="4" w:space="0" w:color="000000"/>
              <w:right w:val="single" w:sz="4" w:space="0" w:color="000000"/>
            </w:tcBorders>
            <w:shd w:val="clear" w:color="000000" w:fill="FFFFFF"/>
            <w:vAlign w:val="center"/>
            <w:hideMark/>
          </w:tcPr>
          <w:p w14:paraId="2F691ABF"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9</w:t>
            </w:r>
          </w:p>
        </w:tc>
        <w:tc>
          <w:tcPr>
            <w:tcW w:w="403" w:type="pct"/>
            <w:tcBorders>
              <w:top w:val="nil"/>
              <w:left w:val="nil"/>
              <w:bottom w:val="single" w:sz="4" w:space="0" w:color="auto"/>
              <w:right w:val="single" w:sz="4" w:space="0" w:color="auto"/>
            </w:tcBorders>
            <w:shd w:val="clear" w:color="auto" w:fill="auto"/>
            <w:noWrap/>
            <w:vAlign w:val="bottom"/>
            <w:hideMark/>
          </w:tcPr>
          <w:p w14:paraId="6E33EB39"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4,97%</w:t>
            </w:r>
          </w:p>
        </w:tc>
        <w:tc>
          <w:tcPr>
            <w:tcW w:w="297" w:type="pct"/>
            <w:tcBorders>
              <w:top w:val="nil"/>
              <w:left w:val="nil"/>
              <w:bottom w:val="single" w:sz="4" w:space="0" w:color="000000"/>
              <w:right w:val="single" w:sz="4" w:space="0" w:color="000000"/>
            </w:tcBorders>
            <w:shd w:val="clear" w:color="000000" w:fill="FFFFFF"/>
            <w:vAlign w:val="center"/>
            <w:hideMark/>
          </w:tcPr>
          <w:p w14:paraId="58D3E1BE"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13</w:t>
            </w:r>
          </w:p>
        </w:tc>
        <w:tc>
          <w:tcPr>
            <w:tcW w:w="403" w:type="pct"/>
            <w:tcBorders>
              <w:top w:val="nil"/>
              <w:left w:val="nil"/>
              <w:bottom w:val="single" w:sz="4" w:space="0" w:color="auto"/>
              <w:right w:val="single" w:sz="4" w:space="0" w:color="auto"/>
            </w:tcBorders>
            <w:shd w:val="clear" w:color="auto" w:fill="auto"/>
            <w:noWrap/>
            <w:vAlign w:val="bottom"/>
            <w:hideMark/>
          </w:tcPr>
          <w:p w14:paraId="53880F90"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7,74%</w:t>
            </w:r>
          </w:p>
        </w:tc>
        <w:tc>
          <w:tcPr>
            <w:tcW w:w="240" w:type="pct"/>
            <w:tcBorders>
              <w:top w:val="nil"/>
              <w:left w:val="nil"/>
              <w:bottom w:val="single" w:sz="4" w:space="0" w:color="000000"/>
              <w:right w:val="single" w:sz="4" w:space="0" w:color="000000"/>
            </w:tcBorders>
            <w:shd w:val="clear" w:color="000000" w:fill="FFFFFF"/>
            <w:noWrap/>
            <w:vAlign w:val="center"/>
            <w:hideMark/>
          </w:tcPr>
          <w:p w14:paraId="25C9E37A"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16</w:t>
            </w:r>
          </w:p>
        </w:tc>
        <w:tc>
          <w:tcPr>
            <w:tcW w:w="403" w:type="pct"/>
            <w:tcBorders>
              <w:top w:val="nil"/>
              <w:left w:val="nil"/>
              <w:bottom w:val="single" w:sz="4" w:space="0" w:color="auto"/>
              <w:right w:val="single" w:sz="8" w:space="0" w:color="auto"/>
            </w:tcBorders>
            <w:shd w:val="clear" w:color="auto" w:fill="auto"/>
            <w:noWrap/>
            <w:vAlign w:val="bottom"/>
            <w:hideMark/>
          </w:tcPr>
          <w:p w14:paraId="4D2882D5"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7,08%</w:t>
            </w:r>
          </w:p>
        </w:tc>
        <w:tc>
          <w:tcPr>
            <w:tcW w:w="240" w:type="pct"/>
            <w:tcBorders>
              <w:top w:val="nil"/>
              <w:left w:val="nil"/>
              <w:bottom w:val="single" w:sz="4" w:space="0" w:color="000000"/>
              <w:right w:val="single" w:sz="4" w:space="0" w:color="000000"/>
            </w:tcBorders>
            <w:shd w:val="clear" w:color="000000" w:fill="FFFFFF"/>
            <w:noWrap/>
            <w:vAlign w:val="center"/>
            <w:hideMark/>
          </w:tcPr>
          <w:p w14:paraId="262FF21B"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3</w:t>
            </w:r>
          </w:p>
        </w:tc>
        <w:tc>
          <w:tcPr>
            <w:tcW w:w="436" w:type="pct"/>
            <w:tcBorders>
              <w:top w:val="nil"/>
              <w:left w:val="nil"/>
              <w:bottom w:val="single" w:sz="4" w:space="0" w:color="auto"/>
              <w:right w:val="single" w:sz="8" w:space="0" w:color="auto"/>
            </w:tcBorders>
            <w:shd w:val="clear" w:color="auto" w:fill="auto"/>
            <w:noWrap/>
            <w:vAlign w:val="bottom"/>
            <w:hideMark/>
          </w:tcPr>
          <w:p w14:paraId="1867CFA6"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0,84%</w:t>
            </w:r>
          </w:p>
        </w:tc>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6195E4FA"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41</w:t>
            </w:r>
          </w:p>
        </w:tc>
        <w:tc>
          <w:tcPr>
            <w:tcW w:w="479" w:type="pct"/>
            <w:tcBorders>
              <w:top w:val="nil"/>
              <w:left w:val="nil"/>
              <w:bottom w:val="single" w:sz="4" w:space="0" w:color="auto"/>
              <w:right w:val="single" w:sz="8" w:space="0" w:color="auto"/>
            </w:tcBorders>
            <w:shd w:val="clear" w:color="auto" w:fill="auto"/>
            <w:noWrap/>
            <w:vAlign w:val="bottom"/>
            <w:hideMark/>
          </w:tcPr>
          <w:p w14:paraId="4E7E2436" w14:textId="77777777" w:rsidR="00B8364E" w:rsidRPr="00F95832" w:rsidRDefault="00B8364E" w:rsidP="009F574A">
            <w:pPr>
              <w:spacing w:after="0" w:line="240" w:lineRule="auto"/>
              <w:jc w:val="center"/>
              <w:rPr>
                <w:rFonts w:ascii="Arial" w:eastAsia="Times New Roman" w:hAnsi="Arial" w:cs="Arial"/>
                <w:color w:val="000000"/>
                <w:sz w:val="16"/>
                <w:szCs w:val="16"/>
                <w:lang w:eastAsia="es-ES"/>
              </w:rPr>
            </w:pPr>
            <w:r w:rsidRPr="00F95832">
              <w:rPr>
                <w:rFonts w:ascii="Arial" w:eastAsia="Times New Roman" w:hAnsi="Arial" w:cs="Arial"/>
                <w:color w:val="000000"/>
                <w:sz w:val="16"/>
                <w:szCs w:val="16"/>
                <w:lang w:eastAsia="es-ES"/>
              </w:rPr>
              <w:t>4,23%</w:t>
            </w:r>
          </w:p>
        </w:tc>
      </w:tr>
      <w:tr w:rsidR="00B8364E" w:rsidRPr="00F95832" w14:paraId="00C3513B" w14:textId="77777777" w:rsidTr="00B8364E">
        <w:trPr>
          <w:trHeight w:val="300"/>
        </w:trPr>
        <w:tc>
          <w:tcPr>
            <w:tcW w:w="968" w:type="pct"/>
            <w:tcBorders>
              <w:top w:val="nil"/>
              <w:left w:val="single" w:sz="8" w:space="0" w:color="auto"/>
              <w:bottom w:val="single" w:sz="8" w:space="0" w:color="auto"/>
              <w:right w:val="single" w:sz="4" w:space="0" w:color="auto"/>
            </w:tcBorders>
            <w:shd w:val="clear" w:color="auto" w:fill="auto"/>
            <w:noWrap/>
            <w:vAlign w:val="bottom"/>
            <w:hideMark/>
          </w:tcPr>
          <w:p w14:paraId="29609F39" w14:textId="77777777" w:rsidR="00B8364E" w:rsidRPr="00F95832" w:rsidRDefault="00B8364E" w:rsidP="009F574A">
            <w:pPr>
              <w:spacing w:after="0" w:line="240" w:lineRule="auto"/>
              <w:jc w:val="right"/>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TOTAL</w:t>
            </w:r>
          </w:p>
        </w:tc>
        <w:tc>
          <w:tcPr>
            <w:tcW w:w="187" w:type="pct"/>
            <w:tcBorders>
              <w:top w:val="nil"/>
              <w:left w:val="nil"/>
              <w:bottom w:val="single" w:sz="8" w:space="0" w:color="auto"/>
              <w:right w:val="single" w:sz="4" w:space="0" w:color="auto"/>
            </w:tcBorders>
            <w:shd w:val="clear" w:color="auto" w:fill="auto"/>
            <w:noWrap/>
            <w:vAlign w:val="bottom"/>
            <w:hideMark/>
          </w:tcPr>
          <w:p w14:paraId="7AC919AE"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35</w:t>
            </w:r>
          </w:p>
        </w:tc>
        <w:tc>
          <w:tcPr>
            <w:tcW w:w="409" w:type="pct"/>
            <w:tcBorders>
              <w:top w:val="single" w:sz="4" w:space="0" w:color="auto"/>
              <w:left w:val="nil"/>
              <w:bottom w:val="single" w:sz="4" w:space="0" w:color="auto"/>
              <w:right w:val="single" w:sz="4" w:space="0" w:color="auto"/>
            </w:tcBorders>
            <w:shd w:val="clear" w:color="auto" w:fill="auto"/>
            <w:noWrap/>
            <w:vAlign w:val="bottom"/>
            <w:hideMark/>
          </w:tcPr>
          <w:p w14:paraId="0FEB2F76"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100%</w:t>
            </w:r>
          </w:p>
        </w:tc>
        <w:tc>
          <w:tcPr>
            <w:tcW w:w="297" w:type="pct"/>
            <w:tcBorders>
              <w:top w:val="nil"/>
              <w:left w:val="nil"/>
              <w:bottom w:val="single" w:sz="8" w:space="0" w:color="auto"/>
              <w:right w:val="single" w:sz="4" w:space="0" w:color="auto"/>
            </w:tcBorders>
            <w:shd w:val="clear" w:color="auto" w:fill="auto"/>
            <w:noWrap/>
            <w:vAlign w:val="bottom"/>
            <w:hideMark/>
          </w:tcPr>
          <w:p w14:paraId="4C887019"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181</w:t>
            </w:r>
          </w:p>
        </w:tc>
        <w:tc>
          <w:tcPr>
            <w:tcW w:w="403" w:type="pct"/>
            <w:tcBorders>
              <w:top w:val="nil"/>
              <w:left w:val="nil"/>
              <w:bottom w:val="single" w:sz="8" w:space="0" w:color="auto"/>
              <w:right w:val="single" w:sz="4" w:space="0" w:color="auto"/>
            </w:tcBorders>
            <w:shd w:val="clear" w:color="auto" w:fill="auto"/>
            <w:noWrap/>
            <w:vAlign w:val="bottom"/>
            <w:hideMark/>
          </w:tcPr>
          <w:p w14:paraId="29414BB2"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100%</w:t>
            </w:r>
          </w:p>
        </w:tc>
        <w:tc>
          <w:tcPr>
            <w:tcW w:w="297" w:type="pct"/>
            <w:tcBorders>
              <w:top w:val="nil"/>
              <w:left w:val="nil"/>
              <w:bottom w:val="single" w:sz="8" w:space="0" w:color="auto"/>
              <w:right w:val="single" w:sz="4" w:space="0" w:color="auto"/>
            </w:tcBorders>
            <w:shd w:val="clear" w:color="auto" w:fill="auto"/>
            <w:noWrap/>
            <w:vAlign w:val="bottom"/>
            <w:hideMark/>
          </w:tcPr>
          <w:p w14:paraId="4901B29F"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168</w:t>
            </w:r>
          </w:p>
        </w:tc>
        <w:tc>
          <w:tcPr>
            <w:tcW w:w="403" w:type="pct"/>
            <w:tcBorders>
              <w:top w:val="nil"/>
              <w:left w:val="nil"/>
              <w:bottom w:val="single" w:sz="8" w:space="0" w:color="auto"/>
              <w:right w:val="single" w:sz="4" w:space="0" w:color="auto"/>
            </w:tcBorders>
            <w:shd w:val="clear" w:color="auto" w:fill="auto"/>
            <w:noWrap/>
            <w:vAlign w:val="bottom"/>
            <w:hideMark/>
          </w:tcPr>
          <w:p w14:paraId="612E5820"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100%</w:t>
            </w:r>
          </w:p>
        </w:tc>
        <w:tc>
          <w:tcPr>
            <w:tcW w:w="240" w:type="pct"/>
            <w:tcBorders>
              <w:top w:val="nil"/>
              <w:left w:val="nil"/>
              <w:bottom w:val="single" w:sz="8" w:space="0" w:color="auto"/>
              <w:right w:val="single" w:sz="4" w:space="0" w:color="auto"/>
            </w:tcBorders>
            <w:shd w:val="clear" w:color="auto" w:fill="auto"/>
            <w:noWrap/>
            <w:vAlign w:val="bottom"/>
            <w:hideMark/>
          </w:tcPr>
          <w:p w14:paraId="49F79FB6"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226</w:t>
            </w:r>
          </w:p>
        </w:tc>
        <w:tc>
          <w:tcPr>
            <w:tcW w:w="403" w:type="pct"/>
            <w:tcBorders>
              <w:top w:val="nil"/>
              <w:left w:val="nil"/>
              <w:bottom w:val="single" w:sz="8" w:space="0" w:color="auto"/>
              <w:right w:val="single" w:sz="8" w:space="0" w:color="auto"/>
            </w:tcBorders>
            <w:shd w:val="clear" w:color="auto" w:fill="auto"/>
            <w:noWrap/>
            <w:vAlign w:val="bottom"/>
            <w:hideMark/>
          </w:tcPr>
          <w:p w14:paraId="3BB6EC06"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100%</w:t>
            </w:r>
          </w:p>
        </w:tc>
        <w:tc>
          <w:tcPr>
            <w:tcW w:w="240" w:type="pct"/>
            <w:tcBorders>
              <w:top w:val="nil"/>
              <w:left w:val="nil"/>
              <w:bottom w:val="single" w:sz="8" w:space="0" w:color="auto"/>
              <w:right w:val="single" w:sz="4" w:space="0" w:color="auto"/>
            </w:tcBorders>
            <w:shd w:val="clear" w:color="auto" w:fill="auto"/>
            <w:noWrap/>
            <w:vAlign w:val="bottom"/>
            <w:hideMark/>
          </w:tcPr>
          <w:p w14:paraId="73897306"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359</w:t>
            </w:r>
          </w:p>
        </w:tc>
        <w:tc>
          <w:tcPr>
            <w:tcW w:w="436" w:type="pct"/>
            <w:tcBorders>
              <w:top w:val="nil"/>
              <w:left w:val="nil"/>
              <w:bottom w:val="single" w:sz="8" w:space="0" w:color="auto"/>
              <w:right w:val="single" w:sz="8" w:space="0" w:color="auto"/>
            </w:tcBorders>
            <w:shd w:val="clear" w:color="auto" w:fill="auto"/>
            <w:noWrap/>
            <w:vAlign w:val="bottom"/>
            <w:hideMark/>
          </w:tcPr>
          <w:p w14:paraId="7B0EAD01"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100%</w:t>
            </w:r>
          </w:p>
        </w:tc>
        <w:tc>
          <w:tcPr>
            <w:tcW w:w="240" w:type="pct"/>
            <w:tcBorders>
              <w:top w:val="nil"/>
              <w:left w:val="single" w:sz="4" w:space="0" w:color="auto"/>
              <w:bottom w:val="single" w:sz="8" w:space="0" w:color="auto"/>
              <w:right w:val="single" w:sz="4" w:space="0" w:color="auto"/>
            </w:tcBorders>
            <w:shd w:val="clear" w:color="auto" w:fill="auto"/>
            <w:noWrap/>
            <w:vAlign w:val="bottom"/>
            <w:hideMark/>
          </w:tcPr>
          <w:p w14:paraId="7D0FFB11"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969</w:t>
            </w:r>
          </w:p>
        </w:tc>
        <w:tc>
          <w:tcPr>
            <w:tcW w:w="479" w:type="pct"/>
            <w:tcBorders>
              <w:top w:val="nil"/>
              <w:left w:val="nil"/>
              <w:bottom w:val="single" w:sz="8" w:space="0" w:color="auto"/>
              <w:right w:val="single" w:sz="8" w:space="0" w:color="auto"/>
            </w:tcBorders>
            <w:shd w:val="clear" w:color="auto" w:fill="auto"/>
            <w:noWrap/>
            <w:vAlign w:val="bottom"/>
            <w:hideMark/>
          </w:tcPr>
          <w:p w14:paraId="691FB72E" w14:textId="77777777" w:rsidR="00B8364E" w:rsidRPr="00F95832" w:rsidRDefault="00B8364E" w:rsidP="009F574A">
            <w:pPr>
              <w:spacing w:after="0" w:line="240" w:lineRule="auto"/>
              <w:jc w:val="center"/>
              <w:rPr>
                <w:rFonts w:ascii="Arial" w:eastAsia="Times New Roman" w:hAnsi="Arial" w:cs="Arial"/>
                <w:b/>
                <w:bCs/>
                <w:color w:val="000000"/>
                <w:sz w:val="16"/>
                <w:szCs w:val="16"/>
                <w:lang w:eastAsia="es-ES"/>
              </w:rPr>
            </w:pPr>
            <w:r w:rsidRPr="00F95832">
              <w:rPr>
                <w:rFonts w:ascii="Arial" w:eastAsia="Times New Roman" w:hAnsi="Arial" w:cs="Arial"/>
                <w:b/>
                <w:bCs/>
                <w:color w:val="000000"/>
                <w:sz w:val="16"/>
                <w:szCs w:val="16"/>
                <w:lang w:eastAsia="es-ES"/>
              </w:rPr>
              <w:t>100%</w:t>
            </w:r>
          </w:p>
        </w:tc>
      </w:tr>
    </w:tbl>
    <w:p w14:paraId="600FFF07" w14:textId="77777777" w:rsidR="00B8364E" w:rsidRPr="00D14767" w:rsidRDefault="00B8364E" w:rsidP="00B8364E">
      <w:pPr>
        <w:spacing w:after="120" w:line="276" w:lineRule="auto"/>
        <w:jc w:val="both"/>
        <w:rPr>
          <w:rFonts w:ascii="Arial" w:eastAsia="Times New Roman" w:hAnsi="Arial" w:cs="Arial"/>
          <w:b/>
          <w:sz w:val="21"/>
          <w:szCs w:val="21"/>
          <w:lang w:eastAsia="es-ES"/>
        </w:rPr>
      </w:pPr>
    </w:p>
    <w:p w14:paraId="60B78B08" w14:textId="16D048D6" w:rsidR="00B8364E" w:rsidRPr="00D14767" w:rsidRDefault="00B8364E" w:rsidP="00B8364E">
      <w:pPr>
        <w:spacing w:after="240" w:line="276" w:lineRule="auto"/>
        <w:jc w:val="both"/>
        <w:rPr>
          <w:rFonts w:ascii="Arial" w:eastAsia="Times New Roman" w:hAnsi="Arial" w:cs="Arial"/>
          <w:sz w:val="21"/>
          <w:szCs w:val="21"/>
          <w:lang w:eastAsia="es-ES"/>
        </w:rPr>
      </w:pPr>
      <w:r w:rsidRPr="00D14767">
        <w:rPr>
          <w:rFonts w:ascii="Arial" w:eastAsia="Times New Roman" w:hAnsi="Arial" w:cs="Arial"/>
          <w:sz w:val="21"/>
          <w:szCs w:val="21"/>
          <w:lang w:eastAsia="es-ES"/>
        </w:rPr>
        <w:t>Cabe destacar que, de los 9</w:t>
      </w:r>
      <w:r w:rsidR="005B60D4">
        <w:rPr>
          <w:rFonts w:ascii="Arial" w:eastAsia="Times New Roman" w:hAnsi="Arial" w:cs="Arial"/>
          <w:sz w:val="21"/>
          <w:szCs w:val="21"/>
          <w:lang w:eastAsia="es-ES"/>
        </w:rPr>
        <w:t>69</w:t>
      </w:r>
      <w:r w:rsidRPr="00D14767">
        <w:rPr>
          <w:rFonts w:ascii="Arial" w:eastAsia="Times New Roman" w:hAnsi="Arial" w:cs="Arial"/>
          <w:sz w:val="21"/>
          <w:szCs w:val="21"/>
          <w:lang w:eastAsia="es-ES"/>
        </w:rPr>
        <w:t xml:space="preserve"> expedientes totales abiertos desde el inicio de la actividad de la Agencia, al cierre del año 2021, 553 expedientes han sido resueltos, lo que representa el 57% del total, 41 están en fase de seguimiento representando el 4%, 31 expedientes están interrumpidos porque están siendo investigados por otras instancias</w:t>
      </w:r>
      <w:r>
        <w:rPr>
          <w:rFonts w:ascii="Arial" w:eastAsia="Times New Roman" w:hAnsi="Arial" w:cs="Arial"/>
          <w:sz w:val="21"/>
          <w:szCs w:val="21"/>
          <w:lang w:eastAsia="es-ES"/>
        </w:rPr>
        <w:t>,</w:t>
      </w:r>
      <w:r w:rsidRPr="00D14767">
        <w:rPr>
          <w:rFonts w:ascii="Arial" w:eastAsia="Times New Roman" w:hAnsi="Arial" w:cs="Arial"/>
          <w:sz w:val="21"/>
          <w:szCs w:val="21"/>
          <w:lang w:eastAsia="es-ES"/>
        </w:rPr>
        <w:t xml:space="preserve"> lo que representa el 3% del total. Estando en fase de investigación el 7% del total, 70 expedientes, 114 expedientes se encuentran en la fase de análisis, lo que representa el 12%, y 162 pendientes, que representan el 17% del total.</w:t>
      </w:r>
    </w:p>
    <w:p w14:paraId="7C5D8EE4" w14:textId="77777777" w:rsidR="00B8364E" w:rsidRPr="00D14767" w:rsidRDefault="00B8364E" w:rsidP="00B8364E">
      <w:pPr>
        <w:spacing w:after="240" w:line="276" w:lineRule="auto"/>
        <w:jc w:val="both"/>
        <w:rPr>
          <w:rFonts w:ascii="Arial" w:eastAsia="Times New Roman" w:hAnsi="Arial" w:cs="Arial"/>
          <w:sz w:val="21"/>
          <w:szCs w:val="21"/>
          <w:lang w:eastAsia="es-ES"/>
        </w:rPr>
      </w:pPr>
      <w:r w:rsidRPr="00D14767">
        <w:rPr>
          <w:rFonts w:ascii="Arial" w:eastAsia="Times New Roman" w:hAnsi="Arial" w:cs="Arial"/>
          <w:sz w:val="21"/>
          <w:szCs w:val="21"/>
          <w:lang w:eastAsia="es-ES"/>
        </w:rPr>
        <w:t>No existe ningún expediente de los ejercicios 2020 o anteriores que esté pendiente del inicio de la fase de análisis.</w:t>
      </w:r>
    </w:p>
    <w:p w14:paraId="2C3FAAA1" w14:textId="77777777" w:rsidR="00B8364E" w:rsidRPr="00D14767" w:rsidRDefault="00B8364E" w:rsidP="00B8364E">
      <w:pPr>
        <w:spacing w:after="240" w:line="276" w:lineRule="auto"/>
        <w:jc w:val="both"/>
        <w:rPr>
          <w:rFonts w:ascii="Arial" w:eastAsia="Times New Roman" w:hAnsi="Arial" w:cs="Arial"/>
          <w:sz w:val="21"/>
          <w:szCs w:val="21"/>
          <w:lang w:eastAsia="es-ES"/>
        </w:rPr>
      </w:pPr>
      <w:r w:rsidRPr="00D14767">
        <w:rPr>
          <w:rFonts w:ascii="Arial" w:eastAsia="Times New Roman" w:hAnsi="Arial" w:cs="Arial"/>
          <w:sz w:val="21"/>
          <w:szCs w:val="21"/>
          <w:lang w:eastAsia="es-ES"/>
        </w:rPr>
        <w:t>La evolución de los expedientes resueltos, en seguimiento e interrumpidos respecto al total de denuncias</w:t>
      </w:r>
      <w:r>
        <w:rPr>
          <w:rFonts w:ascii="Arial" w:eastAsia="Times New Roman" w:hAnsi="Arial" w:cs="Arial"/>
          <w:sz w:val="21"/>
          <w:szCs w:val="21"/>
          <w:lang w:eastAsia="es-ES"/>
        </w:rPr>
        <w:t>,</w:t>
      </w:r>
      <w:r w:rsidRPr="00D14767">
        <w:rPr>
          <w:rFonts w:ascii="Arial" w:eastAsia="Times New Roman" w:hAnsi="Arial" w:cs="Arial"/>
          <w:sz w:val="21"/>
          <w:szCs w:val="21"/>
          <w:lang w:eastAsia="es-ES"/>
        </w:rPr>
        <w:t xml:space="preserve"> ha pasado de representar el 7% en 2018, al 37 % en 2019, el 53% en 2020 y al 64% en 2021. La evolución de las denuncias pendientes, en análisis e investigación, ha tenido el sentido inverso</w:t>
      </w:r>
      <w:r>
        <w:rPr>
          <w:rFonts w:ascii="Arial" w:eastAsia="Times New Roman" w:hAnsi="Arial" w:cs="Arial"/>
          <w:sz w:val="21"/>
          <w:szCs w:val="21"/>
          <w:lang w:eastAsia="es-ES"/>
        </w:rPr>
        <w:t>,</w:t>
      </w:r>
      <w:r w:rsidRPr="00D14767">
        <w:rPr>
          <w:rFonts w:ascii="Arial" w:eastAsia="Times New Roman" w:hAnsi="Arial" w:cs="Arial"/>
          <w:sz w:val="21"/>
          <w:szCs w:val="21"/>
          <w:lang w:eastAsia="es-ES"/>
        </w:rPr>
        <w:t xml:space="preserve"> reduciéndose significativamente su peso porcentual, así se ha pasado del 92,59% de denuncias pendientes en 2018, al 63,10% en 2019, el 47 % en 2020 y al 36% en 2021.</w:t>
      </w:r>
    </w:p>
    <w:p w14:paraId="2181A840" w14:textId="77777777" w:rsidR="00B8364E" w:rsidRPr="00D14767" w:rsidRDefault="00B8364E" w:rsidP="00B8364E">
      <w:pPr>
        <w:spacing w:after="240" w:line="276" w:lineRule="auto"/>
        <w:jc w:val="both"/>
        <w:rPr>
          <w:rFonts w:ascii="Arial" w:eastAsia="Times New Roman" w:hAnsi="Arial" w:cs="Arial"/>
          <w:sz w:val="21"/>
          <w:szCs w:val="21"/>
          <w:lang w:eastAsia="es-ES"/>
        </w:rPr>
      </w:pPr>
      <w:r w:rsidRPr="00D14767">
        <w:rPr>
          <w:rFonts w:ascii="Arial" w:eastAsia="Times New Roman" w:hAnsi="Arial" w:cs="Arial"/>
          <w:sz w:val="21"/>
          <w:szCs w:val="21"/>
          <w:lang w:eastAsia="es-ES"/>
        </w:rPr>
        <w:t>Por último, cabe destacar</w:t>
      </w:r>
      <w:r>
        <w:rPr>
          <w:rFonts w:ascii="Arial" w:eastAsia="Times New Roman" w:hAnsi="Arial" w:cs="Arial"/>
          <w:sz w:val="21"/>
          <w:szCs w:val="21"/>
          <w:lang w:eastAsia="es-ES"/>
        </w:rPr>
        <w:t>,</w:t>
      </w:r>
      <w:r w:rsidRPr="00D14767">
        <w:rPr>
          <w:rFonts w:ascii="Arial" w:eastAsia="Times New Roman" w:hAnsi="Arial" w:cs="Arial"/>
          <w:sz w:val="21"/>
          <w:szCs w:val="21"/>
          <w:lang w:eastAsia="es-ES"/>
        </w:rPr>
        <w:t xml:space="preserve"> que durante el año 2021 en la tramitación de expedientes</w:t>
      </w:r>
      <w:r>
        <w:rPr>
          <w:rFonts w:ascii="Arial" w:eastAsia="Times New Roman" w:hAnsi="Arial" w:cs="Arial"/>
          <w:sz w:val="21"/>
          <w:szCs w:val="21"/>
          <w:lang w:eastAsia="es-ES"/>
        </w:rPr>
        <w:t>,</w:t>
      </w:r>
      <w:r w:rsidRPr="00D14767">
        <w:rPr>
          <w:rFonts w:ascii="Arial" w:eastAsia="Times New Roman" w:hAnsi="Arial" w:cs="Arial"/>
          <w:sz w:val="21"/>
          <w:szCs w:val="21"/>
          <w:lang w:eastAsia="es-ES"/>
        </w:rPr>
        <w:t xml:space="preserve"> se han realizado 410 requerimientos de información a distintas administraciones, personas físicas y/o jurídicas; 11 entrevistas personales en la sede la Agencia y 6 intervenciones in situ en diferentes sedes de otras administraciones públicas</w:t>
      </w:r>
      <w:r>
        <w:rPr>
          <w:rFonts w:ascii="Arial" w:eastAsia="Times New Roman" w:hAnsi="Arial" w:cs="Arial"/>
          <w:sz w:val="21"/>
          <w:szCs w:val="21"/>
          <w:lang w:eastAsia="es-ES"/>
        </w:rPr>
        <w:t>,</w:t>
      </w:r>
      <w:r w:rsidRPr="00D14767">
        <w:rPr>
          <w:rFonts w:ascii="Arial" w:eastAsia="Times New Roman" w:hAnsi="Arial" w:cs="Arial"/>
          <w:sz w:val="21"/>
          <w:szCs w:val="21"/>
          <w:lang w:eastAsia="es-ES"/>
        </w:rPr>
        <w:t xml:space="preserve"> derivados de expedientes de investigación y 3 intervenciones in situ en sedes de otras administraciones públicas</w:t>
      </w:r>
      <w:r>
        <w:rPr>
          <w:rFonts w:ascii="Arial" w:eastAsia="Times New Roman" w:hAnsi="Arial" w:cs="Arial"/>
          <w:sz w:val="21"/>
          <w:szCs w:val="21"/>
          <w:lang w:eastAsia="es-ES"/>
        </w:rPr>
        <w:t>,</w:t>
      </w:r>
      <w:r w:rsidRPr="00D14767">
        <w:rPr>
          <w:rFonts w:ascii="Arial" w:eastAsia="Times New Roman" w:hAnsi="Arial" w:cs="Arial"/>
          <w:sz w:val="21"/>
          <w:szCs w:val="21"/>
          <w:lang w:eastAsia="es-ES"/>
        </w:rPr>
        <w:t xml:space="preserve"> derivadas de encargos judiciales de emisión de informes periciales.</w:t>
      </w:r>
    </w:p>
    <w:p w14:paraId="062056DA" w14:textId="77777777" w:rsidR="00B8364E" w:rsidRDefault="00B8364E" w:rsidP="00B8364E">
      <w:pPr>
        <w:keepNext/>
        <w:spacing w:after="120" w:line="276" w:lineRule="auto"/>
        <w:jc w:val="both"/>
      </w:pPr>
      <w:r w:rsidRPr="00D14767">
        <w:rPr>
          <w:rFonts w:ascii="Arial" w:eastAsia="Times New Roman" w:hAnsi="Arial" w:cs="Arial"/>
          <w:noProof/>
          <w:sz w:val="21"/>
          <w:szCs w:val="21"/>
          <w:lang w:eastAsia="es-ES"/>
        </w:rPr>
        <w:drawing>
          <wp:inline distT="0" distB="0" distL="0" distR="0" wp14:anchorId="109907C4" wp14:editId="59CB9A28">
            <wp:extent cx="5396230" cy="2688832"/>
            <wp:effectExtent l="0" t="0" r="0" b="0"/>
            <wp:docPr id="82" name="Imagen 82"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descr="Gráfico, Gráfico circular&#10;&#10;Descripción generada automáticamente"/>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5402817" cy="2692114"/>
                    </a:xfrm>
                    <a:prstGeom prst="rect">
                      <a:avLst/>
                    </a:prstGeom>
                    <a:noFill/>
                  </pic:spPr>
                </pic:pic>
              </a:graphicData>
            </a:graphic>
          </wp:inline>
        </w:drawing>
      </w:r>
    </w:p>
    <w:p w14:paraId="21B09422" w14:textId="6126E3A8" w:rsidR="00B8364E" w:rsidRPr="00D14767" w:rsidRDefault="00B8364E" w:rsidP="005A7684">
      <w:pPr>
        <w:pStyle w:val="Descripcin"/>
        <w:spacing w:after="240"/>
        <w:jc w:val="center"/>
        <w:rPr>
          <w:rFonts w:ascii="Arial" w:eastAsia="Times New Roman" w:hAnsi="Arial" w:cs="Arial"/>
          <w:smallCaps w:val="0"/>
          <w:sz w:val="18"/>
          <w:szCs w:val="18"/>
          <w:lang w:eastAsia="es-ES"/>
        </w:rPr>
      </w:pPr>
      <w:bookmarkStart w:id="176" w:name="_Toc95676851"/>
      <w:bookmarkStart w:id="177" w:name="_Toc99099819"/>
      <w:r w:rsidRPr="00A95925">
        <w:rPr>
          <w:rFonts w:ascii="Arial" w:hAnsi="Arial" w:cs="Arial"/>
          <w:smallCaps w:val="0"/>
          <w:color w:val="9D2235" w:themeColor="accent1"/>
          <w:sz w:val="18"/>
          <w:szCs w:val="18"/>
        </w:rPr>
        <w:t xml:space="preserve">Gráfico </w:t>
      </w:r>
      <w:r w:rsidRPr="00A95925">
        <w:rPr>
          <w:rFonts w:ascii="Arial" w:hAnsi="Arial" w:cs="Arial"/>
          <w:smallCaps w:val="0"/>
          <w:color w:val="9D2235" w:themeColor="accent1"/>
          <w:sz w:val="18"/>
          <w:szCs w:val="18"/>
        </w:rPr>
        <w:fldChar w:fldCharType="begin" w:fldLock="1"/>
      </w:r>
      <w:r w:rsidRPr="00A95925">
        <w:rPr>
          <w:rFonts w:ascii="Arial" w:hAnsi="Arial" w:cs="Arial"/>
          <w:smallCaps w:val="0"/>
          <w:color w:val="9D2235" w:themeColor="accent1"/>
          <w:sz w:val="18"/>
          <w:szCs w:val="18"/>
        </w:rPr>
        <w:instrText xml:space="preserve"> SEQ Gráfico \* ARABIC </w:instrText>
      </w:r>
      <w:r w:rsidRPr="00A95925">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20</w:t>
      </w:r>
      <w:r w:rsidRPr="00A95925">
        <w:rPr>
          <w:rFonts w:ascii="Arial" w:hAnsi="Arial" w:cs="Arial"/>
          <w:smallCaps w:val="0"/>
          <w:color w:val="9D2235" w:themeColor="accent1"/>
          <w:sz w:val="18"/>
          <w:szCs w:val="18"/>
        </w:rPr>
        <w:fldChar w:fldCharType="end"/>
      </w:r>
      <w:r w:rsidRPr="00A95925">
        <w:rPr>
          <w:rFonts w:ascii="Arial" w:hAnsi="Arial" w:cs="Arial"/>
          <w:smallCaps w:val="0"/>
          <w:color w:val="9D2235" w:themeColor="accent1"/>
          <w:sz w:val="18"/>
          <w:szCs w:val="18"/>
        </w:rPr>
        <w:t xml:space="preserve">. </w:t>
      </w:r>
      <w:r w:rsidRPr="00A95925">
        <w:rPr>
          <w:rFonts w:ascii="Arial" w:hAnsi="Arial" w:cs="Arial"/>
          <w:smallCaps w:val="0"/>
          <w:sz w:val="18"/>
          <w:szCs w:val="18"/>
        </w:rPr>
        <w:t xml:space="preserve">Estado de </w:t>
      </w:r>
      <w:r>
        <w:rPr>
          <w:rFonts w:ascii="Arial" w:hAnsi="Arial" w:cs="Arial"/>
          <w:smallCaps w:val="0"/>
          <w:sz w:val="18"/>
          <w:szCs w:val="18"/>
        </w:rPr>
        <w:t>s</w:t>
      </w:r>
      <w:r w:rsidRPr="00A95925">
        <w:rPr>
          <w:rFonts w:ascii="Arial" w:hAnsi="Arial" w:cs="Arial"/>
          <w:smallCaps w:val="0"/>
          <w:sz w:val="18"/>
          <w:szCs w:val="18"/>
        </w:rPr>
        <w:t>ituación de los expedientes de investigación</w:t>
      </w:r>
      <w:bookmarkEnd w:id="176"/>
      <w:bookmarkEnd w:id="177"/>
    </w:p>
    <w:p w14:paraId="0E2F92E7" w14:textId="77777777" w:rsidR="00B8364E" w:rsidRPr="00D14767" w:rsidRDefault="00B8364E" w:rsidP="00B8364E">
      <w:pPr>
        <w:spacing w:after="240" w:line="276" w:lineRule="auto"/>
        <w:jc w:val="both"/>
        <w:rPr>
          <w:rFonts w:ascii="Arial" w:eastAsia="Times New Roman" w:hAnsi="Arial" w:cs="Arial"/>
          <w:sz w:val="21"/>
          <w:szCs w:val="21"/>
          <w:lang w:eastAsia="es-ES"/>
        </w:rPr>
      </w:pPr>
      <w:r w:rsidRPr="00D14767">
        <w:rPr>
          <w:rFonts w:ascii="Arial" w:eastAsia="Times New Roman" w:hAnsi="Arial" w:cs="Arial"/>
          <w:sz w:val="21"/>
          <w:szCs w:val="21"/>
          <w:lang w:eastAsia="es-ES"/>
        </w:rPr>
        <w:t xml:space="preserve">La información contenida en el anterior gráfico detalla que el 83% del global de expedientes abiertos se encuentran en trámite o finalizados, mientras que un 17% se encuentra pendiente de determinar la verosimilitud de los hechos puestos en conocimiento, con el fin de acordar el inicio, en su caso, de actuaciones. </w:t>
      </w:r>
    </w:p>
    <w:p w14:paraId="52236462" w14:textId="77777777" w:rsidR="00B8364E" w:rsidRPr="00D14767" w:rsidRDefault="00B8364E" w:rsidP="00B8364E">
      <w:pPr>
        <w:spacing w:after="240" w:line="276" w:lineRule="auto"/>
        <w:jc w:val="both"/>
        <w:rPr>
          <w:rFonts w:ascii="Arial" w:eastAsia="Times New Roman" w:hAnsi="Arial" w:cs="Arial"/>
          <w:sz w:val="21"/>
          <w:szCs w:val="21"/>
          <w:lang w:eastAsia="es-ES"/>
        </w:rPr>
      </w:pPr>
      <w:r w:rsidRPr="00D14767">
        <w:rPr>
          <w:rFonts w:ascii="Arial" w:eastAsia="Times New Roman" w:hAnsi="Arial" w:cs="Arial"/>
          <w:sz w:val="21"/>
          <w:szCs w:val="21"/>
          <w:lang w:eastAsia="es-ES"/>
        </w:rPr>
        <w:t>De entre los expedientes en trámite, cabe resaltar que, a fecha de cierre de datos y elaboración de la presente Memoria, un total de 70 expedientes continúan con actuaciones de investigación iniciadas, frente a las 52 que estaban en fase de investigación al cierre del 2020. Y hay 31 expedientes interrumpidos, por su remisión a los órganos competentes para la depuración de posibles responsabilidades, ya sean de carácter penal, ya sean de carácter administrativo.</w:t>
      </w:r>
    </w:p>
    <w:p w14:paraId="32CEF3D8" w14:textId="23679904" w:rsidR="00B8364E" w:rsidRPr="00A95925" w:rsidRDefault="00B8364E" w:rsidP="00B8364E">
      <w:pPr>
        <w:pStyle w:val="Descripcin"/>
        <w:keepNext/>
        <w:rPr>
          <w:rFonts w:ascii="Arial" w:hAnsi="Arial" w:cs="Arial"/>
          <w:smallCaps w:val="0"/>
          <w:sz w:val="18"/>
          <w:szCs w:val="18"/>
        </w:rPr>
      </w:pPr>
      <w:bookmarkStart w:id="178" w:name="_Toc95676804"/>
      <w:bookmarkStart w:id="179" w:name="_Toc99107154"/>
      <w:r w:rsidRPr="00A95925">
        <w:rPr>
          <w:rFonts w:ascii="Arial" w:hAnsi="Arial" w:cs="Arial"/>
          <w:smallCaps w:val="0"/>
          <w:color w:val="9D2235" w:themeColor="accent1"/>
          <w:sz w:val="18"/>
          <w:szCs w:val="18"/>
        </w:rPr>
        <w:t xml:space="preserve">Tabla </w:t>
      </w:r>
      <w:r w:rsidRPr="00A95925">
        <w:rPr>
          <w:rFonts w:ascii="Arial" w:hAnsi="Arial" w:cs="Arial"/>
          <w:smallCaps w:val="0"/>
          <w:color w:val="9D2235" w:themeColor="accent1"/>
          <w:sz w:val="18"/>
          <w:szCs w:val="18"/>
        </w:rPr>
        <w:fldChar w:fldCharType="begin" w:fldLock="1"/>
      </w:r>
      <w:r w:rsidRPr="00A95925">
        <w:rPr>
          <w:rFonts w:ascii="Arial" w:hAnsi="Arial" w:cs="Arial"/>
          <w:smallCaps w:val="0"/>
          <w:color w:val="9D2235" w:themeColor="accent1"/>
          <w:sz w:val="18"/>
          <w:szCs w:val="18"/>
        </w:rPr>
        <w:instrText xml:space="preserve"> SEQ Tabla \* ARABIC </w:instrText>
      </w:r>
      <w:r w:rsidRPr="00A95925">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16</w:t>
      </w:r>
      <w:r w:rsidRPr="00A95925">
        <w:rPr>
          <w:rFonts w:ascii="Arial" w:hAnsi="Arial" w:cs="Arial"/>
          <w:smallCaps w:val="0"/>
          <w:color w:val="9D2235" w:themeColor="accent1"/>
          <w:sz w:val="18"/>
          <w:szCs w:val="18"/>
        </w:rPr>
        <w:fldChar w:fldCharType="end"/>
      </w:r>
      <w:r w:rsidRPr="00A95925">
        <w:rPr>
          <w:rFonts w:ascii="Arial" w:hAnsi="Arial" w:cs="Arial"/>
          <w:smallCaps w:val="0"/>
          <w:color w:val="9D2235" w:themeColor="accent1"/>
          <w:sz w:val="18"/>
          <w:szCs w:val="18"/>
        </w:rPr>
        <w:t xml:space="preserve">. </w:t>
      </w:r>
      <w:r w:rsidRPr="00A95925">
        <w:rPr>
          <w:rFonts w:ascii="Arial" w:hAnsi="Arial" w:cs="Arial"/>
          <w:smallCaps w:val="0"/>
          <w:sz w:val="18"/>
          <w:szCs w:val="18"/>
        </w:rPr>
        <w:t>Tabla resumen de expedientes tramitados en 2021 y comparativa con el año precedente</w:t>
      </w:r>
      <w:bookmarkEnd w:id="178"/>
      <w:bookmarkEnd w:id="179"/>
    </w:p>
    <w:tbl>
      <w:tblPr>
        <w:tblW w:w="5000" w:type="pct"/>
        <w:tblCellMar>
          <w:left w:w="70" w:type="dxa"/>
          <w:right w:w="70" w:type="dxa"/>
        </w:tblCellMar>
        <w:tblLook w:val="04A0" w:firstRow="1" w:lastRow="0" w:firstColumn="1" w:lastColumn="0" w:noHBand="0" w:noVBand="1"/>
      </w:tblPr>
      <w:tblGrid>
        <w:gridCol w:w="3166"/>
        <w:gridCol w:w="729"/>
        <w:gridCol w:w="1046"/>
        <w:gridCol w:w="728"/>
        <w:gridCol w:w="1046"/>
        <w:gridCol w:w="677"/>
        <w:gridCol w:w="1097"/>
      </w:tblGrid>
      <w:tr w:rsidR="00B8364E" w:rsidRPr="0018001F" w14:paraId="14BC17A6" w14:textId="77777777" w:rsidTr="009F574A">
        <w:trPr>
          <w:trHeight w:val="227"/>
          <w:tblHeader/>
        </w:trPr>
        <w:tc>
          <w:tcPr>
            <w:tcW w:w="1864" w:type="pct"/>
            <w:vMerge w:val="restart"/>
            <w:tcBorders>
              <w:top w:val="single" w:sz="8" w:space="0" w:color="auto"/>
              <w:left w:val="single" w:sz="8" w:space="0" w:color="auto"/>
              <w:bottom w:val="single" w:sz="4" w:space="0" w:color="auto"/>
              <w:right w:val="single" w:sz="4" w:space="0" w:color="auto"/>
            </w:tcBorders>
            <w:shd w:val="clear" w:color="000000" w:fill="B6A39A"/>
            <w:noWrap/>
            <w:vAlign w:val="center"/>
            <w:hideMark/>
          </w:tcPr>
          <w:p w14:paraId="486D830E" w14:textId="77777777" w:rsidR="00B8364E" w:rsidRPr="0018001F" w:rsidRDefault="00B8364E" w:rsidP="009F574A">
            <w:pPr>
              <w:spacing w:after="0" w:line="240" w:lineRule="auto"/>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RESOLUCIONES</w:t>
            </w:r>
          </w:p>
        </w:tc>
        <w:tc>
          <w:tcPr>
            <w:tcW w:w="1045"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2C4984E8"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2020</w:t>
            </w:r>
          </w:p>
        </w:tc>
        <w:tc>
          <w:tcPr>
            <w:tcW w:w="1045"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1B7C8370"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2021</w:t>
            </w:r>
          </w:p>
        </w:tc>
        <w:tc>
          <w:tcPr>
            <w:tcW w:w="1045"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12CB1A49"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Variación</w:t>
            </w:r>
          </w:p>
        </w:tc>
      </w:tr>
      <w:tr w:rsidR="00B8364E" w:rsidRPr="0018001F" w14:paraId="620088A1" w14:textId="77777777" w:rsidTr="009F574A">
        <w:trPr>
          <w:trHeight w:val="227"/>
          <w:tblHeader/>
        </w:trPr>
        <w:tc>
          <w:tcPr>
            <w:tcW w:w="1864" w:type="pct"/>
            <w:vMerge/>
            <w:tcBorders>
              <w:top w:val="single" w:sz="8" w:space="0" w:color="auto"/>
              <w:left w:val="single" w:sz="8" w:space="0" w:color="auto"/>
              <w:bottom w:val="single" w:sz="4" w:space="0" w:color="auto"/>
              <w:right w:val="single" w:sz="4" w:space="0" w:color="auto"/>
            </w:tcBorders>
            <w:vAlign w:val="center"/>
            <w:hideMark/>
          </w:tcPr>
          <w:p w14:paraId="0EE3E677" w14:textId="77777777" w:rsidR="00B8364E" w:rsidRPr="0018001F" w:rsidRDefault="00B8364E" w:rsidP="009F574A">
            <w:pPr>
              <w:spacing w:after="0" w:line="240" w:lineRule="auto"/>
              <w:rPr>
                <w:rFonts w:ascii="Arial" w:eastAsia="Times New Roman" w:hAnsi="Arial" w:cs="Arial"/>
                <w:b/>
                <w:bCs/>
                <w:color w:val="000000"/>
                <w:sz w:val="16"/>
                <w:szCs w:val="16"/>
                <w:lang w:eastAsia="es-ES"/>
              </w:rPr>
            </w:pPr>
          </w:p>
        </w:tc>
        <w:tc>
          <w:tcPr>
            <w:tcW w:w="429" w:type="pct"/>
            <w:tcBorders>
              <w:top w:val="nil"/>
              <w:left w:val="nil"/>
              <w:bottom w:val="single" w:sz="4" w:space="0" w:color="auto"/>
              <w:right w:val="single" w:sz="4" w:space="0" w:color="auto"/>
            </w:tcBorders>
            <w:shd w:val="clear" w:color="000000" w:fill="B6A39A"/>
            <w:noWrap/>
            <w:vAlign w:val="bottom"/>
            <w:hideMark/>
          </w:tcPr>
          <w:p w14:paraId="580D2EAF"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 </w:t>
            </w:r>
          </w:p>
        </w:tc>
        <w:tc>
          <w:tcPr>
            <w:tcW w:w="616" w:type="pct"/>
            <w:tcBorders>
              <w:top w:val="nil"/>
              <w:left w:val="nil"/>
              <w:bottom w:val="single" w:sz="4" w:space="0" w:color="auto"/>
              <w:right w:val="single" w:sz="4" w:space="0" w:color="auto"/>
            </w:tcBorders>
            <w:shd w:val="clear" w:color="000000" w:fill="B6A39A"/>
            <w:noWrap/>
            <w:vAlign w:val="bottom"/>
            <w:hideMark/>
          </w:tcPr>
          <w:p w14:paraId="0CC4C60B"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w:t>
            </w:r>
          </w:p>
        </w:tc>
        <w:tc>
          <w:tcPr>
            <w:tcW w:w="429" w:type="pct"/>
            <w:tcBorders>
              <w:top w:val="nil"/>
              <w:left w:val="nil"/>
              <w:bottom w:val="single" w:sz="4" w:space="0" w:color="auto"/>
              <w:right w:val="single" w:sz="4" w:space="0" w:color="auto"/>
            </w:tcBorders>
            <w:shd w:val="clear" w:color="000000" w:fill="B6A39A"/>
            <w:noWrap/>
            <w:vAlign w:val="bottom"/>
            <w:hideMark/>
          </w:tcPr>
          <w:p w14:paraId="73EE5EFF"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 </w:t>
            </w:r>
          </w:p>
        </w:tc>
        <w:tc>
          <w:tcPr>
            <w:tcW w:w="616" w:type="pct"/>
            <w:tcBorders>
              <w:top w:val="nil"/>
              <w:left w:val="nil"/>
              <w:bottom w:val="single" w:sz="4" w:space="0" w:color="auto"/>
              <w:right w:val="single" w:sz="4" w:space="0" w:color="auto"/>
            </w:tcBorders>
            <w:shd w:val="clear" w:color="000000" w:fill="B6A39A"/>
            <w:noWrap/>
            <w:vAlign w:val="bottom"/>
            <w:hideMark/>
          </w:tcPr>
          <w:p w14:paraId="1ABF5606"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w:t>
            </w:r>
          </w:p>
        </w:tc>
        <w:tc>
          <w:tcPr>
            <w:tcW w:w="1045" w:type="pct"/>
            <w:gridSpan w:val="2"/>
            <w:tcBorders>
              <w:top w:val="single" w:sz="8" w:space="0" w:color="auto"/>
              <w:left w:val="nil"/>
              <w:bottom w:val="single" w:sz="4" w:space="0" w:color="auto"/>
              <w:right w:val="single" w:sz="4" w:space="0" w:color="auto"/>
            </w:tcBorders>
            <w:shd w:val="clear" w:color="000000" w:fill="B6A39A"/>
            <w:noWrap/>
            <w:vAlign w:val="bottom"/>
            <w:hideMark/>
          </w:tcPr>
          <w:p w14:paraId="3953E18C"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Absoluto</w:t>
            </w:r>
          </w:p>
        </w:tc>
      </w:tr>
      <w:tr w:rsidR="00B8364E" w:rsidRPr="0018001F" w14:paraId="5BA7D076" w14:textId="77777777" w:rsidTr="009F574A">
        <w:trPr>
          <w:trHeight w:val="227"/>
        </w:trPr>
        <w:tc>
          <w:tcPr>
            <w:tcW w:w="1864" w:type="pct"/>
            <w:tcBorders>
              <w:top w:val="nil"/>
              <w:left w:val="single" w:sz="8" w:space="0" w:color="auto"/>
              <w:bottom w:val="single" w:sz="4" w:space="0" w:color="auto"/>
              <w:right w:val="single" w:sz="4" w:space="0" w:color="auto"/>
            </w:tcBorders>
            <w:shd w:val="clear" w:color="auto" w:fill="auto"/>
            <w:noWrap/>
            <w:vAlign w:val="bottom"/>
            <w:hideMark/>
          </w:tcPr>
          <w:p w14:paraId="49868159" w14:textId="77777777" w:rsidR="00B8364E" w:rsidRPr="0018001F" w:rsidRDefault="00B8364E" w:rsidP="009F574A">
            <w:pPr>
              <w:spacing w:after="0" w:line="240" w:lineRule="auto"/>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ANÁLISIS</w:t>
            </w:r>
          </w:p>
        </w:tc>
        <w:tc>
          <w:tcPr>
            <w:tcW w:w="429" w:type="pct"/>
            <w:tcBorders>
              <w:top w:val="nil"/>
              <w:left w:val="nil"/>
              <w:bottom w:val="single" w:sz="4" w:space="0" w:color="auto"/>
              <w:right w:val="single" w:sz="4" w:space="0" w:color="auto"/>
            </w:tcBorders>
            <w:shd w:val="clear" w:color="auto" w:fill="auto"/>
            <w:noWrap/>
            <w:vAlign w:val="bottom"/>
            <w:hideMark/>
          </w:tcPr>
          <w:p w14:paraId="481D0CA5"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 </w:t>
            </w:r>
          </w:p>
        </w:tc>
        <w:tc>
          <w:tcPr>
            <w:tcW w:w="616" w:type="pct"/>
            <w:tcBorders>
              <w:top w:val="nil"/>
              <w:left w:val="nil"/>
              <w:bottom w:val="single" w:sz="4" w:space="0" w:color="auto"/>
              <w:right w:val="single" w:sz="4" w:space="0" w:color="auto"/>
            </w:tcBorders>
            <w:shd w:val="clear" w:color="auto" w:fill="auto"/>
            <w:noWrap/>
            <w:vAlign w:val="bottom"/>
            <w:hideMark/>
          </w:tcPr>
          <w:p w14:paraId="1D7B0390"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 </w:t>
            </w:r>
          </w:p>
        </w:tc>
        <w:tc>
          <w:tcPr>
            <w:tcW w:w="429" w:type="pct"/>
            <w:tcBorders>
              <w:top w:val="nil"/>
              <w:left w:val="nil"/>
              <w:bottom w:val="single" w:sz="4" w:space="0" w:color="auto"/>
              <w:right w:val="single" w:sz="4" w:space="0" w:color="auto"/>
            </w:tcBorders>
            <w:shd w:val="clear" w:color="auto" w:fill="auto"/>
            <w:noWrap/>
            <w:vAlign w:val="bottom"/>
            <w:hideMark/>
          </w:tcPr>
          <w:p w14:paraId="13447B30"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 </w:t>
            </w:r>
          </w:p>
        </w:tc>
        <w:tc>
          <w:tcPr>
            <w:tcW w:w="616" w:type="pct"/>
            <w:tcBorders>
              <w:top w:val="nil"/>
              <w:left w:val="nil"/>
              <w:bottom w:val="single" w:sz="4" w:space="0" w:color="auto"/>
              <w:right w:val="single" w:sz="4" w:space="0" w:color="auto"/>
            </w:tcBorders>
            <w:shd w:val="clear" w:color="auto" w:fill="auto"/>
            <w:noWrap/>
            <w:vAlign w:val="bottom"/>
            <w:hideMark/>
          </w:tcPr>
          <w:p w14:paraId="4536AC0A"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 </w:t>
            </w:r>
          </w:p>
        </w:tc>
        <w:tc>
          <w:tcPr>
            <w:tcW w:w="399" w:type="pct"/>
            <w:tcBorders>
              <w:top w:val="nil"/>
              <w:left w:val="nil"/>
              <w:bottom w:val="single" w:sz="4" w:space="0" w:color="auto"/>
              <w:right w:val="single" w:sz="4" w:space="0" w:color="auto"/>
            </w:tcBorders>
            <w:shd w:val="clear" w:color="auto" w:fill="auto"/>
            <w:noWrap/>
            <w:vAlign w:val="bottom"/>
            <w:hideMark/>
          </w:tcPr>
          <w:p w14:paraId="5D72E009"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 </w:t>
            </w:r>
          </w:p>
        </w:tc>
        <w:tc>
          <w:tcPr>
            <w:tcW w:w="646" w:type="pct"/>
            <w:tcBorders>
              <w:top w:val="nil"/>
              <w:left w:val="nil"/>
              <w:bottom w:val="single" w:sz="4" w:space="0" w:color="auto"/>
              <w:right w:val="single" w:sz="8" w:space="0" w:color="auto"/>
            </w:tcBorders>
            <w:shd w:val="clear" w:color="auto" w:fill="auto"/>
            <w:noWrap/>
            <w:vAlign w:val="bottom"/>
            <w:hideMark/>
          </w:tcPr>
          <w:p w14:paraId="1B09A266"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 </w:t>
            </w:r>
          </w:p>
        </w:tc>
      </w:tr>
      <w:tr w:rsidR="00B8364E" w:rsidRPr="0018001F" w14:paraId="077EBA56" w14:textId="77777777" w:rsidTr="009F574A">
        <w:trPr>
          <w:trHeight w:val="227"/>
        </w:trPr>
        <w:tc>
          <w:tcPr>
            <w:tcW w:w="1864" w:type="pct"/>
            <w:tcBorders>
              <w:top w:val="nil"/>
              <w:left w:val="single" w:sz="8" w:space="0" w:color="auto"/>
              <w:bottom w:val="single" w:sz="4" w:space="0" w:color="auto"/>
              <w:right w:val="single" w:sz="4" w:space="0" w:color="auto"/>
            </w:tcBorders>
            <w:shd w:val="clear" w:color="auto" w:fill="auto"/>
            <w:noWrap/>
            <w:vAlign w:val="bottom"/>
            <w:hideMark/>
          </w:tcPr>
          <w:p w14:paraId="4FF51B8E" w14:textId="77777777" w:rsidR="00B8364E" w:rsidRPr="0018001F" w:rsidRDefault="00B8364E" w:rsidP="009F574A">
            <w:pPr>
              <w:spacing w:after="0" w:line="240" w:lineRule="auto"/>
              <w:ind w:firstLineChars="100" w:firstLine="160"/>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Acuerdo Consejo de Dirección</w:t>
            </w:r>
          </w:p>
        </w:tc>
        <w:tc>
          <w:tcPr>
            <w:tcW w:w="429" w:type="pct"/>
            <w:tcBorders>
              <w:top w:val="nil"/>
              <w:left w:val="nil"/>
              <w:bottom w:val="single" w:sz="4" w:space="0" w:color="auto"/>
              <w:right w:val="single" w:sz="4" w:space="0" w:color="auto"/>
            </w:tcBorders>
            <w:shd w:val="clear" w:color="auto" w:fill="auto"/>
            <w:noWrap/>
            <w:vAlign w:val="bottom"/>
            <w:hideMark/>
          </w:tcPr>
          <w:p w14:paraId="092EE484"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616" w:type="pct"/>
            <w:tcBorders>
              <w:top w:val="nil"/>
              <w:left w:val="nil"/>
              <w:bottom w:val="single" w:sz="4" w:space="0" w:color="auto"/>
              <w:right w:val="single" w:sz="4" w:space="0" w:color="auto"/>
            </w:tcBorders>
            <w:shd w:val="clear" w:color="auto" w:fill="auto"/>
            <w:noWrap/>
            <w:vAlign w:val="bottom"/>
            <w:hideMark/>
          </w:tcPr>
          <w:p w14:paraId="67014BD5"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429" w:type="pct"/>
            <w:tcBorders>
              <w:top w:val="nil"/>
              <w:left w:val="nil"/>
              <w:bottom w:val="single" w:sz="4" w:space="0" w:color="auto"/>
              <w:right w:val="single" w:sz="4" w:space="0" w:color="auto"/>
            </w:tcBorders>
            <w:shd w:val="clear" w:color="auto" w:fill="auto"/>
            <w:noWrap/>
            <w:vAlign w:val="bottom"/>
            <w:hideMark/>
          </w:tcPr>
          <w:p w14:paraId="37C706D7"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616" w:type="pct"/>
            <w:tcBorders>
              <w:top w:val="nil"/>
              <w:left w:val="nil"/>
              <w:bottom w:val="single" w:sz="4" w:space="0" w:color="auto"/>
              <w:right w:val="single" w:sz="4" w:space="0" w:color="auto"/>
            </w:tcBorders>
            <w:shd w:val="clear" w:color="auto" w:fill="auto"/>
            <w:noWrap/>
            <w:vAlign w:val="bottom"/>
            <w:hideMark/>
          </w:tcPr>
          <w:p w14:paraId="695E457D"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399" w:type="pct"/>
            <w:tcBorders>
              <w:top w:val="nil"/>
              <w:left w:val="nil"/>
              <w:bottom w:val="single" w:sz="4" w:space="0" w:color="auto"/>
              <w:right w:val="single" w:sz="4" w:space="0" w:color="auto"/>
            </w:tcBorders>
            <w:shd w:val="clear" w:color="auto" w:fill="auto"/>
            <w:noWrap/>
            <w:vAlign w:val="bottom"/>
            <w:hideMark/>
          </w:tcPr>
          <w:p w14:paraId="609CAF04"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646" w:type="pct"/>
            <w:tcBorders>
              <w:top w:val="nil"/>
              <w:left w:val="nil"/>
              <w:bottom w:val="single" w:sz="4" w:space="0" w:color="auto"/>
              <w:right w:val="single" w:sz="8" w:space="0" w:color="auto"/>
            </w:tcBorders>
            <w:shd w:val="clear" w:color="auto" w:fill="auto"/>
            <w:noWrap/>
            <w:vAlign w:val="bottom"/>
            <w:hideMark/>
          </w:tcPr>
          <w:p w14:paraId="75F307CA"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r>
      <w:tr w:rsidR="00B8364E" w:rsidRPr="0018001F" w14:paraId="2BEA1A06" w14:textId="77777777" w:rsidTr="009F574A">
        <w:trPr>
          <w:trHeight w:val="227"/>
        </w:trPr>
        <w:tc>
          <w:tcPr>
            <w:tcW w:w="1864" w:type="pct"/>
            <w:tcBorders>
              <w:top w:val="nil"/>
              <w:left w:val="single" w:sz="8" w:space="0" w:color="auto"/>
              <w:bottom w:val="single" w:sz="4" w:space="0" w:color="auto"/>
              <w:right w:val="single" w:sz="4" w:space="0" w:color="auto"/>
            </w:tcBorders>
            <w:shd w:val="clear" w:color="auto" w:fill="auto"/>
            <w:noWrap/>
            <w:vAlign w:val="bottom"/>
            <w:hideMark/>
          </w:tcPr>
          <w:p w14:paraId="23BF22BA" w14:textId="77777777" w:rsidR="00B8364E" w:rsidRPr="0018001F" w:rsidRDefault="00B8364E" w:rsidP="009F574A">
            <w:pPr>
              <w:spacing w:after="0" w:line="240" w:lineRule="auto"/>
              <w:ind w:firstLineChars="100" w:firstLine="160"/>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Archivo</w:t>
            </w:r>
          </w:p>
        </w:tc>
        <w:tc>
          <w:tcPr>
            <w:tcW w:w="429" w:type="pct"/>
            <w:tcBorders>
              <w:top w:val="nil"/>
              <w:left w:val="nil"/>
              <w:bottom w:val="single" w:sz="4" w:space="0" w:color="auto"/>
              <w:right w:val="single" w:sz="4" w:space="0" w:color="auto"/>
            </w:tcBorders>
            <w:shd w:val="clear" w:color="auto" w:fill="auto"/>
            <w:noWrap/>
            <w:vAlign w:val="bottom"/>
            <w:hideMark/>
          </w:tcPr>
          <w:p w14:paraId="76A3F6DC"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72</w:t>
            </w:r>
          </w:p>
        </w:tc>
        <w:tc>
          <w:tcPr>
            <w:tcW w:w="616" w:type="pct"/>
            <w:tcBorders>
              <w:top w:val="nil"/>
              <w:left w:val="nil"/>
              <w:bottom w:val="single" w:sz="4" w:space="0" w:color="auto"/>
              <w:right w:val="single" w:sz="4" w:space="0" w:color="auto"/>
            </w:tcBorders>
            <w:shd w:val="clear" w:color="auto" w:fill="auto"/>
            <w:noWrap/>
            <w:vAlign w:val="bottom"/>
            <w:hideMark/>
          </w:tcPr>
          <w:p w14:paraId="0B424618"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32%</w:t>
            </w:r>
          </w:p>
        </w:tc>
        <w:tc>
          <w:tcPr>
            <w:tcW w:w="429" w:type="pct"/>
            <w:tcBorders>
              <w:top w:val="nil"/>
              <w:left w:val="nil"/>
              <w:bottom w:val="single" w:sz="4" w:space="0" w:color="auto"/>
              <w:right w:val="single" w:sz="4" w:space="0" w:color="auto"/>
            </w:tcBorders>
            <w:shd w:val="clear" w:color="auto" w:fill="auto"/>
            <w:noWrap/>
            <w:vAlign w:val="bottom"/>
            <w:hideMark/>
          </w:tcPr>
          <w:p w14:paraId="0887B70D"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99</w:t>
            </w:r>
          </w:p>
        </w:tc>
        <w:tc>
          <w:tcPr>
            <w:tcW w:w="616" w:type="pct"/>
            <w:tcBorders>
              <w:top w:val="nil"/>
              <w:left w:val="nil"/>
              <w:bottom w:val="single" w:sz="4" w:space="0" w:color="auto"/>
              <w:right w:val="single" w:sz="4" w:space="0" w:color="auto"/>
            </w:tcBorders>
            <w:shd w:val="clear" w:color="auto" w:fill="auto"/>
            <w:noWrap/>
            <w:vAlign w:val="bottom"/>
            <w:hideMark/>
          </w:tcPr>
          <w:p w14:paraId="59862744"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37%</w:t>
            </w:r>
          </w:p>
        </w:tc>
        <w:tc>
          <w:tcPr>
            <w:tcW w:w="399" w:type="pct"/>
            <w:tcBorders>
              <w:top w:val="nil"/>
              <w:left w:val="nil"/>
              <w:bottom w:val="single" w:sz="4" w:space="0" w:color="auto"/>
              <w:right w:val="single" w:sz="4" w:space="0" w:color="auto"/>
            </w:tcBorders>
            <w:shd w:val="clear" w:color="000000" w:fill="FFFFFF"/>
            <w:noWrap/>
            <w:vAlign w:val="bottom"/>
            <w:hideMark/>
          </w:tcPr>
          <w:p w14:paraId="0A9D48BA"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27</w:t>
            </w:r>
          </w:p>
        </w:tc>
        <w:tc>
          <w:tcPr>
            <w:tcW w:w="646" w:type="pct"/>
            <w:tcBorders>
              <w:top w:val="nil"/>
              <w:left w:val="nil"/>
              <w:bottom w:val="single" w:sz="4" w:space="0" w:color="auto"/>
              <w:right w:val="single" w:sz="8" w:space="0" w:color="auto"/>
            </w:tcBorders>
            <w:shd w:val="clear" w:color="auto" w:fill="auto"/>
            <w:noWrap/>
            <w:vAlign w:val="bottom"/>
            <w:hideMark/>
          </w:tcPr>
          <w:p w14:paraId="4EFBC60F"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38%</w:t>
            </w:r>
          </w:p>
        </w:tc>
      </w:tr>
      <w:tr w:rsidR="00B8364E" w:rsidRPr="0018001F" w14:paraId="4BD2336C" w14:textId="77777777" w:rsidTr="009F574A">
        <w:trPr>
          <w:trHeight w:val="227"/>
        </w:trPr>
        <w:tc>
          <w:tcPr>
            <w:tcW w:w="1864" w:type="pct"/>
            <w:tcBorders>
              <w:top w:val="nil"/>
              <w:left w:val="single" w:sz="8" w:space="0" w:color="auto"/>
              <w:bottom w:val="single" w:sz="4" w:space="0" w:color="auto"/>
              <w:right w:val="single" w:sz="4" w:space="0" w:color="auto"/>
            </w:tcBorders>
            <w:shd w:val="clear" w:color="auto" w:fill="auto"/>
            <w:noWrap/>
            <w:vAlign w:val="bottom"/>
            <w:hideMark/>
          </w:tcPr>
          <w:p w14:paraId="4EF51339" w14:textId="77777777" w:rsidR="00B8364E" w:rsidRPr="0018001F" w:rsidRDefault="00B8364E" w:rsidP="009F574A">
            <w:pPr>
              <w:spacing w:after="0" w:line="240" w:lineRule="auto"/>
              <w:ind w:firstLineChars="100" w:firstLine="160"/>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Inadmisión</w:t>
            </w:r>
          </w:p>
        </w:tc>
        <w:tc>
          <w:tcPr>
            <w:tcW w:w="429" w:type="pct"/>
            <w:tcBorders>
              <w:top w:val="nil"/>
              <w:left w:val="nil"/>
              <w:bottom w:val="single" w:sz="4" w:space="0" w:color="auto"/>
              <w:right w:val="single" w:sz="4" w:space="0" w:color="auto"/>
            </w:tcBorders>
            <w:shd w:val="clear" w:color="auto" w:fill="auto"/>
            <w:noWrap/>
            <w:vAlign w:val="bottom"/>
            <w:hideMark/>
          </w:tcPr>
          <w:p w14:paraId="2AEF50A5"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51</w:t>
            </w:r>
          </w:p>
        </w:tc>
        <w:tc>
          <w:tcPr>
            <w:tcW w:w="616" w:type="pct"/>
            <w:tcBorders>
              <w:top w:val="nil"/>
              <w:left w:val="nil"/>
              <w:bottom w:val="single" w:sz="4" w:space="0" w:color="auto"/>
              <w:right w:val="single" w:sz="4" w:space="0" w:color="auto"/>
            </w:tcBorders>
            <w:shd w:val="clear" w:color="auto" w:fill="auto"/>
            <w:noWrap/>
            <w:vAlign w:val="bottom"/>
            <w:hideMark/>
          </w:tcPr>
          <w:p w14:paraId="39F582BD"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22%</w:t>
            </w:r>
          </w:p>
        </w:tc>
        <w:tc>
          <w:tcPr>
            <w:tcW w:w="429" w:type="pct"/>
            <w:tcBorders>
              <w:top w:val="nil"/>
              <w:left w:val="nil"/>
              <w:bottom w:val="single" w:sz="4" w:space="0" w:color="auto"/>
              <w:right w:val="single" w:sz="4" w:space="0" w:color="auto"/>
            </w:tcBorders>
            <w:shd w:val="clear" w:color="auto" w:fill="auto"/>
            <w:noWrap/>
            <w:vAlign w:val="bottom"/>
            <w:hideMark/>
          </w:tcPr>
          <w:p w14:paraId="1AA55A5D"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95</w:t>
            </w:r>
          </w:p>
        </w:tc>
        <w:tc>
          <w:tcPr>
            <w:tcW w:w="616" w:type="pct"/>
            <w:tcBorders>
              <w:top w:val="nil"/>
              <w:left w:val="nil"/>
              <w:bottom w:val="single" w:sz="4" w:space="0" w:color="auto"/>
              <w:right w:val="single" w:sz="4" w:space="0" w:color="auto"/>
            </w:tcBorders>
            <w:shd w:val="clear" w:color="auto" w:fill="auto"/>
            <w:noWrap/>
            <w:vAlign w:val="bottom"/>
            <w:hideMark/>
          </w:tcPr>
          <w:p w14:paraId="5488631F"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36%</w:t>
            </w:r>
          </w:p>
        </w:tc>
        <w:tc>
          <w:tcPr>
            <w:tcW w:w="399" w:type="pct"/>
            <w:tcBorders>
              <w:top w:val="nil"/>
              <w:left w:val="nil"/>
              <w:bottom w:val="single" w:sz="4" w:space="0" w:color="auto"/>
              <w:right w:val="single" w:sz="4" w:space="0" w:color="auto"/>
            </w:tcBorders>
            <w:shd w:val="clear" w:color="000000" w:fill="FFFFFF"/>
            <w:noWrap/>
            <w:vAlign w:val="bottom"/>
            <w:hideMark/>
          </w:tcPr>
          <w:p w14:paraId="0F4F8517"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44</w:t>
            </w:r>
          </w:p>
        </w:tc>
        <w:tc>
          <w:tcPr>
            <w:tcW w:w="646" w:type="pct"/>
            <w:tcBorders>
              <w:top w:val="nil"/>
              <w:left w:val="nil"/>
              <w:bottom w:val="single" w:sz="4" w:space="0" w:color="auto"/>
              <w:right w:val="single" w:sz="8" w:space="0" w:color="auto"/>
            </w:tcBorders>
            <w:shd w:val="clear" w:color="auto" w:fill="auto"/>
            <w:noWrap/>
            <w:vAlign w:val="bottom"/>
            <w:hideMark/>
          </w:tcPr>
          <w:p w14:paraId="78B17B40"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86%</w:t>
            </w:r>
          </w:p>
        </w:tc>
      </w:tr>
      <w:tr w:rsidR="00B8364E" w:rsidRPr="0018001F" w14:paraId="2039208C" w14:textId="77777777" w:rsidTr="009F574A">
        <w:trPr>
          <w:trHeight w:val="227"/>
        </w:trPr>
        <w:tc>
          <w:tcPr>
            <w:tcW w:w="1864" w:type="pct"/>
            <w:tcBorders>
              <w:top w:val="nil"/>
              <w:left w:val="single" w:sz="8" w:space="0" w:color="auto"/>
              <w:bottom w:val="single" w:sz="4" w:space="0" w:color="auto"/>
              <w:right w:val="single" w:sz="4" w:space="0" w:color="auto"/>
            </w:tcBorders>
            <w:shd w:val="clear" w:color="auto" w:fill="auto"/>
            <w:noWrap/>
            <w:vAlign w:val="bottom"/>
            <w:hideMark/>
          </w:tcPr>
          <w:p w14:paraId="5A0B82BC" w14:textId="77777777" w:rsidR="00B8364E" w:rsidRPr="0018001F" w:rsidRDefault="00B8364E" w:rsidP="009F574A">
            <w:pPr>
              <w:spacing w:after="0" w:line="240" w:lineRule="auto"/>
              <w:ind w:firstLineChars="100" w:firstLine="160"/>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Inicio de actuaciones</w:t>
            </w:r>
          </w:p>
        </w:tc>
        <w:tc>
          <w:tcPr>
            <w:tcW w:w="429" w:type="pct"/>
            <w:tcBorders>
              <w:top w:val="nil"/>
              <w:left w:val="nil"/>
              <w:bottom w:val="single" w:sz="4" w:space="0" w:color="auto"/>
              <w:right w:val="single" w:sz="4" w:space="0" w:color="auto"/>
            </w:tcBorders>
            <w:shd w:val="clear" w:color="auto" w:fill="auto"/>
            <w:noWrap/>
            <w:vAlign w:val="bottom"/>
            <w:hideMark/>
          </w:tcPr>
          <w:p w14:paraId="06A35199"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60</w:t>
            </w:r>
          </w:p>
        </w:tc>
        <w:tc>
          <w:tcPr>
            <w:tcW w:w="616" w:type="pct"/>
            <w:tcBorders>
              <w:top w:val="nil"/>
              <w:left w:val="nil"/>
              <w:bottom w:val="single" w:sz="4" w:space="0" w:color="auto"/>
              <w:right w:val="single" w:sz="4" w:space="0" w:color="auto"/>
            </w:tcBorders>
            <w:shd w:val="clear" w:color="auto" w:fill="auto"/>
            <w:noWrap/>
            <w:vAlign w:val="bottom"/>
            <w:hideMark/>
          </w:tcPr>
          <w:p w14:paraId="427E1241"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26%</w:t>
            </w:r>
          </w:p>
        </w:tc>
        <w:tc>
          <w:tcPr>
            <w:tcW w:w="429" w:type="pct"/>
            <w:tcBorders>
              <w:top w:val="nil"/>
              <w:left w:val="nil"/>
              <w:bottom w:val="single" w:sz="4" w:space="0" w:color="auto"/>
              <w:right w:val="single" w:sz="4" w:space="0" w:color="auto"/>
            </w:tcBorders>
            <w:shd w:val="clear" w:color="auto" w:fill="auto"/>
            <w:noWrap/>
            <w:vAlign w:val="bottom"/>
            <w:hideMark/>
          </w:tcPr>
          <w:p w14:paraId="798F1FE0"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73</w:t>
            </w:r>
          </w:p>
        </w:tc>
        <w:tc>
          <w:tcPr>
            <w:tcW w:w="616" w:type="pct"/>
            <w:tcBorders>
              <w:top w:val="nil"/>
              <w:left w:val="nil"/>
              <w:bottom w:val="single" w:sz="4" w:space="0" w:color="auto"/>
              <w:right w:val="single" w:sz="4" w:space="0" w:color="auto"/>
            </w:tcBorders>
            <w:shd w:val="clear" w:color="auto" w:fill="auto"/>
            <w:noWrap/>
            <w:vAlign w:val="bottom"/>
            <w:hideMark/>
          </w:tcPr>
          <w:p w14:paraId="02C6D388"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27%</w:t>
            </w:r>
          </w:p>
        </w:tc>
        <w:tc>
          <w:tcPr>
            <w:tcW w:w="399" w:type="pct"/>
            <w:tcBorders>
              <w:top w:val="nil"/>
              <w:left w:val="nil"/>
              <w:bottom w:val="single" w:sz="4" w:space="0" w:color="auto"/>
              <w:right w:val="single" w:sz="4" w:space="0" w:color="auto"/>
            </w:tcBorders>
            <w:shd w:val="clear" w:color="000000" w:fill="FFFFFF"/>
            <w:noWrap/>
            <w:vAlign w:val="bottom"/>
            <w:hideMark/>
          </w:tcPr>
          <w:p w14:paraId="20ADC553"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13</w:t>
            </w:r>
          </w:p>
        </w:tc>
        <w:tc>
          <w:tcPr>
            <w:tcW w:w="646" w:type="pct"/>
            <w:tcBorders>
              <w:top w:val="nil"/>
              <w:left w:val="nil"/>
              <w:bottom w:val="single" w:sz="4" w:space="0" w:color="auto"/>
              <w:right w:val="single" w:sz="8" w:space="0" w:color="auto"/>
            </w:tcBorders>
            <w:shd w:val="clear" w:color="auto" w:fill="auto"/>
            <w:noWrap/>
            <w:vAlign w:val="bottom"/>
            <w:hideMark/>
          </w:tcPr>
          <w:p w14:paraId="4577CE7B"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22%</w:t>
            </w:r>
          </w:p>
        </w:tc>
      </w:tr>
      <w:tr w:rsidR="00B8364E" w:rsidRPr="0018001F" w14:paraId="4C1A433D" w14:textId="77777777" w:rsidTr="009F574A">
        <w:trPr>
          <w:trHeight w:val="227"/>
        </w:trPr>
        <w:tc>
          <w:tcPr>
            <w:tcW w:w="1864" w:type="pct"/>
            <w:tcBorders>
              <w:top w:val="nil"/>
              <w:left w:val="single" w:sz="8" w:space="0" w:color="auto"/>
              <w:bottom w:val="single" w:sz="4" w:space="0" w:color="auto"/>
              <w:right w:val="single" w:sz="4" w:space="0" w:color="auto"/>
            </w:tcBorders>
            <w:shd w:val="clear" w:color="000000" w:fill="DDE0E3"/>
            <w:noWrap/>
            <w:vAlign w:val="bottom"/>
            <w:hideMark/>
          </w:tcPr>
          <w:p w14:paraId="4AA268DC" w14:textId="77777777" w:rsidR="00B8364E" w:rsidRPr="0018001F" w:rsidRDefault="00B8364E" w:rsidP="009F574A">
            <w:pPr>
              <w:spacing w:after="0" w:line="240" w:lineRule="auto"/>
              <w:jc w:val="right"/>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Subtotal</w:t>
            </w:r>
          </w:p>
        </w:tc>
        <w:tc>
          <w:tcPr>
            <w:tcW w:w="429" w:type="pct"/>
            <w:tcBorders>
              <w:top w:val="nil"/>
              <w:left w:val="nil"/>
              <w:bottom w:val="single" w:sz="4" w:space="0" w:color="auto"/>
              <w:right w:val="single" w:sz="4" w:space="0" w:color="auto"/>
            </w:tcBorders>
            <w:shd w:val="clear" w:color="000000" w:fill="DDE0E3"/>
            <w:noWrap/>
            <w:vAlign w:val="bottom"/>
            <w:hideMark/>
          </w:tcPr>
          <w:p w14:paraId="539D9D22"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183</w:t>
            </w:r>
          </w:p>
        </w:tc>
        <w:tc>
          <w:tcPr>
            <w:tcW w:w="616" w:type="pct"/>
            <w:tcBorders>
              <w:top w:val="nil"/>
              <w:left w:val="nil"/>
              <w:bottom w:val="single" w:sz="4" w:space="0" w:color="auto"/>
              <w:right w:val="single" w:sz="4" w:space="0" w:color="auto"/>
            </w:tcBorders>
            <w:shd w:val="clear" w:color="000000" w:fill="DDE0E3"/>
            <w:noWrap/>
            <w:vAlign w:val="bottom"/>
            <w:hideMark/>
          </w:tcPr>
          <w:p w14:paraId="60A1F9B1"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80%</w:t>
            </w:r>
          </w:p>
        </w:tc>
        <w:tc>
          <w:tcPr>
            <w:tcW w:w="429" w:type="pct"/>
            <w:tcBorders>
              <w:top w:val="nil"/>
              <w:left w:val="nil"/>
              <w:bottom w:val="single" w:sz="4" w:space="0" w:color="auto"/>
              <w:right w:val="single" w:sz="4" w:space="0" w:color="auto"/>
            </w:tcBorders>
            <w:shd w:val="clear" w:color="000000" w:fill="DDE0E3"/>
            <w:noWrap/>
            <w:vAlign w:val="bottom"/>
            <w:hideMark/>
          </w:tcPr>
          <w:p w14:paraId="40F4DB0F"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267</w:t>
            </w:r>
          </w:p>
        </w:tc>
        <w:tc>
          <w:tcPr>
            <w:tcW w:w="616" w:type="pct"/>
            <w:tcBorders>
              <w:top w:val="nil"/>
              <w:left w:val="nil"/>
              <w:bottom w:val="single" w:sz="4" w:space="0" w:color="auto"/>
              <w:right w:val="single" w:sz="4" w:space="0" w:color="auto"/>
            </w:tcBorders>
            <w:shd w:val="clear" w:color="000000" w:fill="DDE0E3"/>
            <w:noWrap/>
            <w:vAlign w:val="bottom"/>
            <w:hideMark/>
          </w:tcPr>
          <w:p w14:paraId="0C84AD89"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78%</w:t>
            </w:r>
          </w:p>
        </w:tc>
        <w:tc>
          <w:tcPr>
            <w:tcW w:w="399" w:type="pct"/>
            <w:tcBorders>
              <w:top w:val="nil"/>
              <w:left w:val="nil"/>
              <w:bottom w:val="single" w:sz="4" w:space="0" w:color="auto"/>
              <w:right w:val="single" w:sz="4" w:space="0" w:color="auto"/>
            </w:tcBorders>
            <w:shd w:val="clear" w:color="000000" w:fill="DDE0E3"/>
            <w:noWrap/>
            <w:vAlign w:val="bottom"/>
            <w:hideMark/>
          </w:tcPr>
          <w:p w14:paraId="59022780"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84</w:t>
            </w:r>
          </w:p>
        </w:tc>
        <w:tc>
          <w:tcPr>
            <w:tcW w:w="646" w:type="pct"/>
            <w:tcBorders>
              <w:top w:val="nil"/>
              <w:left w:val="nil"/>
              <w:bottom w:val="single" w:sz="4" w:space="0" w:color="auto"/>
              <w:right w:val="single" w:sz="4" w:space="0" w:color="auto"/>
            </w:tcBorders>
            <w:shd w:val="clear" w:color="000000" w:fill="DDE0E3"/>
            <w:noWrap/>
            <w:vAlign w:val="bottom"/>
            <w:hideMark/>
          </w:tcPr>
          <w:p w14:paraId="42B24552"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46%</w:t>
            </w:r>
          </w:p>
        </w:tc>
      </w:tr>
      <w:tr w:rsidR="00B8364E" w:rsidRPr="0018001F" w14:paraId="40A9C041" w14:textId="77777777" w:rsidTr="009F574A">
        <w:trPr>
          <w:trHeight w:val="227"/>
        </w:trPr>
        <w:tc>
          <w:tcPr>
            <w:tcW w:w="1864" w:type="pct"/>
            <w:tcBorders>
              <w:top w:val="nil"/>
              <w:left w:val="single" w:sz="8" w:space="0" w:color="auto"/>
              <w:bottom w:val="single" w:sz="4" w:space="0" w:color="auto"/>
              <w:right w:val="single" w:sz="4" w:space="0" w:color="auto"/>
            </w:tcBorders>
            <w:shd w:val="clear" w:color="auto" w:fill="auto"/>
            <w:noWrap/>
            <w:vAlign w:val="bottom"/>
            <w:hideMark/>
          </w:tcPr>
          <w:p w14:paraId="26925CF2" w14:textId="77777777" w:rsidR="00B8364E" w:rsidRPr="0018001F" w:rsidRDefault="00B8364E" w:rsidP="009F574A">
            <w:pPr>
              <w:spacing w:after="0" w:line="240" w:lineRule="auto"/>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INVESTIGACIÓN</w:t>
            </w:r>
          </w:p>
        </w:tc>
        <w:tc>
          <w:tcPr>
            <w:tcW w:w="429" w:type="pct"/>
            <w:tcBorders>
              <w:top w:val="nil"/>
              <w:left w:val="nil"/>
              <w:bottom w:val="single" w:sz="4" w:space="0" w:color="auto"/>
              <w:right w:val="single" w:sz="4" w:space="0" w:color="auto"/>
            </w:tcBorders>
            <w:shd w:val="clear" w:color="auto" w:fill="auto"/>
            <w:noWrap/>
            <w:vAlign w:val="bottom"/>
            <w:hideMark/>
          </w:tcPr>
          <w:p w14:paraId="580464F6"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 </w:t>
            </w:r>
          </w:p>
        </w:tc>
        <w:tc>
          <w:tcPr>
            <w:tcW w:w="616" w:type="pct"/>
            <w:tcBorders>
              <w:top w:val="nil"/>
              <w:left w:val="nil"/>
              <w:bottom w:val="single" w:sz="4" w:space="0" w:color="auto"/>
              <w:right w:val="single" w:sz="4" w:space="0" w:color="auto"/>
            </w:tcBorders>
            <w:shd w:val="clear" w:color="auto" w:fill="auto"/>
            <w:noWrap/>
            <w:vAlign w:val="bottom"/>
            <w:hideMark/>
          </w:tcPr>
          <w:p w14:paraId="3BA22249"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 </w:t>
            </w:r>
          </w:p>
        </w:tc>
        <w:tc>
          <w:tcPr>
            <w:tcW w:w="429" w:type="pct"/>
            <w:tcBorders>
              <w:top w:val="nil"/>
              <w:left w:val="nil"/>
              <w:bottom w:val="single" w:sz="4" w:space="0" w:color="auto"/>
              <w:right w:val="single" w:sz="4" w:space="0" w:color="auto"/>
            </w:tcBorders>
            <w:shd w:val="clear" w:color="auto" w:fill="auto"/>
            <w:noWrap/>
            <w:vAlign w:val="bottom"/>
            <w:hideMark/>
          </w:tcPr>
          <w:p w14:paraId="560A1A18"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 </w:t>
            </w:r>
          </w:p>
        </w:tc>
        <w:tc>
          <w:tcPr>
            <w:tcW w:w="616" w:type="pct"/>
            <w:tcBorders>
              <w:top w:val="nil"/>
              <w:left w:val="nil"/>
              <w:bottom w:val="single" w:sz="4" w:space="0" w:color="auto"/>
              <w:right w:val="single" w:sz="4" w:space="0" w:color="auto"/>
            </w:tcBorders>
            <w:shd w:val="clear" w:color="auto" w:fill="auto"/>
            <w:noWrap/>
            <w:vAlign w:val="bottom"/>
            <w:hideMark/>
          </w:tcPr>
          <w:p w14:paraId="5C97E0CF"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 </w:t>
            </w:r>
          </w:p>
        </w:tc>
        <w:tc>
          <w:tcPr>
            <w:tcW w:w="399" w:type="pct"/>
            <w:tcBorders>
              <w:top w:val="nil"/>
              <w:left w:val="nil"/>
              <w:bottom w:val="single" w:sz="4" w:space="0" w:color="auto"/>
              <w:right w:val="single" w:sz="4" w:space="0" w:color="auto"/>
            </w:tcBorders>
            <w:shd w:val="clear" w:color="000000" w:fill="FFFFFF"/>
            <w:noWrap/>
            <w:vAlign w:val="bottom"/>
            <w:hideMark/>
          </w:tcPr>
          <w:p w14:paraId="49985A16"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 </w:t>
            </w:r>
          </w:p>
        </w:tc>
        <w:tc>
          <w:tcPr>
            <w:tcW w:w="646" w:type="pct"/>
            <w:tcBorders>
              <w:top w:val="nil"/>
              <w:left w:val="nil"/>
              <w:bottom w:val="single" w:sz="4" w:space="0" w:color="auto"/>
              <w:right w:val="single" w:sz="8" w:space="0" w:color="auto"/>
            </w:tcBorders>
            <w:shd w:val="clear" w:color="auto" w:fill="auto"/>
            <w:noWrap/>
            <w:vAlign w:val="bottom"/>
            <w:hideMark/>
          </w:tcPr>
          <w:p w14:paraId="74C4E59D"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 </w:t>
            </w:r>
          </w:p>
        </w:tc>
      </w:tr>
      <w:tr w:rsidR="00B8364E" w:rsidRPr="0018001F" w14:paraId="01638101" w14:textId="77777777" w:rsidTr="009F574A">
        <w:trPr>
          <w:trHeight w:val="227"/>
        </w:trPr>
        <w:tc>
          <w:tcPr>
            <w:tcW w:w="1864" w:type="pct"/>
            <w:tcBorders>
              <w:top w:val="nil"/>
              <w:left w:val="single" w:sz="8" w:space="0" w:color="auto"/>
              <w:bottom w:val="single" w:sz="4" w:space="0" w:color="auto"/>
              <w:right w:val="single" w:sz="4" w:space="0" w:color="auto"/>
            </w:tcBorders>
            <w:shd w:val="clear" w:color="auto" w:fill="auto"/>
            <w:noWrap/>
            <w:vAlign w:val="bottom"/>
            <w:hideMark/>
          </w:tcPr>
          <w:p w14:paraId="4B416025" w14:textId="77777777" w:rsidR="00B8364E" w:rsidRPr="0018001F" w:rsidRDefault="00B8364E" w:rsidP="009F574A">
            <w:pPr>
              <w:spacing w:after="0" w:line="240" w:lineRule="auto"/>
              <w:ind w:firstLineChars="100" w:firstLine="160"/>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Reapertura expedientes</w:t>
            </w:r>
          </w:p>
        </w:tc>
        <w:tc>
          <w:tcPr>
            <w:tcW w:w="429" w:type="pct"/>
            <w:tcBorders>
              <w:top w:val="nil"/>
              <w:left w:val="nil"/>
              <w:bottom w:val="single" w:sz="4" w:space="0" w:color="auto"/>
              <w:right w:val="single" w:sz="4" w:space="0" w:color="auto"/>
            </w:tcBorders>
            <w:shd w:val="clear" w:color="auto" w:fill="auto"/>
            <w:noWrap/>
            <w:vAlign w:val="bottom"/>
            <w:hideMark/>
          </w:tcPr>
          <w:p w14:paraId="26123FD0"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2</w:t>
            </w:r>
          </w:p>
        </w:tc>
        <w:tc>
          <w:tcPr>
            <w:tcW w:w="616" w:type="pct"/>
            <w:tcBorders>
              <w:top w:val="nil"/>
              <w:left w:val="nil"/>
              <w:bottom w:val="single" w:sz="4" w:space="0" w:color="auto"/>
              <w:right w:val="single" w:sz="4" w:space="0" w:color="auto"/>
            </w:tcBorders>
            <w:shd w:val="clear" w:color="auto" w:fill="auto"/>
            <w:noWrap/>
            <w:vAlign w:val="bottom"/>
            <w:hideMark/>
          </w:tcPr>
          <w:p w14:paraId="2526D645"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1%</w:t>
            </w:r>
          </w:p>
        </w:tc>
        <w:tc>
          <w:tcPr>
            <w:tcW w:w="429" w:type="pct"/>
            <w:tcBorders>
              <w:top w:val="nil"/>
              <w:left w:val="nil"/>
              <w:bottom w:val="single" w:sz="4" w:space="0" w:color="auto"/>
              <w:right w:val="single" w:sz="4" w:space="0" w:color="auto"/>
            </w:tcBorders>
            <w:shd w:val="clear" w:color="auto" w:fill="auto"/>
            <w:noWrap/>
            <w:vAlign w:val="bottom"/>
            <w:hideMark/>
          </w:tcPr>
          <w:p w14:paraId="5DF6E863"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1</w:t>
            </w:r>
          </w:p>
        </w:tc>
        <w:tc>
          <w:tcPr>
            <w:tcW w:w="616" w:type="pct"/>
            <w:tcBorders>
              <w:top w:val="nil"/>
              <w:left w:val="nil"/>
              <w:bottom w:val="single" w:sz="4" w:space="0" w:color="auto"/>
              <w:right w:val="single" w:sz="4" w:space="0" w:color="auto"/>
            </w:tcBorders>
            <w:shd w:val="clear" w:color="auto" w:fill="auto"/>
            <w:noWrap/>
            <w:vAlign w:val="bottom"/>
            <w:hideMark/>
          </w:tcPr>
          <w:p w14:paraId="643DF734"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1%</w:t>
            </w:r>
          </w:p>
        </w:tc>
        <w:tc>
          <w:tcPr>
            <w:tcW w:w="399" w:type="pct"/>
            <w:tcBorders>
              <w:top w:val="nil"/>
              <w:left w:val="nil"/>
              <w:bottom w:val="single" w:sz="4" w:space="0" w:color="auto"/>
              <w:right w:val="single" w:sz="4" w:space="0" w:color="auto"/>
            </w:tcBorders>
            <w:shd w:val="clear" w:color="000000" w:fill="FFFFFF"/>
            <w:noWrap/>
            <w:vAlign w:val="bottom"/>
            <w:hideMark/>
          </w:tcPr>
          <w:p w14:paraId="38416C8B"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-1</w:t>
            </w:r>
          </w:p>
        </w:tc>
        <w:tc>
          <w:tcPr>
            <w:tcW w:w="646" w:type="pct"/>
            <w:tcBorders>
              <w:top w:val="nil"/>
              <w:left w:val="nil"/>
              <w:bottom w:val="single" w:sz="4" w:space="0" w:color="auto"/>
              <w:right w:val="single" w:sz="8" w:space="0" w:color="auto"/>
            </w:tcBorders>
            <w:shd w:val="clear" w:color="auto" w:fill="auto"/>
            <w:noWrap/>
            <w:vAlign w:val="bottom"/>
            <w:hideMark/>
          </w:tcPr>
          <w:p w14:paraId="40EDE47E"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-50%</w:t>
            </w:r>
          </w:p>
        </w:tc>
      </w:tr>
      <w:tr w:rsidR="00B8364E" w:rsidRPr="0018001F" w14:paraId="75C76024" w14:textId="77777777" w:rsidTr="009F574A">
        <w:trPr>
          <w:trHeight w:val="227"/>
        </w:trPr>
        <w:tc>
          <w:tcPr>
            <w:tcW w:w="1864" w:type="pct"/>
            <w:tcBorders>
              <w:top w:val="nil"/>
              <w:left w:val="single" w:sz="8" w:space="0" w:color="auto"/>
              <w:bottom w:val="single" w:sz="4" w:space="0" w:color="auto"/>
              <w:right w:val="single" w:sz="4" w:space="0" w:color="auto"/>
            </w:tcBorders>
            <w:shd w:val="clear" w:color="auto" w:fill="auto"/>
            <w:noWrap/>
            <w:vAlign w:val="bottom"/>
            <w:hideMark/>
          </w:tcPr>
          <w:p w14:paraId="6158C4ED" w14:textId="77777777" w:rsidR="00B8364E" w:rsidRPr="0018001F" w:rsidRDefault="00B8364E" w:rsidP="009F574A">
            <w:pPr>
              <w:spacing w:after="0" w:line="240" w:lineRule="auto"/>
              <w:ind w:firstLineChars="100" w:firstLine="160"/>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Archivo</w:t>
            </w:r>
          </w:p>
        </w:tc>
        <w:tc>
          <w:tcPr>
            <w:tcW w:w="429" w:type="pct"/>
            <w:tcBorders>
              <w:top w:val="nil"/>
              <w:left w:val="nil"/>
              <w:bottom w:val="single" w:sz="4" w:space="0" w:color="auto"/>
              <w:right w:val="single" w:sz="4" w:space="0" w:color="auto"/>
            </w:tcBorders>
            <w:shd w:val="clear" w:color="auto" w:fill="auto"/>
            <w:noWrap/>
            <w:vAlign w:val="bottom"/>
            <w:hideMark/>
          </w:tcPr>
          <w:p w14:paraId="25878F78"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14</w:t>
            </w:r>
          </w:p>
        </w:tc>
        <w:tc>
          <w:tcPr>
            <w:tcW w:w="616" w:type="pct"/>
            <w:tcBorders>
              <w:top w:val="nil"/>
              <w:left w:val="nil"/>
              <w:bottom w:val="single" w:sz="4" w:space="0" w:color="auto"/>
              <w:right w:val="single" w:sz="4" w:space="0" w:color="auto"/>
            </w:tcBorders>
            <w:shd w:val="clear" w:color="auto" w:fill="auto"/>
            <w:noWrap/>
            <w:vAlign w:val="bottom"/>
            <w:hideMark/>
          </w:tcPr>
          <w:p w14:paraId="5C97A597"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6%</w:t>
            </w:r>
          </w:p>
        </w:tc>
        <w:tc>
          <w:tcPr>
            <w:tcW w:w="429" w:type="pct"/>
            <w:tcBorders>
              <w:top w:val="nil"/>
              <w:left w:val="nil"/>
              <w:bottom w:val="single" w:sz="4" w:space="0" w:color="auto"/>
              <w:right w:val="single" w:sz="4" w:space="0" w:color="auto"/>
            </w:tcBorders>
            <w:shd w:val="clear" w:color="auto" w:fill="auto"/>
            <w:noWrap/>
            <w:vAlign w:val="bottom"/>
            <w:hideMark/>
          </w:tcPr>
          <w:p w14:paraId="40B87822"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12</w:t>
            </w:r>
          </w:p>
        </w:tc>
        <w:tc>
          <w:tcPr>
            <w:tcW w:w="616" w:type="pct"/>
            <w:tcBorders>
              <w:top w:val="nil"/>
              <w:left w:val="nil"/>
              <w:bottom w:val="single" w:sz="4" w:space="0" w:color="auto"/>
              <w:right w:val="single" w:sz="4" w:space="0" w:color="auto"/>
            </w:tcBorders>
            <w:shd w:val="clear" w:color="auto" w:fill="auto"/>
            <w:noWrap/>
            <w:vAlign w:val="bottom"/>
            <w:hideMark/>
          </w:tcPr>
          <w:p w14:paraId="7FE587DD"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16%</w:t>
            </w:r>
          </w:p>
        </w:tc>
        <w:tc>
          <w:tcPr>
            <w:tcW w:w="399" w:type="pct"/>
            <w:tcBorders>
              <w:top w:val="nil"/>
              <w:left w:val="nil"/>
              <w:bottom w:val="single" w:sz="4" w:space="0" w:color="auto"/>
              <w:right w:val="single" w:sz="4" w:space="0" w:color="auto"/>
            </w:tcBorders>
            <w:shd w:val="clear" w:color="000000" w:fill="FFFFFF"/>
            <w:noWrap/>
            <w:vAlign w:val="bottom"/>
            <w:hideMark/>
          </w:tcPr>
          <w:p w14:paraId="239A2F7C"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-2</w:t>
            </w:r>
          </w:p>
        </w:tc>
        <w:tc>
          <w:tcPr>
            <w:tcW w:w="646" w:type="pct"/>
            <w:tcBorders>
              <w:top w:val="nil"/>
              <w:left w:val="nil"/>
              <w:bottom w:val="single" w:sz="4" w:space="0" w:color="auto"/>
              <w:right w:val="single" w:sz="8" w:space="0" w:color="auto"/>
            </w:tcBorders>
            <w:shd w:val="clear" w:color="auto" w:fill="auto"/>
            <w:noWrap/>
            <w:vAlign w:val="bottom"/>
            <w:hideMark/>
          </w:tcPr>
          <w:p w14:paraId="6D1C67CF"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-14%</w:t>
            </w:r>
          </w:p>
        </w:tc>
      </w:tr>
      <w:tr w:rsidR="00B8364E" w:rsidRPr="0018001F" w14:paraId="10E7178E" w14:textId="77777777" w:rsidTr="009F574A">
        <w:trPr>
          <w:trHeight w:val="227"/>
        </w:trPr>
        <w:tc>
          <w:tcPr>
            <w:tcW w:w="1864" w:type="pct"/>
            <w:tcBorders>
              <w:top w:val="nil"/>
              <w:left w:val="single" w:sz="8" w:space="0" w:color="auto"/>
              <w:bottom w:val="single" w:sz="4" w:space="0" w:color="auto"/>
              <w:right w:val="single" w:sz="4" w:space="0" w:color="auto"/>
            </w:tcBorders>
            <w:shd w:val="clear" w:color="auto" w:fill="auto"/>
            <w:noWrap/>
            <w:vAlign w:val="bottom"/>
            <w:hideMark/>
          </w:tcPr>
          <w:p w14:paraId="7CC02D4D" w14:textId="77777777" w:rsidR="00B8364E" w:rsidRPr="0018001F" w:rsidRDefault="00B8364E" w:rsidP="009F574A">
            <w:pPr>
              <w:spacing w:after="0" w:line="240" w:lineRule="auto"/>
              <w:ind w:firstLineChars="100" w:firstLine="160"/>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Recomendaciones</w:t>
            </w:r>
          </w:p>
        </w:tc>
        <w:tc>
          <w:tcPr>
            <w:tcW w:w="429" w:type="pct"/>
            <w:tcBorders>
              <w:top w:val="nil"/>
              <w:left w:val="nil"/>
              <w:bottom w:val="single" w:sz="4" w:space="0" w:color="auto"/>
              <w:right w:val="single" w:sz="4" w:space="0" w:color="auto"/>
            </w:tcBorders>
            <w:shd w:val="clear" w:color="auto" w:fill="auto"/>
            <w:noWrap/>
            <w:vAlign w:val="bottom"/>
            <w:hideMark/>
          </w:tcPr>
          <w:p w14:paraId="7396D649"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23</w:t>
            </w:r>
          </w:p>
        </w:tc>
        <w:tc>
          <w:tcPr>
            <w:tcW w:w="616" w:type="pct"/>
            <w:tcBorders>
              <w:top w:val="nil"/>
              <w:left w:val="nil"/>
              <w:bottom w:val="single" w:sz="4" w:space="0" w:color="auto"/>
              <w:right w:val="single" w:sz="4" w:space="0" w:color="auto"/>
            </w:tcBorders>
            <w:shd w:val="clear" w:color="auto" w:fill="auto"/>
            <w:noWrap/>
            <w:vAlign w:val="bottom"/>
            <w:hideMark/>
          </w:tcPr>
          <w:p w14:paraId="7CA79D56"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10%</w:t>
            </w:r>
          </w:p>
        </w:tc>
        <w:tc>
          <w:tcPr>
            <w:tcW w:w="429" w:type="pct"/>
            <w:tcBorders>
              <w:top w:val="nil"/>
              <w:left w:val="nil"/>
              <w:bottom w:val="single" w:sz="4" w:space="0" w:color="auto"/>
              <w:right w:val="single" w:sz="4" w:space="0" w:color="auto"/>
            </w:tcBorders>
            <w:shd w:val="clear" w:color="auto" w:fill="auto"/>
            <w:noWrap/>
            <w:vAlign w:val="bottom"/>
            <w:hideMark/>
          </w:tcPr>
          <w:p w14:paraId="454BDEF5"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60</w:t>
            </w:r>
          </w:p>
        </w:tc>
        <w:tc>
          <w:tcPr>
            <w:tcW w:w="616" w:type="pct"/>
            <w:tcBorders>
              <w:top w:val="nil"/>
              <w:left w:val="nil"/>
              <w:bottom w:val="single" w:sz="4" w:space="0" w:color="auto"/>
              <w:right w:val="single" w:sz="4" w:space="0" w:color="auto"/>
            </w:tcBorders>
            <w:shd w:val="clear" w:color="auto" w:fill="auto"/>
            <w:noWrap/>
            <w:vAlign w:val="bottom"/>
            <w:hideMark/>
          </w:tcPr>
          <w:p w14:paraId="0AB53A71"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79%</w:t>
            </w:r>
          </w:p>
        </w:tc>
        <w:tc>
          <w:tcPr>
            <w:tcW w:w="399" w:type="pct"/>
            <w:tcBorders>
              <w:top w:val="nil"/>
              <w:left w:val="nil"/>
              <w:bottom w:val="single" w:sz="4" w:space="0" w:color="auto"/>
              <w:right w:val="single" w:sz="4" w:space="0" w:color="auto"/>
            </w:tcBorders>
            <w:shd w:val="clear" w:color="000000" w:fill="FFFFFF"/>
            <w:noWrap/>
            <w:vAlign w:val="bottom"/>
            <w:hideMark/>
          </w:tcPr>
          <w:p w14:paraId="658FC7EE"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37</w:t>
            </w:r>
          </w:p>
        </w:tc>
        <w:tc>
          <w:tcPr>
            <w:tcW w:w="646" w:type="pct"/>
            <w:tcBorders>
              <w:top w:val="nil"/>
              <w:left w:val="nil"/>
              <w:bottom w:val="single" w:sz="4" w:space="0" w:color="auto"/>
              <w:right w:val="single" w:sz="8" w:space="0" w:color="auto"/>
            </w:tcBorders>
            <w:shd w:val="clear" w:color="auto" w:fill="auto"/>
            <w:noWrap/>
            <w:vAlign w:val="bottom"/>
            <w:hideMark/>
          </w:tcPr>
          <w:p w14:paraId="57F5EF38"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161%</w:t>
            </w:r>
          </w:p>
        </w:tc>
      </w:tr>
      <w:tr w:rsidR="00B8364E" w:rsidRPr="0018001F" w14:paraId="470B87CC" w14:textId="77777777" w:rsidTr="009F574A">
        <w:trPr>
          <w:trHeight w:val="227"/>
        </w:trPr>
        <w:tc>
          <w:tcPr>
            <w:tcW w:w="1864" w:type="pct"/>
            <w:tcBorders>
              <w:top w:val="nil"/>
              <w:left w:val="single" w:sz="8" w:space="0" w:color="auto"/>
              <w:bottom w:val="single" w:sz="4" w:space="0" w:color="auto"/>
              <w:right w:val="single" w:sz="4" w:space="0" w:color="auto"/>
            </w:tcBorders>
            <w:shd w:val="clear" w:color="auto" w:fill="auto"/>
            <w:noWrap/>
            <w:vAlign w:val="bottom"/>
            <w:hideMark/>
          </w:tcPr>
          <w:p w14:paraId="0C7F5EC2" w14:textId="77777777" w:rsidR="00B8364E" w:rsidRPr="0018001F" w:rsidRDefault="00B8364E" w:rsidP="009F574A">
            <w:pPr>
              <w:spacing w:after="0" w:line="240" w:lineRule="auto"/>
              <w:ind w:firstLineChars="100" w:firstLine="160"/>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Traslado DAJ, sancionador</w:t>
            </w:r>
          </w:p>
        </w:tc>
        <w:tc>
          <w:tcPr>
            <w:tcW w:w="429" w:type="pct"/>
            <w:tcBorders>
              <w:top w:val="nil"/>
              <w:left w:val="nil"/>
              <w:bottom w:val="single" w:sz="4" w:space="0" w:color="auto"/>
              <w:right w:val="single" w:sz="4" w:space="0" w:color="auto"/>
            </w:tcBorders>
            <w:shd w:val="clear" w:color="auto" w:fill="auto"/>
            <w:noWrap/>
            <w:vAlign w:val="bottom"/>
            <w:hideMark/>
          </w:tcPr>
          <w:p w14:paraId="0D62E67C"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616" w:type="pct"/>
            <w:tcBorders>
              <w:top w:val="nil"/>
              <w:left w:val="nil"/>
              <w:bottom w:val="single" w:sz="4" w:space="0" w:color="auto"/>
              <w:right w:val="single" w:sz="4" w:space="0" w:color="auto"/>
            </w:tcBorders>
            <w:shd w:val="clear" w:color="auto" w:fill="auto"/>
            <w:noWrap/>
            <w:vAlign w:val="bottom"/>
            <w:hideMark/>
          </w:tcPr>
          <w:p w14:paraId="2630EAC1"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429" w:type="pct"/>
            <w:tcBorders>
              <w:top w:val="nil"/>
              <w:left w:val="nil"/>
              <w:bottom w:val="single" w:sz="4" w:space="0" w:color="auto"/>
              <w:right w:val="single" w:sz="4" w:space="0" w:color="auto"/>
            </w:tcBorders>
            <w:shd w:val="clear" w:color="auto" w:fill="auto"/>
            <w:noWrap/>
            <w:vAlign w:val="bottom"/>
            <w:hideMark/>
          </w:tcPr>
          <w:p w14:paraId="3DAAC16F"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616" w:type="pct"/>
            <w:tcBorders>
              <w:top w:val="nil"/>
              <w:left w:val="nil"/>
              <w:bottom w:val="single" w:sz="4" w:space="0" w:color="auto"/>
              <w:right w:val="single" w:sz="4" w:space="0" w:color="auto"/>
            </w:tcBorders>
            <w:shd w:val="clear" w:color="auto" w:fill="auto"/>
            <w:noWrap/>
            <w:vAlign w:val="bottom"/>
            <w:hideMark/>
          </w:tcPr>
          <w:p w14:paraId="5ACB9890"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399" w:type="pct"/>
            <w:tcBorders>
              <w:top w:val="nil"/>
              <w:left w:val="nil"/>
              <w:bottom w:val="single" w:sz="4" w:space="0" w:color="auto"/>
              <w:right w:val="single" w:sz="4" w:space="0" w:color="auto"/>
            </w:tcBorders>
            <w:shd w:val="clear" w:color="000000" w:fill="FFFFFF"/>
            <w:noWrap/>
            <w:vAlign w:val="bottom"/>
            <w:hideMark/>
          </w:tcPr>
          <w:p w14:paraId="4FA8B2F7"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646" w:type="pct"/>
            <w:tcBorders>
              <w:top w:val="nil"/>
              <w:left w:val="nil"/>
              <w:bottom w:val="single" w:sz="4" w:space="0" w:color="auto"/>
              <w:right w:val="single" w:sz="8" w:space="0" w:color="auto"/>
            </w:tcBorders>
            <w:shd w:val="clear" w:color="auto" w:fill="auto"/>
            <w:noWrap/>
            <w:vAlign w:val="bottom"/>
            <w:hideMark/>
          </w:tcPr>
          <w:p w14:paraId="15E681BA"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r>
      <w:tr w:rsidR="00B8364E" w:rsidRPr="0018001F" w14:paraId="5C9BC140" w14:textId="77777777" w:rsidTr="009F574A">
        <w:trPr>
          <w:trHeight w:val="227"/>
        </w:trPr>
        <w:tc>
          <w:tcPr>
            <w:tcW w:w="1864" w:type="pct"/>
            <w:tcBorders>
              <w:top w:val="nil"/>
              <w:left w:val="single" w:sz="8" w:space="0" w:color="auto"/>
              <w:bottom w:val="single" w:sz="4" w:space="0" w:color="auto"/>
              <w:right w:val="single" w:sz="4" w:space="0" w:color="auto"/>
            </w:tcBorders>
            <w:shd w:val="clear" w:color="auto" w:fill="auto"/>
            <w:noWrap/>
            <w:vAlign w:val="bottom"/>
            <w:hideMark/>
          </w:tcPr>
          <w:p w14:paraId="2065850A" w14:textId="77777777" w:rsidR="00B8364E" w:rsidRPr="0018001F" w:rsidRDefault="00B8364E" w:rsidP="009F574A">
            <w:pPr>
              <w:spacing w:after="0" w:line="240" w:lineRule="auto"/>
              <w:ind w:firstLineChars="100" w:firstLine="160"/>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Traslado órgano administrativo</w:t>
            </w:r>
          </w:p>
        </w:tc>
        <w:tc>
          <w:tcPr>
            <w:tcW w:w="429" w:type="pct"/>
            <w:tcBorders>
              <w:top w:val="nil"/>
              <w:left w:val="nil"/>
              <w:bottom w:val="single" w:sz="4" w:space="0" w:color="auto"/>
              <w:right w:val="single" w:sz="4" w:space="0" w:color="auto"/>
            </w:tcBorders>
            <w:shd w:val="clear" w:color="auto" w:fill="auto"/>
            <w:noWrap/>
            <w:vAlign w:val="bottom"/>
            <w:hideMark/>
          </w:tcPr>
          <w:p w14:paraId="71AD81A2"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616" w:type="pct"/>
            <w:tcBorders>
              <w:top w:val="nil"/>
              <w:left w:val="nil"/>
              <w:bottom w:val="single" w:sz="4" w:space="0" w:color="auto"/>
              <w:right w:val="single" w:sz="4" w:space="0" w:color="auto"/>
            </w:tcBorders>
            <w:shd w:val="clear" w:color="auto" w:fill="auto"/>
            <w:noWrap/>
            <w:vAlign w:val="bottom"/>
            <w:hideMark/>
          </w:tcPr>
          <w:p w14:paraId="28531C1D"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429" w:type="pct"/>
            <w:tcBorders>
              <w:top w:val="nil"/>
              <w:left w:val="nil"/>
              <w:bottom w:val="single" w:sz="4" w:space="0" w:color="auto"/>
              <w:right w:val="single" w:sz="4" w:space="0" w:color="auto"/>
            </w:tcBorders>
            <w:shd w:val="clear" w:color="auto" w:fill="auto"/>
            <w:noWrap/>
            <w:vAlign w:val="bottom"/>
            <w:hideMark/>
          </w:tcPr>
          <w:p w14:paraId="176A4C8B"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616" w:type="pct"/>
            <w:tcBorders>
              <w:top w:val="nil"/>
              <w:left w:val="nil"/>
              <w:bottom w:val="single" w:sz="4" w:space="0" w:color="auto"/>
              <w:right w:val="single" w:sz="4" w:space="0" w:color="auto"/>
            </w:tcBorders>
            <w:shd w:val="clear" w:color="auto" w:fill="auto"/>
            <w:noWrap/>
            <w:vAlign w:val="bottom"/>
            <w:hideMark/>
          </w:tcPr>
          <w:p w14:paraId="64073953"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399" w:type="pct"/>
            <w:tcBorders>
              <w:top w:val="nil"/>
              <w:left w:val="nil"/>
              <w:bottom w:val="single" w:sz="4" w:space="0" w:color="auto"/>
              <w:right w:val="single" w:sz="4" w:space="0" w:color="auto"/>
            </w:tcBorders>
            <w:shd w:val="clear" w:color="000000" w:fill="FFFFFF"/>
            <w:noWrap/>
            <w:vAlign w:val="bottom"/>
            <w:hideMark/>
          </w:tcPr>
          <w:p w14:paraId="042F1446"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646" w:type="pct"/>
            <w:tcBorders>
              <w:top w:val="nil"/>
              <w:left w:val="nil"/>
              <w:bottom w:val="single" w:sz="4" w:space="0" w:color="auto"/>
              <w:right w:val="single" w:sz="8" w:space="0" w:color="auto"/>
            </w:tcBorders>
            <w:shd w:val="clear" w:color="auto" w:fill="auto"/>
            <w:noWrap/>
            <w:vAlign w:val="bottom"/>
            <w:hideMark/>
          </w:tcPr>
          <w:p w14:paraId="1D298338"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r>
      <w:tr w:rsidR="00B8364E" w:rsidRPr="0018001F" w14:paraId="32FD6780" w14:textId="77777777" w:rsidTr="009F574A">
        <w:trPr>
          <w:trHeight w:val="227"/>
        </w:trPr>
        <w:tc>
          <w:tcPr>
            <w:tcW w:w="1864" w:type="pct"/>
            <w:tcBorders>
              <w:top w:val="nil"/>
              <w:left w:val="single" w:sz="8" w:space="0" w:color="auto"/>
              <w:bottom w:val="single" w:sz="4" w:space="0" w:color="auto"/>
              <w:right w:val="single" w:sz="4" w:space="0" w:color="auto"/>
            </w:tcBorders>
            <w:shd w:val="clear" w:color="auto" w:fill="auto"/>
            <w:noWrap/>
            <w:vAlign w:val="bottom"/>
            <w:hideMark/>
          </w:tcPr>
          <w:p w14:paraId="5E51A025" w14:textId="77777777" w:rsidR="00B8364E" w:rsidRPr="0018001F" w:rsidRDefault="00B8364E" w:rsidP="009F574A">
            <w:pPr>
              <w:spacing w:after="0" w:line="240" w:lineRule="auto"/>
              <w:ind w:firstLineChars="100" w:firstLine="160"/>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Traslado órgano judicial</w:t>
            </w:r>
          </w:p>
        </w:tc>
        <w:tc>
          <w:tcPr>
            <w:tcW w:w="429" w:type="pct"/>
            <w:tcBorders>
              <w:top w:val="nil"/>
              <w:left w:val="nil"/>
              <w:bottom w:val="single" w:sz="4" w:space="0" w:color="auto"/>
              <w:right w:val="single" w:sz="4" w:space="0" w:color="auto"/>
            </w:tcBorders>
            <w:shd w:val="clear" w:color="auto" w:fill="auto"/>
            <w:noWrap/>
            <w:vAlign w:val="bottom"/>
            <w:hideMark/>
          </w:tcPr>
          <w:p w14:paraId="7C799ADB"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2</w:t>
            </w:r>
          </w:p>
        </w:tc>
        <w:tc>
          <w:tcPr>
            <w:tcW w:w="616" w:type="pct"/>
            <w:tcBorders>
              <w:top w:val="nil"/>
              <w:left w:val="nil"/>
              <w:bottom w:val="single" w:sz="4" w:space="0" w:color="auto"/>
              <w:right w:val="single" w:sz="4" w:space="0" w:color="auto"/>
            </w:tcBorders>
            <w:shd w:val="clear" w:color="auto" w:fill="auto"/>
            <w:noWrap/>
            <w:vAlign w:val="bottom"/>
            <w:hideMark/>
          </w:tcPr>
          <w:p w14:paraId="6036C795"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1%</w:t>
            </w:r>
          </w:p>
        </w:tc>
        <w:tc>
          <w:tcPr>
            <w:tcW w:w="429" w:type="pct"/>
            <w:tcBorders>
              <w:top w:val="nil"/>
              <w:left w:val="nil"/>
              <w:bottom w:val="single" w:sz="4" w:space="0" w:color="auto"/>
              <w:right w:val="single" w:sz="4" w:space="0" w:color="auto"/>
            </w:tcBorders>
            <w:shd w:val="clear" w:color="auto" w:fill="auto"/>
            <w:noWrap/>
            <w:vAlign w:val="bottom"/>
            <w:hideMark/>
          </w:tcPr>
          <w:p w14:paraId="30937B11"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3</w:t>
            </w:r>
          </w:p>
        </w:tc>
        <w:tc>
          <w:tcPr>
            <w:tcW w:w="616" w:type="pct"/>
            <w:tcBorders>
              <w:top w:val="nil"/>
              <w:left w:val="nil"/>
              <w:bottom w:val="single" w:sz="4" w:space="0" w:color="auto"/>
              <w:right w:val="single" w:sz="4" w:space="0" w:color="auto"/>
            </w:tcBorders>
            <w:shd w:val="clear" w:color="auto" w:fill="auto"/>
            <w:noWrap/>
            <w:vAlign w:val="bottom"/>
            <w:hideMark/>
          </w:tcPr>
          <w:p w14:paraId="24E51025"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4%</w:t>
            </w:r>
          </w:p>
        </w:tc>
        <w:tc>
          <w:tcPr>
            <w:tcW w:w="399" w:type="pct"/>
            <w:tcBorders>
              <w:top w:val="nil"/>
              <w:left w:val="nil"/>
              <w:bottom w:val="single" w:sz="4" w:space="0" w:color="auto"/>
              <w:right w:val="single" w:sz="4" w:space="0" w:color="auto"/>
            </w:tcBorders>
            <w:shd w:val="clear" w:color="000000" w:fill="FFFFFF"/>
            <w:noWrap/>
            <w:vAlign w:val="bottom"/>
            <w:hideMark/>
          </w:tcPr>
          <w:p w14:paraId="02A93489"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1</w:t>
            </w:r>
          </w:p>
        </w:tc>
        <w:tc>
          <w:tcPr>
            <w:tcW w:w="646" w:type="pct"/>
            <w:tcBorders>
              <w:top w:val="nil"/>
              <w:left w:val="nil"/>
              <w:bottom w:val="single" w:sz="4" w:space="0" w:color="auto"/>
              <w:right w:val="single" w:sz="8" w:space="0" w:color="auto"/>
            </w:tcBorders>
            <w:shd w:val="clear" w:color="auto" w:fill="auto"/>
            <w:noWrap/>
            <w:vAlign w:val="bottom"/>
            <w:hideMark/>
          </w:tcPr>
          <w:p w14:paraId="30511E1F"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50%</w:t>
            </w:r>
          </w:p>
        </w:tc>
      </w:tr>
      <w:tr w:rsidR="00B8364E" w:rsidRPr="0018001F" w14:paraId="476250ED" w14:textId="77777777" w:rsidTr="009F574A">
        <w:trPr>
          <w:trHeight w:val="227"/>
        </w:trPr>
        <w:tc>
          <w:tcPr>
            <w:tcW w:w="1864" w:type="pct"/>
            <w:tcBorders>
              <w:top w:val="nil"/>
              <w:left w:val="single" w:sz="8" w:space="0" w:color="auto"/>
              <w:bottom w:val="single" w:sz="4" w:space="0" w:color="auto"/>
              <w:right w:val="single" w:sz="4" w:space="0" w:color="auto"/>
            </w:tcBorders>
            <w:shd w:val="clear" w:color="auto" w:fill="auto"/>
            <w:noWrap/>
            <w:vAlign w:val="bottom"/>
            <w:hideMark/>
          </w:tcPr>
          <w:p w14:paraId="3E787AFB" w14:textId="77777777" w:rsidR="00B8364E" w:rsidRPr="0018001F" w:rsidRDefault="00B8364E" w:rsidP="009F574A">
            <w:pPr>
              <w:spacing w:after="0" w:line="240" w:lineRule="auto"/>
              <w:ind w:firstLineChars="100" w:firstLine="160"/>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Traslado Tribunal de Cuentas</w:t>
            </w:r>
          </w:p>
        </w:tc>
        <w:tc>
          <w:tcPr>
            <w:tcW w:w="429" w:type="pct"/>
            <w:tcBorders>
              <w:top w:val="nil"/>
              <w:left w:val="nil"/>
              <w:bottom w:val="single" w:sz="4" w:space="0" w:color="auto"/>
              <w:right w:val="single" w:sz="4" w:space="0" w:color="auto"/>
            </w:tcBorders>
            <w:shd w:val="clear" w:color="auto" w:fill="auto"/>
            <w:noWrap/>
            <w:vAlign w:val="bottom"/>
            <w:hideMark/>
          </w:tcPr>
          <w:p w14:paraId="2F12D516"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4</w:t>
            </w:r>
          </w:p>
        </w:tc>
        <w:tc>
          <w:tcPr>
            <w:tcW w:w="616" w:type="pct"/>
            <w:tcBorders>
              <w:top w:val="nil"/>
              <w:left w:val="nil"/>
              <w:bottom w:val="single" w:sz="4" w:space="0" w:color="auto"/>
              <w:right w:val="single" w:sz="4" w:space="0" w:color="auto"/>
            </w:tcBorders>
            <w:shd w:val="clear" w:color="auto" w:fill="auto"/>
            <w:noWrap/>
            <w:vAlign w:val="bottom"/>
            <w:hideMark/>
          </w:tcPr>
          <w:p w14:paraId="00858809"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2%</w:t>
            </w:r>
          </w:p>
        </w:tc>
        <w:tc>
          <w:tcPr>
            <w:tcW w:w="429" w:type="pct"/>
            <w:tcBorders>
              <w:top w:val="nil"/>
              <w:left w:val="nil"/>
              <w:bottom w:val="single" w:sz="4" w:space="0" w:color="auto"/>
              <w:right w:val="single" w:sz="4" w:space="0" w:color="auto"/>
            </w:tcBorders>
            <w:shd w:val="clear" w:color="auto" w:fill="auto"/>
            <w:noWrap/>
            <w:vAlign w:val="bottom"/>
            <w:hideMark/>
          </w:tcPr>
          <w:p w14:paraId="1DC068FC"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616" w:type="pct"/>
            <w:tcBorders>
              <w:top w:val="nil"/>
              <w:left w:val="nil"/>
              <w:bottom w:val="single" w:sz="4" w:space="0" w:color="auto"/>
              <w:right w:val="single" w:sz="4" w:space="0" w:color="auto"/>
            </w:tcBorders>
            <w:shd w:val="clear" w:color="auto" w:fill="auto"/>
            <w:noWrap/>
            <w:vAlign w:val="bottom"/>
            <w:hideMark/>
          </w:tcPr>
          <w:p w14:paraId="7988495C"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0%</w:t>
            </w:r>
          </w:p>
        </w:tc>
        <w:tc>
          <w:tcPr>
            <w:tcW w:w="399" w:type="pct"/>
            <w:tcBorders>
              <w:top w:val="nil"/>
              <w:left w:val="nil"/>
              <w:bottom w:val="single" w:sz="4" w:space="0" w:color="auto"/>
              <w:right w:val="single" w:sz="4" w:space="0" w:color="auto"/>
            </w:tcBorders>
            <w:shd w:val="clear" w:color="000000" w:fill="FFFFFF"/>
            <w:noWrap/>
            <w:vAlign w:val="bottom"/>
            <w:hideMark/>
          </w:tcPr>
          <w:p w14:paraId="7C735481"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-4</w:t>
            </w:r>
          </w:p>
        </w:tc>
        <w:tc>
          <w:tcPr>
            <w:tcW w:w="646" w:type="pct"/>
            <w:tcBorders>
              <w:top w:val="nil"/>
              <w:left w:val="nil"/>
              <w:bottom w:val="single" w:sz="4" w:space="0" w:color="auto"/>
              <w:right w:val="single" w:sz="8" w:space="0" w:color="auto"/>
            </w:tcBorders>
            <w:shd w:val="clear" w:color="auto" w:fill="auto"/>
            <w:noWrap/>
            <w:vAlign w:val="bottom"/>
            <w:hideMark/>
          </w:tcPr>
          <w:p w14:paraId="6F7DC7AE" w14:textId="77777777" w:rsidR="00B8364E" w:rsidRPr="0018001F" w:rsidRDefault="00B8364E" w:rsidP="009F574A">
            <w:pPr>
              <w:spacing w:after="0" w:line="240" w:lineRule="auto"/>
              <w:jc w:val="center"/>
              <w:rPr>
                <w:rFonts w:ascii="Arial" w:eastAsia="Times New Roman" w:hAnsi="Arial" w:cs="Arial"/>
                <w:color w:val="000000"/>
                <w:sz w:val="16"/>
                <w:szCs w:val="16"/>
                <w:lang w:eastAsia="es-ES"/>
              </w:rPr>
            </w:pPr>
            <w:r w:rsidRPr="0018001F">
              <w:rPr>
                <w:rFonts w:ascii="Arial" w:eastAsia="Times New Roman" w:hAnsi="Arial" w:cs="Arial"/>
                <w:color w:val="000000"/>
                <w:sz w:val="16"/>
                <w:szCs w:val="16"/>
                <w:lang w:eastAsia="es-ES"/>
              </w:rPr>
              <w:t>-100%</w:t>
            </w:r>
          </w:p>
        </w:tc>
      </w:tr>
      <w:tr w:rsidR="00B8364E" w:rsidRPr="0018001F" w14:paraId="2F16D5FA" w14:textId="77777777" w:rsidTr="009F574A">
        <w:trPr>
          <w:trHeight w:val="227"/>
        </w:trPr>
        <w:tc>
          <w:tcPr>
            <w:tcW w:w="1864" w:type="pct"/>
            <w:tcBorders>
              <w:top w:val="nil"/>
              <w:left w:val="single" w:sz="8" w:space="0" w:color="auto"/>
              <w:bottom w:val="single" w:sz="4" w:space="0" w:color="auto"/>
              <w:right w:val="single" w:sz="4" w:space="0" w:color="auto"/>
            </w:tcBorders>
            <w:shd w:val="clear" w:color="000000" w:fill="DDE0E3"/>
            <w:noWrap/>
            <w:vAlign w:val="bottom"/>
            <w:hideMark/>
          </w:tcPr>
          <w:p w14:paraId="21C77189" w14:textId="77777777" w:rsidR="00B8364E" w:rsidRPr="0018001F" w:rsidRDefault="00B8364E" w:rsidP="009F574A">
            <w:pPr>
              <w:spacing w:after="0" w:line="240" w:lineRule="auto"/>
              <w:jc w:val="right"/>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Subtotal</w:t>
            </w:r>
          </w:p>
        </w:tc>
        <w:tc>
          <w:tcPr>
            <w:tcW w:w="429" w:type="pct"/>
            <w:tcBorders>
              <w:top w:val="nil"/>
              <w:left w:val="nil"/>
              <w:bottom w:val="single" w:sz="4" w:space="0" w:color="auto"/>
              <w:right w:val="single" w:sz="4" w:space="0" w:color="auto"/>
            </w:tcBorders>
            <w:shd w:val="clear" w:color="000000" w:fill="DDE0E3"/>
            <w:noWrap/>
            <w:vAlign w:val="bottom"/>
            <w:hideMark/>
          </w:tcPr>
          <w:p w14:paraId="7B5B5BA6"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45</w:t>
            </w:r>
          </w:p>
        </w:tc>
        <w:tc>
          <w:tcPr>
            <w:tcW w:w="616" w:type="pct"/>
            <w:tcBorders>
              <w:top w:val="nil"/>
              <w:left w:val="nil"/>
              <w:bottom w:val="single" w:sz="4" w:space="0" w:color="auto"/>
              <w:right w:val="single" w:sz="4" w:space="0" w:color="auto"/>
            </w:tcBorders>
            <w:shd w:val="clear" w:color="000000" w:fill="DDE0E3"/>
            <w:noWrap/>
            <w:vAlign w:val="bottom"/>
            <w:hideMark/>
          </w:tcPr>
          <w:p w14:paraId="7AD7E90F"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20%</w:t>
            </w:r>
          </w:p>
        </w:tc>
        <w:tc>
          <w:tcPr>
            <w:tcW w:w="429" w:type="pct"/>
            <w:tcBorders>
              <w:top w:val="nil"/>
              <w:left w:val="nil"/>
              <w:bottom w:val="single" w:sz="4" w:space="0" w:color="auto"/>
              <w:right w:val="single" w:sz="4" w:space="0" w:color="auto"/>
            </w:tcBorders>
            <w:shd w:val="clear" w:color="000000" w:fill="DDE0E3"/>
            <w:noWrap/>
            <w:vAlign w:val="bottom"/>
            <w:hideMark/>
          </w:tcPr>
          <w:p w14:paraId="4814EB18"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76</w:t>
            </w:r>
          </w:p>
        </w:tc>
        <w:tc>
          <w:tcPr>
            <w:tcW w:w="616" w:type="pct"/>
            <w:tcBorders>
              <w:top w:val="nil"/>
              <w:left w:val="nil"/>
              <w:bottom w:val="single" w:sz="4" w:space="0" w:color="auto"/>
              <w:right w:val="single" w:sz="4" w:space="0" w:color="auto"/>
            </w:tcBorders>
            <w:shd w:val="clear" w:color="000000" w:fill="DDE0E3"/>
            <w:noWrap/>
            <w:vAlign w:val="bottom"/>
            <w:hideMark/>
          </w:tcPr>
          <w:p w14:paraId="658BE14A"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22%</w:t>
            </w:r>
          </w:p>
        </w:tc>
        <w:tc>
          <w:tcPr>
            <w:tcW w:w="399" w:type="pct"/>
            <w:tcBorders>
              <w:top w:val="nil"/>
              <w:left w:val="nil"/>
              <w:bottom w:val="single" w:sz="4" w:space="0" w:color="auto"/>
              <w:right w:val="single" w:sz="4" w:space="0" w:color="auto"/>
            </w:tcBorders>
            <w:shd w:val="clear" w:color="000000" w:fill="DDE0E3"/>
            <w:noWrap/>
            <w:vAlign w:val="bottom"/>
            <w:hideMark/>
          </w:tcPr>
          <w:p w14:paraId="424ED176"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31</w:t>
            </w:r>
          </w:p>
        </w:tc>
        <w:tc>
          <w:tcPr>
            <w:tcW w:w="646" w:type="pct"/>
            <w:tcBorders>
              <w:top w:val="nil"/>
              <w:left w:val="nil"/>
              <w:bottom w:val="single" w:sz="4" w:space="0" w:color="auto"/>
              <w:right w:val="single" w:sz="4" w:space="0" w:color="auto"/>
            </w:tcBorders>
            <w:shd w:val="clear" w:color="000000" w:fill="DDE0E3"/>
            <w:noWrap/>
            <w:vAlign w:val="bottom"/>
            <w:hideMark/>
          </w:tcPr>
          <w:p w14:paraId="64C68630"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69%</w:t>
            </w:r>
          </w:p>
        </w:tc>
      </w:tr>
      <w:tr w:rsidR="00B8364E" w:rsidRPr="0018001F" w14:paraId="33F25ECB" w14:textId="77777777" w:rsidTr="009F574A">
        <w:trPr>
          <w:trHeight w:val="227"/>
        </w:trPr>
        <w:tc>
          <w:tcPr>
            <w:tcW w:w="1864" w:type="pct"/>
            <w:tcBorders>
              <w:top w:val="nil"/>
              <w:left w:val="single" w:sz="8" w:space="0" w:color="auto"/>
              <w:bottom w:val="single" w:sz="8" w:space="0" w:color="auto"/>
              <w:right w:val="single" w:sz="4" w:space="0" w:color="auto"/>
            </w:tcBorders>
            <w:shd w:val="clear" w:color="auto" w:fill="auto"/>
            <w:noWrap/>
            <w:vAlign w:val="bottom"/>
            <w:hideMark/>
          </w:tcPr>
          <w:p w14:paraId="1A1B98F0" w14:textId="77777777" w:rsidR="00B8364E" w:rsidRPr="0018001F" w:rsidRDefault="00B8364E" w:rsidP="009F574A">
            <w:pPr>
              <w:spacing w:after="0" w:line="240" w:lineRule="auto"/>
              <w:jc w:val="right"/>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TOTAL</w:t>
            </w:r>
          </w:p>
        </w:tc>
        <w:tc>
          <w:tcPr>
            <w:tcW w:w="429" w:type="pct"/>
            <w:tcBorders>
              <w:top w:val="nil"/>
              <w:left w:val="nil"/>
              <w:bottom w:val="single" w:sz="8" w:space="0" w:color="auto"/>
              <w:right w:val="single" w:sz="4" w:space="0" w:color="auto"/>
            </w:tcBorders>
            <w:shd w:val="clear" w:color="auto" w:fill="auto"/>
            <w:noWrap/>
            <w:vAlign w:val="bottom"/>
            <w:hideMark/>
          </w:tcPr>
          <w:p w14:paraId="2FC6DCBF"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228</w:t>
            </w:r>
          </w:p>
        </w:tc>
        <w:tc>
          <w:tcPr>
            <w:tcW w:w="616" w:type="pct"/>
            <w:tcBorders>
              <w:top w:val="nil"/>
              <w:left w:val="nil"/>
              <w:bottom w:val="single" w:sz="8" w:space="0" w:color="auto"/>
              <w:right w:val="single" w:sz="4" w:space="0" w:color="auto"/>
            </w:tcBorders>
            <w:shd w:val="clear" w:color="auto" w:fill="auto"/>
            <w:noWrap/>
            <w:vAlign w:val="bottom"/>
            <w:hideMark/>
          </w:tcPr>
          <w:p w14:paraId="7B0F4FA5"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100%</w:t>
            </w:r>
          </w:p>
        </w:tc>
        <w:tc>
          <w:tcPr>
            <w:tcW w:w="429" w:type="pct"/>
            <w:tcBorders>
              <w:top w:val="nil"/>
              <w:left w:val="nil"/>
              <w:bottom w:val="single" w:sz="8" w:space="0" w:color="auto"/>
              <w:right w:val="single" w:sz="4" w:space="0" w:color="auto"/>
            </w:tcBorders>
            <w:shd w:val="clear" w:color="auto" w:fill="auto"/>
            <w:noWrap/>
            <w:vAlign w:val="bottom"/>
            <w:hideMark/>
          </w:tcPr>
          <w:p w14:paraId="156F58FE"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343</w:t>
            </w:r>
          </w:p>
        </w:tc>
        <w:tc>
          <w:tcPr>
            <w:tcW w:w="616" w:type="pct"/>
            <w:tcBorders>
              <w:top w:val="nil"/>
              <w:left w:val="nil"/>
              <w:bottom w:val="single" w:sz="8" w:space="0" w:color="auto"/>
              <w:right w:val="single" w:sz="4" w:space="0" w:color="auto"/>
            </w:tcBorders>
            <w:shd w:val="clear" w:color="auto" w:fill="auto"/>
            <w:noWrap/>
            <w:vAlign w:val="bottom"/>
            <w:hideMark/>
          </w:tcPr>
          <w:p w14:paraId="6BB5B90D"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100%</w:t>
            </w:r>
          </w:p>
        </w:tc>
        <w:tc>
          <w:tcPr>
            <w:tcW w:w="399" w:type="pct"/>
            <w:tcBorders>
              <w:top w:val="nil"/>
              <w:left w:val="nil"/>
              <w:bottom w:val="single" w:sz="8" w:space="0" w:color="auto"/>
              <w:right w:val="single" w:sz="4" w:space="0" w:color="auto"/>
            </w:tcBorders>
            <w:shd w:val="clear" w:color="000000" w:fill="FFFFFF"/>
            <w:noWrap/>
            <w:vAlign w:val="bottom"/>
            <w:hideMark/>
          </w:tcPr>
          <w:p w14:paraId="35890B14"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115</w:t>
            </w:r>
          </w:p>
        </w:tc>
        <w:tc>
          <w:tcPr>
            <w:tcW w:w="646" w:type="pct"/>
            <w:tcBorders>
              <w:top w:val="nil"/>
              <w:left w:val="nil"/>
              <w:bottom w:val="single" w:sz="8" w:space="0" w:color="auto"/>
              <w:right w:val="single" w:sz="8" w:space="0" w:color="auto"/>
            </w:tcBorders>
            <w:shd w:val="clear" w:color="auto" w:fill="auto"/>
            <w:noWrap/>
            <w:vAlign w:val="bottom"/>
            <w:hideMark/>
          </w:tcPr>
          <w:p w14:paraId="657AD2B5" w14:textId="77777777" w:rsidR="00B8364E" w:rsidRPr="0018001F" w:rsidRDefault="00B8364E" w:rsidP="009F574A">
            <w:pPr>
              <w:spacing w:after="0" w:line="240" w:lineRule="auto"/>
              <w:jc w:val="center"/>
              <w:rPr>
                <w:rFonts w:ascii="Arial" w:eastAsia="Times New Roman" w:hAnsi="Arial" w:cs="Arial"/>
                <w:b/>
                <w:bCs/>
                <w:color w:val="000000"/>
                <w:sz w:val="16"/>
                <w:szCs w:val="16"/>
                <w:lang w:eastAsia="es-ES"/>
              </w:rPr>
            </w:pPr>
            <w:r w:rsidRPr="0018001F">
              <w:rPr>
                <w:rFonts w:ascii="Arial" w:eastAsia="Times New Roman" w:hAnsi="Arial" w:cs="Arial"/>
                <w:b/>
                <w:bCs/>
                <w:color w:val="000000"/>
                <w:sz w:val="16"/>
                <w:szCs w:val="16"/>
                <w:lang w:eastAsia="es-ES"/>
              </w:rPr>
              <w:t>50%</w:t>
            </w:r>
          </w:p>
        </w:tc>
      </w:tr>
    </w:tbl>
    <w:p w14:paraId="742B60F1" w14:textId="77777777" w:rsidR="00B8364E" w:rsidRPr="00D14767" w:rsidRDefault="00B8364E" w:rsidP="00B8364E">
      <w:pPr>
        <w:spacing w:after="240" w:line="276" w:lineRule="auto"/>
        <w:jc w:val="both"/>
        <w:rPr>
          <w:rFonts w:ascii="Arial" w:eastAsia="Times New Roman" w:hAnsi="Arial" w:cs="Arial"/>
          <w:b/>
          <w:sz w:val="21"/>
          <w:szCs w:val="21"/>
          <w:lang w:eastAsia="es-ES"/>
        </w:rPr>
      </w:pPr>
    </w:p>
    <w:p w14:paraId="3F32FD87" w14:textId="77777777" w:rsidR="00B8364E" w:rsidRPr="00D14767" w:rsidRDefault="00B8364E" w:rsidP="00B8364E">
      <w:pPr>
        <w:spacing w:after="240" w:line="276" w:lineRule="auto"/>
        <w:jc w:val="both"/>
        <w:rPr>
          <w:rFonts w:ascii="Arial" w:eastAsia="Times New Roman" w:hAnsi="Arial" w:cs="Arial"/>
          <w:bCs/>
          <w:sz w:val="21"/>
          <w:szCs w:val="21"/>
          <w:lang w:eastAsia="es-ES"/>
        </w:rPr>
      </w:pPr>
      <w:r w:rsidRPr="00D14767">
        <w:rPr>
          <w:rFonts w:ascii="Arial" w:eastAsia="Times New Roman" w:hAnsi="Arial" w:cs="Arial"/>
          <w:bCs/>
          <w:sz w:val="21"/>
          <w:szCs w:val="21"/>
          <w:lang w:eastAsia="es-ES"/>
        </w:rPr>
        <w:t>De la tabla previa, se puede observar que la fase de análisis se ha finalizado para 267 expedientes, frente a los 183 del año 2020, lo que supone un incremento cuantitativo de 84 expedientes más, que representa un 46% de mejora. Especialmente destacable</w:t>
      </w:r>
      <w:r>
        <w:rPr>
          <w:rFonts w:ascii="Arial" w:eastAsia="Times New Roman" w:hAnsi="Arial" w:cs="Arial"/>
          <w:bCs/>
          <w:sz w:val="21"/>
          <w:szCs w:val="21"/>
          <w:lang w:eastAsia="es-ES"/>
        </w:rPr>
        <w:t>,</w:t>
      </w:r>
      <w:r w:rsidRPr="00D14767">
        <w:rPr>
          <w:rFonts w:ascii="Arial" w:eastAsia="Times New Roman" w:hAnsi="Arial" w:cs="Arial"/>
          <w:bCs/>
          <w:sz w:val="21"/>
          <w:szCs w:val="21"/>
          <w:lang w:eastAsia="es-ES"/>
        </w:rPr>
        <w:t xml:space="preserve"> son los expedientes que finalizado la fase de análisis han iniciado la fase de investigación, 73 expedientes, frente a los 60 del año 2020 o los 21 del año 2019, lo que implica un incremento cuantitativo de 13 expedientes, que representa el 22% más de investigaciones iniciadas.</w:t>
      </w:r>
    </w:p>
    <w:p w14:paraId="2235072D" w14:textId="77777777" w:rsidR="00B8364E" w:rsidRPr="00D14767" w:rsidRDefault="00B8364E" w:rsidP="00B8364E">
      <w:pPr>
        <w:spacing w:after="240" w:line="276" w:lineRule="auto"/>
        <w:jc w:val="both"/>
        <w:rPr>
          <w:rFonts w:ascii="Arial" w:eastAsia="Times New Roman" w:hAnsi="Arial" w:cs="Arial"/>
          <w:bCs/>
          <w:sz w:val="21"/>
          <w:szCs w:val="21"/>
          <w:lang w:eastAsia="es-ES"/>
        </w:rPr>
      </w:pPr>
      <w:r w:rsidRPr="00D14767">
        <w:rPr>
          <w:rFonts w:ascii="Arial" w:eastAsia="Times New Roman" w:hAnsi="Arial" w:cs="Arial"/>
          <w:bCs/>
          <w:sz w:val="21"/>
          <w:szCs w:val="21"/>
          <w:lang w:eastAsia="es-ES"/>
        </w:rPr>
        <w:t>Por lo que respecta a los expedientes en fase de investigación, se han resuelto 77 expedientes en 2021</w:t>
      </w:r>
      <w:r>
        <w:rPr>
          <w:rFonts w:ascii="Arial" w:eastAsia="Times New Roman" w:hAnsi="Arial" w:cs="Arial"/>
          <w:bCs/>
          <w:sz w:val="21"/>
          <w:szCs w:val="21"/>
          <w:lang w:eastAsia="es-ES"/>
        </w:rPr>
        <w:t>,</w:t>
      </w:r>
      <w:r w:rsidRPr="00D14767">
        <w:rPr>
          <w:rFonts w:ascii="Arial" w:eastAsia="Times New Roman" w:hAnsi="Arial" w:cs="Arial"/>
          <w:bCs/>
          <w:sz w:val="21"/>
          <w:szCs w:val="21"/>
          <w:lang w:eastAsia="es-ES"/>
        </w:rPr>
        <w:t xml:space="preserve"> frente a los 45 del año 2020 y los 14 del 2019, habiéndose dictado 77 resoluciones finales de investigación (existían investigaciones con expedientes acumulados)</w:t>
      </w:r>
      <w:r>
        <w:rPr>
          <w:rFonts w:ascii="Arial" w:eastAsia="Times New Roman" w:hAnsi="Arial" w:cs="Arial"/>
          <w:bCs/>
          <w:sz w:val="21"/>
          <w:szCs w:val="21"/>
          <w:lang w:eastAsia="es-ES"/>
        </w:rPr>
        <w:t>,</w:t>
      </w:r>
      <w:r w:rsidRPr="00D14767">
        <w:rPr>
          <w:rFonts w:ascii="Arial" w:eastAsia="Times New Roman" w:hAnsi="Arial" w:cs="Arial"/>
          <w:bCs/>
          <w:sz w:val="21"/>
          <w:szCs w:val="21"/>
          <w:lang w:eastAsia="es-ES"/>
        </w:rPr>
        <w:t xml:space="preserve"> frente a las 29 resoluciones finales de investigación que se dictaron en 2020, lo que supone un incremento del 165,51%. </w:t>
      </w:r>
    </w:p>
    <w:p w14:paraId="676108BC" w14:textId="49033392" w:rsidR="00B8364E" w:rsidRPr="00D14767" w:rsidRDefault="005A7684" w:rsidP="00B8364E">
      <w:pPr>
        <w:spacing w:after="240" w:line="276" w:lineRule="auto"/>
        <w:jc w:val="both"/>
        <w:rPr>
          <w:rFonts w:ascii="Arial" w:eastAsia="Times New Roman" w:hAnsi="Arial" w:cs="Arial"/>
          <w:bCs/>
          <w:sz w:val="21"/>
          <w:szCs w:val="21"/>
          <w:lang w:eastAsia="es-ES"/>
        </w:rPr>
      </w:pPr>
      <w:r>
        <w:rPr>
          <w:noProof/>
        </w:rPr>
        <mc:AlternateContent>
          <mc:Choice Requires="wps">
            <w:drawing>
              <wp:anchor distT="0" distB="0" distL="114300" distR="114300" simplePos="0" relativeHeight="252028928" behindDoc="0" locked="0" layoutInCell="1" allowOverlap="1" wp14:anchorId="72B62223" wp14:editId="2D2308C9">
                <wp:simplePos x="0" y="0"/>
                <wp:positionH relativeFrom="column">
                  <wp:posOffset>796290</wp:posOffset>
                </wp:positionH>
                <wp:positionV relativeFrom="paragraph">
                  <wp:posOffset>5969000</wp:posOffset>
                </wp:positionV>
                <wp:extent cx="3805555" cy="213995"/>
                <wp:effectExtent l="0" t="0" r="4445" b="0"/>
                <wp:wrapTopAndBottom/>
                <wp:docPr id="85" name="Cuadro de texto 85"/>
                <wp:cNvGraphicFramePr/>
                <a:graphic xmlns:a="http://schemas.openxmlformats.org/drawingml/2006/main">
                  <a:graphicData uri="http://schemas.microsoft.com/office/word/2010/wordprocessingShape">
                    <wps:wsp>
                      <wps:cNvSpPr txBox="1"/>
                      <wps:spPr>
                        <a:xfrm>
                          <a:off x="0" y="0"/>
                          <a:ext cx="3805555" cy="213995"/>
                        </a:xfrm>
                        <a:prstGeom prst="rect">
                          <a:avLst/>
                        </a:prstGeom>
                        <a:solidFill>
                          <a:prstClr val="white"/>
                        </a:solidFill>
                        <a:ln>
                          <a:noFill/>
                        </a:ln>
                      </wps:spPr>
                      <wps:txbx>
                        <w:txbxContent>
                          <w:p w14:paraId="486C4265" w14:textId="0F534D7C" w:rsidR="00B8364E" w:rsidRPr="00DE48CC" w:rsidRDefault="00B8364E" w:rsidP="00B8364E">
                            <w:pPr>
                              <w:pStyle w:val="Descripcin"/>
                              <w:jc w:val="center"/>
                              <w:rPr>
                                <w:rFonts w:ascii="Arial" w:eastAsia="Times New Roman" w:hAnsi="Arial" w:cs="Arial"/>
                                <w:smallCaps w:val="0"/>
                                <w:sz w:val="18"/>
                                <w:szCs w:val="18"/>
                              </w:rPr>
                            </w:pPr>
                            <w:bookmarkStart w:id="180" w:name="_Toc95676852"/>
                            <w:bookmarkStart w:id="181" w:name="_Toc99099820"/>
                            <w:r w:rsidRPr="00DE48CC">
                              <w:rPr>
                                <w:rFonts w:ascii="Arial" w:hAnsi="Arial" w:cs="Arial"/>
                                <w:smallCaps w:val="0"/>
                                <w:color w:val="9D2235" w:themeColor="accent1"/>
                                <w:sz w:val="18"/>
                                <w:szCs w:val="18"/>
                              </w:rPr>
                              <w:t xml:space="preserve">Gráfico </w:t>
                            </w:r>
                            <w:r w:rsidRPr="00DE48CC">
                              <w:rPr>
                                <w:rFonts w:ascii="Arial" w:hAnsi="Arial" w:cs="Arial"/>
                                <w:smallCaps w:val="0"/>
                                <w:color w:val="9D2235" w:themeColor="accent1"/>
                                <w:sz w:val="18"/>
                                <w:szCs w:val="18"/>
                              </w:rPr>
                              <w:fldChar w:fldCharType="begin"/>
                            </w:r>
                            <w:r w:rsidRPr="00DE48CC">
                              <w:rPr>
                                <w:rFonts w:ascii="Arial" w:hAnsi="Arial" w:cs="Arial"/>
                                <w:smallCaps w:val="0"/>
                                <w:color w:val="9D2235" w:themeColor="accent1"/>
                                <w:sz w:val="18"/>
                                <w:szCs w:val="18"/>
                              </w:rPr>
                              <w:instrText xml:space="preserve"> SEQ Gráfico \* ARABIC </w:instrText>
                            </w:r>
                            <w:r w:rsidRPr="00DE48CC">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21</w:t>
                            </w:r>
                            <w:r w:rsidRPr="00DE48CC">
                              <w:rPr>
                                <w:rFonts w:ascii="Arial" w:hAnsi="Arial" w:cs="Arial"/>
                                <w:smallCaps w:val="0"/>
                                <w:color w:val="9D2235" w:themeColor="accent1"/>
                                <w:sz w:val="18"/>
                                <w:szCs w:val="18"/>
                              </w:rPr>
                              <w:fldChar w:fldCharType="end"/>
                            </w:r>
                            <w:r w:rsidRPr="00DE48CC">
                              <w:rPr>
                                <w:rFonts w:ascii="Arial" w:hAnsi="Arial" w:cs="Arial"/>
                                <w:smallCaps w:val="0"/>
                                <w:color w:val="9D2235" w:themeColor="accent1"/>
                                <w:sz w:val="18"/>
                                <w:szCs w:val="18"/>
                              </w:rPr>
                              <w:t xml:space="preserve">. </w:t>
                            </w:r>
                            <w:r w:rsidRPr="00DE48CC">
                              <w:rPr>
                                <w:rFonts w:ascii="Arial" w:hAnsi="Arial" w:cs="Arial"/>
                                <w:smallCaps w:val="0"/>
                                <w:sz w:val="18"/>
                                <w:szCs w:val="18"/>
                              </w:rPr>
                              <w:t>Resumen de expedientes tramitados en 202</w:t>
                            </w:r>
                            <w:r>
                              <w:rPr>
                                <w:rFonts w:ascii="Arial" w:hAnsi="Arial" w:cs="Arial"/>
                                <w:smallCaps w:val="0"/>
                                <w:sz w:val="18"/>
                                <w:szCs w:val="18"/>
                              </w:rPr>
                              <w:t>0</w:t>
                            </w:r>
                            <w:r w:rsidRPr="00DE48CC">
                              <w:rPr>
                                <w:rFonts w:ascii="Arial" w:hAnsi="Arial" w:cs="Arial"/>
                                <w:smallCaps w:val="0"/>
                                <w:sz w:val="18"/>
                                <w:szCs w:val="18"/>
                              </w:rPr>
                              <w:t xml:space="preserve"> y 202</w:t>
                            </w:r>
                            <w:r>
                              <w:rPr>
                                <w:rFonts w:ascii="Arial" w:hAnsi="Arial" w:cs="Arial"/>
                                <w:smallCaps w:val="0"/>
                                <w:sz w:val="18"/>
                                <w:szCs w:val="18"/>
                              </w:rPr>
                              <w:t>1</w:t>
                            </w:r>
                            <w:bookmarkEnd w:id="180"/>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B62223" id="Cuadro de texto 85" o:spid="_x0000_s1038" type="#_x0000_t202" style="position:absolute;left:0;text-align:left;margin-left:62.7pt;margin-top:470pt;width:299.65pt;height:16.85pt;z-index:25202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" stroked="f">
                <v:textbox inset="0,0,0,0">
                  <w:txbxContent>
                    <w:p w14:paraId="486C4265" w14:textId="0F534D7C" w:rsidR="00B8364E" w:rsidRPr="00DE48CC" w:rsidRDefault="00B8364E" w:rsidP="00B8364E">
                      <w:pPr>
                        <w:pStyle w:val="Descripcin"/>
                        <w:jc w:val="center"/>
                        <w:rPr>
                          <w:rFonts w:ascii="Arial" w:eastAsia="Times New Roman" w:hAnsi="Arial" w:cs="Arial"/>
                          <w:smallCaps w:val="0"/>
                          <w:sz w:val="18"/>
                          <w:szCs w:val="18"/>
                        </w:rPr>
                      </w:pPr>
                      <w:bookmarkStart w:id="191" w:name="_Toc95676852"/>
                      <w:bookmarkStart w:id="192" w:name="_Toc99099820"/>
                      <w:r w:rsidRPr="00DE48CC">
                        <w:rPr>
                          <w:rFonts w:ascii="Arial" w:hAnsi="Arial" w:cs="Arial"/>
                          <w:smallCaps w:val="0"/>
                          <w:color w:val="9D2235" w:themeColor="accent1"/>
                          <w:sz w:val="18"/>
                          <w:szCs w:val="18"/>
                        </w:rPr>
                        <w:t xml:space="preserve">Gráfico </w:t>
                      </w:r>
                      <w:r w:rsidRPr="00DE48CC">
                        <w:rPr>
                          <w:rFonts w:ascii="Arial" w:hAnsi="Arial" w:cs="Arial"/>
                          <w:smallCaps w:val="0"/>
                          <w:color w:val="9D2235" w:themeColor="accent1"/>
                          <w:sz w:val="18"/>
                          <w:szCs w:val="18"/>
                        </w:rPr>
                        <w:fldChar w:fldCharType="begin"/>
                      </w:r>
                      <w:r w:rsidRPr="00DE48CC">
                        <w:rPr>
                          <w:rFonts w:ascii="Arial" w:hAnsi="Arial" w:cs="Arial"/>
                          <w:smallCaps w:val="0"/>
                          <w:color w:val="9D2235" w:themeColor="accent1"/>
                          <w:sz w:val="18"/>
                          <w:szCs w:val="18"/>
                        </w:rPr>
                        <w:instrText xml:space="preserve"> SEQ Gráfico \* ARABIC </w:instrText>
                      </w:r>
                      <w:r w:rsidRPr="00DE48CC">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21</w:t>
                      </w:r>
                      <w:r w:rsidRPr="00DE48CC">
                        <w:rPr>
                          <w:rFonts w:ascii="Arial" w:hAnsi="Arial" w:cs="Arial"/>
                          <w:smallCaps w:val="0"/>
                          <w:color w:val="9D2235" w:themeColor="accent1"/>
                          <w:sz w:val="18"/>
                          <w:szCs w:val="18"/>
                        </w:rPr>
                        <w:fldChar w:fldCharType="end"/>
                      </w:r>
                      <w:r w:rsidRPr="00DE48CC">
                        <w:rPr>
                          <w:rFonts w:ascii="Arial" w:hAnsi="Arial" w:cs="Arial"/>
                          <w:smallCaps w:val="0"/>
                          <w:color w:val="9D2235" w:themeColor="accent1"/>
                          <w:sz w:val="18"/>
                          <w:szCs w:val="18"/>
                        </w:rPr>
                        <w:t xml:space="preserve">. </w:t>
                      </w:r>
                      <w:r w:rsidRPr="00DE48CC">
                        <w:rPr>
                          <w:rFonts w:ascii="Arial" w:hAnsi="Arial" w:cs="Arial"/>
                          <w:smallCaps w:val="0"/>
                          <w:sz w:val="18"/>
                          <w:szCs w:val="18"/>
                        </w:rPr>
                        <w:t>Resumen de expedientes tramitados en 202</w:t>
                      </w:r>
                      <w:r>
                        <w:rPr>
                          <w:rFonts w:ascii="Arial" w:hAnsi="Arial" w:cs="Arial"/>
                          <w:smallCaps w:val="0"/>
                          <w:sz w:val="18"/>
                          <w:szCs w:val="18"/>
                        </w:rPr>
                        <w:t>0</w:t>
                      </w:r>
                      <w:r w:rsidRPr="00DE48CC">
                        <w:rPr>
                          <w:rFonts w:ascii="Arial" w:hAnsi="Arial" w:cs="Arial"/>
                          <w:smallCaps w:val="0"/>
                          <w:sz w:val="18"/>
                          <w:szCs w:val="18"/>
                        </w:rPr>
                        <w:t xml:space="preserve"> y 202</w:t>
                      </w:r>
                      <w:r>
                        <w:rPr>
                          <w:rFonts w:ascii="Arial" w:hAnsi="Arial" w:cs="Arial"/>
                          <w:smallCaps w:val="0"/>
                          <w:sz w:val="18"/>
                          <w:szCs w:val="18"/>
                        </w:rPr>
                        <w:t>1</w:t>
                      </w:r>
                      <w:bookmarkEnd w:id="191"/>
                      <w:bookmarkEnd w:id="192"/>
                    </w:p>
                  </w:txbxContent>
                </v:textbox>
                <w10:wrap type="topAndBottom"/>
              </v:shape>
            </w:pict>
          </mc:Fallback>
        </mc:AlternateContent>
      </w:r>
      <w:r w:rsidR="00B8364E" w:rsidRPr="00D14767">
        <w:rPr>
          <w:rFonts w:ascii="Arial" w:eastAsia="Times New Roman" w:hAnsi="Arial" w:cs="Arial"/>
          <w:noProof/>
          <w:sz w:val="21"/>
          <w:szCs w:val="21"/>
          <w:lang w:eastAsia="es-ES"/>
        </w:rPr>
        <w:drawing>
          <wp:anchor distT="0" distB="0" distL="114300" distR="114300" simplePos="0" relativeHeight="252026880" behindDoc="0" locked="0" layoutInCell="1" allowOverlap="1" wp14:anchorId="72E5D3F5" wp14:editId="76015FA0">
            <wp:simplePos x="0" y="0"/>
            <wp:positionH relativeFrom="margin">
              <wp:align>center</wp:align>
            </wp:positionH>
            <wp:positionV relativeFrom="paragraph">
              <wp:posOffset>393065</wp:posOffset>
            </wp:positionV>
            <wp:extent cx="3829050" cy="2715761"/>
            <wp:effectExtent l="0" t="0" r="0" b="8890"/>
            <wp:wrapTopAndBottom/>
            <wp:docPr id="83" name="Imagen 83"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83" descr="Gráfico, Gráfico de barras&#10;&#10;Descripción generada automáticamente"/>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3829050" cy="2715761"/>
                    </a:xfrm>
                    <a:prstGeom prst="rect">
                      <a:avLst/>
                    </a:prstGeom>
                    <a:noFill/>
                  </pic:spPr>
                </pic:pic>
              </a:graphicData>
            </a:graphic>
          </wp:anchor>
        </w:drawing>
      </w:r>
      <w:r w:rsidR="00B8364E" w:rsidRPr="00D14767">
        <w:rPr>
          <w:rFonts w:ascii="Arial" w:eastAsia="Times New Roman" w:hAnsi="Arial" w:cs="Arial"/>
          <w:noProof/>
          <w:sz w:val="21"/>
          <w:szCs w:val="21"/>
          <w:lang w:eastAsia="es-ES"/>
        </w:rPr>
        <w:drawing>
          <wp:anchor distT="0" distB="0" distL="114300" distR="114300" simplePos="0" relativeHeight="252027904" behindDoc="0" locked="0" layoutInCell="1" allowOverlap="1" wp14:anchorId="2DBE869F" wp14:editId="1765EA99">
            <wp:simplePos x="0" y="0"/>
            <wp:positionH relativeFrom="margin">
              <wp:align>center</wp:align>
            </wp:positionH>
            <wp:positionV relativeFrom="paragraph">
              <wp:posOffset>3181985</wp:posOffset>
            </wp:positionV>
            <wp:extent cx="3805555" cy="2699385"/>
            <wp:effectExtent l="0" t="0" r="4445" b="5715"/>
            <wp:wrapTopAndBottom/>
            <wp:docPr id="84" name="Imagen 84"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descr="Gráfico&#10;&#10;Descripción generada automáticamente"/>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3805555" cy="2699385"/>
                    </a:xfrm>
                    <a:prstGeom prst="rect">
                      <a:avLst/>
                    </a:prstGeom>
                    <a:noFill/>
                  </pic:spPr>
                </pic:pic>
              </a:graphicData>
            </a:graphic>
          </wp:anchor>
        </w:drawing>
      </w:r>
      <w:r w:rsidR="00B8364E" w:rsidRPr="00D14767">
        <w:rPr>
          <w:rFonts w:ascii="Arial" w:eastAsia="Times New Roman" w:hAnsi="Arial" w:cs="Arial"/>
          <w:bCs/>
          <w:sz w:val="21"/>
          <w:szCs w:val="21"/>
          <w:lang w:eastAsia="es-ES"/>
        </w:rPr>
        <w:t>Por último, durante 2021 se ha dado traslado de 3 expedientes a órganos judiciales.</w:t>
      </w:r>
    </w:p>
    <w:p w14:paraId="25970EBA" w14:textId="77777777" w:rsidR="008A46E8" w:rsidRPr="008A46E8" w:rsidRDefault="008A46E8" w:rsidP="00AC1A12">
      <w:pPr>
        <w:pStyle w:val="Prrafodelista"/>
        <w:keepNext/>
        <w:numPr>
          <w:ilvl w:val="1"/>
          <w:numId w:val="17"/>
        </w:numPr>
        <w:spacing w:before="360" w:after="240" w:line="276" w:lineRule="auto"/>
        <w:ind w:left="851" w:hanging="851"/>
        <w:jc w:val="both"/>
        <w:outlineLvl w:val="1"/>
        <w:rPr>
          <w:rFonts w:ascii="Arial" w:eastAsia="Times New Roman" w:hAnsi="Arial" w:cs="Arial"/>
          <w:b/>
          <w:color w:val="9D2235" w:themeColor="accent1"/>
          <w:sz w:val="32"/>
          <w:szCs w:val="32"/>
        </w:rPr>
      </w:pPr>
      <w:bookmarkStart w:id="182" w:name="_Toc95209049"/>
      <w:bookmarkStart w:id="183" w:name="_Toc99107017"/>
      <w:r w:rsidRPr="008A46E8">
        <w:rPr>
          <w:rFonts w:ascii="Arial" w:eastAsia="Times New Roman" w:hAnsi="Arial" w:cs="Arial"/>
          <w:b/>
          <w:color w:val="9D2235" w:themeColor="accent1"/>
          <w:sz w:val="32"/>
          <w:szCs w:val="32"/>
        </w:rPr>
        <w:t>Resumen de las investigaciones finalizadas en 2021</w:t>
      </w:r>
      <w:bookmarkEnd w:id="182"/>
      <w:bookmarkEnd w:id="183"/>
    </w:p>
    <w:p w14:paraId="2D5EE4D6" w14:textId="77777777" w:rsidR="001653F9" w:rsidRDefault="001653F9" w:rsidP="00B84F89">
      <w:pPr>
        <w:spacing w:after="240" w:line="276" w:lineRule="auto"/>
        <w:jc w:val="both"/>
        <w:rPr>
          <w:rFonts w:ascii="Arial" w:eastAsia="Times New Roman" w:hAnsi="Arial"/>
          <w:color w:val="000000"/>
          <w:sz w:val="21"/>
          <w:szCs w:val="21"/>
          <w:lang w:eastAsia="es-ES"/>
        </w:rPr>
      </w:pPr>
      <w:r w:rsidRPr="006F66EF">
        <w:rPr>
          <w:rFonts w:ascii="Arial" w:eastAsia="Times New Roman" w:hAnsi="Arial"/>
          <w:color w:val="000000"/>
          <w:sz w:val="21"/>
          <w:szCs w:val="21"/>
          <w:lang w:eastAsia="es-ES"/>
        </w:rPr>
        <w:t xml:space="preserve">A continuación, se hace una breve reseña del objeto y finalidad de las actuaciones de investigación realizadas durante la anualidad 2021, en total se han dictado 75 resoluciones finales de investigación, que han finalizado un total de </w:t>
      </w:r>
      <w:r>
        <w:rPr>
          <w:rFonts w:ascii="Arial" w:eastAsia="Times New Roman" w:hAnsi="Arial"/>
          <w:color w:val="000000"/>
          <w:sz w:val="21"/>
          <w:szCs w:val="21"/>
          <w:lang w:eastAsia="es-ES"/>
        </w:rPr>
        <w:t>85</w:t>
      </w:r>
      <w:r w:rsidRPr="006F66EF">
        <w:rPr>
          <w:rFonts w:ascii="Arial" w:eastAsia="Times New Roman" w:hAnsi="Arial"/>
          <w:color w:val="000000"/>
          <w:sz w:val="21"/>
          <w:szCs w:val="21"/>
          <w:lang w:eastAsia="es-ES"/>
        </w:rPr>
        <w:t xml:space="preserve"> expedientes, al existir expedientes acumulados en una misma investigación. Del total de las 75 investigaciones finalizadas en el año 2021</w:t>
      </w:r>
      <w:r>
        <w:rPr>
          <w:rFonts w:ascii="Arial" w:eastAsia="Times New Roman" w:hAnsi="Arial"/>
          <w:color w:val="000000"/>
          <w:sz w:val="21"/>
          <w:szCs w:val="21"/>
          <w:lang w:eastAsia="es-ES"/>
        </w:rPr>
        <w:t>,</w:t>
      </w:r>
      <w:r w:rsidRPr="006F66EF">
        <w:rPr>
          <w:rFonts w:ascii="Arial" w:eastAsia="Times New Roman" w:hAnsi="Arial"/>
          <w:color w:val="000000"/>
          <w:sz w:val="21"/>
          <w:szCs w:val="21"/>
          <w:lang w:eastAsia="es-ES"/>
        </w:rPr>
        <w:t xml:space="preserve"> se da información de 72</w:t>
      </w:r>
      <w:r>
        <w:rPr>
          <w:rFonts w:ascii="Arial" w:eastAsia="Times New Roman" w:hAnsi="Arial"/>
          <w:color w:val="000000"/>
          <w:sz w:val="21"/>
          <w:szCs w:val="21"/>
          <w:lang w:eastAsia="es-ES"/>
        </w:rPr>
        <w:t>,</w:t>
      </w:r>
      <w:r w:rsidRPr="006F66EF">
        <w:rPr>
          <w:rFonts w:ascii="Arial" w:eastAsia="Times New Roman" w:hAnsi="Arial"/>
          <w:color w:val="000000"/>
          <w:sz w:val="21"/>
          <w:szCs w:val="21"/>
          <w:lang w:eastAsia="es-ES"/>
        </w:rPr>
        <w:t xml:space="preserve"> dado que 3 de ellas han sido derivadas al Ministerio Fiscal</w:t>
      </w:r>
      <w:r>
        <w:rPr>
          <w:rFonts w:ascii="Arial" w:eastAsia="Times New Roman" w:hAnsi="Arial"/>
          <w:color w:val="000000"/>
          <w:sz w:val="21"/>
          <w:szCs w:val="21"/>
          <w:lang w:eastAsia="es-ES"/>
        </w:rPr>
        <w:t>.</w:t>
      </w:r>
    </w:p>
    <w:p w14:paraId="2C7DB398" w14:textId="77777777" w:rsidR="001653F9" w:rsidRPr="006F66EF" w:rsidRDefault="001653F9" w:rsidP="00B84F89">
      <w:pPr>
        <w:spacing w:after="240" w:line="276" w:lineRule="auto"/>
        <w:jc w:val="both"/>
        <w:rPr>
          <w:rFonts w:ascii="Arial" w:eastAsia="Times New Roman" w:hAnsi="Arial"/>
          <w:color w:val="000000"/>
          <w:sz w:val="21"/>
          <w:szCs w:val="21"/>
          <w:lang w:eastAsia="es-ES"/>
        </w:rPr>
      </w:pPr>
      <w:r w:rsidRPr="006F66EF">
        <w:rPr>
          <w:rFonts w:ascii="Arial" w:eastAsia="Times New Roman" w:hAnsi="Arial"/>
          <w:color w:val="000000"/>
          <w:sz w:val="21"/>
          <w:szCs w:val="21"/>
          <w:lang w:eastAsia="es-ES"/>
        </w:rPr>
        <w:t>No se incorporan datos o informaciones que faciliten la identificación de personas físicas concretas, ni tampoco se indica de manera individualizada el resultado de la investigación</w:t>
      </w:r>
      <w:r>
        <w:rPr>
          <w:rFonts w:ascii="Arial" w:eastAsia="Times New Roman" w:hAnsi="Arial"/>
          <w:color w:val="000000"/>
          <w:sz w:val="21"/>
          <w:szCs w:val="21"/>
          <w:lang w:eastAsia="es-ES"/>
        </w:rPr>
        <w:t>,</w:t>
      </w:r>
      <w:r w:rsidRPr="006F66EF">
        <w:rPr>
          <w:rFonts w:ascii="Arial" w:eastAsia="Times New Roman" w:hAnsi="Arial"/>
          <w:color w:val="000000"/>
          <w:sz w:val="21"/>
          <w:szCs w:val="21"/>
          <w:lang w:eastAsia="es-ES"/>
        </w:rPr>
        <w:t xml:space="preserve"> que pudieran ocasionar posibles perjuicios a personas implicadas</w:t>
      </w:r>
      <w:r>
        <w:rPr>
          <w:rFonts w:ascii="Arial" w:eastAsia="Times New Roman" w:hAnsi="Arial"/>
          <w:color w:val="000000"/>
          <w:sz w:val="21"/>
          <w:szCs w:val="21"/>
          <w:lang w:eastAsia="es-ES"/>
        </w:rPr>
        <w:t>,</w:t>
      </w:r>
      <w:r w:rsidRPr="006F66EF">
        <w:rPr>
          <w:rFonts w:ascii="Arial" w:eastAsia="Times New Roman" w:hAnsi="Arial"/>
          <w:color w:val="000000"/>
          <w:sz w:val="21"/>
          <w:szCs w:val="21"/>
          <w:lang w:eastAsia="es-ES"/>
        </w:rPr>
        <w:t xml:space="preserve"> y para salvaguardar los eventuales procedimientos administrativos y judiciales que se pudieran iniciar como consecuencia de estas actuaciones.</w:t>
      </w:r>
    </w:p>
    <w:p w14:paraId="6D5F9D7E" w14:textId="77777777" w:rsidR="001653F9" w:rsidRPr="006F66EF" w:rsidRDefault="001653F9" w:rsidP="00B84F89">
      <w:pPr>
        <w:spacing w:after="240" w:line="276" w:lineRule="auto"/>
        <w:jc w:val="both"/>
        <w:rPr>
          <w:rStyle w:val="Hipervnculo"/>
          <w:rFonts w:ascii="Arial" w:eastAsia="Times New Roman" w:hAnsi="Arial"/>
          <w:sz w:val="21"/>
          <w:szCs w:val="21"/>
          <w:lang w:eastAsia="es-ES"/>
        </w:rPr>
      </w:pPr>
      <w:r w:rsidRPr="006F66EF">
        <w:rPr>
          <w:rFonts w:ascii="Arial" w:eastAsia="Times New Roman" w:hAnsi="Arial"/>
          <w:color w:val="000000"/>
          <w:sz w:val="21"/>
          <w:szCs w:val="21"/>
          <w:lang w:eastAsia="es-ES"/>
        </w:rPr>
        <w:t>Las actuaciones que se relacionan</w:t>
      </w:r>
      <w:r>
        <w:rPr>
          <w:rFonts w:ascii="Arial" w:eastAsia="Times New Roman" w:hAnsi="Arial"/>
          <w:color w:val="000000"/>
          <w:sz w:val="21"/>
          <w:szCs w:val="21"/>
          <w:lang w:eastAsia="es-ES"/>
        </w:rPr>
        <w:t>,</w:t>
      </w:r>
      <w:r w:rsidRPr="006F66EF">
        <w:rPr>
          <w:rFonts w:ascii="Arial" w:eastAsia="Times New Roman" w:hAnsi="Arial"/>
          <w:color w:val="000000"/>
          <w:sz w:val="21"/>
          <w:szCs w:val="21"/>
          <w:lang w:eastAsia="es-ES"/>
        </w:rPr>
        <w:t xml:space="preserve"> a continuación</w:t>
      </w:r>
      <w:r>
        <w:rPr>
          <w:rFonts w:ascii="Arial" w:eastAsia="Times New Roman" w:hAnsi="Arial"/>
          <w:color w:val="000000"/>
          <w:sz w:val="21"/>
          <w:szCs w:val="21"/>
          <w:lang w:eastAsia="es-ES"/>
        </w:rPr>
        <w:t>,</w:t>
      </w:r>
      <w:r w:rsidRPr="006F66EF">
        <w:rPr>
          <w:rFonts w:ascii="Arial" w:eastAsia="Times New Roman" w:hAnsi="Arial"/>
          <w:color w:val="000000"/>
          <w:sz w:val="21"/>
          <w:szCs w:val="21"/>
          <w:lang w:eastAsia="es-ES"/>
        </w:rPr>
        <w:t xml:space="preserve"> han finalizado mediante la emisión de informe final de investigación razonado y con su correspondiente resolución final. Como se ha indicado en la presentación de este apartado</w:t>
      </w:r>
      <w:r>
        <w:rPr>
          <w:rFonts w:ascii="Arial" w:eastAsia="Times New Roman" w:hAnsi="Arial"/>
          <w:color w:val="000000"/>
          <w:sz w:val="21"/>
          <w:szCs w:val="21"/>
          <w:lang w:eastAsia="es-ES"/>
        </w:rPr>
        <w:t>,</w:t>
      </w:r>
      <w:r w:rsidRPr="006F66EF">
        <w:rPr>
          <w:rFonts w:ascii="Arial" w:eastAsia="Times New Roman" w:hAnsi="Arial"/>
          <w:color w:val="000000"/>
          <w:sz w:val="21"/>
          <w:szCs w:val="21"/>
          <w:lang w:eastAsia="es-ES"/>
        </w:rPr>
        <w:t xml:space="preserve"> desde el año 2020 se publican en el portal de transparencia de la Agencia</w:t>
      </w:r>
      <w:r>
        <w:rPr>
          <w:rFonts w:ascii="Arial" w:eastAsia="Times New Roman" w:hAnsi="Arial"/>
          <w:color w:val="000000"/>
          <w:sz w:val="21"/>
          <w:szCs w:val="21"/>
          <w:lang w:eastAsia="es-ES"/>
        </w:rPr>
        <w:t xml:space="preserve"> </w:t>
      </w:r>
      <w:r w:rsidRPr="006F66EF">
        <w:rPr>
          <w:rFonts w:ascii="Arial" w:eastAsia="Times New Roman" w:hAnsi="Arial"/>
          <w:color w:val="000000"/>
          <w:sz w:val="21"/>
          <w:szCs w:val="21"/>
          <w:lang w:eastAsia="es-ES"/>
        </w:rPr>
        <w:t>todas</w:t>
      </w:r>
      <w:r>
        <w:rPr>
          <w:rFonts w:ascii="Arial" w:eastAsia="Times New Roman" w:hAnsi="Arial"/>
          <w:color w:val="000000"/>
          <w:sz w:val="21"/>
          <w:szCs w:val="21"/>
          <w:lang w:eastAsia="es-ES"/>
        </w:rPr>
        <w:t xml:space="preserve"> </w:t>
      </w:r>
      <w:r w:rsidRPr="006F66EF">
        <w:rPr>
          <w:rFonts w:ascii="Arial" w:eastAsia="Times New Roman" w:hAnsi="Arial"/>
          <w:color w:val="000000"/>
          <w:sz w:val="21"/>
          <w:szCs w:val="21"/>
          <w:lang w:eastAsia="es-ES"/>
        </w:rPr>
        <w:t xml:space="preserve">las resoluciones finales de investigación dictadas desde el inicio del funcionamiento, estando actualmente publicadas las correspondientes a los años 2018, 2019, 2020 y 2021, </w:t>
      </w:r>
      <w:hyperlink r:id="rId412" w:anchor="resolucions-finals-dinvestigacio" w:history="1">
        <w:r w:rsidRPr="006F66EF">
          <w:rPr>
            <w:rStyle w:val="Hipervnculo"/>
            <w:rFonts w:ascii="Arial" w:eastAsia="Times New Roman" w:hAnsi="Arial"/>
            <w:sz w:val="21"/>
            <w:szCs w:val="21"/>
            <w:lang w:eastAsia="es-ES"/>
          </w:rPr>
          <w:t>https://www.antifraucv.es/portal-de-transparencia/informacio-de-rellevancia-juridica/#resolucions-finals-dinvestigacio</w:t>
        </w:r>
      </w:hyperlink>
    </w:p>
    <w:p w14:paraId="133BAA2D" w14:textId="0829CB5C" w:rsidR="008A46E8" w:rsidRDefault="001653F9" w:rsidP="00B84F89">
      <w:pPr>
        <w:spacing w:after="240" w:line="276" w:lineRule="auto"/>
        <w:jc w:val="both"/>
        <w:rPr>
          <w:rFonts w:ascii="Arial" w:eastAsia="Times New Roman" w:hAnsi="Arial"/>
          <w:color w:val="000000"/>
          <w:sz w:val="21"/>
          <w:szCs w:val="21"/>
          <w:lang w:eastAsia="es-ES"/>
        </w:rPr>
      </w:pPr>
      <w:r w:rsidRPr="006E4065">
        <w:rPr>
          <w:rFonts w:ascii="Arial" w:eastAsia="Times New Roman" w:hAnsi="Arial"/>
          <w:color w:val="000000"/>
          <w:sz w:val="21"/>
          <w:szCs w:val="21"/>
          <w:lang w:eastAsia="es-ES"/>
        </w:rPr>
        <w:t>Como novedad, al final del detalle de las 72 investigaciones, se presenta cuadro resumen de las mismas</w:t>
      </w:r>
      <w:r>
        <w:rPr>
          <w:rFonts w:ascii="Arial" w:eastAsia="Times New Roman" w:hAnsi="Arial"/>
          <w:color w:val="000000"/>
          <w:sz w:val="21"/>
          <w:szCs w:val="21"/>
          <w:lang w:eastAsia="es-ES"/>
        </w:rPr>
        <w:t>,</w:t>
      </w:r>
      <w:r w:rsidRPr="006E4065">
        <w:rPr>
          <w:rFonts w:ascii="Arial" w:eastAsia="Times New Roman" w:hAnsi="Arial"/>
          <w:color w:val="000000"/>
          <w:sz w:val="21"/>
          <w:szCs w:val="21"/>
          <w:lang w:eastAsia="es-ES"/>
        </w:rPr>
        <w:t xml:space="preserve"> con el importe susceptible de recuperación cuantificado por esta Agencia en las investigaciones que procede, así como el importe que finalmente ha sido recuperado, en su caso, por la administración afectada; si bien</w:t>
      </w:r>
      <w:r>
        <w:rPr>
          <w:rFonts w:ascii="Arial" w:eastAsia="Times New Roman" w:hAnsi="Arial"/>
          <w:color w:val="000000"/>
          <w:sz w:val="21"/>
          <w:szCs w:val="21"/>
          <w:lang w:eastAsia="es-ES"/>
        </w:rPr>
        <w:t>,</w:t>
      </w:r>
      <w:r w:rsidRPr="006E4065">
        <w:rPr>
          <w:rFonts w:ascii="Arial" w:eastAsia="Times New Roman" w:hAnsi="Arial"/>
          <w:color w:val="000000"/>
          <w:sz w:val="21"/>
          <w:szCs w:val="21"/>
          <w:lang w:eastAsia="es-ES"/>
        </w:rPr>
        <w:t xml:space="preserve"> la cuantificación de los importes recuperables estimados en las tres investigaciones derivadas al Ministerio Fiscal, se incluyen en el importe total del cuadro resumen de investigaciones finalizadas en 2021.</w:t>
      </w:r>
    </w:p>
    <w:p w14:paraId="7146BF7F" w14:textId="77777777" w:rsidR="008A46E8" w:rsidRPr="008A46E8" w:rsidRDefault="008A46E8" w:rsidP="00AC1A12">
      <w:pPr>
        <w:pStyle w:val="Prrafodelista"/>
        <w:keepNext/>
        <w:numPr>
          <w:ilvl w:val="2"/>
          <w:numId w:val="17"/>
        </w:numPr>
        <w:tabs>
          <w:tab w:val="clear" w:pos="794"/>
          <w:tab w:val="num" w:pos="851"/>
        </w:tabs>
        <w:spacing w:before="360" w:after="240" w:line="276" w:lineRule="auto"/>
        <w:ind w:left="851" w:hanging="930"/>
        <w:jc w:val="both"/>
        <w:outlineLvl w:val="2"/>
        <w:rPr>
          <w:rFonts w:ascii="Arial" w:eastAsia="Times New Roman" w:hAnsi="Arial" w:cs="Arial"/>
          <w:b/>
          <w:bCs/>
          <w:color w:val="9D2235" w:themeColor="accent1"/>
          <w:sz w:val="28"/>
          <w:szCs w:val="28"/>
          <w:lang w:eastAsia="es-ES"/>
        </w:rPr>
      </w:pPr>
      <w:bookmarkStart w:id="184" w:name="_Toc95209050"/>
      <w:bookmarkStart w:id="185" w:name="_Toc99107018"/>
      <w:r w:rsidRPr="008A46E8">
        <w:rPr>
          <w:rFonts w:ascii="Arial" w:eastAsia="Times New Roman" w:hAnsi="Arial" w:cs="Arial"/>
          <w:b/>
          <w:bCs/>
          <w:color w:val="9D2235" w:themeColor="accent1"/>
          <w:sz w:val="28"/>
          <w:szCs w:val="28"/>
          <w:lang w:eastAsia="es-ES"/>
        </w:rPr>
        <w:t>Denominación: Ayuntamiento de València. Contratación de obras de la cubierta del teatro “El Musical”</w:t>
      </w:r>
      <w:bookmarkEnd w:id="184"/>
      <w:bookmarkEnd w:id="185"/>
    </w:p>
    <w:p w14:paraId="62163A25" w14:textId="77777777" w:rsidR="001653F9" w:rsidRDefault="001653F9" w:rsidP="00B52369">
      <w:pPr>
        <w:spacing w:after="240" w:line="276" w:lineRule="auto"/>
        <w:jc w:val="both"/>
        <w:rPr>
          <w:rFonts w:ascii="Arial" w:eastAsia="Times New Roman" w:hAnsi="Arial" w:cs="Arial"/>
          <w:bCs/>
          <w:sz w:val="21"/>
          <w:szCs w:val="21"/>
        </w:rPr>
      </w:pPr>
      <w:r w:rsidRPr="008A46E8">
        <w:rPr>
          <w:rFonts w:ascii="Arial" w:eastAsia="Times New Roman" w:hAnsi="Arial" w:cs="Arial"/>
          <w:b/>
          <w:bCs/>
          <w:sz w:val="21"/>
          <w:szCs w:val="21"/>
        </w:rPr>
        <w:t>Expediente</w:t>
      </w:r>
      <w:r w:rsidRPr="008A46E8">
        <w:rPr>
          <w:rFonts w:ascii="Arial" w:eastAsia="Times New Roman" w:hAnsi="Arial" w:cs="Arial"/>
          <w:bCs/>
          <w:sz w:val="21"/>
          <w:szCs w:val="21"/>
        </w:rPr>
        <w:t>: 2020/G01_01/000276 [131/2018]</w:t>
      </w:r>
    </w:p>
    <w:p w14:paraId="09C18884" w14:textId="77777777" w:rsidR="001653F9" w:rsidRPr="002B774D" w:rsidRDefault="001653F9" w:rsidP="001653F9">
      <w:pPr>
        <w:spacing w:after="240" w:line="276" w:lineRule="auto"/>
        <w:rPr>
          <w:rFonts w:ascii="Arial" w:eastAsia="Times New Roman" w:hAnsi="Arial" w:cs="Arial"/>
          <w:bCs/>
          <w:sz w:val="18"/>
          <w:szCs w:val="18"/>
        </w:rPr>
      </w:pPr>
      <w:r w:rsidRPr="00CC3015">
        <w:rPr>
          <w:rFonts w:ascii="Arial" w:eastAsia="Times New Roman" w:hAnsi="Arial" w:cs="Arial"/>
          <w:b/>
          <w:bCs/>
          <w:sz w:val="21"/>
          <w:szCs w:val="21"/>
        </w:rPr>
        <w:t>Enlace a la publicación:</w:t>
      </w:r>
      <w:r w:rsidRPr="00CC3015">
        <w:rPr>
          <w:rFonts w:ascii="Arial" w:eastAsia="Times New Roman" w:hAnsi="Arial" w:cs="Arial"/>
          <w:b/>
          <w:bCs/>
          <w:sz w:val="21"/>
          <w:szCs w:val="21"/>
        </w:rPr>
        <w:br/>
      </w:r>
      <w:hyperlink r:id="rId413" w:history="1">
        <w:r w:rsidRPr="00F15B79">
          <w:rPr>
            <w:rStyle w:val="Hipervnculo"/>
            <w:rFonts w:ascii="Arial" w:eastAsia="Times New Roman" w:hAnsi="Arial" w:cs="Arial"/>
            <w:bCs/>
            <w:sz w:val="18"/>
            <w:szCs w:val="18"/>
          </w:rPr>
          <w:t>http://www.antifraucv.es/wp-content/uploads/2021/03/20210121_AYUNTAMIENTO_DE_VALENCIA.pdf</w:t>
        </w:r>
      </w:hyperlink>
    </w:p>
    <w:p w14:paraId="609EF915" w14:textId="77777777" w:rsidR="001653F9" w:rsidRPr="008A46E8" w:rsidRDefault="001653F9" w:rsidP="001653F9">
      <w:pPr>
        <w:spacing w:after="240" w:line="276" w:lineRule="auto"/>
        <w:jc w:val="both"/>
        <w:rPr>
          <w:rFonts w:ascii="Arial" w:eastAsia="Times New Roman" w:hAnsi="Arial" w:cs="Arial"/>
          <w:bCs/>
          <w:sz w:val="21"/>
          <w:szCs w:val="21"/>
        </w:rPr>
      </w:pPr>
      <w:r w:rsidRPr="008A46E8">
        <w:rPr>
          <w:rFonts w:ascii="Arial" w:eastAsia="Times New Roman" w:hAnsi="Arial" w:cs="Arial"/>
          <w:b/>
          <w:bCs/>
          <w:sz w:val="21"/>
          <w:szCs w:val="21"/>
        </w:rPr>
        <w:t>Descripción</w:t>
      </w:r>
      <w:r w:rsidRPr="008A46E8">
        <w:rPr>
          <w:rFonts w:ascii="Arial" w:eastAsia="Times New Roman" w:hAnsi="Arial" w:cs="Arial"/>
          <w:bCs/>
          <w:sz w:val="21"/>
          <w:szCs w:val="21"/>
        </w:rPr>
        <w:t>: Se denuncia que el Ayuntamiento de València, en concreto el servicio de Acción Cultural, ha decidido paralizar las obras de reparación de la cubierta del Teatro El Musical (TEM) tras el recurso de reposición presentado por un grupo municipal, que ha denunciado la adjudicación directa de dos contratos para esta actuación a un mismo proveedor y el posible fraccionamiento del objeto e importe del contrato.</w:t>
      </w:r>
    </w:p>
    <w:p w14:paraId="4DC67F42" w14:textId="77777777" w:rsidR="001653F9" w:rsidRPr="008A46E8" w:rsidRDefault="001653F9" w:rsidP="000C6DA4">
      <w:pPr>
        <w:spacing w:after="240" w:line="276" w:lineRule="auto"/>
        <w:jc w:val="both"/>
        <w:rPr>
          <w:rFonts w:ascii="Arial" w:eastAsia="Times New Roman" w:hAnsi="Arial" w:cs="Arial"/>
          <w:bCs/>
          <w:sz w:val="21"/>
          <w:szCs w:val="21"/>
        </w:rPr>
      </w:pPr>
      <w:r w:rsidRPr="008A46E8">
        <w:rPr>
          <w:rFonts w:ascii="Arial" w:eastAsia="Times New Roman" w:hAnsi="Arial" w:cs="Arial"/>
          <w:bCs/>
          <w:sz w:val="21"/>
          <w:szCs w:val="21"/>
        </w:rPr>
        <w:t>Tras el estudio en detalle de la totalidad de la documentación y, tras las alegaciones presentadas, se concluye:</w:t>
      </w:r>
    </w:p>
    <w:p w14:paraId="530CDEA4" w14:textId="77777777" w:rsidR="001653F9" w:rsidRPr="008A46E8" w:rsidRDefault="001653F9" w:rsidP="000C6DA4">
      <w:pPr>
        <w:numPr>
          <w:ilvl w:val="0"/>
          <w:numId w:val="33"/>
        </w:numPr>
        <w:spacing w:after="120" w:line="276" w:lineRule="auto"/>
        <w:ind w:left="714" w:hanging="357"/>
        <w:jc w:val="both"/>
        <w:rPr>
          <w:rFonts w:ascii="Arial" w:eastAsia="Times New Roman" w:hAnsi="Arial" w:cs="Arial"/>
          <w:bCs/>
          <w:sz w:val="21"/>
          <w:szCs w:val="21"/>
        </w:rPr>
      </w:pPr>
      <w:r w:rsidRPr="008A46E8">
        <w:rPr>
          <w:rFonts w:ascii="Arial" w:eastAsia="Times New Roman" w:hAnsi="Arial" w:cs="Arial"/>
          <w:bCs/>
          <w:sz w:val="21"/>
          <w:szCs w:val="21"/>
        </w:rPr>
        <w:t>Existencia de contactos previos al inicio de los expedientes de contratación con las personas que resultarían posteriormente adjudicatarias de los contratos.</w:t>
      </w:r>
    </w:p>
    <w:p w14:paraId="2FC62759" w14:textId="77777777" w:rsidR="001653F9" w:rsidRPr="008A46E8" w:rsidRDefault="001653F9" w:rsidP="000C6DA4">
      <w:pPr>
        <w:numPr>
          <w:ilvl w:val="0"/>
          <w:numId w:val="33"/>
        </w:numPr>
        <w:spacing w:after="120" w:line="276" w:lineRule="auto"/>
        <w:ind w:left="714" w:hanging="357"/>
        <w:jc w:val="both"/>
        <w:rPr>
          <w:rFonts w:ascii="Arial" w:eastAsia="Times New Roman" w:hAnsi="Arial" w:cs="Arial"/>
          <w:bCs/>
          <w:sz w:val="21"/>
          <w:szCs w:val="21"/>
        </w:rPr>
      </w:pPr>
      <w:r w:rsidRPr="008A46E8">
        <w:rPr>
          <w:rFonts w:ascii="Arial" w:eastAsia="Times New Roman" w:hAnsi="Arial" w:cs="Arial"/>
          <w:bCs/>
          <w:sz w:val="21"/>
          <w:szCs w:val="21"/>
        </w:rPr>
        <w:t>Deficiente elaboración y definición de la documentación preparatoria técnica y jurídica de los contratos.</w:t>
      </w:r>
    </w:p>
    <w:p w14:paraId="5FE05F24" w14:textId="77777777" w:rsidR="001653F9" w:rsidRPr="008A46E8" w:rsidRDefault="001653F9" w:rsidP="000C6DA4">
      <w:pPr>
        <w:numPr>
          <w:ilvl w:val="0"/>
          <w:numId w:val="33"/>
        </w:numPr>
        <w:spacing w:after="120" w:line="276" w:lineRule="auto"/>
        <w:ind w:left="714" w:hanging="357"/>
        <w:jc w:val="both"/>
        <w:rPr>
          <w:rFonts w:ascii="Arial" w:eastAsia="Times New Roman" w:hAnsi="Arial" w:cs="Arial"/>
          <w:bCs/>
          <w:sz w:val="21"/>
          <w:szCs w:val="21"/>
        </w:rPr>
      </w:pPr>
      <w:r w:rsidRPr="008A46E8">
        <w:rPr>
          <w:rFonts w:ascii="Arial" w:eastAsia="Times New Roman" w:hAnsi="Arial" w:cs="Arial"/>
          <w:bCs/>
          <w:sz w:val="21"/>
          <w:szCs w:val="21"/>
        </w:rPr>
        <w:t>Insuficiente acreditación del principio de concurrencia de los procedimientos de licitación.</w:t>
      </w:r>
    </w:p>
    <w:p w14:paraId="3DAED1CD" w14:textId="77777777" w:rsidR="001653F9" w:rsidRPr="008A46E8" w:rsidRDefault="001653F9" w:rsidP="001653F9">
      <w:pPr>
        <w:numPr>
          <w:ilvl w:val="0"/>
          <w:numId w:val="33"/>
        </w:numPr>
        <w:spacing w:after="240" w:line="276" w:lineRule="auto"/>
        <w:jc w:val="both"/>
        <w:rPr>
          <w:rFonts w:ascii="Arial" w:eastAsia="Times New Roman" w:hAnsi="Arial" w:cs="Arial"/>
          <w:bCs/>
          <w:sz w:val="21"/>
          <w:szCs w:val="21"/>
        </w:rPr>
      </w:pPr>
      <w:r w:rsidRPr="008A46E8">
        <w:rPr>
          <w:rFonts w:ascii="Arial" w:eastAsia="Times New Roman" w:hAnsi="Arial" w:cs="Arial"/>
          <w:bCs/>
          <w:sz w:val="21"/>
          <w:szCs w:val="21"/>
        </w:rPr>
        <w:t>Irregularidades en relación con la ejecución de los contratos.</w:t>
      </w:r>
    </w:p>
    <w:p w14:paraId="76B38A9F" w14:textId="77777777" w:rsidR="001653F9" w:rsidRPr="008A46E8" w:rsidRDefault="001653F9" w:rsidP="000C6DA4">
      <w:pPr>
        <w:spacing w:after="240" w:line="276" w:lineRule="auto"/>
        <w:jc w:val="both"/>
        <w:rPr>
          <w:rFonts w:ascii="Arial" w:eastAsia="Times New Roman" w:hAnsi="Arial" w:cs="Arial"/>
          <w:bCs/>
          <w:sz w:val="21"/>
          <w:szCs w:val="21"/>
        </w:rPr>
      </w:pPr>
      <w:r w:rsidRPr="002B774D">
        <w:rPr>
          <w:rFonts w:ascii="Arial" w:eastAsia="Times New Roman" w:hAnsi="Arial" w:cs="Arial"/>
          <w:b/>
          <w:bCs/>
          <w:sz w:val="21"/>
          <w:szCs w:val="21"/>
        </w:rPr>
        <w:t>Resultado</w:t>
      </w:r>
      <w:r w:rsidRPr="008A46E8">
        <w:rPr>
          <w:rFonts w:ascii="Arial" w:eastAsia="Times New Roman" w:hAnsi="Arial" w:cs="Arial"/>
          <w:bCs/>
          <w:sz w:val="21"/>
          <w:szCs w:val="21"/>
        </w:rPr>
        <w:t>: Finaliza el expediente</w:t>
      </w:r>
      <w:r>
        <w:rPr>
          <w:rFonts w:ascii="Arial" w:eastAsia="Times New Roman" w:hAnsi="Arial" w:cs="Arial"/>
          <w:bCs/>
          <w:sz w:val="21"/>
          <w:szCs w:val="21"/>
        </w:rPr>
        <w:t>,</w:t>
      </w:r>
      <w:r w:rsidRPr="008A46E8">
        <w:rPr>
          <w:rFonts w:ascii="Arial" w:eastAsia="Times New Roman" w:hAnsi="Arial" w:cs="Arial"/>
          <w:bCs/>
          <w:sz w:val="21"/>
          <w:szCs w:val="21"/>
        </w:rPr>
        <w:t xml:space="preserve"> elevando la recomendación consistente en proceder a implementar las medidas que correspondan</w:t>
      </w:r>
      <w:r>
        <w:rPr>
          <w:rFonts w:ascii="Arial" w:eastAsia="Times New Roman" w:hAnsi="Arial" w:cs="Arial"/>
          <w:bCs/>
          <w:sz w:val="21"/>
          <w:szCs w:val="21"/>
        </w:rPr>
        <w:t>,</w:t>
      </w:r>
      <w:r w:rsidRPr="008A46E8">
        <w:rPr>
          <w:rFonts w:ascii="Arial" w:eastAsia="Times New Roman" w:hAnsi="Arial" w:cs="Arial"/>
          <w:bCs/>
          <w:sz w:val="21"/>
          <w:szCs w:val="21"/>
        </w:rPr>
        <w:t xml:space="preserve"> en orden a asegurar el cumplimiento del procedimiento administrativo en materia de contratación pública en su integridad</w:t>
      </w:r>
      <w:r>
        <w:rPr>
          <w:rFonts w:ascii="Arial" w:eastAsia="Times New Roman" w:hAnsi="Arial" w:cs="Arial"/>
          <w:bCs/>
          <w:sz w:val="21"/>
          <w:szCs w:val="21"/>
        </w:rPr>
        <w:t>,</w:t>
      </w:r>
      <w:r w:rsidRPr="008A46E8">
        <w:rPr>
          <w:rFonts w:ascii="Arial" w:eastAsia="Times New Roman" w:hAnsi="Arial" w:cs="Arial"/>
          <w:bCs/>
          <w:sz w:val="21"/>
          <w:szCs w:val="21"/>
        </w:rPr>
        <w:t xml:space="preserve"> para la contratación menor y el establecimiento de protocolos o trámites internos de gestión</w:t>
      </w:r>
      <w:r>
        <w:rPr>
          <w:rFonts w:ascii="Arial" w:eastAsia="Times New Roman" w:hAnsi="Arial" w:cs="Arial"/>
          <w:bCs/>
          <w:sz w:val="21"/>
          <w:szCs w:val="21"/>
        </w:rPr>
        <w:t>,</w:t>
      </w:r>
      <w:r w:rsidRPr="008A46E8">
        <w:rPr>
          <w:rFonts w:ascii="Arial" w:eastAsia="Times New Roman" w:hAnsi="Arial" w:cs="Arial"/>
          <w:bCs/>
          <w:sz w:val="21"/>
          <w:szCs w:val="21"/>
        </w:rPr>
        <w:t xml:space="preserve"> que permitan alcanzar el cumplimiento de los fines generales de la contratación pública; y en particular:</w:t>
      </w:r>
    </w:p>
    <w:p w14:paraId="60D9FE34" w14:textId="77777777" w:rsidR="001653F9" w:rsidRPr="008A46E8" w:rsidRDefault="001653F9" w:rsidP="000C6DA4">
      <w:pPr>
        <w:numPr>
          <w:ilvl w:val="0"/>
          <w:numId w:val="34"/>
        </w:numPr>
        <w:spacing w:after="120" w:line="276" w:lineRule="auto"/>
        <w:ind w:left="714" w:hanging="357"/>
        <w:jc w:val="both"/>
        <w:rPr>
          <w:rFonts w:ascii="Arial" w:eastAsia="Times New Roman" w:hAnsi="Arial" w:cs="Arial"/>
          <w:bCs/>
          <w:sz w:val="21"/>
          <w:szCs w:val="21"/>
        </w:rPr>
      </w:pPr>
      <w:r w:rsidRPr="008A46E8">
        <w:rPr>
          <w:rFonts w:ascii="Arial" w:eastAsia="Times New Roman" w:hAnsi="Arial" w:cs="Arial"/>
          <w:bCs/>
          <w:sz w:val="21"/>
          <w:szCs w:val="21"/>
        </w:rPr>
        <w:t>Permitan la tramitación completa del expediente administrativo en formato electrónico, para asegurar la integridad de los documentos electrónicos que formen parte del mismo y su inalterabilidad en cuanto a su fecha de firma y su autoría.</w:t>
      </w:r>
    </w:p>
    <w:p w14:paraId="25FA0841" w14:textId="77777777" w:rsidR="001653F9" w:rsidRPr="008A46E8" w:rsidRDefault="001653F9" w:rsidP="000C6DA4">
      <w:pPr>
        <w:numPr>
          <w:ilvl w:val="0"/>
          <w:numId w:val="34"/>
        </w:numPr>
        <w:spacing w:after="120" w:line="276" w:lineRule="auto"/>
        <w:ind w:left="714" w:hanging="357"/>
        <w:jc w:val="both"/>
        <w:rPr>
          <w:rFonts w:ascii="Arial" w:eastAsia="Times New Roman" w:hAnsi="Arial" w:cs="Arial"/>
          <w:bCs/>
          <w:sz w:val="21"/>
          <w:szCs w:val="21"/>
        </w:rPr>
      </w:pPr>
      <w:r w:rsidRPr="008A46E8">
        <w:rPr>
          <w:rFonts w:ascii="Arial" w:eastAsia="Times New Roman" w:hAnsi="Arial" w:cs="Arial"/>
          <w:bCs/>
          <w:sz w:val="21"/>
          <w:szCs w:val="21"/>
        </w:rPr>
        <w:t>Incorporen a los expedientes de contratación, incluido en el contrato menor, documentos justificativos de la capacidad y solvencia de los adjudicatarios finales.</w:t>
      </w:r>
    </w:p>
    <w:p w14:paraId="041B66A8" w14:textId="77777777" w:rsidR="001653F9" w:rsidRPr="008A46E8" w:rsidRDefault="001653F9" w:rsidP="000C6DA4">
      <w:pPr>
        <w:numPr>
          <w:ilvl w:val="0"/>
          <w:numId w:val="34"/>
        </w:numPr>
        <w:spacing w:after="120" w:line="276" w:lineRule="auto"/>
        <w:ind w:left="714" w:hanging="357"/>
        <w:jc w:val="both"/>
        <w:rPr>
          <w:rFonts w:ascii="Arial" w:eastAsia="Times New Roman" w:hAnsi="Arial" w:cs="Arial"/>
          <w:bCs/>
          <w:sz w:val="21"/>
          <w:szCs w:val="21"/>
        </w:rPr>
      </w:pPr>
      <w:r w:rsidRPr="008A46E8">
        <w:rPr>
          <w:rFonts w:ascii="Arial" w:eastAsia="Times New Roman" w:hAnsi="Arial" w:cs="Arial"/>
          <w:bCs/>
          <w:sz w:val="21"/>
          <w:szCs w:val="21"/>
        </w:rPr>
        <w:t>Incorporen a los expedientes de contratación, incluido en el contrato menor, documentos que permitan verificar y fiscalizar que los valores estimados de los contratos son ajustados a precios de mercado.</w:t>
      </w:r>
    </w:p>
    <w:p w14:paraId="2A3DE19F" w14:textId="77777777" w:rsidR="001653F9" w:rsidRPr="008A46E8" w:rsidRDefault="001653F9" w:rsidP="000C6DA4">
      <w:pPr>
        <w:numPr>
          <w:ilvl w:val="0"/>
          <w:numId w:val="34"/>
        </w:numPr>
        <w:spacing w:after="120" w:line="276" w:lineRule="auto"/>
        <w:ind w:left="714" w:hanging="357"/>
        <w:jc w:val="both"/>
        <w:rPr>
          <w:rFonts w:ascii="Arial" w:eastAsia="Times New Roman" w:hAnsi="Arial" w:cs="Arial"/>
          <w:bCs/>
          <w:sz w:val="21"/>
          <w:szCs w:val="21"/>
        </w:rPr>
      </w:pPr>
      <w:r w:rsidRPr="008A46E8">
        <w:rPr>
          <w:rFonts w:ascii="Arial" w:eastAsia="Times New Roman" w:hAnsi="Arial" w:cs="Arial"/>
          <w:bCs/>
          <w:sz w:val="21"/>
          <w:szCs w:val="21"/>
        </w:rPr>
        <w:t>Incorporen a los expedientes de contratación, incluido en el contrato menor, informes técnicos y/o jurídicos que justifiquen, suficiente y motivadamente, que no se incurre en un fraccionamiento del objeto del contrato.</w:t>
      </w:r>
    </w:p>
    <w:p w14:paraId="23055925" w14:textId="77777777" w:rsidR="001653F9" w:rsidRPr="008A46E8" w:rsidRDefault="001653F9" w:rsidP="001653F9">
      <w:pPr>
        <w:numPr>
          <w:ilvl w:val="0"/>
          <w:numId w:val="34"/>
        </w:numPr>
        <w:spacing w:after="240" w:line="276" w:lineRule="auto"/>
        <w:jc w:val="both"/>
        <w:rPr>
          <w:rFonts w:ascii="Arial" w:eastAsia="Times New Roman" w:hAnsi="Arial" w:cs="Arial"/>
          <w:bCs/>
          <w:sz w:val="21"/>
          <w:szCs w:val="21"/>
        </w:rPr>
      </w:pPr>
      <w:r w:rsidRPr="008A46E8">
        <w:rPr>
          <w:rFonts w:ascii="Arial" w:eastAsia="Times New Roman" w:hAnsi="Arial" w:cs="Arial"/>
          <w:bCs/>
          <w:sz w:val="21"/>
          <w:szCs w:val="21"/>
        </w:rPr>
        <w:t>Acreditar la titularidad municipal de los proyectos técnicos en general, y en particular de los proyectos técnicos de obras, incluidos los proyectos simplificados conforme a la normativa, debiendo constar la elaboración, aprobación y supervisión de los mismos, para garantizar el contenido de los proyectos y responsabilidad derivada de su elaboración.</w:t>
      </w:r>
    </w:p>
    <w:p w14:paraId="12B4A34E" w14:textId="495CA467" w:rsidR="001653F9" w:rsidRPr="008A46E8" w:rsidRDefault="001653F9" w:rsidP="001653F9">
      <w:pPr>
        <w:spacing w:after="240" w:line="276" w:lineRule="auto"/>
        <w:jc w:val="both"/>
        <w:rPr>
          <w:rFonts w:ascii="Arial" w:eastAsia="Times New Roman" w:hAnsi="Arial" w:cs="Arial"/>
          <w:bCs/>
          <w:sz w:val="21"/>
          <w:szCs w:val="21"/>
        </w:rPr>
      </w:pPr>
      <w:r w:rsidRPr="008A46E8">
        <w:rPr>
          <w:rFonts w:ascii="Arial" w:eastAsia="Times New Roman" w:hAnsi="Arial" w:cs="Arial"/>
          <w:b/>
          <w:bCs/>
          <w:sz w:val="21"/>
          <w:szCs w:val="21"/>
        </w:rPr>
        <w:t xml:space="preserve">Fase de Seguimiento: </w:t>
      </w:r>
      <w:r w:rsidRPr="008A46E8">
        <w:rPr>
          <w:rFonts w:ascii="Arial" w:eastAsia="Times New Roman" w:hAnsi="Arial" w:cs="Arial"/>
          <w:bCs/>
          <w:sz w:val="21"/>
          <w:szCs w:val="21"/>
        </w:rPr>
        <w:t>Finalizada la fase de seguimiento por aceptación de las recomendaciones.</w:t>
      </w:r>
    </w:p>
    <w:p w14:paraId="20D70709" w14:textId="77777777" w:rsidR="00C4339B" w:rsidRPr="00C4339B" w:rsidRDefault="00C4339B" w:rsidP="00AC1A12">
      <w:pPr>
        <w:pStyle w:val="Prrafodelista"/>
        <w:keepNext/>
        <w:numPr>
          <w:ilvl w:val="2"/>
          <w:numId w:val="17"/>
        </w:numPr>
        <w:tabs>
          <w:tab w:val="clear" w:pos="794"/>
          <w:tab w:val="num" w:pos="851"/>
        </w:tabs>
        <w:spacing w:before="360" w:after="240" w:line="276" w:lineRule="auto"/>
        <w:ind w:left="851" w:hanging="930"/>
        <w:jc w:val="both"/>
        <w:outlineLvl w:val="2"/>
        <w:rPr>
          <w:rFonts w:ascii="Arial" w:eastAsia="Times New Roman" w:hAnsi="Arial" w:cs="Arial"/>
          <w:b/>
          <w:bCs/>
          <w:color w:val="9D2235" w:themeColor="accent1"/>
          <w:sz w:val="28"/>
          <w:szCs w:val="28"/>
          <w:lang w:eastAsia="es-ES"/>
        </w:rPr>
      </w:pPr>
      <w:bookmarkStart w:id="186" w:name="_Toc95209051"/>
      <w:bookmarkStart w:id="187" w:name="_Toc99107019"/>
      <w:r w:rsidRPr="00C4339B">
        <w:rPr>
          <w:rFonts w:ascii="Arial" w:eastAsia="Times New Roman" w:hAnsi="Arial" w:cs="Arial"/>
          <w:b/>
          <w:bCs/>
          <w:color w:val="9D2235" w:themeColor="accent1"/>
          <w:sz w:val="28"/>
          <w:szCs w:val="28"/>
          <w:lang w:eastAsia="es-ES"/>
        </w:rPr>
        <w:t>Denominación: Diputación Provincial de Valencia, Ayuntamiento de Sueca, Ayuntamiento de Paterna, DGAL. Provisión puestos FHCN de la Diputación Provincial de Valencia</w:t>
      </w:r>
      <w:bookmarkEnd w:id="186"/>
      <w:bookmarkEnd w:id="187"/>
    </w:p>
    <w:p w14:paraId="49A62E0E" w14:textId="77777777" w:rsidR="00C4339B" w:rsidRPr="00C4339B" w:rsidRDefault="00C4339B" w:rsidP="000D5E0B">
      <w:pPr>
        <w:spacing w:after="240" w:line="276" w:lineRule="auto"/>
        <w:jc w:val="both"/>
        <w:rPr>
          <w:rFonts w:ascii="Arial" w:eastAsia="Times New Roman" w:hAnsi="Arial" w:cs="Arial"/>
          <w:sz w:val="21"/>
          <w:szCs w:val="21"/>
          <w:lang w:eastAsia="es-ES"/>
        </w:rPr>
      </w:pPr>
      <w:r w:rsidRPr="00C4339B">
        <w:rPr>
          <w:rFonts w:ascii="Arial" w:eastAsia="Times New Roman" w:hAnsi="Arial" w:cs="Arial"/>
          <w:b/>
          <w:bCs/>
          <w:sz w:val="21"/>
          <w:szCs w:val="21"/>
          <w:lang w:eastAsia="es-ES"/>
        </w:rPr>
        <w:t>Expediente</w:t>
      </w:r>
      <w:r w:rsidRPr="00C4339B">
        <w:rPr>
          <w:rFonts w:ascii="Arial" w:eastAsia="Times New Roman" w:hAnsi="Arial" w:cs="Arial"/>
          <w:sz w:val="21"/>
          <w:szCs w:val="21"/>
          <w:lang w:eastAsia="es-ES"/>
        </w:rPr>
        <w:t>: 2020/G01_01/000255 [12/2019]</w:t>
      </w:r>
    </w:p>
    <w:p w14:paraId="34BFF607" w14:textId="77777777" w:rsidR="001653F9" w:rsidRPr="00B04A4D" w:rsidRDefault="001653F9" w:rsidP="001653F9">
      <w:pPr>
        <w:spacing w:after="240" w:line="276" w:lineRule="auto"/>
        <w:rPr>
          <w:rFonts w:ascii="Arial" w:eastAsia="Times New Roman" w:hAnsi="Arial" w:cs="Arial"/>
          <w:bCs/>
          <w:sz w:val="18"/>
          <w:szCs w:val="18"/>
        </w:rPr>
      </w:pPr>
      <w:r w:rsidRPr="00CC3015">
        <w:rPr>
          <w:rFonts w:ascii="Arial" w:eastAsia="Times New Roman" w:hAnsi="Arial" w:cs="Arial"/>
          <w:b/>
          <w:bCs/>
          <w:sz w:val="21"/>
          <w:szCs w:val="21"/>
        </w:rPr>
        <w:t>Enlace a la publicación:</w:t>
      </w:r>
      <w:r w:rsidRPr="00CC3015">
        <w:rPr>
          <w:rFonts w:ascii="Arial" w:eastAsia="Times New Roman" w:hAnsi="Arial" w:cs="Arial"/>
          <w:b/>
          <w:bCs/>
          <w:sz w:val="21"/>
          <w:szCs w:val="21"/>
        </w:rPr>
        <w:br/>
      </w:r>
      <w:hyperlink r:id="rId414" w:history="1">
        <w:r w:rsidRPr="00F15B79">
          <w:rPr>
            <w:rStyle w:val="Hipervnculo"/>
            <w:rFonts w:ascii="Arial" w:eastAsia="Times New Roman" w:hAnsi="Arial" w:cs="Arial"/>
            <w:bCs/>
            <w:sz w:val="18"/>
            <w:szCs w:val="18"/>
          </w:rPr>
          <w:t>http://www.antifraucv.es/wp-content/uploads/2021/03/20210121_DIPUTACION_DE_VALENCIA.pdf</w:t>
        </w:r>
      </w:hyperlink>
    </w:p>
    <w:p w14:paraId="434E2B5B" w14:textId="77777777" w:rsidR="001653F9" w:rsidRPr="00C4339B" w:rsidRDefault="001653F9" w:rsidP="001653F9">
      <w:pPr>
        <w:spacing w:after="240" w:line="276" w:lineRule="auto"/>
        <w:jc w:val="both"/>
        <w:rPr>
          <w:rFonts w:ascii="Arial" w:eastAsia="Times New Roman" w:hAnsi="Arial" w:cs="Arial"/>
          <w:sz w:val="21"/>
          <w:szCs w:val="21"/>
          <w:lang w:eastAsia="es-ES"/>
        </w:rPr>
      </w:pPr>
      <w:r w:rsidRPr="00C4339B">
        <w:rPr>
          <w:rFonts w:ascii="Arial" w:eastAsia="Times New Roman" w:hAnsi="Arial" w:cs="Arial"/>
          <w:b/>
          <w:bCs/>
          <w:sz w:val="21"/>
          <w:szCs w:val="21"/>
          <w:lang w:eastAsia="es-ES"/>
        </w:rPr>
        <w:t>Descripción</w:t>
      </w:r>
      <w:r w:rsidRPr="00C4339B">
        <w:rPr>
          <w:rFonts w:ascii="Arial" w:eastAsia="Times New Roman" w:hAnsi="Arial" w:cs="Arial"/>
          <w:sz w:val="21"/>
          <w:szCs w:val="21"/>
          <w:lang w:eastAsia="es-ES"/>
        </w:rPr>
        <w:t>: Se denuncia la tramitación de los expedientes de las comisiones de servicio concedidas a FHCN y a la provisión de los puestos de intervención, viceintervención y tesorería de la Diputación Provincial de Valencia.</w:t>
      </w:r>
    </w:p>
    <w:p w14:paraId="28E22078" w14:textId="77777777" w:rsidR="001653F9" w:rsidRPr="00C4339B" w:rsidRDefault="001653F9" w:rsidP="000C6DA4">
      <w:pPr>
        <w:spacing w:after="240" w:line="276" w:lineRule="auto"/>
        <w:jc w:val="both"/>
        <w:rPr>
          <w:rFonts w:ascii="Arial" w:eastAsia="Times New Roman" w:hAnsi="Arial" w:cs="Arial"/>
          <w:sz w:val="21"/>
          <w:szCs w:val="21"/>
          <w:lang w:eastAsia="es-ES"/>
        </w:rPr>
      </w:pPr>
      <w:r w:rsidRPr="00C4339B">
        <w:rPr>
          <w:rFonts w:ascii="Arial" w:eastAsia="Times New Roman" w:hAnsi="Arial" w:cs="Arial"/>
          <w:sz w:val="21"/>
          <w:szCs w:val="21"/>
          <w:lang w:eastAsia="es-ES"/>
        </w:rPr>
        <w:t>Tras el estudio en detalle de la totalidad de la documentación y, tras las alegaciones presentadas por la Diputación Provincial de Valencia y la DGAL, se concluye que:</w:t>
      </w:r>
    </w:p>
    <w:p w14:paraId="06047057" w14:textId="77777777" w:rsidR="001653F9" w:rsidRPr="00C4339B" w:rsidRDefault="001653F9" w:rsidP="000C6DA4">
      <w:pPr>
        <w:numPr>
          <w:ilvl w:val="0"/>
          <w:numId w:val="36"/>
        </w:numPr>
        <w:spacing w:after="120" w:line="276" w:lineRule="auto"/>
        <w:ind w:left="714" w:hanging="357"/>
        <w:jc w:val="both"/>
        <w:rPr>
          <w:rFonts w:ascii="Arial" w:eastAsia="Times New Roman" w:hAnsi="Arial" w:cs="Arial"/>
          <w:sz w:val="21"/>
          <w:szCs w:val="21"/>
          <w:lang w:eastAsia="es-ES"/>
        </w:rPr>
      </w:pPr>
      <w:r w:rsidRPr="00C4339B">
        <w:rPr>
          <w:rFonts w:ascii="Arial" w:eastAsia="Times New Roman" w:hAnsi="Arial" w:cs="Arial"/>
          <w:sz w:val="21"/>
          <w:szCs w:val="21"/>
          <w:lang w:eastAsia="es-ES"/>
        </w:rPr>
        <w:t>Mientras la forma de provisión de los puestos de intervención, viceintervención y tesorería de la Diputación Provincial de Valencia fue la de libre designación, las comisiones de servicios concedidas y prorrogadas a los funcionarios en los citados puestos fueron autorizadas por la DGAL por el plazo de 6 meses, procediéndose a prorrogar 3 veces cada una de ellas.</w:t>
      </w:r>
    </w:p>
    <w:p w14:paraId="73567DCA" w14:textId="77777777" w:rsidR="001653F9" w:rsidRPr="00C4339B" w:rsidRDefault="001653F9" w:rsidP="000C6DA4">
      <w:pPr>
        <w:spacing w:after="120" w:line="276" w:lineRule="auto"/>
        <w:ind w:left="709"/>
        <w:jc w:val="both"/>
        <w:rPr>
          <w:rFonts w:ascii="Arial" w:eastAsia="Times New Roman" w:hAnsi="Arial" w:cs="Arial"/>
          <w:sz w:val="21"/>
          <w:szCs w:val="21"/>
          <w:lang w:eastAsia="es-ES"/>
        </w:rPr>
      </w:pPr>
      <w:r w:rsidRPr="00C4339B">
        <w:rPr>
          <w:rFonts w:ascii="Arial" w:eastAsia="Times New Roman" w:hAnsi="Arial" w:cs="Arial"/>
          <w:sz w:val="21"/>
          <w:szCs w:val="21"/>
          <w:lang w:eastAsia="es-ES"/>
        </w:rPr>
        <w:t>La posibilidad de las prórrogas de las comisiones de servicios concedidas en los puestos cuya provisión procede por el sistema de libre designación, no está contemplada en la Ley 10/2010, de 9 de julio, aplicable al personal funcionario con habilitación de carácter estatal. La DGAL interpreta que la imposibilidad de prorrogar las comisiones de servicios de los puestos cuya forma de provisión es la libre designación contemplada en el artículo 104.2 de la Ley 10/2010, no es aplicable a los funcionarios de la administración local con habilitación de carácter nacional.</w:t>
      </w:r>
    </w:p>
    <w:p w14:paraId="58249376" w14:textId="77777777" w:rsidR="001653F9" w:rsidRPr="00C4339B" w:rsidRDefault="001653F9" w:rsidP="001653F9">
      <w:pPr>
        <w:numPr>
          <w:ilvl w:val="0"/>
          <w:numId w:val="36"/>
        </w:numPr>
        <w:spacing w:after="240" w:line="276" w:lineRule="auto"/>
        <w:jc w:val="both"/>
        <w:rPr>
          <w:rFonts w:ascii="Arial" w:eastAsia="Times New Roman" w:hAnsi="Arial" w:cs="Arial"/>
          <w:sz w:val="21"/>
          <w:szCs w:val="21"/>
          <w:lang w:eastAsia="es-ES"/>
        </w:rPr>
      </w:pPr>
      <w:r w:rsidRPr="00C4339B">
        <w:rPr>
          <w:rFonts w:ascii="Arial" w:eastAsia="Times New Roman" w:hAnsi="Arial" w:cs="Arial"/>
          <w:sz w:val="21"/>
          <w:szCs w:val="21"/>
          <w:lang w:eastAsia="es-ES"/>
        </w:rPr>
        <w:t>La DGAL ha indicado a esta Agencia que comprobó, previamente a las resoluciones de las comisiones de servicios iniciales, la no existencia de ningún funcionario o funcionaria en expectativa de nombramiento o que hubiera solicitado el reingreso al servicio activo.</w:t>
      </w:r>
    </w:p>
    <w:p w14:paraId="0E39F10F" w14:textId="77777777" w:rsidR="001653F9" w:rsidRPr="00C4339B" w:rsidRDefault="001653F9" w:rsidP="000C6DA4">
      <w:pPr>
        <w:spacing w:after="240" w:line="276" w:lineRule="auto"/>
        <w:jc w:val="both"/>
        <w:rPr>
          <w:rFonts w:ascii="Arial" w:eastAsia="Times New Roman" w:hAnsi="Arial" w:cs="Arial"/>
          <w:sz w:val="21"/>
          <w:szCs w:val="21"/>
          <w:lang w:eastAsia="es-ES"/>
        </w:rPr>
      </w:pPr>
      <w:r w:rsidRPr="00C4339B">
        <w:rPr>
          <w:rFonts w:ascii="Arial" w:eastAsia="Times New Roman" w:hAnsi="Arial" w:cs="Arial"/>
          <w:b/>
          <w:bCs/>
          <w:sz w:val="21"/>
          <w:szCs w:val="21"/>
          <w:lang w:eastAsia="es-ES"/>
        </w:rPr>
        <w:t>Resultado</w:t>
      </w:r>
      <w:r w:rsidRPr="00C4339B">
        <w:rPr>
          <w:rFonts w:ascii="Arial" w:eastAsia="Times New Roman" w:hAnsi="Arial" w:cs="Arial"/>
          <w:sz w:val="21"/>
          <w:szCs w:val="21"/>
          <w:lang w:eastAsia="es-ES"/>
        </w:rPr>
        <w:t>: Se finaliza el expediente elevando recomendaciones:</w:t>
      </w:r>
    </w:p>
    <w:p w14:paraId="5FE18219" w14:textId="77777777" w:rsidR="001653F9" w:rsidRPr="00C4339B" w:rsidRDefault="001653F9" w:rsidP="000C6DA4">
      <w:pPr>
        <w:numPr>
          <w:ilvl w:val="0"/>
          <w:numId w:val="37"/>
        </w:numPr>
        <w:spacing w:after="120" w:line="276" w:lineRule="auto"/>
        <w:ind w:left="714" w:hanging="357"/>
        <w:jc w:val="both"/>
        <w:rPr>
          <w:rFonts w:ascii="Arial" w:eastAsia="Times New Roman" w:hAnsi="Arial" w:cs="Arial"/>
          <w:sz w:val="21"/>
          <w:szCs w:val="21"/>
          <w:lang w:eastAsia="es-ES"/>
        </w:rPr>
      </w:pPr>
      <w:r w:rsidRPr="00C4339B">
        <w:rPr>
          <w:rFonts w:ascii="Arial" w:eastAsia="Times New Roman" w:hAnsi="Arial" w:cs="Arial"/>
          <w:sz w:val="21"/>
          <w:szCs w:val="21"/>
          <w:lang w:eastAsia="es-ES"/>
        </w:rPr>
        <w:t>Que, con el objetivo de evitar situaciones de inseguridad jurídica y evitar discordancias entre los expedientes tramitados por las diferentes entidades locales, se proceda a elaborar una circular relativa al régimen jurídico</w:t>
      </w:r>
      <w:r>
        <w:rPr>
          <w:rFonts w:ascii="Arial" w:eastAsia="Times New Roman" w:hAnsi="Arial" w:cs="Arial"/>
          <w:sz w:val="21"/>
          <w:szCs w:val="21"/>
          <w:lang w:eastAsia="es-ES"/>
        </w:rPr>
        <w:t>,</w:t>
      </w:r>
      <w:r w:rsidRPr="00C4339B">
        <w:rPr>
          <w:rFonts w:ascii="Arial" w:eastAsia="Times New Roman" w:hAnsi="Arial" w:cs="Arial"/>
          <w:sz w:val="21"/>
          <w:szCs w:val="21"/>
          <w:lang w:eastAsia="es-ES"/>
        </w:rPr>
        <w:t xml:space="preserve"> aplicable a las comisiones de servicio solicitadas por los funcionarios de la administración local con habilitación de carácter nacional en la que se indique en todo caso, además de todo aquello que se considere oportuno por ese centro directivo, lo siguiente:</w:t>
      </w:r>
    </w:p>
    <w:p w14:paraId="6948D504" w14:textId="77777777" w:rsidR="001653F9" w:rsidRPr="00AA7D21" w:rsidRDefault="001653F9" w:rsidP="000C6DA4">
      <w:pPr>
        <w:numPr>
          <w:ilvl w:val="0"/>
          <w:numId w:val="35"/>
        </w:numPr>
        <w:spacing w:after="120" w:line="276" w:lineRule="auto"/>
        <w:ind w:left="1134" w:hanging="357"/>
        <w:jc w:val="both"/>
        <w:rPr>
          <w:rFonts w:ascii="Arial" w:eastAsia="Times New Roman" w:hAnsi="Arial"/>
          <w:sz w:val="21"/>
          <w:szCs w:val="21"/>
          <w:lang w:eastAsia="es-ES"/>
        </w:rPr>
      </w:pPr>
      <w:r w:rsidRPr="00083943">
        <w:rPr>
          <w:rFonts w:ascii="Arial" w:eastAsia="Times New Roman" w:hAnsi="Arial"/>
          <w:sz w:val="21"/>
          <w:szCs w:val="21"/>
          <w:lang w:eastAsia="es-ES"/>
        </w:rPr>
        <w:t xml:space="preserve">El </w:t>
      </w:r>
      <w:r w:rsidRPr="00AA7D21">
        <w:rPr>
          <w:rFonts w:ascii="Arial" w:eastAsia="Times New Roman" w:hAnsi="Arial"/>
          <w:sz w:val="21"/>
          <w:szCs w:val="21"/>
          <w:lang w:eastAsia="es-ES"/>
        </w:rPr>
        <w:t>plazo de duración de las comisiones de servicio iniciales</w:t>
      </w:r>
    </w:p>
    <w:p w14:paraId="2A20F5C9" w14:textId="77777777" w:rsidR="001653F9" w:rsidRPr="00AA7D21" w:rsidRDefault="001653F9" w:rsidP="000C6DA4">
      <w:pPr>
        <w:numPr>
          <w:ilvl w:val="0"/>
          <w:numId w:val="35"/>
        </w:numPr>
        <w:spacing w:after="120" w:line="276" w:lineRule="auto"/>
        <w:ind w:left="1134" w:hanging="357"/>
        <w:jc w:val="both"/>
        <w:rPr>
          <w:rFonts w:ascii="Arial" w:eastAsia="Times New Roman" w:hAnsi="Arial"/>
          <w:sz w:val="21"/>
          <w:szCs w:val="21"/>
          <w:lang w:eastAsia="es-ES"/>
        </w:rPr>
      </w:pPr>
      <w:r w:rsidRPr="00AA7D21">
        <w:rPr>
          <w:rFonts w:ascii="Arial" w:eastAsia="Times New Roman" w:hAnsi="Arial"/>
          <w:sz w:val="21"/>
          <w:szCs w:val="21"/>
          <w:lang w:eastAsia="es-ES"/>
        </w:rPr>
        <w:t>La posibilidad o no de solicitar prórrogas de las mismas</w:t>
      </w:r>
    </w:p>
    <w:p w14:paraId="4D81F91C" w14:textId="77777777" w:rsidR="001653F9" w:rsidRPr="00AA7D21" w:rsidRDefault="001653F9" w:rsidP="000C6DA4">
      <w:pPr>
        <w:numPr>
          <w:ilvl w:val="0"/>
          <w:numId w:val="35"/>
        </w:numPr>
        <w:spacing w:after="120" w:line="276" w:lineRule="auto"/>
        <w:ind w:left="1134" w:hanging="357"/>
        <w:jc w:val="both"/>
        <w:rPr>
          <w:rFonts w:ascii="Arial" w:eastAsia="Times New Roman" w:hAnsi="Arial"/>
          <w:sz w:val="21"/>
          <w:szCs w:val="21"/>
          <w:lang w:eastAsia="es-ES"/>
        </w:rPr>
      </w:pPr>
      <w:r w:rsidRPr="00AA7D21">
        <w:rPr>
          <w:rFonts w:ascii="Arial" w:eastAsia="Times New Roman" w:hAnsi="Arial"/>
          <w:sz w:val="21"/>
          <w:szCs w:val="21"/>
          <w:lang w:eastAsia="es-ES"/>
        </w:rPr>
        <w:t>El periodo máximo de duración de dichas comisiones de servicios (incluidas las prórrogas)</w:t>
      </w:r>
    </w:p>
    <w:p w14:paraId="0E3E7FE4" w14:textId="77777777" w:rsidR="001653F9" w:rsidRPr="00AA7D21" w:rsidRDefault="001653F9" w:rsidP="000C6DA4">
      <w:pPr>
        <w:numPr>
          <w:ilvl w:val="0"/>
          <w:numId w:val="35"/>
        </w:numPr>
        <w:spacing w:after="120" w:line="276" w:lineRule="auto"/>
        <w:ind w:left="1134" w:hanging="357"/>
        <w:jc w:val="both"/>
        <w:rPr>
          <w:rFonts w:ascii="Arial" w:eastAsia="Times New Roman" w:hAnsi="Arial"/>
          <w:sz w:val="21"/>
          <w:szCs w:val="21"/>
          <w:lang w:eastAsia="es-ES"/>
        </w:rPr>
      </w:pPr>
      <w:r w:rsidRPr="00AA7D21">
        <w:rPr>
          <w:rFonts w:ascii="Arial" w:eastAsia="Times New Roman" w:hAnsi="Arial"/>
          <w:sz w:val="21"/>
          <w:szCs w:val="21"/>
          <w:lang w:eastAsia="es-ES"/>
        </w:rPr>
        <w:t>Las especialidades que existan, en su caso, en determinados puestos de trabajo reservados a estos funcionarios.</w:t>
      </w:r>
    </w:p>
    <w:p w14:paraId="0EBD03B4" w14:textId="77777777" w:rsidR="001653F9" w:rsidRPr="00C4339B" w:rsidRDefault="001653F9" w:rsidP="001653F9">
      <w:pPr>
        <w:numPr>
          <w:ilvl w:val="0"/>
          <w:numId w:val="37"/>
        </w:numPr>
        <w:spacing w:after="240" w:line="276" w:lineRule="auto"/>
        <w:jc w:val="both"/>
        <w:rPr>
          <w:rFonts w:ascii="Arial" w:eastAsia="Times New Roman" w:hAnsi="Arial" w:cs="Arial"/>
          <w:sz w:val="21"/>
          <w:szCs w:val="21"/>
          <w:lang w:eastAsia="es-ES"/>
        </w:rPr>
      </w:pPr>
      <w:r w:rsidRPr="00C4339B">
        <w:rPr>
          <w:rFonts w:ascii="Arial" w:eastAsia="Times New Roman" w:hAnsi="Arial" w:cs="Arial"/>
          <w:sz w:val="21"/>
          <w:szCs w:val="21"/>
          <w:lang w:eastAsia="es-ES"/>
        </w:rPr>
        <w:t>Que se proceda a dar traslado de la circular que se emita, en el plazo de 3 meses, a esta Agencia y a COSITAL Valencia, para que proceda a su difusión entre los funcionarios de la administración local con habilitación de carácter nacional.</w:t>
      </w:r>
    </w:p>
    <w:p w14:paraId="0889BBBE" w14:textId="17E542E8" w:rsidR="006B510A" w:rsidRDefault="001653F9" w:rsidP="001653F9">
      <w:pPr>
        <w:spacing w:after="240" w:line="276" w:lineRule="auto"/>
        <w:jc w:val="both"/>
        <w:rPr>
          <w:rFonts w:ascii="Arial" w:eastAsia="Times New Roman" w:hAnsi="Arial" w:cs="Arial"/>
          <w:sz w:val="21"/>
          <w:szCs w:val="21"/>
          <w:lang w:eastAsia="es-ES"/>
        </w:rPr>
      </w:pPr>
      <w:r w:rsidRPr="00C4339B">
        <w:rPr>
          <w:rFonts w:ascii="Arial" w:eastAsia="Times New Roman" w:hAnsi="Arial" w:cs="Arial"/>
          <w:b/>
          <w:bCs/>
          <w:sz w:val="21"/>
          <w:szCs w:val="21"/>
          <w:lang w:eastAsia="es-ES"/>
        </w:rPr>
        <w:t xml:space="preserve">Fase de seguimiento: </w:t>
      </w:r>
      <w:r w:rsidRPr="00C4339B">
        <w:rPr>
          <w:rFonts w:ascii="Arial" w:eastAsia="Times New Roman" w:hAnsi="Arial" w:cs="Arial"/>
          <w:sz w:val="21"/>
          <w:szCs w:val="21"/>
          <w:lang w:eastAsia="es-ES"/>
        </w:rPr>
        <w:t>Finalizada la fase de seguimiento, se ha remitido por parte de la DGAL en fecha 9/12/21 un documento titulado “nota informativa relativa a las comisiones de servicio a funcionarios con habilitación de carácter nacional”.</w:t>
      </w:r>
    </w:p>
    <w:p w14:paraId="51446A43" w14:textId="77777777" w:rsidR="00EC27A7" w:rsidRDefault="00EC27A7" w:rsidP="001653F9">
      <w:pPr>
        <w:spacing w:after="240" w:line="276" w:lineRule="auto"/>
        <w:jc w:val="both"/>
        <w:rPr>
          <w:rFonts w:ascii="Arial" w:eastAsia="Times New Roman" w:hAnsi="Arial" w:cs="Arial"/>
          <w:sz w:val="21"/>
          <w:szCs w:val="21"/>
          <w:lang w:eastAsia="es-ES"/>
        </w:rPr>
      </w:pPr>
    </w:p>
    <w:p w14:paraId="382ABCD8" w14:textId="77777777" w:rsidR="00A96C80" w:rsidRPr="00A96C80" w:rsidRDefault="00A96C80" w:rsidP="00AC1A12">
      <w:pPr>
        <w:pStyle w:val="Prrafodelista"/>
        <w:keepNext/>
        <w:numPr>
          <w:ilvl w:val="2"/>
          <w:numId w:val="17"/>
        </w:numPr>
        <w:tabs>
          <w:tab w:val="clear" w:pos="794"/>
          <w:tab w:val="num" w:pos="851"/>
        </w:tabs>
        <w:spacing w:before="360" w:after="240" w:line="276" w:lineRule="auto"/>
        <w:ind w:left="851" w:hanging="930"/>
        <w:jc w:val="both"/>
        <w:outlineLvl w:val="2"/>
        <w:rPr>
          <w:rFonts w:ascii="Arial" w:eastAsia="Times New Roman" w:hAnsi="Arial" w:cs="Arial"/>
          <w:b/>
          <w:bCs/>
          <w:color w:val="9D2235" w:themeColor="accent1"/>
          <w:sz w:val="28"/>
          <w:szCs w:val="28"/>
          <w:lang w:eastAsia="es-ES"/>
        </w:rPr>
      </w:pPr>
      <w:bookmarkStart w:id="188" w:name="_Toc95209052"/>
      <w:bookmarkStart w:id="189" w:name="_Toc99107020"/>
      <w:r w:rsidRPr="00A96C80">
        <w:rPr>
          <w:rFonts w:ascii="Arial" w:eastAsia="Times New Roman" w:hAnsi="Arial" w:cs="Arial"/>
          <w:b/>
          <w:bCs/>
          <w:color w:val="9D2235" w:themeColor="accent1"/>
          <w:sz w:val="28"/>
          <w:szCs w:val="28"/>
          <w:lang w:eastAsia="es-ES"/>
        </w:rPr>
        <w:t>Denominación: Institut Valencià de Cultura. Irregularidades en la gestión de personal</w:t>
      </w:r>
      <w:bookmarkEnd w:id="188"/>
      <w:bookmarkEnd w:id="189"/>
    </w:p>
    <w:p w14:paraId="1C632E89" w14:textId="77777777" w:rsidR="00A96C80" w:rsidRPr="00A96C80" w:rsidRDefault="00A96C80" w:rsidP="00A96C80">
      <w:pPr>
        <w:spacing w:after="240" w:line="276" w:lineRule="auto"/>
        <w:jc w:val="both"/>
        <w:rPr>
          <w:rFonts w:ascii="Arial" w:eastAsia="Times New Roman" w:hAnsi="Arial" w:cs="Arial"/>
          <w:sz w:val="21"/>
          <w:szCs w:val="21"/>
          <w:lang w:eastAsia="es-ES"/>
        </w:rPr>
      </w:pPr>
      <w:r w:rsidRPr="00A96C80">
        <w:rPr>
          <w:rFonts w:ascii="Arial" w:eastAsia="Times New Roman" w:hAnsi="Arial" w:cs="Arial"/>
          <w:b/>
          <w:bCs/>
          <w:sz w:val="21"/>
          <w:szCs w:val="21"/>
          <w:lang w:eastAsia="es-ES"/>
        </w:rPr>
        <w:t>Expediente:</w:t>
      </w:r>
      <w:r w:rsidRPr="00A96C80">
        <w:rPr>
          <w:rFonts w:ascii="Arial" w:eastAsia="Times New Roman" w:hAnsi="Arial" w:cs="Arial"/>
          <w:sz w:val="21"/>
          <w:szCs w:val="21"/>
          <w:lang w:eastAsia="es-ES"/>
        </w:rPr>
        <w:t xml:space="preserve"> 2020/G01_01/000117 [21-22/2019]</w:t>
      </w:r>
    </w:p>
    <w:p w14:paraId="1D94E2ED" w14:textId="77777777" w:rsidR="007071B3" w:rsidRDefault="007071B3" w:rsidP="007071B3">
      <w:pPr>
        <w:spacing w:after="240" w:line="276" w:lineRule="auto"/>
        <w:rPr>
          <w:rFonts w:ascii="Arial" w:eastAsia="Times New Roman" w:hAnsi="Arial" w:cs="Arial"/>
          <w:bCs/>
          <w:sz w:val="18"/>
          <w:szCs w:val="18"/>
        </w:rPr>
      </w:pPr>
      <w:r w:rsidRPr="00CC3015">
        <w:rPr>
          <w:rFonts w:ascii="Arial" w:eastAsia="Times New Roman" w:hAnsi="Arial" w:cs="Arial"/>
          <w:b/>
          <w:bCs/>
          <w:sz w:val="21"/>
          <w:szCs w:val="21"/>
        </w:rPr>
        <w:t>Enlace a la publicación:</w:t>
      </w:r>
      <w:r w:rsidRPr="00CC3015">
        <w:rPr>
          <w:rFonts w:ascii="Arial" w:eastAsia="Times New Roman" w:hAnsi="Arial" w:cs="Arial"/>
          <w:b/>
          <w:bCs/>
          <w:sz w:val="21"/>
          <w:szCs w:val="21"/>
        </w:rPr>
        <w:br/>
      </w:r>
      <w:hyperlink r:id="rId415" w:history="1">
        <w:r w:rsidRPr="00CC3015">
          <w:rPr>
            <w:rStyle w:val="Hipervnculo"/>
            <w:rFonts w:ascii="Arial" w:eastAsia="Times New Roman" w:hAnsi="Arial" w:cs="Arial"/>
            <w:bCs/>
            <w:sz w:val="18"/>
            <w:szCs w:val="18"/>
          </w:rPr>
          <w:t>http://www.antifraucv.es/wp-content/uploads/2021/03/20210126_GENERALITAT_VALENCIANA_IVC.pdf</w:t>
        </w:r>
      </w:hyperlink>
    </w:p>
    <w:p w14:paraId="73D2662D" w14:textId="77777777" w:rsidR="007071B3" w:rsidRPr="00A96C80" w:rsidRDefault="007071B3" w:rsidP="000C6DA4">
      <w:pPr>
        <w:spacing w:after="240" w:line="276" w:lineRule="auto"/>
        <w:jc w:val="both"/>
        <w:rPr>
          <w:rFonts w:ascii="Arial" w:eastAsia="Times New Roman" w:hAnsi="Arial" w:cs="Arial"/>
          <w:sz w:val="21"/>
          <w:szCs w:val="21"/>
          <w:lang w:eastAsia="es-ES"/>
        </w:rPr>
      </w:pPr>
      <w:r w:rsidRPr="00A96C80">
        <w:rPr>
          <w:rFonts w:ascii="Arial" w:eastAsia="Times New Roman" w:hAnsi="Arial" w:cs="Arial"/>
          <w:b/>
          <w:bCs/>
          <w:sz w:val="21"/>
          <w:szCs w:val="21"/>
          <w:lang w:eastAsia="es-ES"/>
        </w:rPr>
        <w:t>Descripción:</w:t>
      </w:r>
      <w:r w:rsidRPr="00A96C80">
        <w:rPr>
          <w:rFonts w:ascii="Arial" w:eastAsia="Times New Roman" w:hAnsi="Arial" w:cs="Arial"/>
          <w:sz w:val="21"/>
          <w:szCs w:val="21"/>
          <w:lang w:eastAsia="es-ES"/>
        </w:rPr>
        <w:t xml:space="preserve"> Los hechos denunciados se concretaron en: </w:t>
      </w:r>
    </w:p>
    <w:p w14:paraId="69A6C282" w14:textId="77777777" w:rsidR="007071B3" w:rsidRPr="00A96C80" w:rsidRDefault="007071B3" w:rsidP="000C6DA4">
      <w:pPr>
        <w:numPr>
          <w:ilvl w:val="0"/>
          <w:numId w:val="38"/>
        </w:numPr>
        <w:spacing w:after="120" w:line="276" w:lineRule="auto"/>
        <w:ind w:left="714" w:hanging="357"/>
        <w:jc w:val="both"/>
        <w:rPr>
          <w:rFonts w:ascii="Arial" w:eastAsia="Times New Roman" w:hAnsi="Arial" w:cs="Arial"/>
          <w:sz w:val="21"/>
          <w:szCs w:val="21"/>
          <w:lang w:eastAsia="es-ES"/>
        </w:rPr>
      </w:pPr>
      <w:r w:rsidRPr="00A96C80">
        <w:rPr>
          <w:rFonts w:ascii="Arial" w:eastAsia="Times New Roman" w:hAnsi="Arial" w:cs="Arial"/>
          <w:sz w:val="21"/>
          <w:szCs w:val="21"/>
          <w:lang w:eastAsia="es-ES"/>
        </w:rPr>
        <w:t>Nombramientos provisionales para ocupar puestos de libre designación sin haberse convocado para su cobertura definitiva en el plazo legalmente establecido</w:t>
      </w:r>
    </w:p>
    <w:p w14:paraId="3D80E04D" w14:textId="77777777" w:rsidR="007071B3" w:rsidRPr="00A96C80" w:rsidRDefault="007071B3" w:rsidP="000C6DA4">
      <w:pPr>
        <w:numPr>
          <w:ilvl w:val="0"/>
          <w:numId w:val="38"/>
        </w:numPr>
        <w:spacing w:after="120" w:line="276" w:lineRule="auto"/>
        <w:ind w:left="714" w:hanging="357"/>
        <w:jc w:val="both"/>
        <w:rPr>
          <w:rFonts w:ascii="Arial" w:eastAsia="Times New Roman" w:hAnsi="Arial" w:cs="Arial"/>
          <w:sz w:val="21"/>
          <w:szCs w:val="21"/>
          <w:lang w:eastAsia="es-ES"/>
        </w:rPr>
      </w:pPr>
      <w:r w:rsidRPr="00A96C80">
        <w:rPr>
          <w:rFonts w:ascii="Arial" w:eastAsia="Times New Roman" w:hAnsi="Arial" w:cs="Arial"/>
          <w:sz w:val="21"/>
          <w:szCs w:val="21"/>
          <w:lang w:eastAsia="es-ES"/>
        </w:rPr>
        <w:t>Cambio de adscripción orgánica de dos puestos de trabajo para favorecer intereses personales</w:t>
      </w:r>
    </w:p>
    <w:p w14:paraId="1429B31B" w14:textId="77777777" w:rsidR="007071B3" w:rsidRPr="00A96C80" w:rsidRDefault="007071B3" w:rsidP="000C6DA4">
      <w:pPr>
        <w:numPr>
          <w:ilvl w:val="0"/>
          <w:numId w:val="38"/>
        </w:numPr>
        <w:spacing w:after="120" w:line="276" w:lineRule="auto"/>
        <w:ind w:left="714" w:hanging="357"/>
        <w:jc w:val="both"/>
        <w:rPr>
          <w:rFonts w:ascii="Arial" w:eastAsia="Times New Roman" w:hAnsi="Arial" w:cs="Arial"/>
          <w:sz w:val="21"/>
          <w:szCs w:val="21"/>
          <w:lang w:eastAsia="es-ES"/>
        </w:rPr>
      </w:pPr>
      <w:r w:rsidRPr="00A96C80">
        <w:rPr>
          <w:rFonts w:ascii="Arial" w:eastAsia="Times New Roman" w:hAnsi="Arial" w:cs="Arial"/>
          <w:sz w:val="21"/>
          <w:szCs w:val="21"/>
          <w:lang w:eastAsia="es-ES"/>
        </w:rPr>
        <w:t xml:space="preserve">Restricción de la libre concurrencia en una convocatoria de mejora de empleo, y </w:t>
      </w:r>
    </w:p>
    <w:p w14:paraId="1EC8D114" w14:textId="77777777" w:rsidR="007071B3" w:rsidRPr="00A96C80" w:rsidRDefault="007071B3" w:rsidP="007071B3">
      <w:pPr>
        <w:numPr>
          <w:ilvl w:val="0"/>
          <w:numId w:val="38"/>
        </w:numPr>
        <w:spacing w:after="240" w:line="276" w:lineRule="auto"/>
        <w:jc w:val="both"/>
        <w:rPr>
          <w:rFonts w:ascii="Arial" w:eastAsia="Times New Roman" w:hAnsi="Arial" w:cs="Arial"/>
          <w:sz w:val="21"/>
          <w:szCs w:val="21"/>
          <w:lang w:eastAsia="es-ES"/>
        </w:rPr>
      </w:pPr>
      <w:r w:rsidRPr="00A96C80">
        <w:rPr>
          <w:rFonts w:ascii="Arial" w:eastAsia="Times New Roman" w:hAnsi="Arial" w:cs="Arial"/>
          <w:sz w:val="21"/>
          <w:szCs w:val="21"/>
          <w:lang w:eastAsia="es-ES"/>
        </w:rPr>
        <w:t>Propuesta de adscripción de un puesto de trabajo al nuevo Institut Valencià de Conservació Restauració i Investigació (IVCR+I).</w:t>
      </w:r>
    </w:p>
    <w:p w14:paraId="19099D92" w14:textId="77777777" w:rsidR="007071B3" w:rsidRPr="00A96C80" w:rsidRDefault="007071B3" w:rsidP="000C6DA4">
      <w:pPr>
        <w:spacing w:after="240" w:line="276" w:lineRule="auto"/>
        <w:jc w:val="both"/>
        <w:rPr>
          <w:rFonts w:ascii="Arial" w:eastAsia="Times New Roman" w:hAnsi="Arial" w:cs="Arial"/>
          <w:sz w:val="21"/>
          <w:szCs w:val="21"/>
          <w:lang w:eastAsia="es-ES"/>
        </w:rPr>
      </w:pPr>
      <w:r w:rsidRPr="00A96C80">
        <w:rPr>
          <w:rFonts w:ascii="Arial" w:eastAsia="Times New Roman" w:hAnsi="Arial" w:cs="Arial"/>
          <w:sz w:val="21"/>
          <w:szCs w:val="21"/>
          <w:lang w:eastAsia="es-ES"/>
        </w:rPr>
        <w:t>Tras la instrucción del oportuno procedimiento de investigación, se evidenció que:</w:t>
      </w:r>
    </w:p>
    <w:p w14:paraId="20EEB173" w14:textId="77777777" w:rsidR="007071B3" w:rsidRPr="00A96C80" w:rsidRDefault="007071B3" w:rsidP="000C6DA4">
      <w:pPr>
        <w:numPr>
          <w:ilvl w:val="0"/>
          <w:numId w:val="39"/>
        </w:numPr>
        <w:spacing w:after="120" w:line="276" w:lineRule="auto"/>
        <w:ind w:left="714" w:hanging="357"/>
        <w:jc w:val="both"/>
        <w:rPr>
          <w:rFonts w:ascii="Arial" w:eastAsia="Times New Roman" w:hAnsi="Arial" w:cs="Arial"/>
          <w:sz w:val="21"/>
          <w:szCs w:val="21"/>
          <w:lang w:eastAsia="es-ES"/>
        </w:rPr>
      </w:pPr>
      <w:r w:rsidRPr="00A96C80">
        <w:rPr>
          <w:rFonts w:ascii="Arial" w:eastAsia="Times New Roman" w:hAnsi="Arial" w:cs="Arial"/>
          <w:sz w:val="21"/>
          <w:szCs w:val="21"/>
          <w:lang w:eastAsia="es-ES"/>
        </w:rPr>
        <w:t xml:space="preserve">El Institut Valencià de Cultura se retrasó, más de dos años, en aprobar y publicar la Relación de Puestos de Trabajo. </w:t>
      </w:r>
    </w:p>
    <w:p w14:paraId="001A403A" w14:textId="77777777" w:rsidR="007071B3" w:rsidRPr="00A96C80" w:rsidRDefault="007071B3" w:rsidP="000C6DA4">
      <w:pPr>
        <w:numPr>
          <w:ilvl w:val="0"/>
          <w:numId w:val="39"/>
        </w:numPr>
        <w:spacing w:after="120" w:line="276" w:lineRule="auto"/>
        <w:ind w:left="714" w:hanging="357"/>
        <w:jc w:val="both"/>
        <w:rPr>
          <w:rFonts w:ascii="Arial" w:eastAsia="Times New Roman" w:hAnsi="Arial" w:cs="Arial"/>
          <w:sz w:val="21"/>
          <w:szCs w:val="21"/>
          <w:lang w:eastAsia="es-ES"/>
        </w:rPr>
      </w:pPr>
      <w:r w:rsidRPr="00A96C80">
        <w:rPr>
          <w:rFonts w:ascii="Arial" w:eastAsia="Times New Roman" w:hAnsi="Arial" w:cs="Arial"/>
          <w:sz w:val="21"/>
          <w:szCs w:val="21"/>
          <w:lang w:eastAsia="es-ES"/>
        </w:rPr>
        <w:t>El Institut Valencià de Cultura superó el límite temporal, establecido en seis meses, para la convocatoria pública de los puestos de libre designación ocupados provisionalmente.</w:t>
      </w:r>
    </w:p>
    <w:p w14:paraId="0A1EB46F" w14:textId="77777777" w:rsidR="007071B3" w:rsidRPr="00A96C80" w:rsidRDefault="007071B3" w:rsidP="000C6DA4">
      <w:pPr>
        <w:numPr>
          <w:ilvl w:val="0"/>
          <w:numId w:val="39"/>
        </w:numPr>
        <w:spacing w:after="120" w:line="276" w:lineRule="auto"/>
        <w:ind w:left="714" w:hanging="357"/>
        <w:jc w:val="both"/>
        <w:rPr>
          <w:rFonts w:ascii="Arial" w:eastAsia="Times New Roman" w:hAnsi="Arial" w:cs="Arial"/>
          <w:sz w:val="21"/>
          <w:szCs w:val="21"/>
          <w:lang w:eastAsia="es-ES"/>
        </w:rPr>
      </w:pPr>
      <w:r w:rsidRPr="00A96C80">
        <w:rPr>
          <w:rFonts w:ascii="Arial" w:eastAsia="Times New Roman" w:hAnsi="Arial" w:cs="Arial"/>
          <w:sz w:val="21"/>
          <w:szCs w:val="21"/>
          <w:lang w:eastAsia="es-ES"/>
        </w:rPr>
        <w:t>El cambio de adscripción de los puestos no fue acordado por el órgano competente, le correspondía al Consejo de Dirección del IVC a tenor de lo establecido en el artículo 8.2 f) del Decreto 5/2013 y no al director general, vicio invalidante que fue convalidado por el acuerdo del Consejo de Dirección de 10 de mayo de 2019.</w:t>
      </w:r>
    </w:p>
    <w:p w14:paraId="56FCC51D" w14:textId="77777777" w:rsidR="007071B3" w:rsidRPr="00A96C80" w:rsidRDefault="007071B3" w:rsidP="000C6DA4">
      <w:pPr>
        <w:numPr>
          <w:ilvl w:val="0"/>
          <w:numId w:val="39"/>
        </w:numPr>
        <w:spacing w:after="120" w:line="276" w:lineRule="auto"/>
        <w:ind w:left="714" w:hanging="357"/>
        <w:jc w:val="both"/>
        <w:rPr>
          <w:rFonts w:ascii="Arial" w:eastAsia="Times New Roman" w:hAnsi="Arial" w:cs="Arial"/>
          <w:sz w:val="21"/>
          <w:szCs w:val="21"/>
          <w:lang w:eastAsia="es-ES"/>
        </w:rPr>
      </w:pPr>
      <w:r w:rsidRPr="00A96C80">
        <w:rPr>
          <w:rFonts w:ascii="Arial" w:eastAsia="Times New Roman" w:hAnsi="Arial" w:cs="Arial"/>
          <w:sz w:val="21"/>
          <w:szCs w:val="21"/>
          <w:lang w:eastAsia="es-ES"/>
        </w:rPr>
        <w:t>El cambio de adscripción de los puestos no contó con la adecuada y suficiente motivación fundamentada en el interés general.</w:t>
      </w:r>
    </w:p>
    <w:p w14:paraId="3A22D9FE" w14:textId="77777777" w:rsidR="007071B3" w:rsidRPr="00A96C80" w:rsidRDefault="007071B3" w:rsidP="000C6DA4">
      <w:pPr>
        <w:numPr>
          <w:ilvl w:val="0"/>
          <w:numId w:val="39"/>
        </w:numPr>
        <w:spacing w:after="120" w:line="276" w:lineRule="auto"/>
        <w:ind w:left="714" w:hanging="357"/>
        <w:jc w:val="both"/>
        <w:rPr>
          <w:rFonts w:ascii="Arial" w:eastAsia="Times New Roman" w:hAnsi="Arial" w:cs="Arial"/>
          <w:sz w:val="21"/>
          <w:szCs w:val="21"/>
          <w:lang w:eastAsia="es-ES"/>
        </w:rPr>
      </w:pPr>
      <w:r w:rsidRPr="00A96C80">
        <w:rPr>
          <w:rFonts w:ascii="Arial" w:eastAsia="Times New Roman" w:hAnsi="Arial" w:cs="Arial"/>
          <w:sz w:val="21"/>
          <w:szCs w:val="21"/>
          <w:lang w:eastAsia="es-ES"/>
        </w:rPr>
        <w:t>La propuesta de adscripción del puesto n.º 11 del IVC al nuevo Institut Valencià de Conservació Restauració i Investigació (IVCR+I), no constó con la suficiente motivación y argumentación acreditativa respecto a las funciones relacionadas con la conservación y restauración.</w:t>
      </w:r>
    </w:p>
    <w:p w14:paraId="6611C87A" w14:textId="77777777" w:rsidR="007071B3" w:rsidRPr="00A96C80" w:rsidRDefault="007071B3" w:rsidP="007071B3">
      <w:pPr>
        <w:numPr>
          <w:ilvl w:val="0"/>
          <w:numId w:val="39"/>
        </w:numPr>
        <w:spacing w:after="240" w:line="276" w:lineRule="auto"/>
        <w:jc w:val="both"/>
        <w:rPr>
          <w:rFonts w:ascii="Arial" w:eastAsia="Times New Roman" w:hAnsi="Arial" w:cs="Arial"/>
          <w:sz w:val="21"/>
          <w:szCs w:val="21"/>
          <w:lang w:eastAsia="es-ES"/>
        </w:rPr>
      </w:pPr>
      <w:r w:rsidRPr="00A96C80">
        <w:rPr>
          <w:rFonts w:ascii="Arial" w:eastAsia="Times New Roman" w:hAnsi="Arial" w:cs="Arial"/>
          <w:sz w:val="21"/>
          <w:szCs w:val="21"/>
          <w:lang w:eastAsia="es-ES"/>
        </w:rPr>
        <w:t>Según la información facilitada por el IVC los puestos transferidos al IVCR+I fueron 32 puestos y, sin embargo, según la documentación remitida por el IVCR+I los puestos transferidos fueron 33.</w:t>
      </w:r>
    </w:p>
    <w:p w14:paraId="5344DD0A" w14:textId="77777777" w:rsidR="007071B3" w:rsidRPr="00A96C80" w:rsidRDefault="007071B3" w:rsidP="007071B3">
      <w:pPr>
        <w:spacing w:after="240" w:line="276" w:lineRule="auto"/>
        <w:jc w:val="both"/>
        <w:rPr>
          <w:rFonts w:ascii="Arial" w:eastAsia="Times New Roman" w:hAnsi="Arial" w:cs="Arial"/>
          <w:i/>
          <w:iCs/>
          <w:sz w:val="21"/>
          <w:szCs w:val="21"/>
          <w:lang w:eastAsia="es-ES"/>
        </w:rPr>
      </w:pPr>
      <w:r w:rsidRPr="00A96C80">
        <w:rPr>
          <w:rFonts w:ascii="Arial" w:eastAsia="Times New Roman" w:hAnsi="Arial" w:cs="Arial"/>
          <w:b/>
          <w:bCs/>
          <w:sz w:val="21"/>
          <w:szCs w:val="21"/>
          <w:lang w:eastAsia="es-ES"/>
        </w:rPr>
        <w:t>Resultado:</w:t>
      </w:r>
      <w:r w:rsidRPr="00A96C80">
        <w:rPr>
          <w:rFonts w:ascii="Arial" w:eastAsia="Times New Roman" w:hAnsi="Arial" w:cs="Arial"/>
          <w:sz w:val="21"/>
          <w:szCs w:val="21"/>
          <w:lang w:eastAsia="es-ES"/>
        </w:rPr>
        <w:t xml:space="preserve"> Finalización de la investigación con recomendaciones y apertura de fase de seguimiento. </w:t>
      </w:r>
    </w:p>
    <w:p w14:paraId="6E641F14" w14:textId="13E0B7FB" w:rsidR="000D5E0B" w:rsidRDefault="007071B3" w:rsidP="007071B3">
      <w:pPr>
        <w:spacing w:after="240" w:line="276" w:lineRule="auto"/>
        <w:jc w:val="both"/>
        <w:rPr>
          <w:rFonts w:ascii="Arial" w:eastAsia="Times New Roman" w:hAnsi="Arial" w:cs="Arial"/>
          <w:sz w:val="21"/>
          <w:szCs w:val="21"/>
          <w:lang w:eastAsia="es-ES"/>
        </w:rPr>
      </w:pPr>
      <w:r w:rsidRPr="00CC3015">
        <w:rPr>
          <w:rFonts w:ascii="Arial" w:eastAsia="Times New Roman" w:hAnsi="Arial" w:cs="Arial"/>
          <w:b/>
          <w:bCs/>
          <w:sz w:val="21"/>
          <w:szCs w:val="21"/>
          <w:lang w:eastAsia="es-ES"/>
        </w:rPr>
        <w:t xml:space="preserve">Fase de seguimiento: </w:t>
      </w:r>
      <w:r w:rsidRPr="00CC3015">
        <w:rPr>
          <w:rFonts w:ascii="Arial" w:eastAsia="Times New Roman" w:hAnsi="Arial" w:cs="Arial"/>
          <w:sz w:val="21"/>
          <w:szCs w:val="21"/>
          <w:lang w:eastAsia="es-ES"/>
        </w:rPr>
        <w:t xml:space="preserve">El Institut Valencià de Cultura </w:t>
      </w:r>
      <w:r w:rsidRPr="00CC3015">
        <w:rPr>
          <w:rFonts w:ascii="Arial" w:eastAsia="Times New Roman" w:hAnsi="Arial" w:cs="Arial"/>
          <w:b/>
          <w:bCs/>
          <w:sz w:val="21"/>
          <w:szCs w:val="21"/>
          <w:lang w:eastAsia="es-ES"/>
        </w:rPr>
        <w:t>ha</w:t>
      </w:r>
      <w:r w:rsidRPr="00CC3015">
        <w:rPr>
          <w:rFonts w:ascii="Arial" w:eastAsia="Times New Roman" w:hAnsi="Arial" w:cs="Arial"/>
          <w:sz w:val="21"/>
          <w:szCs w:val="21"/>
          <w:lang w:eastAsia="es-ES"/>
        </w:rPr>
        <w:t xml:space="preserve"> </w:t>
      </w:r>
      <w:r w:rsidRPr="00CC3015">
        <w:rPr>
          <w:rFonts w:ascii="Arial" w:eastAsia="Times New Roman" w:hAnsi="Arial" w:cs="Arial"/>
          <w:b/>
          <w:bCs/>
          <w:sz w:val="21"/>
          <w:szCs w:val="21"/>
          <w:lang w:eastAsia="es-ES"/>
        </w:rPr>
        <w:t>incumplido las recomendaciones propuestas</w:t>
      </w:r>
      <w:r w:rsidRPr="00CC3015">
        <w:rPr>
          <w:rFonts w:ascii="Arial" w:eastAsia="Times New Roman" w:hAnsi="Arial" w:cs="Arial"/>
          <w:sz w:val="21"/>
          <w:szCs w:val="21"/>
          <w:lang w:eastAsia="es-ES"/>
        </w:rPr>
        <w:t>, lo que se constató</w:t>
      </w:r>
      <w:r w:rsidRPr="00CC3015">
        <w:rPr>
          <w:rFonts w:ascii="Arial" w:eastAsia="Times New Roman" w:hAnsi="Arial" w:cs="Arial"/>
          <w:b/>
          <w:bCs/>
          <w:sz w:val="21"/>
          <w:szCs w:val="21"/>
          <w:lang w:eastAsia="es-ES"/>
        </w:rPr>
        <w:t xml:space="preserve"> </w:t>
      </w:r>
      <w:r w:rsidRPr="00CC3015">
        <w:rPr>
          <w:rFonts w:ascii="Arial" w:eastAsia="Times New Roman" w:hAnsi="Arial" w:cs="Arial"/>
          <w:sz w:val="21"/>
          <w:szCs w:val="21"/>
          <w:lang w:eastAsia="es-ES"/>
        </w:rPr>
        <w:t>(sin perjuicio de la justificación esgrimida por el director general de la citada entidad), mediante Resolución del director de la Agencia núm. 926 de 21 de diciembre de 2021. Acreditado este incumplimiento, se hace constar en esta Memoria de actividad 2021.</w:t>
      </w:r>
    </w:p>
    <w:p w14:paraId="636ED0A8" w14:textId="77777777" w:rsidR="00A96C80" w:rsidRPr="00A96C80" w:rsidRDefault="00A96C80" w:rsidP="00AC1A12">
      <w:pPr>
        <w:pStyle w:val="Prrafodelista"/>
        <w:keepNext/>
        <w:numPr>
          <w:ilvl w:val="2"/>
          <w:numId w:val="17"/>
        </w:numPr>
        <w:tabs>
          <w:tab w:val="clear" w:pos="794"/>
          <w:tab w:val="num" w:pos="851"/>
        </w:tabs>
        <w:spacing w:before="360" w:after="240" w:line="276" w:lineRule="auto"/>
        <w:ind w:left="851" w:hanging="930"/>
        <w:jc w:val="both"/>
        <w:outlineLvl w:val="2"/>
        <w:rPr>
          <w:rFonts w:ascii="Arial" w:eastAsia="Times New Roman" w:hAnsi="Arial" w:cs="Arial"/>
          <w:b/>
          <w:bCs/>
          <w:color w:val="9D2235" w:themeColor="accent1"/>
          <w:sz w:val="28"/>
          <w:szCs w:val="28"/>
          <w:lang w:eastAsia="es-ES"/>
        </w:rPr>
      </w:pPr>
      <w:bookmarkStart w:id="190" w:name="_Toc95209053"/>
      <w:bookmarkStart w:id="191" w:name="_Toc99107021"/>
      <w:r w:rsidRPr="00A96C80">
        <w:rPr>
          <w:rFonts w:ascii="Arial" w:eastAsia="Times New Roman" w:hAnsi="Arial" w:cs="Arial"/>
          <w:b/>
          <w:bCs/>
          <w:color w:val="9D2235" w:themeColor="accent1"/>
          <w:sz w:val="28"/>
          <w:szCs w:val="28"/>
          <w:lang w:eastAsia="es-ES"/>
        </w:rPr>
        <w:t>Denominación: Ayuntamiento de Cofrentes. Diversas irregularidades en procedimientos de contratación</w:t>
      </w:r>
      <w:bookmarkEnd w:id="190"/>
      <w:bookmarkEnd w:id="191"/>
    </w:p>
    <w:p w14:paraId="3361A1E9" w14:textId="77777777" w:rsidR="00A96C80" w:rsidRPr="00A96C80" w:rsidRDefault="00A96C80" w:rsidP="00A96C80">
      <w:pPr>
        <w:spacing w:after="240" w:line="276" w:lineRule="auto"/>
        <w:jc w:val="both"/>
        <w:rPr>
          <w:rFonts w:ascii="Arial" w:eastAsia="Times New Roman" w:hAnsi="Arial" w:cs="Arial"/>
          <w:sz w:val="21"/>
          <w:szCs w:val="21"/>
          <w:lang w:eastAsia="es-ES"/>
        </w:rPr>
      </w:pPr>
      <w:r w:rsidRPr="00A96C80">
        <w:rPr>
          <w:rFonts w:ascii="Arial" w:eastAsia="Times New Roman" w:hAnsi="Arial" w:cs="Arial"/>
          <w:b/>
          <w:bCs/>
          <w:sz w:val="21"/>
          <w:szCs w:val="21"/>
          <w:lang w:eastAsia="es-ES"/>
        </w:rPr>
        <w:t>Expediente:</w:t>
      </w:r>
      <w:r w:rsidRPr="00A96C80">
        <w:rPr>
          <w:rFonts w:ascii="Arial" w:eastAsia="Times New Roman" w:hAnsi="Arial" w:cs="Arial"/>
          <w:sz w:val="21"/>
          <w:szCs w:val="21"/>
          <w:lang w:eastAsia="es-ES"/>
        </w:rPr>
        <w:t xml:space="preserve"> 2020 G01_01/000216 [59/2019]</w:t>
      </w:r>
    </w:p>
    <w:p w14:paraId="6CC86839" w14:textId="77777777" w:rsidR="00E729AA" w:rsidRDefault="00E729AA" w:rsidP="00E729AA">
      <w:pPr>
        <w:spacing w:after="240" w:line="276" w:lineRule="auto"/>
        <w:rPr>
          <w:rFonts w:ascii="Arial" w:eastAsia="Times New Roman" w:hAnsi="Arial" w:cs="Arial"/>
          <w:bCs/>
          <w:sz w:val="18"/>
          <w:szCs w:val="18"/>
        </w:rPr>
      </w:pPr>
      <w:r w:rsidRPr="00CC3015">
        <w:rPr>
          <w:rFonts w:ascii="Arial" w:eastAsia="Times New Roman" w:hAnsi="Arial" w:cs="Arial"/>
          <w:b/>
          <w:bCs/>
          <w:sz w:val="21"/>
          <w:szCs w:val="21"/>
        </w:rPr>
        <w:t>Enlace a la publicación:</w:t>
      </w:r>
      <w:r w:rsidRPr="00CC3015">
        <w:rPr>
          <w:rFonts w:ascii="Arial" w:eastAsia="Times New Roman" w:hAnsi="Arial" w:cs="Arial"/>
          <w:b/>
          <w:bCs/>
          <w:sz w:val="21"/>
          <w:szCs w:val="21"/>
        </w:rPr>
        <w:br/>
      </w:r>
      <w:hyperlink r:id="rId416" w:history="1">
        <w:r w:rsidRPr="00CC3015">
          <w:rPr>
            <w:rStyle w:val="Hipervnculo"/>
            <w:rFonts w:ascii="Arial" w:eastAsia="Times New Roman" w:hAnsi="Arial" w:cs="Arial"/>
            <w:bCs/>
            <w:sz w:val="18"/>
            <w:szCs w:val="18"/>
          </w:rPr>
          <w:t>http://www.antifraucv.es/wp-content/uploads/2021/03/20210127_AYUNTAMIENTO_DE_COFRENTES.pdf</w:t>
        </w:r>
      </w:hyperlink>
    </w:p>
    <w:p w14:paraId="5F5332FD" w14:textId="77777777" w:rsidR="00E729AA" w:rsidRPr="00A96C80" w:rsidRDefault="00E729AA" w:rsidP="00E729AA">
      <w:pPr>
        <w:spacing w:after="240" w:line="276" w:lineRule="auto"/>
        <w:jc w:val="both"/>
        <w:rPr>
          <w:rFonts w:ascii="Arial" w:eastAsia="Times New Roman" w:hAnsi="Arial" w:cs="Arial"/>
          <w:sz w:val="21"/>
          <w:szCs w:val="21"/>
          <w:lang w:eastAsia="es-ES"/>
        </w:rPr>
      </w:pPr>
      <w:r w:rsidRPr="00A96C80">
        <w:rPr>
          <w:rFonts w:ascii="Arial" w:eastAsia="Times New Roman" w:hAnsi="Arial" w:cs="Arial"/>
          <w:b/>
          <w:bCs/>
          <w:sz w:val="21"/>
          <w:szCs w:val="21"/>
          <w:lang w:eastAsia="es-ES"/>
        </w:rPr>
        <w:t>Descripción:</w:t>
      </w:r>
      <w:r w:rsidRPr="00A96C80">
        <w:rPr>
          <w:rFonts w:ascii="Arial" w:eastAsia="Times New Roman" w:hAnsi="Arial" w:cs="Arial"/>
          <w:sz w:val="21"/>
          <w:szCs w:val="21"/>
          <w:lang w:eastAsia="es-ES"/>
        </w:rPr>
        <w:t xml:space="preserve"> Los hechos denunciados se concretaron</w:t>
      </w:r>
      <w:r>
        <w:rPr>
          <w:rFonts w:ascii="Arial" w:eastAsia="Times New Roman" w:hAnsi="Arial" w:cs="Arial"/>
          <w:sz w:val="21"/>
          <w:szCs w:val="21"/>
          <w:lang w:eastAsia="es-ES"/>
        </w:rPr>
        <w:t>,</w:t>
      </w:r>
      <w:r w:rsidRPr="00A96C80">
        <w:rPr>
          <w:rFonts w:ascii="Arial" w:eastAsia="Times New Roman" w:hAnsi="Arial" w:cs="Arial"/>
          <w:sz w:val="21"/>
          <w:szCs w:val="21"/>
          <w:lang w:eastAsia="es-ES"/>
        </w:rPr>
        <w:t xml:space="preserve"> por un lado</w:t>
      </w:r>
      <w:r>
        <w:rPr>
          <w:rFonts w:ascii="Arial" w:eastAsia="Times New Roman" w:hAnsi="Arial" w:cs="Arial"/>
          <w:sz w:val="21"/>
          <w:szCs w:val="21"/>
          <w:lang w:eastAsia="es-ES"/>
        </w:rPr>
        <w:t>,</w:t>
      </w:r>
      <w:r w:rsidRPr="00A96C80">
        <w:rPr>
          <w:rFonts w:ascii="Arial" w:eastAsia="Times New Roman" w:hAnsi="Arial" w:cs="Arial"/>
          <w:sz w:val="21"/>
          <w:szCs w:val="21"/>
          <w:lang w:eastAsia="es-ES"/>
        </w:rPr>
        <w:t xml:space="preserve"> en el fraccionamiento del objeto del contrato de redes sociales desde 2017 a 2020, tres de ellos además con la misma empresa, y, por otro lado, con relación a los contratos de suministros de cestas de Navidad</w:t>
      </w:r>
      <w:r>
        <w:rPr>
          <w:rFonts w:ascii="Arial" w:eastAsia="Times New Roman" w:hAnsi="Arial" w:cs="Arial"/>
          <w:sz w:val="21"/>
          <w:szCs w:val="21"/>
          <w:lang w:eastAsia="es-ES"/>
        </w:rPr>
        <w:t>,</w:t>
      </w:r>
      <w:r w:rsidRPr="00A96C80">
        <w:rPr>
          <w:rFonts w:ascii="Arial" w:eastAsia="Times New Roman" w:hAnsi="Arial" w:cs="Arial"/>
          <w:sz w:val="21"/>
          <w:szCs w:val="21"/>
          <w:lang w:eastAsia="es-ES"/>
        </w:rPr>
        <w:t xml:space="preserve"> no queda justificada la necesidad de los mismos</w:t>
      </w:r>
      <w:r>
        <w:rPr>
          <w:rFonts w:ascii="Arial" w:eastAsia="Times New Roman" w:hAnsi="Arial" w:cs="Arial"/>
          <w:sz w:val="21"/>
          <w:szCs w:val="21"/>
          <w:lang w:eastAsia="es-ES"/>
        </w:rPr>
        <w:t>,</w:t>
      </w:r>
      <w:r w:rsidRPr="00A96C80">
        <w:rPr>
          <w:rFonts w:ascii="Arial" w:eastAsia="Times New Roman" w:hAnsi="Arial" w:cs="Arial"/>
          <w:sz w:val="21"/>
          <w:szCs w:val="21"/>
          <w:lang w:eastAsia="es-ES"/>
        </w:rPr>
        <w:t xml:space="preserve"> ni el cumplimiento de fin público alguno que tenga por objeto el suministro de cestas de navidad en el ámbito de las competencias del Ayuntamiento de Cofrentes.</w:t>
      </w:r>
    </w:p>
    <w:p w14:paraId="15D7FD7D" w14:textId="77777777" w:rsidR="00E729AA" w:rsidRPr="00A96C80" w:rsidRDefault="00E729AA" w:rsidP="00E729AA">
      <w:pPr>
        <w:spacing w:after="240" w:line="276" w:lineRule="auto"/>
        <w:jc w:val="both"/>
        <w:rPr>
          <w:rFonts w:ascii="Arial" w:eastAsia="Times New Roman" w:hAnsi="Arial" w:cs="Arial"/>
          <w:sz w:val="21"/>
          <w:szCs w:val="21"/>
          <w:lang w:eastAsia="es-ES"/>
        </w:rPr>
      </w:pPr>
      <w:r w:rsidRPr="00A96C80">
        <w:rPr>
          <w:rFonts w:ascii="Arial" w:eastAsia="Times New Roman" w:hAnsi="Arial" w:cs="Arial"/>
          <w:sz w:val="21"/>
          <w:szCs w:val="21"/>
          <w:lang w:eastAsia="es-ES"/>
        </w:rPr>
        <w:t>Tras la instrucción del oportuno procedimiento de investigación se alcanzaron las siguientes conclusiones, por un</w:t>
      </w:r>
      <w:r>
        <w:rPr>
          <w:rFonts w:ascii="Arial" w:eastAsia="Times New Roman" w:hAnsi="Arial" w:cs="Arial"/>
          <w:sz w:val="21"/>
          <w:szCs w:val="21"/>
          <w:lang w:eastAsia="es-ES"/>
        </w:rPr>
        <w:t>a</w:t>
      </w:r>
      <w:r w:rsidRPr="00A96C80">
        <w:rPr>
          <w:rFonts w:ascii="Arial" w:eastAsia="Times New Roman" w:hAnsi="Arial" w:cs="Arial"/>
          <w:sz w:val="21"/>
          <w:szCs w:val="21"/>
          <w:lang w:eastAsia="es-ES"/>
        </w:rPr>
        <w:t xml:space="preserve"> parte</w:t>
      </w:r>
      <w:r>
        <w:rPr>
          <w:rFonts w:ascii="Arial" w:eastAsia="Times New Roman" w:hAnsi="Arial" w:cs="Arial"/>
          <w:sz w:val="21"/>
          <w:szCs w:val="21"/>
          <w:lang w:eastAsia="es-ES"/>
        </w:rPr>
        <w:t>,</w:t>
      </w:r>
      <w:r w:rsidRPr="00A96C80">
        <w:rPr>
          <w:rFonts w:ascii="Arial" w:eastAsia="Times New Roman" w:hAnsi="Arial" w:cs="Arial"/>
          <w:sz w:val="21"/>
          <w:szCs w:val="21"/>
          <w:lang w:eastAsia="es-ES"/>
        </w:rPr>
        <w:t xml:space="preserve"> la decisión de contratar durante cuatro años sucesivos la gestión de redes sociales del Ayuntamiento de Cofrentes no está amparada por el derecho, por otra y respecto al contrato de suministro de cestas de Navidad</w:t>
      </w:r>
      <w:r>
        <w:rPr>
          <w:rFonts w:ascii="Arial" w:eastAsia="Times New Roman" w:hAnsi="Arial" w:cs="Arial"/>
          <w:sz w:val="21"/>
          <w:szCs w:val="21"/>
          <w:lang w:eastAsia="es-ES"/>
        </w:rPr>
        <w:t>,</w:t>
      </w:r>
      <w:r w:rsidRPr="00A96C80">
        <w:rPr>
          <w:rFonts w:ascii="Arial" w:eastAsia="Times New Roman" w:hAnsi="Arial" w:cs="Arial"/>
          <w:sz w:val="21"/>
          <w:szCs w:val="21"/>
          <w:lang w:eastAsia="es-ES"/>
        </w:rPr>
        <w:t xml:space="preserve"> no queda justificada la necesidad del contrato, la entrega de las cestas o lotes de Navidad no son para utilización propia del </w:t>
      </w:r>
      <w:r>
        <w:rPr>
          <w:rFonts w:ascii="Arial" w:eastAsia="Times New Roman" w:hAnsi="Arial" w:cs="Arial"/>
          <w:sz w:val="21"/>
          <w:szCs w:val="21"/>
          <w:lang w:eastAsia="es-ES"/>
        </w:rPr>
        <w:t>A</w:t>
      </w:r>
      <w:r w:rsidRPr="00A96C80">
        <w:rPr>
          <w:rFonts w:ascii="Arial" w:eastAsia="Times New Roman" w:hAnsi="Arial" w:cs="Arial"/>
          <w:sz w:val="21"/>
          <w:szCs w:val="21"/>
          <w:lang w:eastAsia="es-ES"/>
        </w:rPr>
        <w:t>yuntamiento, sino que se adquieren para ser entregadas a terceras personas, por lo que se encuadra en una subvención en especie pero no se ha tramitado expediente alguno de concesión conforme a la Ley General de Subvenciones y Reglamento de desarrollo.</w:t>
      </w:r>
    </w:p>
    <w:p w14:paraId="1A245544" w14:textId="77777777" w:rsidR="00E729AA" w:rsidRPr="00A96C80" w:rsidRDefault="00E729AA" w:rsidP="000C6DA4">
      <w:pPr>
        <w:spacing w:after="240" w:line="276" w:lineRule="auto"/>
        <w:jc w:val="both"/>
        <w:rPr>
          <w:rFonts w:ascii="Arial" w:eastAsia="Times New Roman" w:hAnsi="Arial" w:cs="Arial"/>
          <w:sz w:val="21"/>
          <w:szCs w:val="21"/>
          <w:lang w:eastAsia="es-ES"/>
        </w:rPr>
      </w:pPr>
      <w:r w:rsidRPr="00A96C80">
        <w:rPr>
          <w:rFonts w:ascii="Arial" w:eastAsia="Times New Roman" w:hAnsi="Arial" w:cs="Arial"/>
          <w:b/>
          <w:bCs/>
          <w:sz w:val="21"/>
          <w:szCs w:val="21"/>
          <w:lang w:eastAsia="es-ES"/>
        </w:rPr>
        <w:t>Resultado:</w:t>
      </w:r>
      <w:r w:rsidRPr="00A96C80">
        <w:rPr>
          <w:rFonts w:ascii="Arial" w:eastAsia="Times New Roman" w:hAnsi="Arial" w:cs="Arial"/>
          <w:sz w:val="21"/>
          <w:szCs w:val="21"/>
          <w:lang w:eastAsia="es-ES"/>
        </w:rPr>
        <w:t xml:space="preserve"> Se finaliza el expediente elevando recomendaciones:</w:t>
      </w:r>
    </w:p>
    <w:p w14:paraId="7EE7D5A9" w14:textId="77777777" w:rsidR="00E729AA" w:rsidRPr="00A96C80" w:rsidRDefault="00E729AA" w:rsidP="00E729AA">
      <w:pPr>
        <w:spacing w:after="240" w:line="276" w:lineRule="auto"/>
        <w:jc w:val="both"/>
        <w:rPr>
          <w:rFonts w:ascii="Arial" w:eastAsia="Times New Roman" w:hAnsi="Arial" w:cs="Arial"/>
          <w:sz w:val="21"/>
          <w:szCs w:val="21"/>
          <w:lang w:eastAsia="es-ES"/>
        </w:rPr>
      </w:pPr>
      <w:r w:rsidRPr="00A96C80">
        <w:rPr>
          <w:rFonts w:ascii="Arial" w:eastAsia="Times New Roman" w:hAnsi="Arial" w:cs="Arial"/>
          <w:sz w:val="21"/>
          <w:szCs w:val="21"/>
          <w:lang w:eastAsia="es-ES"/>
        </w:rPr>
        <w:t>Con relación a los expedientes de contratación de gestión de redes sociales</w:t>
      </w:r>
      <w:r>
        <w:rPr>
          <w:rFonts w:ascii="Arial" w:eastAsia="Times New Roman" w:hAnsi="Arial" w:cs="Arial"/>
          <w:sz w:val="21"/>
          <w:szCs w:val="21"/>
          <w:lang w:eastAsia="es-ES"/>
        </w:rPr>
        <w:t>,</w:t>
      </w:r>
      <w:r w:rsidRPr="00A96C80">
        <w:rPr>
          <w:rFonts w:ascii="Arial" w:eastAsia="Times New Roman" w:hAnsi="Arial" w:cs="Arial"/>
          <w:sz w:val="21"/>
          <w:szCs w:val="21"/>
          <w:lang w:eastAsia="es-ES"/>
        </w:rPr>
        <w:t xml:space="preserve"> debe procederse a la realización de un plan de implementación</w:t>
      </w:r>
      <w:r>
        <w:rPr>
          <w:rFonts w:ascii="Arial" w:eastAsia="Times New Roman" w:hAnsi="Arial" w:cs="Arial"/>
          <w:sz w:val="21"/>
          <w:szCs w:val="21"/>
          <w:lang w:eastAsia="es-ES"/>
        </w:rPr>
        <w:t>,</w:t>
      </w:r>
      <w:r w:rsidRPr="00A96C80">
        <w:rPr>
          <w:rFonts w:ascii="Arial" w:eastAsia="Times New Roman" w:hAnsi="Arial" w:cs="Arial"/>
          <w:sz w:val="21"/>
          <w:szCs w:val="21"/>
          <w:lang w:eastAsia="es-ES"/>
        </w:rPr>
        <w:t xml:space="preserve"> con el objetivo de dar cobertura contractual a los servicios de gestión de redes sociales mediante el procedimiento de contratación que legalmente corresponde. Respecto a los contratos de suministro de cestas de Navidad</w:t>
      </w:r>
      <w:r>
        <w:rPr>
          <w:rFonts w:ascii="Arial" w:eastAsia="Times New Roman" w:hAnsi="Arial" w:cs="Arial"/>
          <w:sz w:val="21"/>
          <w:szCs w:val="21"/>
          <w:lang w:eastAsia="es-ES"/>
        </w:rPr>
        <w:t>,</w:t>
      </w:r>
      <w:r w:rsidRPr="00A96C80">
        <w:rPr>
          <w:rFonts w:ascii="Arial" w:eastAsia="Times New Roman" w:hAnsi="Arial" w:cs="Arial"/>
          <w:sz w:val="21"/>
          <w:szCs w:val="21"/>
          <w:lang w:eastAsia="es-ES"/>
        </w:rPr>
        <w:t xml:space="preserve"> debe procederse a la realización de un plan de implementación</w:t>
      </w:r>
      <w:r>
        <w:rPr>
          <w:rFonts w:ascii="Arial" w:eastAsia="Times New Roman" w:hAnsi="Arial" w:cs="Arial"/>
          <w:sz w:val="21"/>
          <w:szCs w:val="21"/>
          <w:lang w:eastAsia="es-ES"/>
        </w:rPr>
        <w:t>,</w:t>
      </w:r>
      <w:r w:rsidRPr="00A96C80">
        <w:rPr>
          <w:rFonts w:ascii="Arial" w:eastAsia="Times New Roman" w:hAnsi="Arial" w:cs="Arial"/>
          <w:sz w:val="21"/>
          <w:szCs w:val="21"/>
          <w:lang w:eastAsia="es-ES"/>
        </w:rPr>
        <w:t xml:space="preserve"> con el objetivo de acreditar la necesidad de contratación de este tipo de suministros.</w:t>
      </w:r>
    </w:p>
    <w:p w14:paraId="0A30956C" w14:textId="1EFCAAEF" w:rsidR="00377F12" w:rsidRDefault="00E729AA" w:rsidP="00E729AA">
      <w:pPr>
        <w:spacing w:after="240" w:line="276" w:lineRule="auto"/>
        <w:jc w:val="both"/>
        <w:rPr>
          <w:rFonts w:ascii="Arial" w:eastAsia="Times New Roman" w:hAnsi="Arial" w:cs="Arial"/>
          <w:sz w:val="21"/>
          <w:szCs w:val="21"/>
          <w:lang w:eastAsia="es-ES"/>
        </w:rPr>
      </w:pPr>
      <w:r w:rsidRPr="00A96C80">
        <w:rPr>
          <w:rFonts w:ascii="Arial" w:eastAsia="Times New Roman" w:hAnsi="Arial" w:cs="Arial"/>
          <w:b/>
          <w:bCs/>
          <w:sz w:val="21"/>
          <w:szCs w:val="21"/>
          <w:lang w:eastAsia="es-ES"/>
        </w:rPr>
        <w:t>Fase de seguimiento:</w:t>
      </w:r>
      <w:r w:rsidRPr="00A96C80">
        <w:rPr>
          <w:rFonts w:ascii="Arial" w:eastAsia="Times New Roman" w:hAnsi="Arial" w:cs="Arial"/>
          <w:sz w:val="21"/>
          <w:szCs w:val="21"/>
          <w:lang w:eastAsia="es-ES"/>
        </w:rPr>
        <w:t xml:space="preserve"> El Ayuntamiento de Cofrentes no ha presentado los planes de implementación solicitados</w:t>
      </w:r>
      <w:r w:rsidRPr="00CC3015">
        <w:rPr>
          <w:rFonts w:ascii="Arial" w:eastAsia="Times New Roman" w:hAnsi="Arial" w:cs="Arial"/>
          <w:sz w:val="21"/>
          <w:szCs w:val="21"/>
          <w:lang w:eastAsia="es-ES"/>
        </w:rPr>
        <w:t xml:space="preserve">, </w:t>
      </w:r>
      <w:r w:rsidRPr="00CC3015">
        <w:rPr>
          <w:rFonts w:ascii="Arial" w:eastAsia="Times New Roman" w:hAnsi="Arial" w:cs="Arial"/>
          <w:b/>
          <w:bCs/>
          <w:sz w:val="21"/>
          <w:szCs w:val="21"/>
          <w:lang w:eastAsia="es-ES"/>
        </w:rPr>
        <w:t xml:space="preserve">habiéndose incumplido las recomendaciones realizadas por la AVAF, lo que se constató </w:t>
      </w:r>
      <w:r w:rsidRPr="00CC3015">
        <w:rPr>
          <w:rFonts w:ascii="Arial" w:eastAsia="Times New Roman" w:hAnsi="Arial" w:cs="Arial"/>
          <w:sz w:val="21"/>
          <w:szCs w:val="21"/>
          <w:lang w:eastAsia="es-ES"/>
        </w:rPr>
        <w:t xml:space="preserve">mediante Resolución del director de la Agencia núm. 867 de 1 de diciembre de 2021. </w:t>
      </w:r>
      <w:bookmarkStart w:id="192" w:name="_Hlk96327584"/>
      <w:r w:rsidRPr="00CC3015">
        <w:rPr>
          <w:rFonts w:ascii="Arial" w:eastAsia="Times New Roman" w:hAnsi="Arial" w:cs="Arial"/>
          <w:sz w:val="21"/>
          <w:szCs w:val="21"/>
          <w:lang w:eastAsia="es-ES"/>
        </w:rPr>
        <w:t>Acreditado este incumplimiento, se hace constar en esta Memoria de actividad 2021</w:t>
      </w:r>
      <w:bookmarkEnd w:id="192"/>
      <w:r w:rsidRPr="00CC3015">
        <w:rPr>
          <w:rFonts w:ascii="Arial" w:eastAsia="Times New Roman" w:hAnsi="Arial" w:cs="Arial"/>
          <w:sz w:val="21"/>
          <w:szCs w:val="21"/>
          <w:lang w:eastAsia="es-ES"/>
        </w:rPr>
        <w:t>.</w:t>
      </w:r>
    </w:p>
    <w:p w14:paraId="53145FC8" w14:textId="77777777" w:rsidR="005125D1" w:rsidRPr="005125D1" w:rsidRDefault="005125D1" w:rsidP="00AC1A12">
      <w:pPr>
        <w:pStyle w:val="Prrafodelista"/>
        <w:keepNext/>
        <w:numPr>
          <w:ilvl w:val="2"/>
          <w:numId w:val="17"/>
        </w:numPr>
        <w:tabs>
          <w:tab w:val="clear" w:pos="794"/>
          <w:tab w:val="num" w:pos="851"/>
        </w:tabs>
        <w:spacing w:before="360" w:after="240" w:line="276" w:lineRule="auto"/>
        <w:ind w:left="851" w:hanging="930"/>
        <w:jc w:val="both"/>
        <w:outlineLvl w:val="2"/>
        <w:rPr>
          <w:rFonts w:ascii="Arial" w:eastAsia="Times New Roman" w:hAnsi="Arial" w:cs="Arial"/>
          <w:b/>
          <w:bCs/>
          <w:color w:val="9D2235" w:themeColor="accent1"/>
          <w:sz w:val="28"/>
          <w:szCs w:val="28"/>
          <w:lang w:eastAsia="es-ES"/>
        </w:rPr>
      </w:pPr>
      <w:bookmarkStart w:id="193" w:name="_Toc95209054"/>
      <w:bookmarkStart w:id="194" w:name="_Toc99107022"/>
      <w:r w:rsidRPr="00E729AA">
        <w:rPr>
          <w:rFonts w:ascii="Arial" w:eastAsia="Times New Roman" w:hAnsi="Arial" w:cs="Arial"/>
          <w:b/>
          <w:bCs/>
          <w:color w:val="9D2235" w:themeColor="accent1"/>
          <w:sz w:val="28"/>
          <w:szCs w:val="28"/>
          <w:lang w:eastAsia="es-ES"/>
        </w:rPr>
        <w:t>Denomin</w:t>
      </w:r>
      <w:r w:rsidRPr="005125D1">
        <w:rPr>
          <w:rFonts w:ascii="Arial" w:eastAsia="Times New Roman" w:hAnsi="Arial" w:cs="Arial"/>
          <w:b/>
          <w:bCs/>
          <w:color w:val="9D2235" w:themeColor="accent1"/>
          <w:sz w:val="28"/>
          <w:szCs w:val="28"/>
          <w:lang w:eastAsia="es-ES"/>
        </w:rPr>
        <w:t>ación: Ayuntamiento de València. Responsabilidad administrativa y/o contable</w:t>
      </w:r>
      <w:bookmarkEnd w:id="193"/>
      <w:bookmarkEnd w:id="194"/>
    </w:p>
    <w:p w14:paraId="6C32E468" w14:textId="77777777" w:rsidR="00E729AA" w:rsidRDefault="005125D1" w:rsidP="000D5E0B">
      <w:pPr>
        <w:spacing w:after="240" w:line="276" w:lineRule="auto"/>
        <w:jc w:val="both"/>
        <w:rPr>
          <w:rFonts w:ascii="Arial" w:eastAsia="Times New Roman" w:hAnsi="Arial" w:cs="Arial"/>
          <w:sz w:val="21"/>
          <w:szCs w:val="21"/>
          <w:lang w:eastAsia="es-ES"/>
        </w:rPr>
      </w:pPr>
      <w:r w:rsidRPr="005125D1">
        <w:rPr>
          <w:rFonts w:ascii="Arial" w:eastAsia="Times New Roman" w:hAnsi="Arial" w:cs="Arial"/>
          <w:b/>
          <w:bCs/>
          <w:sz w:val="21"/>
          <w:szCs w:val="21"/>
          <w:lang w:eastAsia="es-ES"/>
        </w:rPr>
        <w:t>Expediente:</w:t>
      </w:r>
      <w:r w:rsidRPr="005125D1">
        <w:rPr>
          <w:rFonts w:ascii="Arial" w:eastAsia="Times New Roman" w:hAnsi="Arial" w:cs="Arial"/>
          <w:sz w:val="21"/>
          <w:szCs w:val="21"/>
          <w:lang w:eastAsia="es-ES"/>
        </w:rPr>
        <w:t xml:space="preserve"> 2020 G01_01/239 [128/2019]</w:t>
      </w:r>
    </w:p>
    <w:p w14:paraId="3030C92B"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17" w:history="1">
        <w:r w:rsidRPr="00E729AA">
          <w:rPr>
            <w:rFonts w:ascii="Arial" w:eastAsia="Times New Roman" w:hAnsi="Arial" w:cs="Arial"/>
            <w:bCs/>
            <w:color w:val="000080"/>
            <w:sz w:val="18"/>
            <w:szCs w:val="18"/>
            <w:u w:val="single"/>
          </w:rPr>
          <w:t>http://www.antifraucv.es/wp-content/uploads/2021/03/20210127_AYUNTAMIENTO_DE_VALENCIA.pdf</w:t>
        </w:r>
      </w:hyperlink>
    </w:p>
    <w:p w14:paraId="5AA24C0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Descripción: </w:t>
      </w:r>
      <w:r w:rsidRPr="00E729AA">
        <w:rPr>
          <w:rFonts w:ascii="Arial" w:eastAsia="Times New Roman" w:hAnsi="Arial" w:cs="Arial"/>
          <w:sz w:val="21"/>
          <w:szCs w:val="21"/>
          <w:lang w:eastAsia="es-ES"/>
        </w:rPr>
        <w:t>Los hechos denunciados, se concretaron en la prestación de servicios en el punto de encuentro familiar de la ciudad de València, sin contrato desde el 1 de octubre de 2015 con una asociación, desde el 1 de enero de 2017, los servicios prestados por profesionales a través de sus colegios recurrieron a la vía del enriquecimiento injusto y los acuerdos de “encargos” sin seguir procedimiento de contratación exigible.</w:t>
      </w:r>
    </w:p>
    <w:p w14:paraId="1F4BF82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evidenció un retraso injustificado en el procedimiento de contratación de los servicios del Punto de Encuentro Familiar que, además, desde la entrada en vigor de la Ley 26/2018, de 21 de diciembre, de la Generalitat, de derechos y garantías de la Infancia y la Adolescencia de 2018, es una competencia de la Generalitat y no del Ayuntamiento de València.</w:t>
      </w:r>
    </w:p>
    <w:p w14:paraId="407C6FF9"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Las medidas adoptadas por el Ayuntamiento para solucionar la situación han consistido en:</w:t>
      </w:r>
    </w:p>
    <w:p w14:paraId="00E081F2" w14:textId="77777777" w:rsidR="00E729AA" w:rsidRPr="00E729AA" w:rsidRDefault="00E729AA" w:rsidP="000C6DA4">
      <w:pPr>
        <w:numPr>
          <w:ilvl w:val="0"/>
          <w:numId w:val="40"/>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Adopción del acuerdo, de fecha 18 de diciembre de 2020, por parte de la Junta de Gobierno Local, de dar por finalizada la prestación municipal correspondiente al Punto de Encuentro Familiar con fecha 30 junio de 2021.</w:t>
      </w:r>
    </w:p>
    <w:p w14:paraId="3FE5D643" w14:textId="77777777" w:rsidR="00E729AA" w:rsidRPr="00E729AA" w:rsidRDefault="00E729AA" w:rsidP="00E729AA">
      <w:pPr>
        <w:numPr>
          <w:ilvl w:val="0"/>
          <w:numId w:val="40"/>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Solicitar la compensación por los costes en que ha incurrido durante los ejercicios 2019 y 2020, debido a la prestación del Punto de Encuentro Familiar de València a la Conselleria de Igualdad y Políticas Inclusivas.</w:t>
      </w:r>
    </w:p>
    <w:p w14:paraId="6F59AEC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xml:space="preserve"> Formulación de recomendaciones en materia organizativa y en materia de procedimiento de revisión al Ayuntamiento de València.</w:t>
      </w:r>
    </w:p>
    <w:p w14:paraId="5E92861E"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Finalizada la fase de seguimiento, el Ayuntamiento de València ha aceptado parcialmente las recomendaciones propuestas, y han sido objeto de justificación sobre las causas de su inobservancia las no aceptadas. </w:t>
      </w:r>
      <w:r w:rsidRPr="00E729AA">
        <w:rPr>
          <w:rFonts w:ascii="Arial" w:eastAsia="Times New Roman" w:hAnsi="Arial" w:cs="Arial"/>
          <w:b/>
          <w:bCs/>
          <w:sz w:val="21"/>
          <w:szCs w:val="21"/>
          <w:lang w:eastAsia="es-ES"/>
        </w:rPr>
        <w:t>Se ha acreditado el acuerdo del Consell, de 30 de abril de 2021, de resarcimiento de daños 12/2021 al Ayuntamiento por importe de 524.905,59 €.</w:t>
      </w:r>
    </w:p>
    <w:p w14:paraId="363022E9" w14:textId="77777777" w:rsidR="00E729AA" w:rsidRPr="00E729AA" w:rsidRDefault="00E729AA" w:rsidP="00F61CAF">
      <w:pPr>
        <w:keepNext/>
        <w:numPr>
          <w:ilvl w:val="2"/>
          <w:numId w:val="17"/>
        </w:numPr>
        <w:tabs>
          <w:tab w:val="clear" w:pos="794"/>
          <w:tab w:val="num" w:pos="851"/>
        </w:tabs>
        <w:spacing w:before="360" w:after="240" w:line="276" w:lineRule="auto"/>
        <w:ind w:left="851" w:hanging="930"/>
        <w:jc w:val="both"/>
        <w:outlineLvl w:val="2"/>
        <w:rPr>
          <w:rFonts w:ascii="Arial" w:eastAsia="Times New Roman" w:hAnsi="Arial" w:cs="Arial"/>
          <w:b/>
          <w:bCs/>
          <w:color w:val="9D2235" w:themeColor="accent1"/>
          <w:sz w:val="28"/>
          <w:szCs w:val="28"/>
          <w:lang w:eastAsia="es-ES"/>
        </w:rPr>
      </w:pPr>
      <w:bookmarkStart w:id="195" w:name="_Toc95209055"/>
      <w:bookmarkStart w:id="196" w:name="_Toc95913847"/>
      <w:bookmarkStart w:id="197" w:name="_Toc99107023"/>
      <w:r w:rsidRPr="00E729AA">
        <w:rPr>
          <w:rFonts w:ascii="Arial" w:eastAsia="Times New Roman" w:hAnsi="Arial" w:cs="Arial"/>
          <w:b/>
          <w:bCs/>
          <w:color w:val="9D2235" w:themeColor="accent1"/>
          <w:sz w:val="28"/>
          <w:szCs w:val="28"/>
          <w:lang w:eastAsia="es-ES"/>
        </w:rPr>
        <w:t>Denominación: Ayuntamiento de Cullera. Oposiciones Policía Local</w:t>
      </w:r>
      <w:bookmarkEnd w:id="195"/>
      <w:bookmarkEnd w:id="196"/>
      <w:bookmarkEnd w:id="197"/>
    </w:p>
    <w:p w14:paraId="6FB821B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2020/G01_01/000006 [167/2019]</w:t>
      </w:r>
    </w:p>
    <w:p w14:paraId="05F1E729"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18" w:history="1">
        <w:r w:rsidRPr="00E729AA">
          <w:rPr>
            <w:rFonts w:ascii="Arial" w:eastAsia="Times New Roman" w:hAnsi="Arial" w:cs="Arial"/>
            <w:bCs/>
            <w:color w:val="000080"/>
            <w:sz w:val="18"/>
            <w:szCs w:val="18"/>
            <w:u w:val="single"/>
          </w:rPr>
          <w:t>http://www.antifraucv.es/wp-content/uploads/2021/03/20210209_AYUNTAMIENTO_DE_CULLERA.pdf</w:t>
        </w:r>
      </w:hyperlink>
    </w:p>
    <w:p w14:paraId="2C3DD19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que, durante la tramitación del proceso selectivo mediante concurso-oposición libre, por el procedimiento extraordinario de consolidación de empleo, de 15 plazas correspondientes a la categoría de agente del cuerpo de Policía Local del Ayuntamiento de Cullera, los 15 aspirantes que obtienen las calificaciones más altas en el cuestionario tipo test son funcionarios interinos del Ayuntamiento de Cullera.</w:t>
      </w:r>
    </w:p>
    <w:p w14:paraId="5A9F0C9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Tras el estudio en detalle de la totalidad de la documentación y, tras las alegaciones presentadas por el Ayuntamiento de Cullera, se concluye en síntesis que el Tribunal de selección no garantizó el anonimato de los aspirantes en la prueba teórica tipo test del proceso selectivo. </w:t>
      </w:r>
    </w:p>
    <w:p w14:paraId="22B3ACB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Aunque el Ayuntamiento de Cullera ha manifestado en su escrito de alegaciones, que no se ha interpuesto recurso de alzada o contencioso-administrativo a lo largo del procedimiento y que el tribunal de selección no dispone de espacio de apreciación en una prueba tipo test, ello no obvia que deba garantizarse el anonimato de los opositores, ya que el Real Decreto 896/1991, en su artículo 4.1 c), no distingue entre diferentes tipos de pruebas.</w:t>
      </w:r>
    </w:p>
    <w:p w14:paraId="61F4CAF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verificado que todos los aspirantes que obtienen las calificaciones más altas, tanto en el supuesto teórico tipo test (en el que no se garantizó el anonimato de los aspirantes), como en el supuesto práctico (en el que sí se garantizó dicho anonimato), eran funcionarios interinos del Ayuntamiento de Cullera en el momento de celebrarse el procedimiento selectivo.</w:t>
      </w:r>
    </w:p>
    <w:p w14:paraId="071BE05F"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las siguientes recomendaciones:</w:t>
      </w:r>
    </w:p>
    <w:p w14:paraId="537B402D" w14:textId="77777777" w:rsidR="00E729AA" w:rsidRPr="00E729AA" w:rsidRDefault="00E729AA" w:rsidP="000C6DA4">
      <w:pPr>
        <w:numPr>
          <w:ilvl w:val="0"/>
          <w:numId w:val="41"/>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proceda a iniciar la revisión de oficio del expediente tramitado, con motivo de proceso selectivo mediante concurso-oposición libre por el procedimiento extraordinario de consolidación de empleo, de 15 plazas correspondientes a la categoría de agente del cuerpo de Policía Local del Ayuntamiento de Cullera.</w:t>
      </w:r>
    </w:p>
    <w:p w14:paraId="3A59E9DF" w14:textId="77777777" w:rsidR="00E729AA" w:rsidRPr="00E729AA" w:rsidRDefault="00E729AA" w:rsidP="00E729AA">
      <w:pPr>
        <w:numPr>
          <w:ilvl w:val="0"/>
          <w:numId w:val="41"/>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proceda, en el plazo de 2 meses, a comunicar a la Agencia Valenciana Antifraude las actuaciones realizadas por el Ayuntamiento de Cullera en relación con el apartado anterior, o en su caso, sobre los motivos que pudieran impedir actuar de acuerdo con tales recomendaciones.</w:t>
      </w:r>
    </w:p>
    <w:p w14:paraId="266DDC9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i/>
          <w:iCs/>
          <w:sz w:val="21"/>
          <w:szCs w:val="21"/>
          <w:lang w:eastAsia="es-ES"/>
        </w:rPr>
        <w:t xml:space="preserve"> </w:t>
      </w:r>
      <w:r w:rsidRPr="00E729AA">
        <w:rPr>
          <w:rFonts w:ascii="Arial" w:eastAsia="Times New Roman" w:hAnsi="Arial" w:cs="Arial"/>
          <w:sz w:val="21"/>
          <w:szCs w:val="21"/>
          <w:lang w:eastAsia="es-ES"/>
        </w:rPr>
        <w:t>Tras el estudio de los motivos jurídicos aducidos por el Ayuntamiento de Cullera, para no aplicar la recomendación efectuada por la Agencia Valenciana Antifraude en la fase de investigación del presente expediente, se concluye que procede tener en consideración la justificación jurídica expuesta y, en consecuencia, se finaliza el expediente.</w:t>
      </w:r>
    </w:p>
    <w:p w14:paraId="5FB458C2" w14:textId="5B3897B3" w:rsid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traslada la resolución de conclusión de actuaciones y la resolución de la fase de seguimiento a la Agencia Valenciana de Seguridad y Respuesta a las Emergencias.</w:t>
      </w:r>
    </w:p>
    <w:p w14:paraId="252086F8" w14:textId="77777777" w:rsidR="00EC27A7" w:rsidRPr="00E729AA" w:rsidRDefault="00EC27A7" w:rsidP="00E729AA">
      <w:pPr>
        <w:spacing w:after="240" w:line="276" w:lineRule="auto"/>
        <w:jc w:val="both"/>
        <w:rPr>
          <w:rFonts w:ascii="Arial" w:eastAsia="Times New Roman" w:hAnsi="Arial" w:cs="Arial"/>
          <w:sz w:val="21"/>
          <w:szCs w:val="21"/>
          <w:lang w:eastAsia="es-ES"/>
        </w:rPr>
      </w:pPr>
    </w:p>
    <w:p w14:paraId="24BDE464" w14:textId="77777777" w:rsidR="00E729AA" w:rsidRPr="00E729AA" w:rsidRDefault="00E729AA" w:rsidP="00F61CAF">
      <w:pPr>
        <w:keepNext/>
        <w:numPr>
          <w:ilvl w:val="2"/>
          <w:numId w:val="17"/>
        </w:numPr>
        <w:tabs>
          <w:tab w:val="clear" w:pos="794"/>
          <w:tab w:val="num" w:pos="851"/>
        </w:tabs>
        <w:spacing w:before="360" w:after="240" w:line="276" w:lineRule="auto"/>
        <w:ind w:left="851" w:hanging="930"/>
        <w:jc w:val="both"/>
        <w:outlineLvl w:val="2"/>
        <w:rPr>
          <w:rFonts w:ascii="Arial" w:eastAsia="Times New Roman" w:hAnsi="Arial" w:cs="Arial"/>
          <w:b/>
          <w:bCs/>
          <w:color w:val="9D2235" w:themeColor="accent1"/>
          <w:sz w:val="28"/>
          <w:szCs w:val="28"/>
          <w:lang w:eastAsia="es-ES"/>
        </w:rPr>
      </w:pPr>
      <w:bookmarkStart w:id="198" w:name="_Toc95209056"/>
      <w:bookmarkStart w:id="199" w:name="_Toc95913848"/>
      <w:bookmarkStart w:id="200" w:name="_Toc99107024"/>
      <w:r w:rsidRPr="00E729AA">
        <w:rPr>
          <w:rFonts w:ascii="Arial" w:eastAsia="Times New Roman" w:hAnsi="Arial" w:cs="Arial"/>
          <w:b/>
          <w:bCs/>
          <w:color w:val="9D2235" w:themeColor="accent1"/>
          <w:sz w:val="28"/>
          <w:szCs w:val="28"/>
          <w:lang w:eastAsia="es-ES"/>
        </w:rPr>
        <w:t>Denominación: Ayuntamiento de Rojales. Irregularidades en el pago de servicios extraordinarios a funcionarios con dedicación exclusiva</w:t>
      </w:r>
      <w:bookmarkEnd w:id="198"/>
      <w:bookmarkEnd w:id="199"/>
      <w:bookmarkEnd w:id="200"/>
    </w:p>
    <w:p w14:paraId="23EFA8F8"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Expediente: </w:t>
      </w:r>
      <w:r w:rsidRPr="00E729AA">
        <w:rPr>
          <w:rFonts w:ascii="Arial" w:eastAsia="Times New Roman" w:hAnsi="Arial" w:cs="Arial"/>
          <w:sz w:val="21"/>
          <w:szCs w:val="21"/>
          <w:lang w:eastAsia="es-ES"/>
        </w:rPr>
        <w:t>2020/G01_01/000256 [151-2019]</w:t>
      </w:r>
    </w:p>
    <w:p w14:paraId="3C32075D"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19" w:history="1">
        <w:r w:rsidRPr="00E729AA">
          <w:rPr>
            <w:rFonts w:ascii="Arial" w:eastAsia="Times New Roman" w:hAnsi="Arial" w:cs="Arial"/>
            <w:bCs/>
            <w:color w:val="000080"/>
            <w:sz w:val="18"/>
            <w:szCs w:val="18"/>
            <w:u w:val="single"/>
          </w:rPr>
          <w:t>http://www.antifraucv.es/wp-content/uploads/2021/03/20210217_AYUNTAMIENTO_DE_ROJALES.pdf</w:t>
        </w:r>
      </w:hyperlink>
    </w:p>
    <w:p w14:paraId="6651496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Los hechos denunciados se concretan en el pago del factor de especial disponibilidad, aprobado para la Policía Local durante los meses de julio de 2017 a junio de 2018, a dos funcionarios municipales a los cuales se les está retribuyendo supuestamente dos veces por el mismo concepto.</w:t>
      </w:r>
    </w:p>
    <w:p w14:paraId="57792332"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Tras la instrucción del oportuno procedimiento de investigación, se evidenció: </w:t>
      </w:r>
    </w:p>
    <w:p w14:paraId="5D4812E6" w14:textId="77777777" w:rsidR="00E729AA" w:rsidRPr="00E729AA" w:rsidRDefault="00E729AA" w:rsidP="000C6DA4">
      <w:pPr>
        <w:numPr>
          <w:ilvl w:val="0"/>
          <w:numId w:val="42"/>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la Relación de Puestos de trabajo, no se encuentran definidos el detalle de los factores y subfactores tenidos en cuenta a la hora de valorar y fijar el montante del complemento específico de cada puesto de trabajo.</w:t>
      </w:r>
    </w:p>
    <w:p w14:paraId="3109E450" w14:textId="77777777" w:rsidR="00E729AA" w:rsidRPr="00E729AA" w:rsidRDefault="00E729AA" w:rsidP="000C6DA4">
      <w:pPr>
        <w:numPr>
          <w:ilvl w:val="0"/>
          <w:numId w:val="42"/>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Ayuntamiento de Rojales, al aprobar en septiembre de 2017 un “Reglamento de Disponibilidad” aplicable a la policía local, de facto estaba modificando el número de horas anuales a realizar por este colectivo, y regulando una retribución fija mensual por la realización de un número de horas anuales por encima de la jornada ordinaria. Aspectos que deben ser incluidos y regulados en la RPT del Ayuntamiento, la cual debió modificarse para ello. Todo ello ha generado la confusión de si es compatible o no la retribución del factor de la RPT “plena disponibilidad” con el régimen regulado en el Reglamento de Disponibilidad aprobado en 2017.</w:t>
      </w:r>
    </w:p>
    <w:p w14:paraId="638893F9" w14:textId="77777777" w:rsidR="00E729AA" w:rsidRPr="00E729AA" w:rsidRDefault="00E729AA" w:rsidP="000C6DA4">
      <w:pPr>
        <w:numPr>
          <w:ilvl w:val="0"/>
          <w:numId w:val="42"/>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Las motivaciones que pretenden ser cubiertas por el Reglamento de Disponibilidad responden a situaciones que se van a producir ordinariamente cada ejercicio, por lo que, al no tener un carácter extraordinario, deberían cubrirse esas funciones y la retribución de las misma en la RPT del Ayuntamiento. </w:t>
      </w:r>
    </w:p>
    <w:p w14:paraId="09A1992B" w14:textId="77777777" w:rsidR="00E729AA" w:rsidRPr="00E729AA" w:rsidRDefault="00E729AA" w:rsidP="00E729AA">
      <w:pPr>
        <w:numPr>
          <w:ilvl w:val="0"/>
          <w:numId w:val="42"/>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La disponibilidad y la mayor dedicación, entendida esta última como una mayor dedicación horaria superior a la jornada habitual, deben valorarse objetivamente en el manual de valoración de la RPT y aplicarse a aquellos puestos que por las funciones ordinarias y habituales para su desempeño así lo requieren. </w:t>
      </w:r>
    </w:p>
    <w:p w14:paraId="177DB4B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xml:space="preserve"> Formulación de recomendaciones al Ayuntamiento de Rojales, requiriendo</w:t>
      </w:r>
      <w:r w:rsidRPr="00E729AA">
        <w:rPr>
          <w:rFonts w:ascii="Arial" w:eastAsia="Times New Roman" w:hAnsi="Arial" w:cs="Arial"/>
          <w:b/>
          <w:bCs/>
          <w:sz w:val="21"/>
          <w:szCs w:val="21"/>
          <w:lang w:eastAsia="es-ES"/>
        </w:rPr>
        <w:t xml:space="preserve"> la aprobación de una nueva relación de puestos de trabajo, </w:t>
      </w:r>
      <w:r w:rsidRPr="00E729AA">
        <w:rPr>
          <w:rFonts w:ascii="Arial" w:eastAsia="Times New Roman" w:hAnsi="Arial" w:cs="Arial"/>
          <w:sz w:val="21"/>
          <w:szCs w:val="21"/>
          <w:lang w:eastAsia="es-ES"/>
        </w:rPr>
        <w:t>en la que se fije un sistema objetivo que precise las retribuciones complementarias a través de un análisis previo y una valoración objetiva de los puestos, y establezca los niveles de complemento de destino y complemento específico ajustados a esa evaluación.</w:t>
      </w:r>
    </w:p>
    <w:p w14:paraId="4C8A2C1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Finalizada la fase de seguimiento,</w:t>
      </w:r>
      <w:r w:rsidRPr="00E729AA">
        <w:rPr>
          <w:rFonts w:ascii="Arial" w:eastAsia="NSimSun" w:hAnsi="Arial" w:cs="Arial"/>
          <w:kern w:val="2"/>
          <w:sz w:val="21"/>
          <w:szCs w:val="21"/>
          <w:lang w:eastAsia="zh-CN" w:bidi="hi-IN"/>
        </w:rPr>
        <w:t xml:space="preserve"> </w:t>
      </w:r>
      <w:r w:rsidRPr="00E729AA">
        <w:rPr>
          <w:rFonts w:ascii="Arial" w:eastAsia="NSimSun" w:hAnsi="Arial" w:cs="Arial"/>
          <w:b/>
          <w:bCs/>
          <w:kern w:val="2"/>
          <w:sz w:val="21"/>
          <w:szCs w:val="21"/>
          <w:lang w:eastAsia="zh-CN" w:bidi="hi-IN"/>
        </w:rPr>
        <w:t>se han incumplido por el Ayuntamiento de Rojales las recomendaciones propuestas por la AVAF</w:t>
      </w:r>
      <w:r w:rsidRPr="00E729AA">
        <w:rPr>
          <w:rFonts w:ascii="Arial" w:eastAsia="NSimSun" w:hAnsi="Arial" w:cs="Arial"/>
          <w:kern w:val="2"/>
          <w:sz w:val="21"/>
          <w:szCs w:val="21"/>
          <w:lang w:eastAsia="zh-CN" w:bidi="hi-IN"/>
        </w:rPr>
        <w:t>, lo que se constató mediante Resolución del director de la Agencia núm. 908, de 14 diciembre de 2021</w:t>
      </w:r>
      <w:r w:rsidRPr="00E729AA">
        <w:rPr>
          <w:rFonts w:ascii="Arial" w:eastAsia="Times New Roman" w:hAnsi="Arial" w:cs="Arial"/>
          <w:sz w:val="21"/>
          <w:szCs w:val="21"/>
          <w:lang w:eastAsia="es-ES"/>
        </w:rPr>
        <w:t>.</w:t>
      </w:r>
    </w:p>
    <w:p w14:paraId="6BC9575F" w14:textId="77777777" w:rsidR="00E729AA" w:rsidRPr="00E729AA" w:rsidRDefault="00E729AA" w:rsidP="00F61CAF">
      <w:pPr>
        <w:keepNext/>
        <w:numPr>
          <w:ilvl w:val="2"/>
          <w:numId w:val="17"/>
        </w:numPr>
        <w:tabs>
          <w:tab w:val="clear" w:pos="794"/>
          <w:tab w:val="num" w:pos="851"/>
        </w:tabs>
        <w:spacing w:before="360" w:after="240" w:line="276" w:lineRule="auto"/>
        <w:ind w:left="851" w:hanging="930"/>
        <w:jc w:val="both"/>
        <w:outlineLvl w:val="2"/>
        <w:rPr>
          <w:rFonts w:ascii="Arial" w:eastAsia="Times New Roman" w:hAnsi="Arial" w:cs="Arial"/>
          <w:b/>
          <w:bCs/>
          <w:color w:val="9D2235" w:themeColor="accent1"/>
          <w:sz w:val="28"/>
          <w:szCs w:val="28"/>
          <w:lang w:eastAsia="es-ES"/>
        </w:rPr>
      </w:pPr>
      <w:bookmarkStart w:id="201" w:name="_Toc95209057"/>
      <w:bookmarkStart w:id="202" w:name="_Toc95913849"/>
      <w:bookmarkStart w:id="203" w:name="_Toc99107025"/>
      <w:r w:rsidRPr="00E729AA">
        <w:rPr>
          <w:rFonts w:ascii="Arial" w:eastAsia="Times New Roman" w:hAnsi="Arial" w:cs="Arial"/>
          <w:b/>
          <w:bCs/>
          <w:color w:val="9D2235" w:themeColor="accent1"/>
          <w:sz w:val="28"/>
          <w:szCs w:val="28"/>
          <w:lang w:eastAsia="es-ES"/>
        </w:rPr>
        <w:t>Denominación: Ayuntamiento de Camporrobles. Contratación menor</w:t>
      </w:r>
      <w:bookmarkEnd w:id="201"/>
      <w:bookmarkEnd w:id="202"/>
      <w:bookmarkEnd w:id="203"/>
    </w:p>
    <w:p w14:paraId="2629D77E"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2020/G01_01/000161 [77/2019]</w:t>
      </w:r>
    </w:p>
    <w:p w14:paraId="2E3CB98B"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20" w:history="1">
        <w:r w:rsidRPr="00E729AA">
          <w:rPr>
            <w:rFonts w:ascii="Arial" w:eastAsia="Times New Roman" w:hAnsi="Arial" w:cs="Arial"/>
            <w:color w:val="000080"/>
            <w:sz w:val="17"/>
            <w:szCs w:val="17"/>
            <w:u w:val="single"/>
            <w:lang w:eastAsia="es-ES"/>
          </w:rPr>
          <w:t>http://www.antifraucv.es/wp-content/uploads/2021/03/20210223_AYUNTAMIENTO_DE_CAMPORROBLES.pdf</w:t>
        </w:r>
      </w:hyperlink>
    </w:p>
    <w:p w14:paraId="6AA6C8E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denuncian supuestas actuaciones contrarias a la normativa vigente en materia de contratación del Sector Público.</w:t>
      </w:r>
    </w:p>
    <w:p w14:paraId="1B757992"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el estudio en detalle de la totalidad de la documentación, se concluye que:</w:t>
      </w:r>
    </w:p>
    <w:p w14:paraId="04C585FF" w14:textId="77777777" w:rsidR="00E729AA" w:rsidRPr="00E729AA" w:rsidRDefault="00E729AA" w:rsidP="000C6DA4">
      <w:pPr>
        <w:numPr>
          <w:ilvl w:val="0"/>
          <w:numId w:val="4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El Ayuntamiento de Camporrobles, </w:t>
      </w:r>
      <w:r w:rsidRPr="00E729AA">
        <w:rPr>
          <w:rFonts w:ascii="Arial" w:eastAsia="Times New Roman" w:hAnsi="Arial" w:cs="Arial"/>
          <w:b/>
          <w:bCs/>
          <w:sz w:val="21"/>
          <w:szCs w:val="21"/>
          <w:lang w:eastAsia="es-ES"/>
        </w:rPr>
        <w:t>encargó y abonó la prestación del servicio de redacción de varios proyectos de obra</w:t>
      </w:r>
      <w:r w:rsidRPr="00E729AA">
        <w:rPr>
          <w:rFonts w:ascii="Arial" w:eastAsia="Times New Roman" w:hAnsi="Arial" w:cs="Arial"/>
          <w:sz w:val="21"/>
          <w:szCs w:val="21"/>
          <w:lang w:eastAsia="es-ES"/>
        </w:rPr>
        <w:t xml:space="preserve"> a diferentes profesionales.</w:t>
      </w:r>
    </w:p>
    <w:p w14:paraId="28B244B4" w14:textId="77777777" w:rsidR="00E729AA" w:rsidRPr="00E729AA" w:rsidRDefault="00E729AA" w:rsidP="000C6DA4">
      <w:pPr>
        <w:numPr>
          <w:ilvl w:val="0"/>
          <w:numId w:val="4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Los anteriores servicios </w:t>
      </w:r>
      <w:r w:rsidRPr="00E729AA">
        <w:rPr>
          <w:rFonts w:ascii="Arial" w:eastAsia="Times New Roman" w:hAnsi="Arial" w:cs="Arial"/>
          <w:b/>
          <w:bCs/>
          <w:sz w:val="21"/>
          <w:szCs w:val="21"/>
          <w:lang w:eastAsia="es-ES"/>
        </w:rPr>
        <w:t>se tramitaron como contratos menores</w:t>
      </w:r>
      <w:r w:rsidRPr="00E729AA">
        <w:rPr>
          <w:rFonts w:ascii="Arial" w:eastAsia="Times New Roman" w:hAnsi="Arial" w:cs="Arial"/>
          <w:sz w:val="21"/>
          <w:szCs w:val="21"/>
          <w:lang w:eastAsia="es-ES"/>
        </w:rPr>
        <w:t xml:space="preserve"> por razón de cuantía al amparo de lo establecido en la Ley 9/2017, de 8 de noviembre, de Contratos del Sector Público, </w:t>
      </w:r>
      <w:r w:rsidRPr="00E729AA">
        <w:rPr>
          <w:rFonts w:ascii="Arial" w:eastAsia="Times New Roman" w:hAnsi="Arial" w:cs="Arial"/>
          <w:b/>
          <w:bCs/>
          <w:sz w:val="21"/>
          <w:szCs w:val="21"/>
          <w:lang w:eastAsia="es-ES"/>
        </w:rPr>
        <w:t>adjudicándose directamente</w:t>
      </w:r>
      <w:r w:rsidRPr="00E729AA">
        <w:rPr>
          <w:rFonts w:ascii="Arial" w:eastAsia="Times New Roman" w:hAnsi="Arial" w:cs="Arial"/>
          <w:sz w:val="21"/>
          <w:szCs w:val="21"/>
          <w:lang w:eastAsia="es-ES"/>
        </w:rPr>
        <w:t xml:space="preserve"> a los profesionales indicados, pero </w:t>
      </w:r>
      <w:r w:rsidRPr="00E729AA">
        <w:rPr>
          <w:rFonts w:ascii="Arial" w:eastAsia="Times New Roman" w:hAnsi="Arial" w:cs="Arial"/>
          <w:b/>
          <w:bCs/>
          <w:sz w:val="21"/>
          <w:szCs w:val="21"/>
          <w:lang w:eastAsia="es-ES"/>
        </w:rPr>
        <w:t>sin cumplir las exigencias que establece el artículo 118 de la mencionada Ley</w:t>
      </w:r>
      <w:r w:rsidRPr="00E729AA">
        <w:rPr>
          <w:rFonts w:ascii="Arial" w:eastAsia="Times New Roman" w:hAnsi="Arial" w:cs="Arial"/>
          <w:sz w:val="21"/>
          <w:szCs w:val="21"/>
          <w:lang w:eastAsia="es-ES"/>
        </w:rPr>
        <w:t>, al no haberse emitido por parte del órgano de contratación los informes preceptivos</w:t>
      </w:r>
      <w:r w:rsidRPr="00E729AA">
        <w:rPr>
          <w:rFonts w:ascii="Arial" w:eastAsia="Times New Roman" w:hAnsi="Arial" w:cs="Arial"/>
          <w:b/>
          <w:bCs/>
          <w:sz w:val="21"/>
          <w:szCs w:val="21"/>
          <w:lang w:eastAsia="es-ES"/>
        </w:rPr>
        <w:t xml:space="preserve"> </w:t>
      </w:r>
      <w:r w:rsidRPr="00E729AA">
        <w:rPr>
          <w:rFonts w:ascii="Arial" w:eastAsia="Times New Roman" w:hAnsi="Arial" w:cs="Arial"/>
          <w:sz w:val="21"/>
          <w:szCs w:val="21"/>
          <w:lang w:eastAsia="es-ES"/>
        </w:rPr>
        <w:t>de necesidad y justificación que prevé dicho artículo, exigibles para la tramitación de los contratos menores, lo que supone la existencia de irregularidades administrativas no invalidantes del procedimiento.</w:t>
      </w:r>
    </w:p>
    <w:p w14:paraId="5A0288A7" w14:textId="77777777" w:rsidR="00E729AA" w:rsidRPr="00E729AA" w:rsidRDefault="00E729AA" w:rsidP="000C6DA4">
      <w:pPr>
        <w:numPr>
          <w:ilvl w:val="0"/>
          <w:numId w:val="4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omisión del informe previsto en el apartado anterior puede haber sido producida por la falta de asesoramiento jurídico al órgano de contratación municipal y no existen indicios de que responda a un intento de abuso en el uso de la contratación menor para eludir la aplicación de las reglas generales de contratación.</w:t>
      </w:r>
    </w:p>
    <w:p w14:paraId="2E4151A6" w14:textId="77777777" w:rsidR="00E729AA" w:rsidRPr="00E729AA" w:rsidRDefault="00E729AA" w:rsidP="00E729AA">
      <w:pPr>
        <w:numPr>
          <w:ilvl w:val="0"/>
          <w:numId w:val="43"/>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Ha quedado acreditado que el encargo y abono de los servicios a los distintos profesionales se efectuó por la realización de servicios, distintos y diferenciados de redacción de proyectos, y no por un único servicio de redacción de proyectos.</w:t>
      </w:r>
    </w:p>
    <w:p w14:paraId="1AE6252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archivo de las actuaciones, si bien se recomienda a la alcaldía del Ayuntamiento de Camporrobles que realice las actuaciones necesarias para contar con un funcionario público que ejerza las funciones de asesoramiento legal en el consistorio, con el objetivo de garantizar que las actuaciones municipales cumplan con la normativa vigente en cada momento. Especialmente se recomienda contar con dicho asesoramiento en la tramitación de los expedientes de contratación menor, objeto principal del presente expediente, que deberán incluir todos los informes preceptivos exigidos en el artículo 118 de la LCSP y cumplir el resto de normativa aplicable.</w:t>
      </w:r>
    </w:p>
    <w:p w14:paraId="0A2AEB9C" w14:textId="365B9094" w:rsid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No procede.</w:t>
      </w:r>
    </w:p>
    <w:p w14:paraId="71C65461" w14:textId="77777777" w:rsidR="00EC27A7" w:rsidRPr="00E729AA" w:rsidRDefault="00EC27A7" w:rsidP="00E729AA">
      <w:pPr>
        <w:spacing w:after="240" w:line="276" w:lineRule="auto"/>
        <w:jc w:val="both"/>
        <w:rPr>
          <w:rFonts w:ascii="Arial" w:eastAsia="Times New Roman" w:hAnsi="Arial" w:cs="Arial"/>
          <w:sz w:val="21"/>
          <w:szCs w:val="21"/>
          <w:lang w:eastAsia="es-ES"/>
        </w:rPr>
      </w:pPr>
    </w:p>
    <w:p w14:paraId="2B9D6EE1" w14:textId="77777777" w:rsidR="00E729AA" w:rsidRPr="00E729AA" w:rsidRDefault="00E729AA" w:rsidP="00F61CAF">
      <w:pPr>
        <w:keepNext/>
        <w:numPr>
          <w:ilvl w:val="2"/>
          <w:numId w:val="17"/>
        </w:numPr>
        <w:tabs>
          <w:tab w:val="clear" w:pos="794"/>
          <w:tab w:val="num" w:pos="851"/>
        </w:tabs>
        <w:spacing w:before="360" w:after="240" w:line="276" w:lineRule="auto"/>
        <w:ind w:left="851" w:hanging="930"/>
        <w:jc w:val="both"/>
        <w:outlineLvl w:val="2"/>
        <w:rPr>
          <w:rFonts w:ascii="Arial" w:eastAsia="Times New Roman" w:hAnsi="Arial" w:cs="Arial"/>
          <w:b/>
          <w:bCs/>
          <w:color w:val="9D2235" w:themeColor="accent1"/>
          <w:sz w:val="28"/>
          <w:szCs w:val="28"/>
          <w:lang w:eastAsia="es-ES"/>
        </w:rPr>
      </w:pPr>
      <w:bookmarkStart w:id="204" w:name="_Toc95209058"/>
      <w:bookmarkStart w:id="205" w:name="_Toc95913850"/>
      <w:bookmarkStart w:id="206" w:name="_Toc99107026"/>
      <w:r w:rsidRPr="00E729AA">
        <w:rPr>
          <w:rFonts w:ascii="Arial" w:eastAsia="Times New Roman" w:hAnsi="Arial" w:cs="Arial"/>
          <w:b/>
          <w:bCs/>
          <w:color w:val="9D2235" w:themeColor="accent1"/>
          <w:sz w:val="28"/>
          <w:szCs w:val="28"/>
          <w:lang w:eastAsia="es-ES"/>
        </w:rPr>
        <w:t>Denominación: Ayuntamiento de València. Justificación de subvención acción contra el hambre fuera de plazo</w:t>
      </w:r>
      <w:bookmarkEnd w:id="204"/>
      <w:bookmarkEnd w:id="205"/>
      <w:bookmarkEnd w:id="206"/>
    </w:p>
    <w:p w14:paraId="51B371D9" w14:textId="77777777" w:rsidR="00E729AA" w:rsidRPr="00E729AA" w:rsidRDefault="00E729AA" w:rsidP="00E729AA">
      <w:pPr>
        <w:spacing w:after="240" w:line="276" w:lineRule="auto"/>
        <w:jc w:val="both"/>
        <w:rPr>
          <w:rFonts w:ascii="Arial" w:eastAsia="Times New Roman" w:hAnsi="Arial" w:cs="Arial"/>
          <w:b/>
          <w:bCs/>
          <w:sz w:val="21"/>
          <w:szCs w:val="21"/>
          <w:lang w:eastAsia="es-ES"/>
        </w:rPr>
      </w:pPr>
      <w:r w:rsidRPr="00E729AA">
        <w:rPr>
          <w:rFonts w:ascii="Arial" w:eastAsia="Times New Roman" w:hAnsi="Arial" w:cs="Arial"/>
          <w:b/>
          <w:bCs/>
          <w:sz w:val="21"/>
          <w:szCs w:val="21"/>
          <w:lang w:eastAsia="es-ES"/>
        </w:rPr>
        <w:t>Expediente: 2020/G01_01/000013</w:t>
      </w:r>
    </w:p>
    <w:p w14:paraId="6C236FF1"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21" w:history="1">
        <w:r w:rsidRPr="00E729AA">
          <w:rPr>
            <w:rFonts w:ascii="Arial" w:eastAsia="Times New Roman" w:hAnsi="Arial" w:cs="Arial"/>
            <w:bCs/>
            <w:color w:val="000080"/>
            <w:sz w:val="18"/>
            <w:szCs w:val="18"/>
            <w:u w:val="single"/>
          </w:rPr>
          <w:t>http://www.antifraucv.es/wp-content/uploads/2021/03/20210224_AYUNTAMIENTO_DE_VALENCIA.pdf</w:t>
        </w:r>
      </w:hyperlink>
    </w:p>
    <w:p w14:paraId="268A4FC9"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Descripción: </w:t>
      </w:r>
      <w:r w:rsidRPr="00E729AA">
        <w:rPr>
          <w:rFonts w:ascii="Arial" w:eastAsia="Times New Roman" w:hAnsi="Arial" w:cs="Arial"/>
          <w:sz w:val="21"/>
          <w:szCs w:val="21"/>
          <w:lang w:eastAsia="es-ES"/>
        </w:rPr>
        <w:t xml:space="preserve">Los hechos denunciados se concretaron en el incumplimiento del plazo para justificar la subvención de 30.000 € otorgada a la entidad </w:t>
      </w:r>
      <w:r w:rsidRPr="00E729AA">
        <w:rPr>
          <w:rFonts w:ascii="Arial" w:eastAsia="Times New Roman" w:hAnsi="Arial" w:cs="Arial"/>
          <w:i/>
          <w:iCs/>
          <w:sz w:val="21"/>
          <w:szCs w:val="21"/>
          <w:lang w:eastAsia="es-ES"/>
        </w:rPr>
        <w:t>Acción contra el Hambre.</w:t>
      </w:r>
      <w:r w:rsidRPr="00E729AA">
        <w:rPr>
          <w:rFonts w:ascii="Arial" w:eastAsia="Times New Roman" w:hAnsi="Arial" w:cs="Arial"/>
          <w:sz w:val="21"/>
          <w:szCs w:val="21"/>
          <w:lang w:eastAsia="es-ES"/>
        </w:rPr>
        <w:t xml:space="preserve"> </w:t>
      </w:r>
    </w:p>
    <w:p w14:paraId="2323A6C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acreditó que finalizando el plazo de justificación de la subvención en fecha 17 de diciembre de 2018, esta se presentó el 29 de enero de 2019. La justificación se presentó antes de ser cursado requerimiento de justificación a la entidad beneficiaria de la subvención.</w:t>
      </w:r>
    </w:p>
    <w:p w14:paraId="29C17164" w14:textId="77777777" w:rsidR="00E729AA" w:rsidRPr="00E729AA" w:rsidRDefault="00E729AA" w:rsidP="00E729AA">
      <w:pPr>
        <w:spacing w:after="240" w:line="276" w:lineRule="auto"/>
        <w:jc w:val="both"/>
        <w:rPr>
          <w:rFonts w:ascii="Arial" w:eastAsia="Times New Roman" w:hAnsi="Arial" w:cs="Arial"/>
          <w:i/>
          <w:iCs/>
          <w:sz w:val="21"/>
          <w:szCs w:val="21"/>
          <w:lang w:eastAsia="es-ES"/>
        </w:rPr>
      </w:pPr>
      <w:r w:rsidRPr="00E729AA">
        <w:rPr>
          <w:rFonts w:ascii="Arial" w:eastAsia="Times New Roman" w:hAnsi="Arial" w:cs="Arial"/>
          <w:b/>
          <w:bCs/>
          <w:sz w:val="21"/>
          <w:szCs w:val="21"/>
          <w:lang w:eastAsia="es-ES"/>
        </w:rPr>
        <w:t xml:space="preserve">Resultado: </w:t>
      </w:r>
      <w:r w:rsidRPr="00E729AA">
        <w:rPr>
          <w:rFonts w:ascii="Arial" w:eastAsia="Times New Roman" w:hAnsi="Arial" w:cs="Arial"/>
          <w:sz w:val="21"/>
          <w:szCs w:val="21"/>
          <w:lang w:eastAsia="es-ES"/>
        </w:rPr>
        <w:t>Formulación de recomendaciones al Ayuntamiento de València, que consisten en que se dicten instrucciones internas dirigidas a los servicios gestores de subvenciones, que recojan expresamente que, una vez transcurrido el plazo para la justificación de la subvención, se inicie el procedimiento de reintegro correspondiente, y para ello y de forma previa, se requiera al beneficiario para que en el plazo improrrogable de quince días presente la justificación.</w:t>
      </w:r>
      <w:r w:rsidRPr="00E729AA">
        <w:rPr>
          <w:rFonts w:ascii="Arial" w:eastAsia="Times New Roman" w:hAnsi="Arial" w:cs="Arial"/>
          <w:b/>
          <w:bCs/>
          <w:sz w:val="21"/>
          <w:szCs w:val="21"/>
          <w:lang w:eastAsia="es-ES"/>
        </w:rPr>
        <w:t xml:space="preserve"> </w:t>
      </w:r>
      <w:r w:rsidRPr="00E729AA">
        <w:rPr>
          <w:rFonts w:ascii="Arial" w:eastAsia="Times New Roman" w:hAnsi="Arial" w:cs="Arial"/>
          <w:sz w:val="21"/>
          <w:szCs w:val="21"/>
          <w:lang w:eastAsia="es-ES"/>
        </w:rPr>
        <w:t xml:space="preserve">La falta de presentación de la justificación, en el plazo establecido, llevará consigo la exigencia del reintegro y demás responsabilidades establecidas en la Ley General de Subvenciones. Además, se deberá acordar el inicio de exigencia de responsabilidades contra el beneficiario de la subvención nominativa otorgada </w:t>
      </w:r>
      <w:r w:rsidRPr="00E729AA">
        <w:rPr>
          <w:rFonts w:ascii="Arial" w:eastAsia="Times New Roman" w:hAnsi="Arial" w:cs="Arial"/>
          <w:i/>
          <w:iCs/>
          <w:sz w:val="21"/>
          <w:szCs w:val="21"/>
          <w:lang w:eastAsia="es-ES"/>
        </w:rPr>
        <w:t>a Acción contra el Hambre.</w:t>
      </w:r>
    </w:p>
    <w:p w14:paraId="7D27C80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Finalizada la fase de seguimiento,</w:t>
      </w:r>
      <w:r w:rsidRPr="00E729AA">
        <w:rPr>
          <w:rFonts w:ascii="Arial" w:eastAsia="NSimSun" w:hAnsi="Arial" w:cs="Arial"/>
          <w:kern w:val="2"/>
          <w:sz w:val="21"/>
          <w:szCs w:val="21"/>
          <w:lang w:eastAsia="zh-CN" w:bidi="hi-IN"/>
        </w:rPr>
        <w:t xml:space="preserve"> </w:t>
      </w:r>
      <w:r w:rsidRPr="00E729AA">
        <w:rPr>
          <w:rFonts w:ascii="Arial" w:eastAsia="NSimSun" w:hAnsi="Arial" w:cs="Arial"/>
          <w:b/>
          <w:bCs/>
          <w:kern w:val="2"/>
          <w:sz w:val="21"/>
          <w:szCs w:val="21"/>
          <w:lang w:eastAsia="zh-CN" w:bidi="hi-IN"/>
        </w:rPr>
        <w:t>se han incumplido por el Ayuntamiento de València las recomendaciones propuestas por la AVAF</w:t>
      </w:r>
      <w:r w:rsidRPr="00E729AA">
        <w:rPr>
          <w:rFonts w:ascii="Arial" w:eastAsia="NSimSun" w:hAnsi="Arial" w:cs="Arial"/>
          <w:kern w:val="2"/>
          <w:sz w:val="21"/>
          <w:szCs w:val="21"/>
          <w:lang w:eastAsia="zh-CN" w:bidi="hi-IN"/>
        </w:rPr>
        <w:t>, lo que se constató mediante Resolución del director de la Agencia núm. 584, de 23 de agosto de 2021.</w:t>
      </w:r>
      <w:r w:rsidRPr="00E729AA">
        <w:rPr>
          <w:rFonts w:ascii="Arial" w:eastAsia="NSimSun" w:hAnsi="Arial" w:cs="Arial"/>
          <w:strike/>
          <w:kern w:val="2"/>
          <w:sz w:val="21"/>
          <w:szCs w:val="21"/>
          <w:lang w:eastAsia="zh-CN" w:bidi="hi-IN"/>
        </w:rPr>
        <w:t xml:space="preserve"> </w:t>
      </w:r>
      <w:r w:rsidRPr="00E729AA">
        <w:rPr>
          <w:rFonts w:ascii="Arial" w:eastAsia="Times New Roman" w:hAnsi="Arial" w:cs="Arial"/>
          <w:sz w:val="21"/>
          <w:szCs w:val="21"/>
          <w:lang w:eastAsia="es-ES"/>
        </w:rPr>
        <w:t>Acreditado este incumplimiento, se hace constar en esta Memoria de actividad 2021.</w:t>
      </w:r>
    </w:p>
    <w:p w14:paraId="7A32291B"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07" w:name="_Toc95209059"/>
      <w:bookmarkStart w:id="208" w:name="_Toc95913851"/>
      <w:bookmarkStart w:id="209" w:name="_Toc99107027"/>
      <w:r w:rsidRPr="00E729AA">
        <w:rPr>
          <w:rFonts w:ascii="Arial" w:eastAsia="Times New Roman" w:hAnsi="Arial" w:cs="Arial"/>
          <w:b/>
          <w:bCs/>
          <w:color w:val="9D2235" w:themeColor="accent1"/>
          <w:sz w:val="28"/>
          <w:szCs w:val="28"/>
          <w:lang w:eastAsia="es-ES"/>
        </w:rPr>
        <w:t>Denominación: Ayuntamiento de Rojales. Irregularidades en el contrato servicio de organización de las fiestas Virgen del Rosario 2019-2020 negociado sin publicidad</w:t>
      </w:r>
      <w:bookmarkEnd w:id="207"/>
      <w:bookmarkEnd w:id="208"/>
      <w:bookmarkEnd w:id="209"/>
    </w:p>
    <w:p w14:paraId="715FEC36"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Expediente: </w:t>
      </w:r>
      <w:r w:rsidRPr="00E729AA">
        <w:rPr>
          <w:rFonts w:ascii="Arial" w:eastAsia="Times New Roman" w:hAnsi="Arial" w:cs="Arial"/>
          <w:sz w:val="21"/>
          <w:szCs w:val="21"/>
          <w:lang w:eastAsia="es-ES"/>
        </w:rPr>
        <w:t>2020/G01_01/000251 [142/2019]</w:t>
      </w:r>
    </w:p>
    <w:p w14:paraId="07F5DA1E"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22" w:history="1">
        <w:r w:rsidRPr="00E729AA">
          <w:rPr>
            <w:rFonts w:ascii="Arial" w:eastAsia="Times New Roman" w:hAnsi="Arial" w:cs="Arial"/>
            <w:bCs/>
            <w:color w:val="000080"/>
            <w:sz w:val="18"/>
            <w:szCs w:val="18"/>
            <w:u w:val="single"/>
          </w:rPr>
          <w:t>http://www.antifraucv.es/wp-content/uploads/2021/04/20210301_AYUNTAMIENTO_DE_ROJALES.pdf</w:t>
        </w:r>
      </w:hyperlink>
    </w:p>
    <w:p w14:paraId="7DBD662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Los hechos denunciados, se concretan en el trato desigual entre los licitadores participantes en la licitación del contrato de servicio de organización de las fiestas Virgen del Rosario 2019-2020.</w:t>
      </w:r>
    </w:p>
    <w:p w14:paraId="66058571"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evidenció que:</w:t>
      </w:r>
    </w:p>
    <w:p w14:paraId="7CDD29C5" w14:textId="77777777" w:rsidR="00E729AA" w:rsidRPr="00E729AA" w:rsidRDefault="00E729AA" w:rsidP="000C6DA4">
      <w:pPr>
        <w:numPr>
          <w:ilvl w:val="0"/>
          <w:numId w:val="44"/>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La citación para participar en el proceso de negociación: se envía el mismo día que finaliza el plazo de presentación de las ofertas. La convocatoria se realiza con muy poca antelación respecto de la hora de celebración de la negociación, produciendo un trato discriminatorio entre los distintos licitadores. </w:t>
      </w:r>
    </w:p>
    <w:p w14:paraId="4B987615" w14:textId="77777777" w:rsidR="00E729AA" w:rsidRPr="00E729AA" w:rsidRDefault="00E729AA" w:rsidP="000C6DA4">
      <w:pPr>
        <w:numPr>
          <w:ilvl w:val="0"/>
          <w:numId w:val="44"/>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Contratación de la orquesta Evasión: El 1 de octubre de 2019, el mismo día que se formaliza el contrato, el Ayuntamiento de Rojales ya es conocedor de qué orquesta va a realizar la actuación. De acuerdo con lo previsto en el PCAP, la mercantil adjudicataria debería haber propuesto al Ayuntamiento de Rojales 3 orquestas, no acreditándose en el expediente, nada al respecto.</w:t>
      </w:r>
    </w:p>
    <w:p w14:paraId="32F6E5DC" w14:textId="77777777" w:rsidR="00E729AA" w:rsidRPr="00E729AA" w:rsidRDefault="00E729AA" w:rsidP="000C6DA4">
      <w:pPr>
        <w:numPr>
          <w:ilvl w:val="0"/>
          <w:numId w:val="44"/>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Comunicaciones: En el expediente de contratación se observa que las comunicaciones no se realizan por escrito. En los procedimientos de contratación, se permiten las comunicaciones orales, si bien ha de quedar documentado de tal forma que conste por escrito la práctica de las mismas. En el expediente, no hay constancia ni de la realización de las llamadas ni de la fecha de realización de estas. </w:t>
      </w:r>
    </w:p>
    <w:p w14:paraId="44DD07C8" w14:textId="77777777" w:rsidR="00E729AA" w:rsidRPr="00E729AA" w:rsidRDefault="00E729AA" w:rsidP="00E729AA">
      <w:pPr>
        <w:numPr>
          <w:ilvl w:val="0"/>
          <w:numId w:val="44"/>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Acta de comprobación: El acta de comprobación se firma el 12 de agosto de 2020, nueve meses después de la realización de los trabajos, redactando un documento que debía formar parte del expediente a posteriori y conocida la investigación de esta Agencia.</w:t>
      </w:r>
    </w:p>
    <w:p w14:paraId="6E805BD8"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xml:space="preserve"> Formulación de recomendaciones al Ayuntamiento de Rojales, requiriéndose la emisión de un Plan de Contratación del ejercicio 2021. </w:t>
      </w:r>
    </w:p>
    <w:p w14:paraId="4D5065A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Se ha completado esta fase, el Ayuntamiento de Rojales ha aceptado las recomendaciones propuestas.</w:t>
      </w:r>
    </w:p>
    <w:p w14:paraId="20589EFF"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10" w:name="_Toc95209060"/>
      <w:bookmarkStart w:id="211" w:name="_Toc95913852"/>
      <w:bookmarkStart w:id="212" w:name="_Toc99107028"/>
      <w:r w:rsidRPr="00E729AA">
        <w:rPr>
          <w:rFonts w:ascii="Arial" w:eastAsia="Times New Roman" w:hAnsi="Arial" w:cs="Arial"/>
          <w:b/>
          <w:bCs/>
          <w:color w:val="9D2235" w:themeColor="accent1"/>
          <w:sz w:val="28"/>
          <w:szCs w:val="28"/>
          <w:lang w:eastAsia="es-ES"/>
        </w:rPr>
        <w:t>Denominación: Ayuntamiento de València. Organismo Autónomo Municipal de Parques y Jardines</w:t>
      </w:r>
      <w:bookmarkEnd w:id="210"/>
      <w:bookmarkEnd w:id="211"/>
      <w:bookmarkEnd w:id="212"/>
    </w:p>
    <w:p w14:paraId="02D862A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2020/G01_01/000071</w:t>
      </w:r>
    </w:p>
    <w:p w14:paraId="424C3A44" w14:textId="77777777" w:rsidR="00E729AA" w:rsidRPr="00E729AA" w:rsidRDefault="00E729AA" w:rsidP="00E729AA">
      <w:pPr>
        <w:spacing w:after="240" w:line="276" w:lineRule="auto"/>
        <w:rPr>
          <w:rFonts w:ascii="Arial" w:eastAsia="Times New Roman" w:hAnsi="Arial" w:cs="Arial"/>
          <w:bCs/>
          <w:sz w:val="18"/>
          <w:szCs w:val="18"/>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23" w:history="1">
        <w:r w:rsidRPr="00E729AA">
          <w:rPr>
            <w:rFonts w:ascii="Arial" w:eastAsia="Times New Roman" w:hAnsi="Arial" w:cs="Arial"/>
            <w:bCs/>
            <w:color w:val="000080"/>
            <w:sz w:val="18"/>
            <w:szCs w:val="18"/>
            <w:u w:val="single"/>
          </w:rPr>
          <w:t>http://www.antifraucv.es/wp-content/uploads/2021/04/20210304_AYUNTAMIENTO_DE_VALENCIA.pdf</w:t>
        </w:r>
      </w:hyperlink>
    </w:p>
    <w:p w14:paraId="016407A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en particular que el Organismo Autónomo Municipal de Parques y Jardines (OAM) podría haber fraccionado contratos indebidamente para eludir la aplicación de los principios generales que rigen la contratación administrativa, en concreto, la publicidad y la libre concurrencia.</w:t>
      </w:r>
    </w:p>
    <w:p w14:paraId="7585ED40"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evidenció que:</w:t>
      </w:r>
    </w:p>
    <w:p w14:paraId="2DEBA5D1" w14:textId="77777777" w:rsidR="00E729AA" w:rsidRPr="00E729AA" w:rsidRDefault="00E729AA" w:rsidP="000C6DA4">
      <w:pPr>
        <w:numPr>
          <w:ilvl w:val="0"/>
          <w:numId w:val="4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cuanto a la acreditación de que se promovió la debida concurrencia en las contrataciones que se analizan.</w:t>
      </w:r>
    </w:p>
    <w:p w14:paraId="444501CA" w14:textId="77777777" w:rsidR="00E729AA" w:rsidRPr="00E729AA" w:rsidRDefault="00E729AA" w:rsidP="000C6DA4">
      <w:pPr>
        <w:numPr>
          <w:ilvl w:val="0"/>
          <w:numId w:val="4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Se ha constatado que, en un total de 18 expedientes, </w:t>
      </w:r>
      <w:r w:rsidRPr="00E729AA">
        <w:rPr>
          <w:rFonts w:ascii="Arial" w:eastAsia="Times New Roman" w:hAnsi="Arial" w:cs="Arial"/>
          <w:sz w:val="21"/>
          <w:szCs w:val="21"/>
          <w:u w:val="single"/>
          <w:lang w:eastAsia="es-ES"/>
        </w:rPr>
        <w:t>únicamente en 6 de ellos existía más de una oferta, y ello, a pesar de que en todos los 18 expedientes se contemplaban afirmaciones de los gestores administrativos relativas a la existencia de diversos proveedores</w:t>
      </w:r>
      <w:r w:rsidRPr="00E729AA">
        <w:rPr>
          <w:rFonts w:ascii="Arial" w:eastAsia="Times New Roman" w:hAnsi="Arial" w:cs="Arial"/>
          <w:sz w:val="21"/>
          <w:szCs w:val="21"/>
          <w:lang w:eastAsia="es-ES"/>
        </w:rPr>
        <w:t>.</w:t>
      </w:r>
    </w:p>
    <w:p w14:paraId="26628B6F" w14:textId="77777777" w:rsidR="00E729AA" w:rsidRPr="00E729AA" w:rsidRDefault="00E729AA" w:rsidP="00E729AA">
      <w:pPr>
        <w:spacing w:after="24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El hecho de que la ley no exigiera la solicitud de presupuestos adicionales resulta irrelevante, </w:t>
      </w:r>
      <w:r w:rsidRPr="00E729AA">
        <w:rPr>
          <w:rFonts w:ascii="Arial" w:eastAsia="Times New Roman" w:hAnsi="Arial" w:cs="Arial"/>
          <w:sz w:val="21"/>
          <w:szCs w:val="21"/>
          <w:u w:val="single"/>
          <w:lang w:eastAsia="es-ES"/>
        </w:rPr>
        <w:t>cuando es el propio personal del OAM quien advierte en sus informes r que sí se han solicitado presupuestos adicionales</w:t>
      </w:r>
      <w:r w:rsidRPr="00E729AA">
        <w:rPr>
          <w:rFonts w:ascii="Arial" w:eastAsia="Times New Roman" w:hAnsi="Arial" w:cs="Arial"/>
          <w:sz w:val="21"/>
          <w:szCs w:val="21"/>
          <w:lang w:eastAsia="es-ES"/>
        </w:rPr>
        <w:t>, pero no deja rastro alguno en el expediente a fin de fiscalizar adecuadamente la actuación. La gestión de los fondos públicos requiere la verificación de la selección de la mejor oferta en su conjunto y, no debe obviarse, que la licitación conjunta de un mayor volumen de contratación y la tramitación de un expediente que promueva la concurrencia generará siempre sinergias de mercado y mejoras ofertas en su conjunto para la administración.</w:t>
      </w:r>
    </w:p>
    <w:p w14:paraId="2D8BEE21"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 elevación de recomendaciones:</w:t>
      </w:r>
    </w:p>
    <w:p w14:paraId="6C3B226E" w14:textId="77777777" w:rsidR="00E729AA" w:rsidRPr="00E729AA" w:rsidRDefault="00E729AA" w:rsidP="000C6DA4">
      <w:pPr>
        <w:numPr>
          <w:ilvl w:val="0"/>
          <w:numId w:val="45"/>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correcta planificación de la actividad contractual del ente, mediante la aprobación del instrumento formal que recoja las necesidades de contratación del OAM para un escenario anual y/o plurianual.</w:t>
      </w:r>
    </w:p>
    <w:p w14:paraId="33A4C9E0" w14:textId="77777777" w:rsidR="00E729AA" w:rsidRPr="00E729AA" w:rsidRDefault="00E729AA" w:rsidP="000C6DA4">
      <w:pPr>
        <w:numPr>
          <w:ilvl w:val="0"/>
          <w:numId w:val="45"/>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Incorporen a los expedientes de contratación, incluida la menor, informes técnicos y/o jurídicos que justifiquen, suficiente y motivadamente, que no se incurre en fraccionamiento con respecto a contrataciones similares llevadas a cabo en el mismo ejercicio o en los ejercicios inmediatamente anteriores.</w:t>
      </w:r>
    </w:p>
    <w:p w14:paraId="53E17037" w14:textId="77777777" w:rsidR="00E729AA" w:rsidRPr="00E729AA" w:rsidRDefault="00E729AA" w:rsidP="00E729AA">
      <w:pPr>
        <w:numPr>
          <w:ilvl w:val="0"/>
          <w:numId w:val="45"/>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los contratos menores, deberán formar parte de los expedientes las consultas de mercado o diferentes ofertas de proveedores, debiéndose garantizar el cumplimento y la acreditación de la exigencia de tres ofertas aprobada por el propio Ayuntamiento.</w:t>
      </w:r>
    </w:p>
    <w:p w14:paraId="0A9ABFA8"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Se ha completado esta fase, el OAM ha aceptado las recomendaciones propuestas.</w:t>
      </w:r>
    </w:p>
    <w:p w14:paraId="6DB7430E"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13" w:name="_Toc95209061"/>
      <w:bookmarkStart w:id="214" w:name="_Toc95913853"/>
      <w:bookmarkStart w:id="215" w:name="_Toc99107029"/>
      <w:r w:rsidRPr="00E729AA">
        <w:rPr>
          <w:rFonts w:ascii="Arial" w:eastAsia="Times New Roman" w:hAnsi="Arial" w:cs="Arial"/>
          <w:b/>
          <w:bCs/>
          <w:color w:val="9D2235" w:themeColor="accent1"/>
          <w:sz w:val="28"/>
          <w:szCs w:val="28"/>
          <w:lang w:eastAsia="es-ES"/>
        </w:rPr>
        <w:t>Denominación: Ayuntamiento de Callosa del Segura. Proceso selectivo Intendente de la Policía Local</w:t>
      </w:r>
      <w:bookmarkEnd w:id="213"/>
      <w:bookmarkEnd w:id="214"/>
      <w:bookmarkEnd w:id="215"/>
    </w:p>
    <w:p w14:paraId="2A9464A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2020/G01_01/000171 [19/2019]</w:t>
      </w:r>
    </w:p>
    <w:p w14:paraId="19E70C9A" w14:textId="77777777" w:rsidR="00E729AA" w:rsidRPr="00E729AA" w:rsidRDefault="00E729AA" w:rsidP="00E729AA">
      <w:pPr>
        <w:spacing w:after="240" w:line="276" w:lineRule="auto"/>
        <w:rPr>
          <w:rFonts w:ascii="Arial" w:eastAsia="Times New Roman" w:hAnsi="Arial" w:cs="Arial"/>
          <w:sz w:val="16"/>
          <w:szCs w:val="16"/>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r w:rsidR="00AF48E6">
        <w:fldChar w:fldCharType="begin"/>
      </w:r>
      <w:r w:rsidR="00AF48E6">
        <w:instrText>HYPERLINK</w:instrText>
      </w:r>
      <w:r w:rsidR="00AF48E6">
        <w:fldChar w:fldCharType="separate"/>
      </w:r>
      <w:r w:rsidR="00AF48E6">
        <w:rPr>
          <w:b/>
          <w:bCs/>
        </w:rPr>
        <w:t>¡Error! Referencia de hipervínculo no válida.</w:t>
      </w:r>
      <w:r w:rsidR="00AF48E6">
        <w:rPr>
          <w:b/>
          <w:bCs/>
        </w:rPr>
        <w:fldChar w:fldCharType="end"/>
      </w:r>
    </w:p>
    <w:p w14:paraId="4FDB3BE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denuncian presuntas irregularidades en el proceso de selección del puesto de Intendente de la Policía Local.</w:t>
      </w:r>
    </w:p>
    <w:p w14:paraId="2896AD9E" w14:textId="77777777" w:rsidR="00E729AA" w:rsidRPr="00E729AA" w:rsidRDefault="00E729AA" w:rsidP="000C6DA4">
      <w:pPr>
        <w:spacing w:after="240" w:line="276" w:lineRule="auto"/>
        <w:jc w:val="both"/>
        <w:rPr>
          <w:rFonts w:ascii="Arial" w:eastAsia="Times New Roman" w:hAnsi="Arial" w:cs="Arial"/>
          <w:b/>
          <w:bCs/>
          <w:sz w:val="21"/>
          <w:szCs w:val="21"/>
          <w:lang w:eastAsia="es-ES"/>
        </w:rPr>
      </w:pPr>
      <w:r w:rsidRPr="00E729AA">
        <w:rPr>
          <w:rFonts w:ascii="Arial" w:eastAsia="Times New Roman" w:hAnsi="Arial" w:cs="Arial"/>
          <w:sz w:val="21"/>
          <w:szCs w:val="21"/>
          <w:lang w:eastAsia="es-ES"/>
        </w:rPr>
        <w:t>Tras el estudio en detalle de la totalidad de la documentación, se concluye que:</w:t>
      </w:r>
    </w:p>
    <w:p w14:paraId="378F5AEB" w14:textId="77777777" w:rsidR="00E729AA" w:rsidRPr="00E729AA" w:rsidRDefault="00E729AA" w:rsidP="000C6DA4">
      <w:pPr>
        <w:numPr>
          <w:ilvl w:val="0"/>
          <w:numId w:val="4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Tribunal de selección no garantizó el anonimato de los aspirantes en la prueba psicotécnica tipo test. La anonimización del desarrollo y corrección de las pruebas selectivas es obligatoria siempre que sea posible, en consecuencia, en las pruebas escritas, es un requisito de obligado cumplimiento y no optativo, y su no observancia podría conllevar, la posible nulidad o anulabilidad del proceso por incumplimiento del procedimiento legalmente establecido o por defecto formal invalidante, según los casos.</w:t>
      </w:r>
    </w:p>
    <w:p w14:paraId="119FBF04" w14:textId="77777777" w:rsidR="00E729AA" w:rsidRPr="00E729AA" w:rsidRDefault="00E729AA" w:rsidP="00E729AA">
      <w:pPr>
        <w:numPr>
          <w:ilvl w:val="0"/>
          <w:numId w:val="47"/>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recurso de reposición interpuesto por uno de los aspirantes en fecha 23 de mayo de 2019, con relación a la no observancia del anonimato de los participantes en el desarrollo de la prueba psicotécnica, no ha sido resuelto por parte del Ayuntamiento.</w:t>
      </w:r>
    </w:p>
    <w:p w14:paraId="386FC788"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las siguientes recomendaciones:</w:t>
      </w:r>
    </w:p>
    <w:p w14:paraId="33468665" w14:textId="77777777" w:rsidR="00E729AA" w:rsidRPr="00E729AA" w:rsidRDefault="00E729AA" w:rsidP="000C6DA4">
      <w:pPr>
        <w:numPr>
          <w:ilvl w:val="0"/>
          <w:numId w:val="48"/>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proceda a iniciar la revisión de oficio del expediente tramitado, con motivo de proceso selectivo de una plaza de Intendente de la policía local del Ayuntamiento de Callosa del Segura.</w:t>
      </w:r>
    </w:p>
    <w:p w14:paraId="339EB04D" w14:textId="77777777" w:rsidR="00E729AA" w:rsidRPr="00E729AA" w:rsidRDefault="00E729AA" w:rsidP="00E729AA">
      <w:pPr>
        <w:numPr>
          <w:ilvl w:val="0"/>
          <w:numId w:val="48"/>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proceda a resolver el recurso de reposición interpuesto por uno de los aspirantes en fecha 23 de mayo de 2019, relativo a la no observancia del anonimato de los participantes en el desarrollo de la prueba psicotécnica</w:t>
      </w:r>
    </w:p>
    <w:p w14:paraId="69DE4B1E"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procede a dar traslado de la resolución a la Agencia Valenciana de Seguridad y Respuesta a las Emergencias</w:t>
      </w:r>
      <w:r w:rsidRPr="00E729AA">
        <w:rPr>
          <w:rFonts w:ascii="Arial" w:eastAsia="Times New Roman" w:hAnsi="Arial" w:cs="Arial"/>
          <w:sz w:val="18"/>
          <w:szCs w:val="18"/>
          <w:lang w:eastAsia="es-ES"/>
        </w:rPr>
        <w:t xml:space="preserve"> </w:t>
      </w:r>
      <w:r w:rsidRPr="00E729AA">
        <w:rPr>
          <w:rFonts w:ascii="Arial" w:eastAsia="Times New Roman" w:hAnsi="Arial" w:cs="Arial"/>
          <w:sz w:val="21"/>
          <w:szCs w:val="21"/>
          <w:lang w:eastAsia="es-ES"/>
        </w:rPr>
        <w:t>(AVSRE).</w:t>
      </w:r>
    </w:p>
    <w:p w14:paraId="0FF4B33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La fase de seguimiento se encuentra finalizada en relación con la revisión de oficio, al existir un fallo judicial previo que entraría en contradicción con la recomendación; encontrándose en trámite, en relación con la resolución del recurso de reposición.</w:t>
      </w:r>
    </w:p>
    <w:p w14:paraId="398CEFDF"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16" w:name="_Toc95209062"/>
      <w:bookmarkStart w:id="217" w:name="_Toc95913854"/>
      <w:bookmarkStart w:id="218" w:name="_Toc99107030"/>
      <w:r w:rsidRPr="00E729AA">
        <w:rPr>
          <w:rFonts w:ascii="Arial" w:eastAsia="Times New Roman" w:hAnsi="Arial" w:cs="Arial"/>
          <w:b/>
          <w:bCs/>
          <w:color w:val="9D2235" w:themeColor="accent1"/>
          <w:sz w:val="28"/>
          <w:szCs w:val="28"/>
          <w:lang w:eastAsia="es-ES"/>
        </w:rPr>
        <w:t>Denominación: Ayuntamiento de Calpe. Subvención encubierta</w:t>
      </w:r>
      <w:bookmarkEnd w:id="216"/>
      <w:bookmarkEnd w:id="217"/>
      <w:bookmarkEnd w:id="218"/>
    </w:p>
    <w:p w14:paraId="6EDB0724" w14:textId="77777777" w:rsidR="00E729AA" w:rsidRPr="00E729AA" w:rsidRDefault="00E729AA" w:rsidP="00E729AA">
      <w:pPr>
        <w:spacing w:after="240" w:line="276" w:lineRule="auto"/>
        <w:jc w:val="both"/>
        <w:rPr>
          <w:rFonts w:ascii="Arial" w:eastAsia="Times New Roman" w:hAnsi="Arial" w:cs="Arial"/>
          <w:b/>
          <w:bCs/>
          <w:sz w:val="21"/>
          <w:szCs w:val="21"/>
          <w:lang w:eastAsia="es-ES"/>
        </w:rPr>
      </w:pPr>
      <w:r w:rsidRPr="00E729AA">
        <w:rPr>
          <w:rFonts w:ascii="Arial" w:eastAsia="Times New Roman" w:hAnsi="Arial" w:cs="Arial"/>
          <w:b/>
          <w:bCs/>
          <w:sz w:val="21"/>
          <w:szCs w:val="21"/>
          <w:lang w:eastAsia="es-ES"/>
        </w:rPr>
        <w:t>Expediente: 2020/G01_01/000016</w:t>
      </w:r>
    </w:p>
    <w:p w14:paraId="63ADD4B4"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24" w:history="1">
        <w:r w:rsidRPr="00E729AA">
          <w:rPr>
            <w:rFonts w:ascii="Arial" w:eastAsia="Times New Roman" w:hAnsi="Arial" w:cs="Arial"/>
            <w:color w:val="000080"/>
            <w:sz w:val="18"/>
            <w:szCs w:val="18"/>
            <w:u w:val="single"/>
            <w:lang w:eastAsia="es-ES"/>
          </w:rPr>
          <w:t>http://www.antifraucv.es/wp-content/uploads/2021/04/20210308_AYUNTAMIENTO_DE_CALPE.pdf</w:t>
        </w:r>
      </w:hyperlink>
    </w:p>
    <w:p w14:paraId="1EC5FB7F"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Descripción: </w:t>
      </w:r>
      <w:r w:rsidRPr="00E729AA">
        <w:rPr>
          <w:rFonts w:ascii="Arial" w:eastAsia="Times New Roman" w:hAnsi="Arial" w:cs="Arial"/>
          <w:sz w:val="21"/>
          <w:szCs w:val="21"/>
          <w:lang w:eastAsia="es-ES"/>
        </w:rPr>
        <w:t>Los hechos denunciados se concretaron en que, el Ayuntamiento de Calpe licitó un contrato cuando la presunta pretensión era subvencionar una actividad de fomento, como es la promoción turística, dado que el promotor tenía ya organizado el evento. El objeto del contrato SER 47/2019, cuyo procedimiento se inició en septiembre 2019, coincidía plenamente con la planificación de actividades programadas desde junio del mismo año por el promotor. El evento ya estaba organizado y programadas sus fechas de ejecución.</w:t>
      </w:r>
    </w:p>
    <w:p w14:paraId="2C4E0583"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acreditó que:</w:t>
      </w:r>
    </w:p>
    <w:p w14:paraId="48364C47" w14:textId="77777777" w:rsidR="00E729AA" w:rsidRPr="00E729AA" w:rsidRDefault="00E729AA" w:rsidP="000C6DA4">
      <w:pPr>
        <w:numPr>
          <w:ilvl w:val="0"/>
          <w:numId w:val="49"/>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Cuando el Ayuntamiento de Calpe firmó, en fecha 27 de diciembre de 2019, el contrato de servicio de organización de un evento de promoción turística, dirigido a propietarios y directivos de agencias de viajes y otros intermediarios y profesionales del ámbito turístico del Reino Unido, este carecía de objeto ya que el servicio ya se había prestado, dato indubitado, entre el 25 y 28 de noviembre. </w:t>
      </w:r>
    </w:p>
    <w:p w14:paraId="661929E4" w14:textId="77777777" w:rsidR="00E729AA" w:rsidRPr="00E729AA" w:rsidRDefault="00E729AA" w:rsidP="00E729AA">
      <w:pPr>
        <w:numPr>
          <w:ilvl w:val="0"/>
          <w:numId w:val="49"/>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La contratación del expediente SER 47/2019 se utilizó para dar cobertura a un pago que responde a una actividad subvencionada, sin aplicar la normativa en materia de subvenciones públicas y con un total incumplimiento de los hitos y procedimientos de contratación pública, llegando a la normalización de la contratación de un evento que era público, notorio y conocido que ya se había producido el objeto contractual que se pretendía contratar </w:t>
      </w:r>
    </w:p>
    <w:p w14:paraId="6E68F17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xml:space="preserve"> Formulación de recomendaciones al Ayuntamiento, que consisten en la implementación de un plan integral con el objetivo final de otorgar cobertura legal a toda la actividad prestacional o de fomento del Ayuntamiento, y que se definan correctamente los procedimientos en atención a dicha actividad. Además, se insta y recomienda al Ayuntamiento de Calpe que proceda a la revisión de oficio de los actos incursos en causa de nulidad de pleno derecho y que se inicien los procedimientos que correspondan para depurar responsabilidades.</w:t>
      </w:r>
    </w:p>
    <w:p w14:paraId="4B040958"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La fase de seguimiento se encuentra finalizada, habiéndose aceptado parcialmente por el Ayuntamiento de Calpe las recomendaciones propuestas; y habiéndose justificado las no aceptadas.</w:t>
      </w:r>
    </w:p>
    <w:p w14:paraId="74E747E9"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19" w:name="_Toc95209063"/>
      <w:bookmarkStart w:id="220" w:name="_Toc95913855"/>
      <w:bookmarkStart w:id="221" w:name="_Toc99107031"/>
      <w:r w:rsidRPr="00E729AA">
        <w:rPr>
          <w:rFonts w:ascii="Arial" w:eastAsia="Times New Roman" w:hAnsi="Arial" w:cs="Arial"/>
          <w:b/>
          <w:bCs/>
          <w:color w:val="9D2235" w:themeColor="accent1"/>
          <w:sz w:val="28"/>
          <w:szCs w:val="28"/>
          <w:lang w:eastAsia="es-ES"/>
        </w:rPr>
        <w:t>Denominación: Ayuntamiento de Cofrentes. Fraccionamiento de contratos relativos al Parque y tobogán acuático en la piscina municipal</w:t>
      </w:r>
      <w:bookmarkEnd w:id="219"/>
      <w:bookmarkEnd w:id="220"/>
      <w:bookmarkEnd w:id="221"/>
    </w:p>
    <w:p w14:paraId="67BEB8C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2020/G01_01/000298-(40/18)</w:t>
      </w:r>
    </w:p>
    <w:p w14:paraId="1AC3329D"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25" w:history="1">
        <w:r w:rsidRPr="00E729AA">
          <w:rPr>
            <w:rFonts w:ascii="Arial" w:eastAsia="Times New Roman" w:hAnsi="Arial" w:cs="Arial"/>
            <w:color w:val="000080"/>
            <w:sz w:val="18"/>
            <w:szCs w:val="18"/>
            <w:u w:val="single"/>
            <w:lang w:eastAsia="es-ES"/>
          </w:rPr>
          <w:t>http://www.antifraucv.es/wp-content/uploads/2021/04/20210316_AYUNTAMIENTO_DE_COFRENTES.pdf</w:t>
        </w:r>
      </w:hyperlink>
    </w:p>
    <w:p w14:paraId="4D796AB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el presunto fraccionamiento en fraude de ley realizado por el Ayuntamiento de Cofrentes, en referencia a la adjudicación de dos contratos paralelos con objeto y ámbito funcional análogos.</w:t>
      </w:r>
    </w:p>
    <w:p w14:paraId="46005C87"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acreditó que existen los siguientes indicios de fraccionamiento entre los expedientes de contratación C1/2016 y C2/2016:</w:t>
      </w:r>
    </w:p>
    <w:p w14:paraId="16EA83A8" w14:textId="77777777" w:rsidR="00E729AA" w:rsidRPr="00E729AA" w:rsidRDefault="00E729AA" w:rsidP="000C6DA4">
      <w:pPr>
        <w:numPr>
          <w:ilvl w:val="0"/>
          <w:numId w:val="51"/>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Numeración correlativa de los expedientes: C1/2016 y C2/2016.</w:t>
      </w:r>
    </w:p>
    <w:p w14:paraId="3DC98AFD" w14:textId="77777777" w:rsidR="00E729AA" w:rsidRPr="00E729AA" w:rsidRDefault="00E729AA" w:rsidP="000C6DA4">
      <w:pPr>
        <w:numPr>
          <w:ilvl w:val="0"/>
          <w:numId w:val="51"/>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Objeto íntimamente relacionado y misma ubicación:</w:t>
      </w:r>
    </w:p>
    <w:p w14:paraId="77E5E645" w14:textId="77777777" w:rsidR="00E729AA" w:rsidRPr="00E729AA" w:rsidRDefault="00E729AA" w:rsidP="000B6315">
      <w:pPr>
        <w:numPr>
          <w:ilvl w:val="0"/>
          <w:numId w:val="50"/>
        </w:numPr>
        <w:spacing w:after="120" w:line="276" w:lineRule="auto"/>
        <w:ind w:left="1276"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C1/2016: creación de un parque acuático en la piscina municipal.</w:t>
      </w:r>
    </w:p>
    <w:p w14:paraId="49BFE784" w14:textId="77777777" w:rsidR="00E729AA" w:rsidRPr="00E729AA" w:rsidRDefault="00E729AA" w:rsidP="000B6315">
      <w:pPr>
        <w:numPr>
          <w:ilvl w:val="0"/>
          <w:numId w:val="50"/>
        </w:numPr>
        <w:spacing w:after="120" w:line="276" w:lineRule="auto"/>
        <w:ind w:left="1276"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C2/2016: instalación de un tobogán acuático en la piscina municipal.</w:t>
      </w:r>
    </w:p>
    <w:p w14:paraId="622195EE" w14:textId="77777777" w:rsidR="00E729AA" w:rsidRPr="00E729AA" w:rsidRDefault="00E729AA" w:rsidP="000C6DA4">
      <w:pPr>
        <w:numPr>
          <w:ilvl w:val="0"/>
          <w:numId w:val="51"/>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Tramitación simultánea en el tiempo de ambos expedientes.</w:t>
      </w:r>
    </w:p>
    <w:p w14:paraId="3D81C9A4" w14:textId="77777777" w:rsidR="00E729AA" w:rsidRPr="00E729AA" w:rsidRDefault="00E729AA" w:rsidP="000C6DA4">
      <w:pPr>
        <w:numPr>
          <w:ilvl w:val="0"/>
          <w:numId w:val="51"/>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Invitación a la negociación a las mismas 3 empresas, en ambos contratos.</w:t>
      </w:r>
    </w:p>
    <w:p w14:paraId="37216DEC" w14:textId="77777777" w:rsidR="00E729AA" w:rsidRPr="00E729AA" w:rsidRDefault="00E729AA" w:rsidP="000C6DA4">
      <w:pPr>
        <w:numPr>
          <w:ilvl w:val="0"/>
          <w:numId w:val="51"/>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Adjudicación de ambos contratos a la misma empresa, con apenas 14 días de diferencia entre una y otra adjudicación.</w:t>
      </w:r>
    </w:p>
    <w:p w14:paraId="1882CC4E" w14:textId="77777777" w:rsidR="00E729AA" w:rsidRPr="00E729AA" w:rsidRDefault="00E729AA" w:rsidP="00E729AA">
      <w:pPr>
        <w:numPr>
          <w:ilvl w:val="0"/>
          <w:numId w:val="51"/>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Ejecución simultánea de ambos contratos.</w:t>
      </w:r>
    </w:p>
    <w:p w14:paraId="6CE49071" w14:textId="65795D3F"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No obstante, lo anterior, los hechos denunciados han sido examinados desde el prisma judicial en las Diligencias Previas [DIP] </w:t>
      </w:r>
      <w:r w:rsidR="00D53DAD">
        <w:rPr>
          <w:rFonts w:ascii="Arial" w:eastAsia="Times New Roman" w:hAnsi="Arial" w:cs="Arial"/>
          <w:sz w:val="21"/>
          <w:szCs w:val="21"/>
          <w:lang w:eastAsia="es-ES"/>
        </w:rPr>
        <w:t>núm.</w:t>
      </w:r>
      <w:r w:rsidRPr="00E729AA">
        <w:rPr>
          <w:rFonts w:ascii="Arial" w:eastAsia="Times New Roman" w:hAnsi="Arial" w:cs="Arial"/>
          <w:sz w:val="21"/>
          <w:szCs w:val="21"/>
          <w:lang w:eastAsia="es-ES"/>
        </w:rPr>
        <w:t xml:space="preserve"> 000472/2019, seguido ante el Juzgado de Instrucción n.º 1 de Requena. Dicho proceso penal ha finalizado mediante auto de sobreseimiento provisional.</w:t>
      </w:r>
    </w:p>
    <w:p w14:paraId="1786438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archivo de las actuaciones.</w:t>
      </w:r>
    </w:p>
    <w:p w14:paraId="14D94AE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No procede.</w:t>
      </w:r>
    </w:p>
    <w:p w14:paraId="6F1BC7AD"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22" w:name="_Toc95209064"/>
      <w:bookmarkStart w:id="223" w:name="_Toc95913856"/>
      <w:bookmarkStart w:id="224" w:name="_Toc99107032"/>
      <w:r w:rsidRPr="00E729AA">
        <w:rPr>
          <w:rFonts w:ascii="Arial" w:eastAsia="Times New Roman" w:hAnsi="Arial" w:cs="Arial"/>
          <w:b/>
          <w:bCs/>
          <w:color w:val="9D2235" w:themeColor="accent1"/>
          <w:sz w:val="28"/>
          <w:szCs w:val="28"/>
          <w:lang w:eastAsia="es-ES"/>
        </w:rPr>
        <w:t>Denominación: DIVALTERRA, S.A. Fraccionamiento de contratos de servicios de auditoría</w:t>
      </w:r>
      <w:bookmarkEnd w:id="222"/>
      <w:bookmarkEnd w:id="223"/>
      <w:bookmarkEnd w:id="224"/>
    </w:p>
    <w:p w14:paraId="17C81B6E"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2020/G01_01/000371 (110/2018 y 114/2018)</w:t>
      </w:r>
    </w:p>
    <w:p w14:paraId="72D10DDE" w14:textId="77777777" w:rsidR="00E729AA" w:rsidRPr="00E729AA" w:rsidRDefault="00E729AA" w:rsidP="00E729AA">
      <w:pPr>
        <w:spacing w:after="240" w:line="276" w:lineRule="auto"/>
        <w:rPr>
          <w:rFonts w:ascii="Arial" w:eastAsia="Times New Roman" w:hAnsi="Arial" w:cs="Arial"/>
          <w:sz w:val="16"/>
          <w:szCs w:val="16"/>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26" w:history="1">
        <w:r w:rsidRPr="00E729AA">
          <w:rPr>
            <w:rFonts w:ascii="Arial" w:eastAsia="Times New Roman" w:hAnsi="Arial" w:cs="Arial"/>
            <w:color w:val="000080"/>
            <w:sz w:val="16"/>
            <w:szCs w:val="16"/>
            <w:u w:val="single"/>
            <w:lang w:eastAsia="es-ES"/>
          </w:rPr>
          <w:t>http://www.antifraucv.es/wp-content/uploads/2021/04/20210316_DIPUTACION_DE_VALENCIA-DIVALTERRA.pdf</w:t>
        </w:r>
      </w:hyperlink>
    </w:p>
    <w:p w14:paraId="590E05B8"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que, DIVALTERRA, S.A. podría haber fraccionado contratos indebidamente para eludir la aplicación de los principios generales que rigen la contratación administrativa, en concreto, la publicidad y la libre concurrencia, en concreto:</w:t>
      </w:r>
    </w:p>
    <w:p w14:paraId="09FE384B" w14:textId="77777777" w:rsidR="00E729AA" w:rsidRPr="00E729AA" w:rsidRDefault="00E729AA" w:rsidP="000C6DA4">
      <w:pPr>
        <w:numPr>
          <w:ilvl w:val="0"/>
          <w:numId w:val="52"/>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excedieron los límites de la contratación menor.</w:t>
      </w:r>
    </w:p>
    <w:p w14:paraId="78C23D8E" w14:textId="77777777" w:rsidR="00E729AA" w:rsidRPr="00E729AA" w:rsidRDefault="00E729AA" w:rsidP="000C6DA4">
      <w:pPr>
        <w:numPr>
          <w:ilvl w:val="0"/>
          <w:numId w:val="52"/>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los pagos finalmente realizados en las contrataciones excedieron los importes efectivamente contratados.</w:t>
      </w:r>
    </w:p>
    <w:p w14:paraId="4EC06626" w14:textId="77777777" w:rsidR="00E729AA" w:rsidRPr="00E729AA" w:rsidRDefault="00E729AA" w:rsidP="00E729AA">
      <w:pPr>
        <w:numPr>
          <w:ilvl w:val="0"/>
          <w:numId w:val="52"/>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ha producido fraccionamiento de contratos.</w:t>
      </w:r>
    </w:p>
    <w:p w14:paraId="461B997E"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el estudio en detalle de la totalidad de la documentación, se concluye que:</w:t>
      </w:r>
    </w:p>
    <w:p w14:paraId="2BDC60E0" w14:textId="77777777" w:rsidR="00E729AA" w:rsidRPr="00E729AA" w:rsidRDefault="00E729AA" w:rsidP="000C6DA4">
      <w:pPr>
        <w:numPr>
          <w:ilvl w:val="0"/>
          <w:numId w:val="5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Irregularidades constatadas en el expediente denominado “60/ECOF/2015”:</w:t>
      </w:r>
    </w:p>
    <w:p w14:paraId="407D2CA5" w14:textId="77777777" w:rsidR="00E729AA" w:rsidRPr="00E729AA" w:rsidRDefault="00E729AA" w:rsidP="000B6315">
      <w:pPr>
        <w:numPr>
          <w:ilvl w:val="0"/>
          <w:numId w:val="54"/>
        </w:numPr>
        <w:spacing w:after="120" w:line="276" w:lineRule="auto"/>
        <w:ind w:left="1276" w:hanging="425"/>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Existencia de contactos previos al inicio de la contratación que no han sido justificados.</w:t>
      </w:r>
    </w:p>
    <w:p w14:paraId="1D26836B" w14:textId="77777777" w:rsidR="00E729AA" w:rsidRPr="00E729AA" w:rsidRDefault="00E729AA" w:rsidP="000B6315">
      <w:pPr>
        <w:numPr>
          <w:ilvl w:val="0"/>
          <w:numId w:val="54"/>
        </w:numPr>
        <w:spacing w:after="120" w:line="276" w:lineRule="auto"/>
        <w:ind w:left="1276" w:hanging="425"/>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Existencia de documentos de control de pagos incompletos y con anotaciones manuscritas no justificadas.</w:t>
      </w:r>
    </w:p>
    <w:p w14:paraId="698C72AA" w14:textId="77777777" w:rsidR="00E729AA" w:rsidRPr="00E729AA" w:rsidRDefault="00E729AA" w:rsidP="000B6315">
      <w:pPr>
        <w:numPr>
          <w:ilvl w:val="0"/>
          <w:numId w:val="54"/>
        </w:numPr>
        <w:spacing w:after="120" w:line="276" w:lineRule="auto"/>
        <w:ind w:left="1276" w:hanging="425"/>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Existencia de una “nueva” propuesta de servicios y dos “nuevas” facturas, que no corresponden al servicio inicialmente contratado, lo que podría configurar una segunda contratación dentro del mismo expediente. Los documentos internos de control de pagos también están incompletos y con anotaciones manuscritas no justificadas.</w:t>
      </w:r>
    </w:p>
    <w:p w14:paraId="4C17D8F2" w14:textId="77777777" w:rsidR="00E729AA" w:rsidRPr="00E729AA" w:rsidRDefault="00E729AA" w:rsidP="000B6315">
      <w:pPr>
        <w:numPr>
          <w:ilvl w:val="0"/>
          <w:numId w:val="54"/>
        </w:numPr>
        <w:spacing w:after="120" w:line="276" w:lineRule="auto"/>
        <w:ind w:left="1276" w:hanging="425"/>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Inexistencia de la justificación exigible para la adjudicación de contratos de forma directa por resultar imposible promover la concurrencia.</w:t>
      </w:r>
    </w:p>
    <w:p w14:paraId="49EA990D" w14:textId="77777777" w:rsidR="00E729AA" w:rsidRPr="00E729AA" w:rsidRDefault="00E729AA" w:rsidP="000C6DA4">
      <w:pPr>
        <w:numPr>
          <w:ilvl w:val="0"/>
          <w:numId w:val="5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Irregularidades constatadas en el expediente denominado “233/AJ/2016”:</w:t>
      </w:r>
    </w:p>
    <w:p w14:paraId="47FE5918" w14:textId="77777777" w:rsidR="00E729AA" w:rsidRPr="00E729AA" w:rsidRDefault="00E729AA" w:rsidP="000B6315">
      <w:pPr>
        <w:numPr>
          <w:ilvl w:val="0"/>
          <w:numId w:val="55"/>
        </w:numPr>
        <w:spacing w:after="120" w:line="276" w:lineRule="auto"/>
        <w:ind w:left="1276" w:hanging="425"/>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Incongruencia no justificada entre el informe previo de necesidad a satisfacer y el acuerdo adoptado por el órgano de contratación.</w:t>
      </w:r>
    </w:p>
    <w:p w14:paraId="03ACD19A" w14:textId="77777777" w:rsidR="00E729AA" w:rsidRPr="00E729AA" w:rsidRDefault="00E729AA" w:rsidP="000B6315">
      <w:pPr>
        <w:numPr>
          <w:ilvl w:val="0"/>
          <w:numId w:val="55"/>
        </w:numPr>
        <w:spacing w:after="240" w:line="276" w:lineRule="auto"/>
        <w:ind w:left="1276" w:hanging="425"/>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Inexistencia de la justificación exigible para la adjudicación de contratos de forma directa, por resultar imposible promover la concurrencia.</w:t>
      </w:r>
    </w:p>
    <w:p w14:paraId="17F1B94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entidad alega que al amparo de lo establecido en el art. 39 de las Instrucciones Internas de Contratación de DIVALTERRA, se decidió separarse del informe jurídico que recomendaba la adjudicación por negociado sin publicidad, optando en su lugar por la adjudicación directa.</w:t>
      </w:r>
    </w:p>
    <w:p w14:paraId="2F5E3C8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archivo de las actuaciones.</w:t>
      </w:r>
    </w:p>
    <w:p w14:paraId="4D43D49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No procede.</w:t>
      </w:r>
    </w:p>
    <w:p w14:paraId="3E3E7EE4"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25" w:name="_Toc95209065"/>
      <w:bookmarkStart w:id="226" w:name="_Toc95913857"/>
      <w:bookmarkStart w:id="227" w:name="_Toc99107033"/>
      <w:r w:rsidRPr="00E729AA">
        <w:rPr>
          <w:rFonts w:ascii="Arial" w:eastAsia="Times New Roman" w:hAnsi="Arial" w:cs="Arial"/>
          <w:b/>
          <w:bCs/>
          <w:color w:val="9D2235" w:themeColor="accent1"/>
          <w:sz w:val="28"/>
          <w:szCs w:val="28"/>
          <w:lang w:eastAsia="es-ES"/>
        </w:rPr>
        <w:t>Denominación: Facultad de Derecho Universitat de València. Incompatibilidad de personal docente</w:t>
      </w:r>
      <w:bookmarkEnd w:id="225"/>
      <w:bookmarkEnd w:id="226"/>
      <w:bookmarkEnd w:id="227"/>
    </w:p>
    <w:p w14:paraId="7E96BDD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2020/G01_01/000050 [146/2018]</w:t>
      </w:r>
    </w:p>
    <w:p w14:paraId="77FE49E8"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27" w:history="1">
        <w:r w:rsidRPr="00E729AA">
          <w:rPr>
            <w:rFonts w:ascii="Arial" w:eastAsia="Times New Roman" w:hAnsi="Arial" w:cs="Arial"/>
            <w:color w:val="000080"/>
            <w:sz w:val="18"/>
            <w:szCs w:val="18"/>
            <w:u w:val="single"/>
            <w:lang w:eastAsia="es-ES"/>
          </w:rPr>
          <w:t>http://www.antifraucv.es/wp-content/uploads/2021/04/20210317_UNIVERSIDAD_DE_VALENCIA.pdf</w:t>
        </w:r>
      </w:hyperlink>
    </w:p>
    <w:p w14:paraId="716630E8"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en particular, varias cuestiones en relación con los deberes de un empleado público, como la prevalencia de su condición para la obtención de beneficios privados, el incumplimiento de sus horarios y jornada de trabajo, y con la realización de actividades de carácter privativo, en concreto, el ejercicio de la abogacía por cuenta propia, lo que podría suponer un claro conflicto de interés y un incumplimiento de la normativa sobre el régimen de incompatibilidades.</w:t>
      </w:r>
    </w:p>
    <w:p w14:paraId="786F1636"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Del estudio detallado de la documentación, se constató que:</w:t>
      </w:r>
    </w:p>
    <w:p w14:paraId="58B3FF0A" w14:textId="77777777" w:rsidR="00E729AA" w:rsidRPr="00E729AA" w:rsidRDefault="00E729AA" w:rsidP="000C6DA4">
      <w:pPr>
        <w:numPr>
          <w:ilvl w:val="0"/>
          <w:numId w:val="5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habría estado compatibilizando el ejercicio de su actividad pública docente con el ejercicio de la abogacía privada, al menos desde el cambio a dedicación parcial desde el 24 de octubre de 1990. No consta resolución de concesión de compatibilidad, sin que hayan podido acreditar acuerdos expresos al respecto.</w:t>
      </w:r>
    </w:p>
    <w:p w14:paraId="0C4C125B" w14:textId="77777777" w:rsidR="00E729AA" w:rsidRPr="00E729AA" w:rsidRDefault="00E729AA" w:rsidP="000C6DA4">
      <w:pPr>
        <w:numPr>
          <w:ilvl w:val="0"/>
          <w:numId w:val="5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UV detectó la ausencia de autorización de compatibilidad el 11 de mayo de 2017, mediante la ejecución de un proceso de revisión de expedientes del profesorado.</w:t>
      </w:r>
    </w:p>
    <w:p w14:paraId="5D68D9DD" w14:textId="77777777" w:rsidR="00E729AA" w:rsidRPr="00E729AA" w:rsidRDefault="00E729AA" w:rsidP="000C6DA4">
      <w:pPr>
        <w:numPr>
          <w:ilvl w:val="0"/>
          <w:numId w:val="5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31 de mayo de 2017, la persona afectada formalizó declaración responsable en la que indicaba que ejercía la actividad privada de la abogacía.</w:t>
      </w:r>
    </w:p>
    <w:p w14:paraId="1A7AE4F4" w14:textId="77777777" w:rsidR="00E729AA" w:rsidRPr="00E729AA" w:rsidRDefault="00E729AA" w:rsidP="000C6DA4">
      <w:pPr>
        <w:numPr>
          <w:ilvl w:val="0"/>
          <w:numId w:val="5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20 de diciembre de 2017, la vicerrectora de Ordenación Académica, Profesorado y Sostenibilidad, resolvió autorizar la compatibilidad solicitada, condicionada al cumplimiento de la obligación accesoria de presentar declaración jurada sobre el mantenimiento de dichas circunstancias o, en otro caso, una nueva solicitud para la autorización de compatibilidad.</w:t>
      </w:r>
    </w:p>
    <w:p w14:paraId="77AE2D2B" w14:textId="77777777" w:rsidR="00E729AA" w:rsidRPr="00E729AA" w:rsidRDefault="00E729AA" w:rsidP="000C6DA4">
      <w:pPr>
        <w:numPr>
          <w:ilvl w:val="0"/>
          <w:numId w:val="5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Consta declaración jurada del interesado, de fecha 4 de noviembre de 2020, en la que manifiesta que se mantienen las mismas condiciones de compatibilidad para el ejercicio de la actividad privada contempladas en la resolución de autorización.</w:t>
      </w:r>
    </w:p>
    <w:p w14:paraId="7007C43A" w14:textId="77777777" w:rsidR="00E729AA" w:rsidRPr="00E729AA" w:rsidRDefault="00E729AA" w:rsidP="000C6DA4">
      <w:pPr>
        <w:numPr>
          <w:ilvl w:val="0"/>
          <w:numId w:val="5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Dicha declaración no estaba firmada por el interesado, ni tenía sello de entrada en registro oficial ni el sello de compulsa estaba completo.</w:t>
      </w:r>
    </w:p>
    <w:p w14:paraId="74FFDDC7" w14:textId="77777777" w:rsidR="00E729AA" w:rsidRPr="00E729AA" w:rsidRDefault="00E729AA" w:rsidP="00E729AA">
      <w:pPr>
        <w:numPr>
          <w:ilvl w:val="0"/>
          <w:numId w:val="56"/>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Consta informe de evaluación de la docencia, del curso 2019-2020, en el que se acredita la obtención de unos resultados en las encuestas de evaluación superiores a las de la media de la titulación.</w:t>
      </w:r>
    </w:p>
    <w:p w14:paraId="16EC0D1D"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acreditó que:</w:t>
      </w:r>
    </w:p>
    <w:p w14:paraId="78BFC1B6" w14:textId="77777777" w:rsidR="00E729AA" w:rsidRPr="00E729AA" w:rsidRDefault="00E729AA" w:rsidP="000C6DA4">
      <w:pPr>
        <w:numPr>
          <w:ilvl w:val="0"/>
          <w:numId w:val="5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Respecto del expediente original de concesión de compatibilidad para el ejercicio de actividad privada, que abarcaría el periodo hasta 2017, ha quedado acreditada la inexistencia de un expediente de concesión de compatibilidad para el ejercicio de actividades privadas con anterioridad al curso 2017-2018, la Universidad alega el carácter implícito de la concesión, que no es admisible procedimentalmente.</w:t>
      </w:r>
    </w:p>
    <w:p w14:paraId="6F775B73" w14:textId="77777777" w:rsidR="00E729AA" w:rsidRPr="00E729AA" w:rsidRDefault="00E729AA" w:rsidP="00E729AA">
      <w:pPr>
        <w:numPr>
          <w:ilvl w:val="0"/>
          <w:numId w:val="57"/>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Respecto del expediente de concesión de compatibilidad para el ejercicio de actividad privada, que abarcaría el periodo desde 2017 hasta la actualidad, se alude que </w:t>
      </w:r>
      <w:r w:rsidRPr="00E729AA">
        <w:rPr>
          <w:rFonts w:ascii="Arial" w:eastAsia="Times New Roman" w:hAnsi="Arial" w:cs="Arial"/>
          <w:i/>
          <w:iCs/>
          <w:sz w:val="21"/>
          <w:szCs w:val="21"/>
          <w:lang w:eastAsia="es-ES"/>
        </w:rPr>
        <w:t>“</w:t>
      </w:r>
      <w:r w:rsidRPr="00E729AA">
        <w:rPr>
          <w:rFonts w:ascii="Arial" w:eastAsia="Times New Roman" w:hAnsi="Arial" w:cs="Arial"/>
          <w:sz w:val="21"/>
          <w:szCs w:val="21"/>
          <w:lang w:eastAsia="es-ES"/>
        </w:rPr>
        <w:t>no es el único caso en que el profesorado no repara u olvida esta obligación, confiando en que su expediente administrativo está en orden al no haber variado las circunstancias declaradas a la Universidad y desarrollar normalmente y sin incidencias sus funciones docentes, subsanando la falta a requerimiento del Servicio de Recursos Humanos (PDI)</w:t>
      </w:r>
      <w:r w:rsidRPr="00E729AA">
        <w:rPr>
          <w:rFonts w:ascii="Arial" w:eastAsia="Times New Roman" w:hAnsi="Arial" w:cs="Arial"/>
          <w:i/>
          <w:iCs/>
          <w:sz w:val="21"/>
          <w:szCs w:val="21"/>
          <w:lang w:eastAsia="es-ES"/>
        </w:rPr>
        <w:t>”.</w:t>
      </w:r>
      <w:r w:rsidRPr="00E729AA">
        <w:rPr>
          <w:rFonts w:ascii="Arial" w:eastAsia="Times New Roman" w:hAnsi="Arial" w:cs="Arial"/>
          <w:sz w:val="21"/>
          <w:szCs w:val="21"/>
          <w:lang w:eastAsia="es-ES"/>
        </w:rPr>
        <w:t xml:space="preserve"> Lo anterior pone de manifiesto que, concedidas las autorizaciones, solo se supervisa la vigencia de las mismas por parte del organismo gestor, de una forma ocasional no periódica.</w:t>
      </w:r>
    </w:p>
    <w:p w14:paraId="50FC4030"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elevación de recomendaciones:</w:t>
      </w:r>
    </w:p>
    <w:p w14:paraId="7837638D" w14:textId="77777777" w:rsidR="00E729AA" w:rsidRPr="00E729AA" w:rsidRDefault="00E729AA" w:rsidP="000C6DA4">
      <w:pPr>
        <w:numPr>
          <w:ilvl w:val="0"/>
          <w:numId w:val="58"/>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No siendo admisible en derecho, ni ajustada al procedimiento administrativo la concesión implícita de la compatibilidad para la actividad privada, deberá proceder a revisar la situación de todo su personal docente en dicha situación para conceder o denegar, en su caso, de manera expresa la misma. </w:t>
      </w:r>
    </w:p>
    <w:p w14:paraId="7FF30A8F" w14:textId="77777777" w:rsidR="00E729AA" w:rsidRPr="00E729AA" w:rsidRDefault="00E729AA" w:rsidP="000C6DA4">
      <w:pPr>
        <w:numPr>
          <w:ilvl w:val="0"/>
          <w:numId w:val="58"/>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Deberá establecer los protocolos, procedimientos o mecanismos de trabajo que permitan la supervisión periódica de las autorizaciones de compatibilidad concedidas.</w:t>
      </w:r>
    </w:p>
    <w:p w14:paraId="29E91759" w14:textId="77777777" w:rsidR="00E729AA" w:rsidRPr="00E729AA" w:rsidRDefault="00E729AA" w:rsidP="00E729AA">
      <w:pPr>
        <w:numPr>
          <w:ilvl w:val="0"/>
          <w:numId w:val="58"/>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Deberá proceder a incoar los expedientes disciplinarios que sean procedentes, por el incumplimiento del régimen de autorizaciones de compatibilidades tras la revisión de la situación de su personal docente y el establecimiento de los protocolos de actuación.</w:t>
      </w:r>
    </w:p>
    <w:p w14:paraId="6E316D7F" w14:textId="6E7070C7" w:rsid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Se ha completado esta fase. La UV ha aceptado las recomendaciones propuestas.</w:t>
      </w:r>
    </w:p>
    <w:p w14:paraId="6AA36E6A" w14:textId="266173A2" w:rsidR="00EC27A7" w:rsidRDefault="00EC27A7" w:rsidP="00E729AA">
      <w:pPr>
        <w:spacing w:after="240" w:line="276" w:lineRule="auto"/>
        <w:jc w:val="both"/>
        <w:rPr>
          <w:rFonts w:ascii="Arial" w:eastAsia="Times New Roman" w:hAnsi="Arial" w:cs="Arial"/>
          <w:sz w:val="21"/>
          <w:szCs w:val="21"/>
          <w:lang w:eastAsia="es-ES"/>
        </w:rPr>
      </w:pPr>
    </w:p>
    <w:p w14:paraId="039DCAB3" w14:textId="0BCACB97" w:rsidR="00EC27A7" w:rsidRDefault="00EC27A7" w:rsidP="00E729AA">
      <w:pPr>
        <w:spacing w:after="240" w:line="276" w:lineRule="auto"/>
        <w:jc w:val="both"/>
        <w:rPr>
          <w:rFonts w:ascii="Arial" w:eastAsia="Times New Roman" w:hAnsi="Arial" w:cs="Arial"/>
          <w:sz w:val="21"/>
          <w:szCs w:val="21"/>
          <w:lang w:eastAsia="es-ES"/>
        </w:rPr>
      </w:pPr>
    </w:p>
    <w:p w14:paraId="7DF11966" w14:textId="77777777" w:rsidR="00EC27A7" w:rsidRPr="00E729AA" w:rsidRDefault="00EC27A7" w:rsidP="00E729AA">
      <w:pPr>
        <w:spacing w:after="240" w:line="276" w:lineRule="auto"/>
        <w:jc w:val="both"/>
        <w:rPr>
          <w:rFonts w:ascii="Arial" w:eastAsia="Times New Roman" w:hAnsi="Arial" w:cs="Arial"/>
          <w:sz w:val="21"/>
          <w:szCs w:val="21"/>
          <w:lang w:eastAsia="es-ES"/>
        </w:rPr>
      </w:pPr>
    </w:p>
    <w:p w14:paraId="79429BDE" w14:textId="600ACC78"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28" w:name="_Toc95209066"/>
      <w:bookmarkStart w:id="229" w:name="_Toc95913858"/>
      <w:bookmarkStart w:id="230" w:name="_Toc99107034"/>
      <w:r w:rsidRPr="00E729AA">
        <w:rPr>
          <w:rFonts w:ascii="Arial" w:eastAsia="Times New Roman" w:hAnsi="Arial" w:cs="Arial"/>
          <w:b/>
          <w:bCs/>
          <w:color w:val="9D2235" w:themeColor="accent1"/>
          <w:sz w:val="28"/>
          <w:szCs w:val="28"/>
          <w:lang w:eastAsia="es-ES"/>
        </w:rPr>
        <w:t xml:space="preserve">Denominación: Fundación de la Comunidad Valenciana para la Atención de las Víctimas del Delito y para el encuentro familiar (FAVIDE). Falta de rendición de cuentas y ausencia actuaciones por </w:t>
      </w:r>
      <w:bookmarkEnd w:id="228"/>
      <w:bookmarkEnd w:id="229"/>
      <w:r w:rsidR="00CB1EC3">
        <w:rPr>
          <w:rFonts w:ascii="Arial" w:eastAsia="Times New Roman" w:hAnsi="Arial" w:cs="Arial"/>
          <w:b/>
          <w:bCs/>
          <w:color w:val="9D2235" w:themeColor="accent1"/>
          <w:sz w:val="28"/>
          <w:szCs w:val="28"/>
          <w:lang w:eastAsia="es-ES"/>
        </w:rPr>
        <w:t xml:space="preserve">el </w:t>
      </w:r>
      <w:r w:rsidR="001D06D6">
        <w:rPr>
          <w:rFonts w:ascii="Arial" w:eastAsia="Times New Roman" w:hAnsi="Arial" w:cs="Arial"/>
          <w:b/>
          <w:bCs/>
          <w:color w:val="9D2235" w:themeColor="accent1"/>
          <w:sz w:val="28"/>
          <w:szCs w:val="28"/>
          <w:lang w:eastAsia="es-ES"/>
        </w:rPr>
        <w:t>Protectorado</w:t>
      </w:r>
      <w:bookmarkEnd w:id="230"/>
    </w:p>
    <w:p w14:paraId="0B6281DF"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2020/G01_01/00051 [96/2018]</w:t>
      </w:r>
    </w:p>
    <w:p w14:paraId="5D1D02FB"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28" w:history="1">
        <w:r w:rsidRPr="00E729AA">
          <w:rPr>
            <w:rFonts w:ascii="Arial" w:eastAsia="Times New Roman" w:hAnsi="Arial" w:cs="Arial"/>
            <w:color w:val="000080"/>
            <w:sz w:val="18"/>
            <w:szCs w:val="18"/>
            <w:u w:val="single"/>
            <w:lang w:eastAsia="es-ES"/>
          </w:rPr>
          <w:t>http://www.antifraucv.es/wp-content/uploads/2021/04/20210322_FAVIDE.pdf</w:t>
        </w:r>
      </w:hyperlink>
    </w:p>
    <w:p w14:paraId="3D082F26"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Los hechos denunciados se concretaron en:</w:t>
      </w:r>
    </w:p>
    <w:p w14:paraId="7E05A815" w14:textId="77777777" w:rsidR="00E729AA" w:rsidRPr="00E729AA" w:rsidRDefault="00E729AA" w:rsidP="000C6DA4">
      <w:pPr>
        <w:numPr>
          <w:ilvl w:val="0"/>
          <w:numId w:val="59"/>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Falta de rendición de cuentas por parte de la fundación FAVIDE.</w:t>
      </w:r>
    </w:p>
    <w:p w14:paraId="3A0E2152" w14:textId="77777777" w:rsidR="00E729AA" w:rsidRPr="00E729AA" w:rsidRDefault="00E729AA" w:rsidP="00E729AA">
      <w:pPr>
        <w:numPr>
          <w:ilvl w:val="0"/>
          <w:numId w:val="59"/>
        </w:numPr>
        <w:spacing w:after="240" w:line="276" w:lineRule="auto"/>
        <w:jc w:val="both"/>
        <w:rPr>
          <w:rFonts w:ascii="Arial" w:eastAsia="Times New Roman" w:hAnsi="Arial" w:cs="Arial"/>
          <w:b/>
          <w:bCs/>
          <w:sz w:val="21"/>
          <w:szCs w:val="21"/>
          <w:lang w:eastAsia="es-ES"/>
        </w:rPr>
      </w:pPr>
      <w:r w:rsidRPr="00E729AA">
        <w:rPr>
          <w:rFonts w:ascii="Arial" w:eastAsia="Times New Roman" w:hAnsi="Arial" w:cs="Arial"/>
          <w:sz w:val="21"/>
          <w:szCs w:val="21"/>
          <w:lang w:eastAsia="es-ES"/>
        </w:rPr>
        <w:t>Ausencia de control por parte del Protectorado de Fundaciones de la Conselleria de Justicia, Interior y Administración Pública.</w:t>
      </w:r>
    </w:p>
    <w:p w14:paraId="4B210BA6" w14:textId="77777777" w:rsidR="00E729AA" w:rsidRPr="00E729AA" w:rsidRDefault="00E729AA" w:rsidP="000C6DA4">
      <w:pPr>
        <w:spacing w:after="240" w:line="276" w:lineRule="auto"/>
        <w:jc w:val="both"/>
        <w:rPr>
          <w:rFonts w:ascii="Arial" w:eastAsia="Times New Roman" w:hAnsi="Arial" w:cs="Arial"/>
          <w:b/>
          <w:bCs/>
          <w:sz w:val="21"/>
          <w:szCs w:val="21"/>
          <w:lang w:eastAsia="es-ES"/>
        </w:rPr>
      </w:pPr>
      <w:r w:rsidRPr="00E729AA">
        <w:rPr>
          <w:rFonts w:ascii="Arial" w:eastAsia="Times New Roman" w:hAnsi="Arial" w:cs="Arial"/>
          <w:sz w:val="21"/>
          <w:szCs w:val="21"/>
          <w:lang w:eastAsia="es-ES"/>
        </w:rPr>
        <w:t xml:space="preserve">Tras la instrucción del oportuno procedimiento de investigación, se evidenció: </w:t>
      </w:r>
    </w:p>
    <w:p w14:paraId="4DC8B65F" w14:textId="77777777" w:rsidR="00E729AA" w:rsidRPr="00E729AA" w:rsidRDefault="00E729AA" w:rsidP="000C6DA4">
      <w:pPr>
        <w:numPr>
          <w:ilvl w:val="0"/>
          <w:numId w:val="60"/>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u w:val="single"/>
          <w:lang w:eastAsia="es-ES"/>
        </w:rPr>
        <w:t>En cuanto a la Fundación de la Comunidad Valenciana para la Atención de las Víctimas del Delito y para el encuentro familiar (FAVIDE)</w:t>
      </w:r>
      <w:r w:rsidRPr="00E729AA">
        <w:rPr>
          <w:rFonts w:ascii="Arial" w:eastAsia="Times New Roman" w:hAnsi="Arial" w:cs="Arial"/>
          <w:sz w:val="21"/>
          <w:szCs w:val="21"/>
          <w:lang w:eastAsia="es-ES"/>
        </w:rPr>
        <w:t>:</w:t>
      </w:r>
    </w:p>
    <w:p w14:paraId="280936E6" w14:textId="77777777" w:rsidR="00E729AA" w:rsidRPr="00E729AA" w:rsidRDefault="00E729AA" w:rsidP="000B6315">
      <w:pPr>
        <w:numPr>
          <w:ilvl w:val="0"/>
          <w:numId w:val="63"/>
        </w:numPr>
        <w:spacing w:after="120" w:line="276" w:lineRule="auto"/>
        <w:ind w:left="1429" w:hanging="436"/>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Incumplimiento de la normativa aplicable en la extinción de la Fundación FAVIDE.</w:t>
      </w:r>
    </w:p>
    <w:p w14:paraId="048BEDF9" w14:textId="77777777" w:rsidR="00E729AA" w:rsidRPr="00E729AA" w:rsidRDefault="00E729AA" w:rsidP="000B6315">
      <w:pPr>
        <w:numPr>
          <w:ilvl w:val="0"/>
          <w:numId w:val="63"/>
        </w:numPr>
        <w:spacing w:after="120" w:line="276" w:lineRule="auto"/>
        <w:ind w:left="1429" w:hanging="436"/>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Incumplimiento legal de rendir cuentas (ejercicios, 2014, 2015, 2016 y 2018) y</w:t>
      </w:r>
    </w:p>
    <w:p w14:paraId="073529D3" w14:textId="77777777" w:rsidR="00E729AA" w:rsidRPr="00E729AA" w:rsidRDefault="00E729AA" w:rsidP="000B6315">
      <w:pPr>
        <w:numPr>
          <w:ilvl w:val="0"/>
          <w:numId w:val="63"/>
        </w:numPr>
        <w:spacing w:after="120" w:line="276" w:lineRule="auto"/>
        <w:ind w:hanging="441"/>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Incumplimiento del plazo para solicitar la inscripción del aumento de la dotación adoptado el 29 de diciembre de 2015.</w:t>
      </w:r>
    </w:p>
    <w:p w14:paraId="1D923841" w14:textId="77777777" w:rsidR="00E729AA" w:rsidRPr="00E729AA" w:rsidRDefault="00E729AA" w:rsidP="000C6DA4">
      <w:pPr>
        <w:numPr>
          <w:ilvl w:val="0"/>
          <w:numId w:val="60"/>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u w:val="single"/>
          <w:lang w:eastAsia="es-ES"/>
        </w:rPr>
        <w:t xml:space="preserve">Respecto del Protectorado de Fundaciones de la Generalitat </w:t>
      </w:r>
      <w:r w:rsidRPr="00E729AA">
        <w:rPr>
          <w:rFonts w:ascii="Arial" w:eastAsia="Times New Roman" w:hAnsi="Arial" w:cs="Arial"/>
          <w:sz w:val="21"/>
          <w:szCs w:val="21"/>
          <w:lang w:eastAsia="es-ES"/>
        </w:rPr>
        <w:t>:</w:t>
      </w:r>
    </w:p>
    <w:p w14:paraId="0D84DCB9" w14:textId="77777777" w:rsidR="00E729AA" w:rsidRPr="00E729AA" w:rsidRDefault="00E729AA" w:rsidP="000B6315">
      <w:pPr>
        <w:numPr>
          <w:ilvl w:val="0"/>
          <w:numId w:val="64"/>
        </w:numPr>
        <w:spacing w:after="120" w:line="276" w:lineRule="auto"/>
        <w:ind w:left="1418" w:hanging="425"/>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Ausencia de actuación, por no velar por el cumplimiento de las obligaciones que competen al Patronato de la Fundación FAVIDE de presentación de las </w:t>
      </w:r>
      <w:r w:rsidRPr="00E729AA">
        <w:rPr>
          <w:rFonts w:ascii="Arial" w:eastAsia="Times New Roman" w:hAnsi="Arial" w:cs="Arial"/>
          <w:sz w:val="21"/>
          <w:szCs w:val="21"/>
          <w:u w:val="single"/>
          <w:lang w:eastAsia="es-ES"/>
        </w:rPr>
        <w:t>cuentas</w:t>
      </w:r>
      <w:r w:rsidRPr="00E729AA">
        <w:rPr>
          <w:rFonts w:ascii="Arial" w:eastAsia="Times New Roman" w:hAnsi="Arial" w:cs="Arial"/>
          <w:sz w:val="21"/>
          <w:szCs w:val="21"/>
          <w:lang w:eastAsia="es-ES"/>
        </w:rPr>
        <w:t xml:space="preserve"> durante varios ejercicios económicos.</w:t>
      </w:r>
    </w:p>
    <w:p w14:paraId="3D146725" w14:textId="77777777" w:rsidR="00E729AA" w:rsidRPr="00E729AA" w:rsidRDefault="00E729AA" w:rsidP="000B6315">
      <w:pPr>
        <w:numPr>
          <w:ilvl w:val="0"/>
          <w:numId w:val="64"/>
        </w:numPr>
        <w:spacing w:after="120" w:line="276" w:lineRule="auto"/>
        <w:ind w:left="1418" w:hanging="425"/>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Ausencia de actuación, al no requerir hasta el 2020 la documentación correspondiente al aumento de la dotación fundacional acordada en el 2015 y pendiente de inscripción en el Registro de Fundaciones y</w:t>
      </w:r>
    </w:p>
    <w:p w14:paraId="52C5CA49" w14:textId="77777777" w:rsidR="00E729AA" w:rsidRPr="00E729AA" w:rsidRDefault="00E729AA" w:rsidP="000B6315">
      <w:pPr>
        <w:numPr>
          <w:ilvl w:val="0"/>
          <w:numId w:val="64"/>
        </w:numPr>
        <w:spacing w:after="240" w:line="276" w:lineRule="auto"/>
        <w:ind w:left="1418" w:hanging="425"/>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Ausencia de actuación, al no instar el proceso de extinción, liquidación y baja registral de la Fundación FAVIDE, en cumplimiento de lo dispuesto en el Decreto 165/2016, de 4 de noviembre, del Consell, por él se crea y regula la Red de Oficinas de la Generalitat de Asistencia a las Víctimas del Delito. La inactividad por parte del Protectorado llama especialmente la atención si se tiene en cuenta que, respecto a la Fundación FAVIDE, la Generalitat Valenciana es al mismo tiempo fundadora, gestora y órgano fiscalizador de su propia actuación.</w:t>
      </w:r>
    </w:p>
    <w:p w14:paraId="08EE362E" w14:textId="77777777" w:rsidR="00E729AA" w:rsidRPr="00E729AA" w:rsidRDefault="00E729AA" w:rsidP="00E729AA">
      <w:pPr>
        <w:spacing w:after="240" w:line="276" w:lineRule="auto"/>
        <w:jc w:val="both"/>
        <w:rPr>
          <w:rFonts w:ascii="Arial" w:eastAsia="Times New Roman" w:hAnsi="Arial" w:cs="Arial"/>
          <w:i/>
          <w:iCs/>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xml:space="preserve"> Finalización de la investigación con recomendaciones y apertura de fase de seguimiento. </w:t>
      </w:r>
    </w:p>
    <w:p w14:paraId="35A1262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02417CCA"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31" w:name="_Toc95209067"/>
      <w:bookmarkStart w:id="232" w:name="_Toc95913859"/>
      <w:bookmarkStart w:id="233" w:name="_Toc99107035"/>
      <w:r w:rsidRPr="00E729AA">
        <w:rPr>
          <w:rFonts w:ascii="Arial" w:eastAsia="Times New Roman" w:hAnsi="Arial" w:cs="Arial"/>
          <w:b/>
          <w:bCs/>
          <w:color w:val="9D2235" w:themeColor="accent1"/>
          <w:sz w:val="28"/>
          <w:szCs w:val="28"/>
          <w:lang w:eastAsia="es-ES"/>
        </w:rPr>
        <w:t>Denominación: Ayuntamiento de València. Prestación de servicios sin contrato</w:t>
      </w:r>
      <w:bookmarkEnd w:id="231"/>
      <w:bookmarkEnd w:id="232"/>
      <w:bookmarkEnd w:id="233"/>
    </w:p>
    <w:p w14:paraId="255D03F6"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Expediente: </w:t>
      </w:r>
      <w:r w:rsidRPr="00E729AA">
        <w:rPr>
          <w:rFonts w:ascii="Arial" w:eastAsia="Times New Roman" w:hAnsi="Arial" w:cs="Arial"/>
          <w:sz w:val="21"/>
          <w:szCs w:val="21"/>
          <w:lang w:eastAsia="es-ES"/>
        </w:rPr>
        <w:t>2020/G01_01/000026 [6/2018]</w:t>
      </w:r>
    </w:p>
    <w:p w14:paraId="7C6DBF25"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29" w:history="1">
        <w:r w:rsidRPr="00E729AA">
          <w:rPr>
            <w:rFonts w:ascii="Arial" w:eastAsia="Times New Roman" w:hAnsi="Arial" w:cs="Arial"/>
            <w:color w:val="000080"/>
            <w:sz w:val="18"/>
            <w:szCs w:val="18"/>
            <w:u w:val="single"/>
            <w:lang w:eastAsia="es-ES"/>
          </w:rPr>
          <w:t>http://www.antifraucv.es/wp-content/uploads/2021/04/20210322_AYUNTAMIENTO_DE_VALENCIA.pdf</w:t>
        </w:r>
      </w:hyperlink>
    </w:p>
    <w:p w14:paraId="194AE9E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Descripción: </w:t>
      </w:r>
      <w:r w:rsidRPr="00E729AA">
        <w:rPr>
          <w:rFonts w:ascii="Arial" w:eastAsia="Times New Roman" w:hAnsi="Arial" w:cs="Arial"/>
          <w:sz w:val="21"/>
          <w:szCs w:val="21"/>
          <w:lang w:eastAsia="es-ES"/>
        </w:rPr>
        <w:t xml:space="preserve">Los hechos denunciados se concretaron en que una vez vencido, el 2 de diciembre de 2015, el contrato de servicios para el mantenimiento de edificios e instalaciones deportivas de la Fundación Deportiva Municipal, que se concertó por un periodo de cuatro años, con posibilidad de prórroga hasta un máximo de dos años, y pese a que la empresa solicitó la prórroga el 21 de septiembre de 2015, se ha estado recurriendo al procedimiento de reconocimiento extrajudicial de crédito para el abono de las facturas. </w:t>
      </w:r>
    </w:p>
    <w:p w14:paraId="69FCE9C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acreditó que el procedimiento de prórroga no se realizó en plazo y que el procedimiento de nueva contratación se ultimó en octubre de 2018.</w:t>
      </w:r>
    </w:p>
    <w:p w14:paraId="26A0AE5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Resultado: </w:t>
      </w:r>
      <w:r w:rsidRPr="00E729AA">
        <w:rPr>
          <w:rFonts w:ascii="Arial" w:eastAsia="Times New Roman" w:hAnsi="Arial" w:cs="Arial"/>
          <w:sz w:val="21"/>
          <w:szCs w:val="21"/>
          <w:lang w:eastAsia="es-ES"/>
        </w:rPr>
        <w:t xml:space="preserve">Formulación de Recomendaciones al Ayuntamiento de València, que consisten en que formule Plan de Implementación con el objeto de hacer una adecuada planificación de la contratación en el servicio de Deportes. El plan deberá establecer los protocolos internos que garanticen la tramitación con la suficiente antelación, tanto los expedientes de prórrogas contractuales como las nuevas licitaciones, para evitar la existencia de prestación de servicios, realización de suministros de tracto de sucesivo y demás contratos y prestaciones habituales sin cobertura contractual. Asimismo, deberá tramitar los expedientes internos de depuración de responsabilidades que correspondan. </w:t>
      </w:r>
    </w:p>
    <w:p w14:paraId="7D4C100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La fase de seguimiento se encuentra finalizada, habiéndose aceptado parcialmente por el Ayuntamiento de València las recomendaciones propuestas; y habiéndose justificado las no aceptadas.</w:t>
      </w:r>
    </w:p>
    <w:p w14:paraId="6A108628" w14:textId="1439CEAE"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34" w:name="_Toc95209068"/>
      <w:bookmarkStart w:id="235" w:name="_Toc95913860"/>
      <w:bookmarkStart w:id="236" w:name="_Toc99107036"/>
      <w:r w:rsidRPr="00E729AA">
        <w:rPr>
          <w:rFonts w:ascii="Arial" w:eastAsia="Times New Roman" w:hAnsi="Arial" w:cs="Arial"/>
          <w:b/>
          <w:bCs/>
          <w:color w:val="9D2235" w:themeColor="accent1"/>
          <w:sz w:val="28"/>
          <w:szCs w:val="28"/>
          <w:lang w:eastAsia="es-ES"/>
        </w:rPr>
        <w:t xml:space="preserve">Denominación: Fundación Universidad Jaume I- Empresa. Indemnización despido de gerente y </w:t>
      </w:r>
      <w:r w:rsidR="00480CC8">
        <w:rPr>
          <w:rFonts w:ascii="Arial" w:eastAsia="Times New Roman" w:hAnsi="Arial" w:cs="Arial"/>
          <w:b/>
          <w:bCs/>
          <w:color w:val="9D2235" w:themeColor="accent1"/>
          <w:sz w:val="28"/>
          <w:szCs w:val="28"/>
          <w:lang w:eastAsia="es-ES"/>
        </w:rPr>
        <w:t xml:space="preserve">nuevo </w:t>
      </w:r>
      <w:r w:rsidRPr="00E729AA">
        <w:rPr>
          <w:rFonts w:ascii="Arial" w:eastAsia="Times New Roman" w:hAnsi="Arial" w:cs="Arial"/>
          <w:b/>
          <w:bCs/>
          <w:color w:val="9D2235" w:themeColor="accent1"/>
          <w:sz w:val="28"/>
          <w:szCs w:val="28"/>
          <w:lang w:eastAsia="es-ES"/>
        </w:rPr>
        <w:t>nombramiento</w:t>
      </w:r>
      <w:bookmarkEnd w:id="234"/>
      <w:bookmarkEnd w:id="235"/>
      <w:bookmarkEnd w:id="236"/>
    </w:p>
    <w:p w14:paraId="16F798A8"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Expediente: </w:t>
      </w:r>
      <w:r w:rsidRPr="00E729AA">
        <w:rPr>
          <w:rFonts w:ascii="Arial" w:eastAsia="Times New Roman" w:hAnsi="Arial" w:cs="Arial"/>
          <w:sz w:val="21"/>
          <w:szCs w:val="21"/>
          <w:lang w:eastAsia="es-ES"/>
        </w:rPr>
        <w:t>2020/G01_01/ 000210 y 2020/G01_01/000211 [52/2019 y 62/2019]</w:t>
      </w:r>
    </w:p>
    <w:p w14:paraId="33A81CA1"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30" w:history="1">
        <w:r w:rsidRPr="00E729AA">
          <w:rPr>
            <w:rFonts w:ascii="Arial" w:eastAsia="Times New Roman" w:hAnsi="Arial" w:cs="Arial"/>
            <w:color w:val="000080"/>
            <w:sz w:val="18"/>
            <w:szCs w:val="18"/>
            <w:u w:val="single"/>
            <w:lang w:eastAsia="es-ES"/>
          </w:rPr>
          <w:t>http://www.antifraucv.es/wp-content/uploads/2021/04/20210323_UNIVERSIDAD_JAUME_I_FUE.pdf</w:t>
        </w:r>
      </w:hyperlink>
    </w:p>
    <w:p w14:paraId="535F1DC9"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Descripción: </w:t>
      </w:r>
      <w:r w:rsidRPr="00E729AA">
        <w:rPr>
          <w:rFonts w:ascii="Arial" w:eastAsia="Times New Roman" w:hAnsi="Arial" w:cs="Arial"/>
          <w:sz w:val="21"/>
          <w:szCs w:val="21"/>
          <w:lang w:eastAsia="es-ES"/>
        </w:rPr>
        <w:t>Los hechos denunciados se concretaron en que, por el incumplimiento del plazo de preaviso por parte de la Fundación, se le indemnizó al gerente con una cuantía correspondiente al incumplimiento de dicho plazo.</w:t>
      </w:r>
    </w:p>
    <w:p w14:paraId="030684EF"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acreditó conforme al criterio del CJCCV, que no son aplicables las normas que reducen el tiempo de preaviso de los contratos de alta dirección del sector público a la Fundación Jaume I-Empresa, y por tanto el acuerdo indemnizatorio es ajustado a derecho. La indemnización abonada por el incumplimiento del plazo de preaviso evidencia cuando menos, una actuación poco diligente por parte de la Fundación, que cursó el despido del gerente el 15 de abril de 2019 y la comunicación la realizó el 13 de marzo de 2019, preaviso de 32 días, generando la indemnización de 58 días por incumplimiento del plazo.</w:t>
      </w:r>
    </w:p>
    <w:p w14:paraId="2C26814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Resultado: </w:t>
      </w:r>
      <w:r w:rsidRPr="00E729AA">
        <w:rPr>
          <w:rFonts w:ascii="Arial" w:eastAsia="Times New Roman" w:hAnsi="Arial" w:cs="Arial"/>
          <w:sz w:val="21"/>
          <w:szCs w:val="21"/>
          <w:lang w:eastAsia="es-ES"/>
        </w:rPr>
        <w:t>Archivo de las actuaciones por cuanto el Dictamen del CJCCV considera que “Dado que ni las Universidades Públicas ni los entes dependientes de estas son sector público instrumental de la Generalitat, ni empresas públicas, ni fundaciones públicas del sector público de la Generalitat (de no cumplirse, como sucede con la FUE-UJI, los requisitos del artículo 157 de la Ley 1/2015, LHSPS), el Decreto-Ley 1/2001 y el Decreto 1/2011 no les resultan de aplicación</w:t>
      </w:r>
      <w:r w:rsidRPr="00E729AA">
        <w:rPr>
          <w:rFonts w:ascii="Arial" w:eastAsia="Times New Roman" w:hAnsi="Arial" w:cs="Arial"/>
          <w:i/>
          <w:iCs/>
          <w:sz w:val="21"/>
          <w:szCs w:val="21"/>
          <w:lang w:eastAsia="es-ES"/>
        </w:rPr>
        <w:t>”</w:t>
      </w:r>
      <w:r w:rsidRPr="00E729AA">
        <w:rPr>
          <w:rFonts w:ascii="Arial" w:eastAsia="Times New Roman" w:hAnsi="Arial" w:cs="Arial"/>
          <w:sz w:val="21"/>
          <w:szCs w:val="21"/>
          <w:lang w:eastAsia="es-ES"/>
        </w:rPr>
        <w:t xml:space="preserve">. </w:t>
      </w:r>
    </w:p>
    <w:p w14:paraId="5C3AE42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No procede.</w:t>
      </w:r>
    </w:p>
    <w:p w14:paraId="5A4E9436"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37" w:name="_Toc95209069"/>
      <w:bookmarkStart w:id="238" w:name="_Toc95913861"/>
      <w:bookmarkStart w:id="239" w:name="_Toc99107037"/>
      <w:r w:rsidRPr="00E729AA">
        <w:rPr>
          <w:rFonts w:ascii="Arial" w:eastAsia="Times New Roman" w:hAnsi="Arial" w:cs="Arial"/>
          <w:b/>
          <w:bCs/>
          <w:color w:val="9D2235" w:themeColor="accent1"/>
          <w:sz w:val="28"/>
          <w:szCs w:val="28"/>
          <w:lang w:eastAsia="es-ES"/>
        </w:rPr>
        <w:t>Denominación: Ayuntamiento de Sedaví. Proceso selectivo Policía Local</w:t>
      </w:r>
      <w:bookmarkEnd w:id="237"/>
      <w:bookmarkEnd w:id="238"/>
      <w:bookmarkEnd w:id="239"/>
    </w:p>
    <w:p w14:paraId="1398CDBC"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2020/G01_01/000244 [141/2019]</w:t>
      </w:r>
    </w:p>
    <w:p w14:paraId="68197146"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31" w:history="1">
        <w:r w:rsidRPr="00E729AA">
          <w:rPr>
            <w:rFonts w:ascii="Arial" w:eastAsia="Times New Roman" w:hAnsi="Arial" w:cs="Arial"/>
            <w:color w:val="000080"/>
            <w:sz w:val="18"/>
            <w:szCs w:val="18"/>
            <w:u w:val="single"/>
            <w:lang w:eastAsia="es-ES"/>
          </w:rPr>
          <w:t>http://www.antifraucv.es/wp-content/uploads/2021/04/20210419_AYUNTAMIENTO_DE_SEDAVI.pdf</w:t>
        </w:r>
      </w:hyperlink>
    </w:p>
    <w:p w14:paraId="331B6B50"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el proceso selectivo para proveer tres plazas de funcionarios de la policía local de Ayuntamiento de Sedaví, dos por turno libre y una por movilidad (convocatoria del ejercicio 2019). En concreto, se denuncia:</w:t>
      </w:r>
    </w:p>
    <w:p w14:paraId="3DF0B095" w14:textId="77777777" w:rsidR="00E729AA" w:rsidRPr="00E729AA" w:rsidRDefault="00E729AA" w:rsidP="000C6DA4">
      <w:pPr>
        <w:numPr>
          <w:ilvl w:val="0"/>
          <w:numId w:val="61"/>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ha habido una filtración en las preguntas del examen de cultura policial del turno libre, el cual sólo han superado tres aspirantes.</w:t>
      </w:r>
    </w:p>
    <w:p w14:paraId="55B319C5" w14:textId="77777777" w:rsidR="00E729AA" w:rsidRPr="00E729AA" w:rsidRDefault="00E729AA" w:rsidP="00E729AA">
      <w:pPr>
        <w:numPr>
          <w:ilvl w:val="0"/>
          <w:numId w:val="61"/>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posteriormente, dichos tres aspirantes son declarados no aptos ante los indicios de filtración que observaron miembros del tribunal.</w:t>
      </w:r>
    </w:p>
    <w:p w14:paraId="52F08C02"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el estudio en detalle, de la totalidad de la documentación requerida al Ayuntamiento de Sedaví y a la Agencia Valenciana de Seguridad y Respuesta a las Emergencias, se concluye que:</w:t>
      </w:r>
    </w:p>
    <w:p w14:paraId="713802B6" w14:textId="77777777" w:rsidR="00E729AA" w:rsidRPr="00E729AA" w:rsidRDefault="00E729AA" w:rsidP="000C6DA4">
      <w:pPr>
        <w:numPr>
          <w:ilvl w:val="0"/>
          <w:numId w:val="62"/>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El tribunal del proceso selectivo, para proveer dos plazas de funcionarios de la policía local de Ayuntamiento de Sedaví por turno libre, declaró desiertas las plazas tras la corrección del cuestionario tipo test, ya que todos los aspirantes presentados obtuvieron una calificación inferior a 5 puntos. </w:t>
      </w:r>
    </w:p>
    <w:p w14:paraId="0CCD0618" w14:textId="77777777" w:rsidR="00E729AA" w:rsidRPr="00E729AA" w:rsidRDefault="00E729AA" w:rsidP="000C6DA4">
      <w:pPr>
        <w:numPr>
          <w:ilvl w:val="0"/>
          <w:numId w:val="62"/>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No se realizó la repetición del ejercicio, al considerar el tribunal por unanimidad que las preguntas fueron adecuadas al temario, que el nivel de las mismas fue acorde con pruebas de ese carácter, y que no existía amparo para dicha repetición ni en las bases del procedimiento ni en la legislación aplicable. </w:t>
      </w:r>
    </w:p>
    <w:p w14:paraId="306F7181" w14:textId="77777777" w:rsidR="00E729AA" w:rsidRPr="00E729AA" w:rsidRDefault="00E729AA" w:rsidP="000C6DA4">
      <w:pPr>
        <w:numPr>
          <w:ilvl w:val="0"/>
          <w:numId w:val="62"/>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No le consta, a la Agencia Valenciana de Seguridad y Respuesta a las Emergencias, que existiera incidencia alguna en el desarrollo del proceso selectivo. </w:t>
      </w:r>
    </w:p>
    <w:p w14:paraId="3E6230D7" w14:textId="77777777" w:rsidR="00E729AA" w:rsidRPr="00E729AA" w:rsidRDefault="00E729AA" w:rsidP="00E729AA">
      <w:pPr>
        <w:numPr>
          <w:ilvl w:val="0"/>
          <w:numId w:val="62"/>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No constan indicios, ni se ha acreditado la existencia de filtraciones, en el desarrollo del examen tipo test.</w:t>
      </w:r>
    </w:p>
    <w:p w14:paraId="57F86CD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archivo y conclusión de las actuaciones.</w:t>
      </w:r>
    </w:p>
    <w:p w14:paraId="7073570E"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da traslado de la resolución a la Agencia Valenciana de Seguridad y Respuesta a las Emergencias.</w:t>
      </w:r>
    </w:p>
    <w:p w14:paraId="13DF98B8"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No procede.</w:t>
      </w:r>
    </w:p>
    <w:p w14:paraId="03F27C3A" w14:textId="2016B626"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40" w:name="_Toc95209070"/>
      <w:bookmarkStart w:id="241" w:name="_Toc95913862"/>
      <w:bookmarkStart w:id="242" w:name="_Toc99107038"/>
      <w:r w:rsidRPr="00E729AA">
        <w:rPr>
          <w:rFonts w:ascii="Arial" w:eastAsia="Times New Roman" w:hAnsi="Arial" w:cs="Arial"/>
          <w:b/>
          <w:bCs/>
          <w:color w:val="9D2235" w:themeColor="accent1"/>
          <w:sz w:val="28"/>
          <w:szCs w:val="28"/>
          <w:lang w:eastAsia="es-ES"/>
        </w:rPr>
        <w:t>Denominación: Conselleria de Educación, Cultura y Deporte. Pagos irregulares en la reforma del IES Botánico Cavanilles de la Vall d’U</w:t>
      </w:r>
      <w:r w:rsidR="009C4C47">
        <w:rPr>
          <w:rFonts w:ascii="Arial" w:eastAsia="Times New Roman" w:hAnsi="Arial" w:cs="Arial"/>
          <w:b/>
          <w:bCs/>
          <w:color w:val="9D2235" w:themeColor="accent1"/>
          <w:sz w:val="28"/>
          <w:szCs w:val="28"/>
          <w:lang w:eastAsia="es-ES"/>
        </w:rPr>
        <w:t>i</w:t>
      </w:r>
      <w:r w:rsidRPr="00E729AA">
        <w:rPr>
          <w:rFonts w:ascii="Arial" w:eastAsia="Times New Roman" w:hAnsi="Arial" w:cs="Arial"/>
          <w:b/>
          <w:bCs/>
          <w:color w:val="9D2235" w:themeColor="accent1"/>
          <w:sz w:val="28"/>
          <w:szCs w:val="28"/>
          <w:lang w:eastAsia="es-ES"/>
        </w:rPr>
        <w:t>xó</w:t>
      </w:r>
      <w:bookmarkEnd w:id="240"/>
      <w:bookmarkEnd w:id="241"/>
      <w:bookmarkEnd w:id="242"/>
    </w:p>
    <w:p w14:paraId="08946516"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2020/G01_01/000056 [150/2018] </w:t>
      </w:r>
    </w:p>
    <w:p w14:paraId="3FF6B052" w14:textId="77777777" w:rsidR="00E729AA" w:rsidRPr="00E729AA" w:rsidRDefault="00E729AA" w:rsidP="00E729AA">
      <w:pPr>
        <w:spacing w:after="240" w:line="276" w:lineRule="auto"/>
        <w:rPr>
          <w:rFonts w:ascii="Arial" w:eastAsia="Times New Roman" w:hAnsi="Arial" w:cs="Arial"/>
          <w:sz w:val="17"/>
          <w:szCs w:val="17"/>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32" w:history="1">
        <w:r w:rsidRPr="00E729AA">
          <w:rPr>
            <w:rFonts w:ascii="Arial" w:eastAsia="Times New Roman" w:hAnsi="Arial" w:cs="Arial"/>
            <w:color w:val="000080"/>
            <w:sz w:val="17"/>
            <w:szCs w:val="17"/>
            <w:u w:val="single"/>
            <w:lang w:eastAsia="es-ES"/>
          </w:rPr>
          <w:t>http://www.antifraucv.es/wp-content/uploads/2021/04/20210421_GVA_CONSELLERIA_DE_EDUCACION.pdf</w:t>
        </w:r>
      </w:hyperlink>
    </w:p>
    <w:p w14:paraId="75D6FD8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analizan las posibles irregularidades administrativas en la tramitación y pago de modificados en el expediente de contratación con la ref. CNMY10/EC78A/13, “Honorarios de redacción del proyecto básico y de ejecución con desarrollo de instalaciones, dirección de obra y coordinación de seguridad y salud de las obras de construcción de diversos espacios de formación profesional en el IES Botànic Cavanilles, en la Vall d’Uixó (Castellón)”.</w:t>
      </w:r>
    </w:p>
    <w:p w14:paraId="53C8DF4F"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produjeron hasta 4 alteraciones al alza en el precio del referido contrato de servicios. El PPT recoge un Presupuesto de ejecución material estimado de 1.513.359,93 €. Sin embargo, el proyecto presentado por el adjudicatario del contrato de servicios contiene un presupuesto de ejecución material de 2.191.675,00 €, lo que supone una diferencia de presupuesto de ejecución material de 678.315,07 €, 983.103,81 € de mayor coste en proyecto de la intervención, es decir un 44,82% de incremento.</w:t>
      </w:r>
    </w:p>
    <w:p w14:paraId="5C2BCD9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Nada regula el PPT ni el PCAP sobre la posibilidad de que el adjudicatario del contrato de servicios, redactor del proyecto, pueda presentar un proyecto técnico que incremente el coste de la obra al promotor, la administración, en casi un millón de euros. El PCAP únicamente regula la posibilidad de modificación de precio del contrato por “razones de interés público y para atender a causas imprevistas…”, que no concurre en el caso que nos ocupa.</w:t>
      </w:r>
    </w:p>
    <w:p w14:paraId="177BD9CD"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las siguientes recomendaciones:</w:t>
      </w:r>
    </w:p>
    <w:p w14:paraId="055F582E" w14:textId="77777777" w:rsidR="00E729AA" w:rsidRPr="00E729AA" w:rsidRDefault="00E729AA" w:rsidP="000C6DA4">
      <w:pPr>
        <w:numPr>
          <w:ilvl w:val="0"/>
          <w:numId w:val="65"/>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Proceder al inicio de la revisión de oficio las actuaciones correspondientes a los actos administrativos aprobatorios de las distintas modificaciones contractuales al margen de cualquier procedimiento legal, así como identificar al personal y autoridades en el periodo temporal analizado y que participaron en la tramitación de las modificaciones indicadas. </w:t>
      </w:r>
    </w:p>
    <w:p w14:paraId="35C693DC" w14:textId="77777777" w:rsidR="00E729AA" w:rsidRPr="00E729AA" w:rsidRDefault="00E729AA" w:rsidP="00E729AA">
      <w:pPr>
        <w:numPr>
          <w:ilvl w:val="0"/>
          <w:numId w:val="65"/>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Atender en la redacción de los pliegos de prescripciones técnicas y en la elaboración y supervisión de los proyectos de obra, a todos aquellos aspectos clave del contrato atendiendo a su especificidad, de manera que se tengan en cuenta todas las circunstancias que un poder adjudicador razonablemente diligente pueda prever, con la intención de evitar, en la medida de lo posible, futuras modificaciones de los contratos.</w:t>
      </w:r>
    </w:p>
    <w:p w14:paraId="1E232CC6"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46797734"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43" w:name="_Toc95209071"/>
      <w:bookmarkStart w:id="244" w:name="_Toc95913863"/>
      <w:bookmarkStart w:id="245" w:name="_Toc99107039"/>
      <w:r w:rsidRPr="00E729AA">
        <w:rPr>
          <w:rFonts w:ascii="Arial" w:eastAsia="Times New Roman" w:hAnsi="Arial" w:cs="Arial"/>
          <w:b/>
          <w:bCs/>
          <w:color w:val="9D2235" w:themeColor="accent1"/>
          <w:sz w:val="28"/>
          <w:szCs w:val="28"/>
          <w:lang w:eastAsia="es-ES"/>
        </w:rPr>
        <w:t>Denominación: Ayuntamiento de Vinaròs. Pago de facturas con reparos</w:t>
      </w:r>
      <w:bookmarkEnd w:id="243"/>
      <w:bookmarkEnd w:id="244"/>
      <w:bookmarkEnd w:id="245"/>
    </w:p>
    <w:p w14:paraId="3CDEE679"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Expediente: </w:t>
      </w:r>
      <w:r w:rsidRPr="00E729AA">
        <w:rPr>
          <w:rFonts w:ascii="Arial" w:eastAsia="Times New Roman" w:hAnsi="Arial" w:cs="Arial"/>
          <w:sz w:val="21"/>
          <w:szCs w:val="21"/>
          <w:lang w:eastAsia="es-ES"/>
        </w:rPr>
        <w:t>G01_01 2020/000197 [4/2019]</w:t>
      </w:r>
    </w:p>
    <w:p w14:paraId="4E3C8EF7"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33" w:history="1">
        <w:r w:rsidRPr="00E729AA">
          <w:rPr>
            <w:rFonts w:ascii="Arial" w:eastAsia="Times New Roman" w:hAnsi="Arial" w:cs="Arial"/>
            <w:color w:val="000080"/>
            <w:sz w:val="18"/>
            <w:szCs w:val="18"/>
            <w:u w:val="single"/>
            <w:lang w:eastAsia="es-ES"/>
          </w:rPr>
          <w:t>http://www.antifraucv.es/wp-content/uploads/2021/04/202210430_AYUNTAMIENTO_DE_VINAROZ.pdf</w:t>
        </w:r>
      </w:hyperlink>
    </w:p>
    <w:p w14:paraId="04457FD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Descripción: </w:t>
      </w:r>
      <w:r w:rsidRPr="00E729AA">
        <w:rPr>
          <w:rFonts w:ascii="Arial" w:eastAsia="Times New Roman" w:hAnsi="Arial" w:cs="Arial"/>
          <w:sz w:val="21"/>
          <w:szCs w:val="21"/>
          <w:lang w:eastAsia="es-ES"/>
        </w:rPr>
        <w:t>Los hechos denunciados se concretaron en que se habían emitido, por parte de la Intervención del Ayuntamiento, un número elevado de reparos entre 2011 y 2015 en materia de contratación en el ejercicio de la función interventora.</w:t>
      </w:r>
    </w:p>
    <w:p w14:paraId="7946E48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acreditó el cumplimiento de las obligaciones contenidas en el artículo 218 del Real Decreto legislativo 2/2004, de 5 de marzo, por el que se aprueba el texto refundido de la Ley Reguladora de las Haciendas Locales.</w:t>
      </w:r>
    </w:p>
    <w:p w14:paraId="2FB8EA9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Asimismo, se justifica el cumplimiento de las obligaciones contenidas en el artículo 218. 3 del Real Decreto Legislativo 2/2004, de 5 de marzo, por el que se aprueba el texto refundido de la Ley Reguladora de las Haciendas Locales redactado por el número Tres del artículo segundo de la Ley 27/2013, 27 diciembre, de racionalización y sostenibilidad de la Administración Local («B.O.E.» 30 diciembre), cuya vigencia es de 31 diciembre 2013.</w:t>
      </w:r>
    </w:p>
    <w:p w14:paraId="640BEEC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Adicionalmente, se comprobó que la materia sobre la que se efectuaron los reparos era de muy diversa índole.</w:t>
      </w:r>
    </w:p>
    <w:p w14:paraId="38D43F48"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Resultado: </w:t>
      </w:r>
      <w:r w:rsidRPr="00E729AA">
        <w:rPr>
          <w:rFonts w:ascii="Arial" w:eastAsia="Times New Roman" w:hAnsi="Arial" w:cs="Arial"/>
          <w:sz w:val="21"/>
          <w:szCs w:val="21"/>
          <w:lang w:eastAsia="es-ES"/>
        </w:rPr>
        <w:t xml:space="preserve">Archivo de las actuaciones </w:t>
      </w:r>
    </w:p>
    <w:p w14:paraId="418C71B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No procede.</w:t>
      </w:r>
    </w:p>
    <w:p w14:paraId="43F35B0A"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46" w:name="_Toc95209072"/>
      <w:bookmarkStart w:id="247" w:name="_Toc95913864"/>
      <w:bookmarkStart w:id="248" w:name="_Toc99107040"/>
      <w:r w:rsidRPr="00E729AA">
        <w:rPr>
          <w:rFonts w:ascii="Arial" w:eastAsia="Times New Roman" w:hAnsi="Arial" w:cs="Arial"/>
          <w:b/>
          <w:bCs/>
          <w:color w:val="9D2235" w:themeColor="accent1"/>
          <w:sz w:val="28"/>
          <w:szCs w:val="28"/>
          <w:lang w:eastAsia="es-ES"/>
        </w:rPr>
        <w:t>Denominación: Ayuntamiento de Los Montesinos. Contratación administrativa</w:t>
      </w:r>
      <w:bookmarkEnd w:id="246"/>
      <w:bookmarkEnd w:id="247"/>
      <w:bookmarkEnd w:id="248"/>
    </w:p>
    <w:p w14:paraId="69F85523"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2020/G01_01/000170 [170/2020]</w:t>
      </w:r>
    </w:p>
    <w:p w14:paraId="76E71CFE" w14:textId="77777777" w:rsidR="00E729AA" w:rsidRPr="00E729AA" w:rsidRDefault="00E729AA" w:rsidP="00E729AA">
      <w:pPr>
        <w:spacing w:after="240" w:line="276" w:lineRule="auto"/>
        <w:rPr>
          <w:rFonts w:ascii="Arial" w:eastAsia="Times New Roman" w:hAnsi="Arial" w:cs="Arial"/>
          <w:sz w:val="16"/>
          <w:szCs w:val="16"/>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34" w:history="1">
        <w:r w:rsidRPr="00E729AA">
          <w:rPr>
            <w:rFonts w:ascii="Arial" w:eastAsia="Times New Roman" w:hAnsi="Arial" w:cs="Arial"/>
            <w:color w:val="000080"/>
            <w:sz w:val="16"/>
            <w:szCs w:val="16"/>
            <w:u w:val="single"/>
            <w:lang w:eastAsia="es-ES"/>
          </w:rPr>
          <w:t>http://www.antifraucv.es/wp-content/uploads/2021/04/20210503_AYUNTAMIENTO_DE_LOS_MONTESINOS.pdf</w:t>
        </w:r>
      </w:hyperlink>
    </w:p>
    <w:p w14:paraId="1B50311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denuncia presuntas conductas contrarias a las normas reguladoras de la contratación administrativa.</w:t>
      </w:r>
    </w:p>
    <w:p w14:paraId="6E77F9B9"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Tras el estudio en detalle de la totalidad de la documentación, se concluye en síntesis que: </w:t>
      </w:r>
    </w:p>
    <w:p w14:paraId="0BB41B28" w14:textId="77777777" w:rsidR="00E729AA" w:rsidRPr="00E729AA" w:rsidRDefault="00E729AA" w:rsidP="000C6DA4">
      <w:pPr>
        <w:numPr>
          <w:ilvl w:val="0"/>
          <w:numId w:val="6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Existe una concatenación de varios contratos menores suscritos con la misma mercantil, para la prestación del servicio de asesoría jurídica en el Ayuntamiento de Los Montesinos en los ejercicios 2012, 2013 y 2014, habiéndose por tanto fraccionado el objeto del contrato con la consecuente elusión de la normativa en materia contractual, dado que no se procedió a licitar los servicios de asesoría jurídica mediante el procedimiento oportuno y se realizaron adjudicaciones directas a la mencionada mercantil. </w:t>
      </w:r>
    </w:p>
    <w:p w14:paraId="17828535" w14:textId="77777777" w:rsidR="00E729AA" w:rsidRPr="00E729AA" w:rsidRDefault="00E729AA" w:rsidP="000C6DA4">
      <w:pPr>
        <w:numPr>
          <w:ilvl w:val="0"/>
          <w:numId w:val="6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Al tratarse el servicio de asesoría jurídica de una necesidad permanente en el Ayuntamiento de Los Montesinos y a la vez previsible, debería haberse procedido a tramitar el expediente de contratación correspondiente con concurrencia competitiva.</w:t>
      </w:r>
    </w:p>
    <w:p w14:paraId="053CF429" w14:textId="77777777" w:rsidR="00E729AA" w:rsidRPr="00E729AA" w:rsidRDefault="00E729AA" w:rsidP="000C6DA4">
      <w:pPr>
        <w:numPr>
          <w:ilvl w:val="0"/>
          <w:numId w:val="6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Las facturas emitidas por la mercantil correspondientes a los contratos menores celebrados, no fueron conformadas por funcionarios municipales, sino únicamente por la alcaldía, incumpliéndose por lo tanto el artículo 72.1 del Real Decreto 1098/2001, de 12 de octubre, por el que se aprueba el Reglamento general de la Ley de Contratos de las Administraciones Públicas.</w:t>
      </w:r>
    </w:p>
    <w:p w14:paraId="0E6F7B53" w14:textId="77777777" w:rsidR="00E729AA" w:rsidRPr="00E729AA" w:rsidRDefault="00E729AA" w:rsidP="000C6DA4">
      <w:pPr>
        <w:numPr>
          <w:ilvl w:val="0"/>
          <w:numId w:val="6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procedimiento negociado sin publicidad tramitado en el ejercicio 2016, no cumple con lo establecido en el RDL 3/2011, por el que se aprueba el Texto Refundido de la Ley de Contratos del Sector Público, al no constar en el expediente su trámite esencial y definitorio del mismo, la negociación, realizándose exclusivamente la solicitud de ofertas y adjudicación a la considerada mejor y única oferta. La ausencia de negociación puede conllevar la nulidad de pleno derecho del procedimiento negociado.</w:t>
      </w:r>
    </w:p>
    <w:p w14:paraId="65DADBFE" w14:textId="77777777" w:rsidR="00E729AA" w:rsidRPr="00E729AA" w:rsidRDefault="00E729AA" w:rsidP="000C6DA4">
      <w:pPr>
        <w:numPr>
          <w:ilvl w:val="0"/>
          <w:numId w:val="6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plazo de duración del contrato adjudicado mediante el procedimiento anterior era de un año prorrogable otro, venciendo el primer año el día 11 de marzo de 2017. Aunque, según el clausulado del mismo, no cabía prórroga tácita por el consentimiento de las partes, se continuó prestando el servicio sin acordar previamente la prórroga, ya que la misma se acordó en la sesión de la Junta de Gobierno Local de fecha 3 de abril de 2017. Por lo tanto, al no haberse producido la prórroga expresa del contrato previamente al vencimiento o cumplimiento del mismo, se produjo su extinción, no procediendo la prórroga con carácter posterior a dicha extinción.</w:t>
      </w:r>
    </w:p>
    <w:p w14:paraId="18368BFF" w14:textId="77777777" w:rsidR="00E729AA" w:rsidRPr="00E729AA" w:rsidRDefault="00E729AA" w:rsidP="000C6DA4">
      <w:pPr>
        <w:numPr>
          <w:ilvl w:val="0"/>
          <w:numId w:val="6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concreta contratación de la mercantil que nos ocupa, para el ejercicio de las funciones que se indica en los sucesivos contratos (a saber, colaboración de un despacho de abogados para el asesoramiento jurídico en la tramitación de expedientes de planeamiento, gestión y disciplina urbanística; asesoramiento jurídico municipal en la tramitación de expedientes administrativos; prestación del servicio de asesoramiento jurídico por carecer del personal necesario para ello), no puede ser sometida al Derecho Administrativo, sino que debe ser la propia de una contratación laboral o funcionarial, encontrándose las funciones que se pretenden realizar con dicha contrata reservadas a funcionarios o empleados municipales, según los casos.</w:t>
      </w:r>
    </w:p>
    <w:p w14:paraId="7FA57E9D" w14:textId="77777777" w:rsidR="00E729AA" w:rsidRPr="00E729AA" w:rsidRDefault="00E729AA" w:rsidP="00E729AA">
      <w:pPr>
        <w:numPr>
          <w:ilvl w:val="0"/>
          <w:numId w:val="66"/>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hecho de que previamente a la firma de dicho contrato, se emitan informes por la misma mercantil adjudicataria del contrato, en relación al expediente de disciplinario a instruir al funcionario del Ayuntamiento de Los Montesinos que ostenta la Jefatura del Negociado de Urbanismo, pone de manifiesto la existencia de un posible conflicto de interés, al contratar a una mercantil que ha avalado con sus informes la decisión de iniciar un expediente disciplinario a un funcionario municipal, para luego ser la misma mercantil la que realice las tareas que antes correspondían a dicho funcionario.</w:t>
      </w:r>
    </w:p>
    <w:p w14:paraId="0AF74A18"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las siguientes recomendaciones:</w:t>
      </w:r>
    </w:p>
    <w:p w14:paraId="4BE23457" w14:textId="19A28453" w:rsidR="00E729AA" w:rsidRPr="00E729AA" w:rsidRDefault="00E729AA" w:rsidP="000C6DA4">
      <w:pPr>
        <w:numPr>
          <w:ilvl w:val="0"/>
          <w:numId w:val="6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Proceder a iniciar la revisión de oficio del acto de adjudicación del procedimiento negociado sin publicidad, mediante el cual se adjudicó en fecha 7 de marzo de 2016 el contrato de prestación de servicios (expediente núm</w:t>
      </w:r>
      <w:r w:rsidR="00203A68">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C-01/2016), por existir una posible causa de nulidad al no constar en el expediente su trámite esencial y definitorio del mismo, la negociación (artículo 47.1 apartado de la Ley 39/2015, de 1 de octubre).</w:t>
      </w:r>
    </w:p>
    <w:p w14:paraId="3FFEBB3B" w14:textId="77777777" w:rsidR="00E729AA" w:rsidRPr="00E729AA" w:rsidRDefault="00E729AA" w:rsidP="000C6DA4">
      <w:pPr>
        <w:numPr>
          <w:ilvl w:val="0"/>
          <w:numId w:val="6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Proceder a realizar un proceso selectivo, para la creación de las bolsas de empleo de naturaleza funcionarial que sean necesarias para dar cobertura a las posibles bajas del personal funcionario. Todo ello con la finalidad de evitar acudir a contratos administrativos por los que se presten funciones reservadas a funcionarios públicos.</w:t>
      </w:r>
    </w:p>
    <w:p w14:paraId="2A61A72B" w14:textId="77777777" w:rsidR="00E729AA" w:rsidRPr="00E729AA" w:rsidRDefault="00E729AA" w:rsidP="00E729AA">
      <w:pPr>
        <w:numPr>
          <w:ilvl w:val="0"/>
          <w:numId w:val="67"/>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Proceder a introducir, en las bases de ejecución del presupuesto municipal, el sistema de conformidad previa de las facturas, indicando en todo caso que deben de ir conformadas por el funcionario municipal correspondiente, así como por el responsable político del área municipal que soporta el gasto.</w:t>
      </w:r>
    </w:p>
    <w:p w14:paraId="7F56E333" w14:textId="1934448F" w:rsid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i/>
          <w:iCs/>
          <w:sz w:val="21"/>
          <w:szCs w:val="21"/>
          <w:lang w:eastAsia="es-ES"/>
        </w:rPr>
        <w:t xml:space="preserve"> </w:t>
      </w:r>
      <w:r w:rsidRPr="00E729AA">
        <w:rPr>
          <w:rFonts w:ascii="Arial" w:eastAsia="Times New Roman" w:hAnsi="Arial" w:cs="Arial"/>
          <w:sz w:val="21"/>
          <w:szCs w:val="21"/>
          <w:lang w:eastAsia="es-ES"/>
        </w:rPr>
        <w:t>En trámite.</w:t>
      </w:r>
    </w:p>
    <w:p w14:paraId="0536D8E0" w14:textId="6389F80E" w:rsidR="00EC27A7" w:rsidRDefault="00EC27A7" w:rsidP="00E729AA">
      <w:pPr>
        <w:spacing w:after="240" w:line="276" w:lineRule="auto"/>
        <w:jc w:val="both"/>
        <w:rPr>
          <w:rFonts w:ascii="Arial" w:eastAsia="Times New Roman" w:hAnsi="Arial" w:cs="Arial"/>
          <w:sz w:val="21"/>
          <w:szCs w:val="21"/>
          <w:lang w:eastAsia="es-ES"/>
        </w:rPr>
      </w:pPr>
    </w:p>
    <w:p w14:paraId="3EFE1AA9" w14:textId="5B9D64CF" w:rsidR="00EC27A7" w:rsidRDefault="00EC27A7" w:rsidP="00E729AA">
      <w:pPr>
        <w:spacing w:after="240" w:line="276" w:lineRule="auto"/>
        <w:jc w:val="both"/>
        <w:rPr>
          <w:rFonts w:ascii="Arial" w:eastAsia="Times New Roman" w:hAnsi="Arial" w:cs="Arial"/>
          <w:sz w:val="21"/>
          <w:szCs w:val="21"/>
          <w:lang w:eastAsia="es-ES"/>
        </w:rPr>
      </w:pPr>
    </w:p>
    <w:p w14:paraId="403140AD" w14:textId="68820FB2" w:rsidR="00EC27A7" w:rsidRDefault="00EC27A7" w:rsidP="00E729AA">
      <w:pPr>
        <w:spacing w:after="240" w:line="276" w:lineRule="auto"/>
        <w:jc w:val="both"/>
        <w:rPr>
          <w:rFonts w:ascii="Arial" w:eastAsia="Times New Roman" w:hAnsi="Arial" w:cs="Arial"/>
          <w:sz w:val="21"/>
          <w:szCs w:val="21"/>
          <w:lang w:eastAsia="es-ES"/>
        </w:rPr>
      </w:pPr>
    </w:p>
    <w:p w14:paraId="60A11D04" w14:textId="77777777" w:rsidR="00EC27A7" w:rsidRPr="00E729AA" w:rsidRDefault="00EC27A7" w:rsidP="00E729AA">
      <w:pPr>
        <w:spacing w:after="240" w:line="276" w:lineRule="auto"/>
        <w:jc w:val="both"/>
        <w:rPr>
          <w:rFonts w:ascii="Arial" w:eastAsia="Times New Roman" w:hAnsi="Arial" w:cs="Arial"/>
          <w:b/>
          <w:bCs/>
          <w:sz w:val="21"/>
          <w:szCs w:val="21"/>
          <w:lang w:eastAsia="es-ES"/>
        </w:rPr>
      </w:pPr>
    </w:p>
    <w:p w14:paraId="43571FC7"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49" w:name="_Toc95209073"/>
      <w:bookmarkStart w:id="250" w:name="_Toc95913865"/>
      <w:bookmarkStart w:id="251" w:name="_Toc99107041"/>
      <w:r w:rsidRPr="00E729AA">
        <w:rPr>
          <w:rFonts w:ascii="Arial" w:eastAsia="Times New Roman" w:hAnsi="Arial" w:cs="Arial"/>
          <w:b/>
          <w:bCs/>
          <w:color w:val="9D2235" w:themeColor="accent1"/>
          <w:sz w:val="28"/>
          <w:szCs w:val="28"/>
          <w:lang w:eastAsia="es-ES"/>
        </w:rPr>
        <w:t>Denominación: Diputación de Castellón. Irregularidades en la contratación del personal de empresas interpuestas prestadoras de servicios, en favor de familiares de cargos electos</w:t>
      </w:r>
      <w:bookmarkEnd w:id="249"/>
      <w:bookmarkEnd w:id="250"/>
      <w:bookmarkEnd w:id="251"/>
    </w:p>
    <w:p w14:paraId="006ADFB3"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Expediente: </w:t>
      </w:r>
      <w:r w:rsidRPr="00E729AA">
        <w:rPr>
          <w:rFonts w:ascii="Arial" w:eastAsia="Times New Roman" w:hAnsi="Arial" w:cs="Arial"/>
          <w:sz w:val="21"/>
          <w:szCs w:val="21"/>
          <w:lang w:eastAsia="es-ES"/>
        </w:rPr>
        <w:t>2020/G01_01/000226 [106/2019]</w:t>
      </w:r>
    </w:p>
    <w:p w14:paraId="1F1497AB"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35" w:history="1">
        <w:r w:rsidRPr="00E729AA">
          <w:rPr>
            <w:rFonts w:ascii="Arial" w:eastAsia="Times New Roman" w:hAnsi="Arial" w:cs="Arial"/>
            <w:color w:val="000080"/>
            <w:sz w:val="18"/>
            <w:szCs w:val="18"/>
            <w:u w:val="single"/>
            <w:lang w:eastAsia="es-ES"/>
          </w:rPr>
          <w:t>http://www.antifraucv.es/wp-content/uploads/2021/04/20210503_DIPUTACION_DE_CASTELLON.pdf</w:t>
        </w:r>
      </w:hyperlink>
    </w:p>
    <w:p w14:paraId="740B331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Descripción: </w:t>
      </w:r>
      <w:r w:rsidRPr="00E729AA">
        <w:rPr>
          <w:rFonts w:ascii="Arial" w:eastAsia="Times New Roman" w:hAnsi="Arial" w:cs="Arial"/>
          <w:sz w:val="21"/>
          <w:szCs w:val="21"/>
          <w:lang w:eastAsia="es-ES"/>
        </w:rPr>
        <w:t>Los hechos denunciados se concretaron en que, en el centro de desarrollo rural de Villanueva de Viver, se realizaban tareas de limpieza diaria, sin necesidad, por cuanto el centro carecía prácticamente de actividades.</w:t>
      </w:r>
    </w:p>
    <w:p w14:paraId="6CB3F8FE"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Tras la instrucción del oportuno procedimiento de investigación, se acreditó que el contrato de limpieza era para todos los inmuebles de la Diputación, que la empresa adjudicataria se subrogó en el contrato previo que mantenía la trabajadora, a la que se alude en la alerta, que el centro tenía un horario de limpieza de 6 horas 5 días a la semana y que el centro estaba infrautilizado y no correspondían las horas de limpieza con las actividades que en el mismo se desarrollaban. </w:t>
      </w:r>
    </w:p>
    <w:p w14:paraId="4F6425A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Resultado: </w:t>
      </w:r>
      <w:r w:rsidRPr="00E729AA">
        <w:rPr>
          <w:rFonts w:ascii="Arial" w:eastAsia="Times New Roman" w:hAnsi="Arial" w:cs="Arial"/>
          <w:sz w:val="21"/>
          <w:szCs w:val="21"/>
          <w:lang w:eastAsia="es-ES"/>
        </w:rPr>
        <w:t>Formulación de Recomendaciones a la Diputación de Castellón que consisten en que proceda a revisar los servicios de limpieza, actualmente recogidos en “El contrato del Servicio de limpieza de las dependencias de la Diputación Provincial de Castellón</w:t>
      </w:r>
      <w:r w:rsidRPr="00E729AA">
        <w:rPr>
          <w:rFonts w:ascii="Arial" w:eastAsia="Times New Roman" w:hAnsi="Arial" w:cs="Arial"/>
          <w:i/>
          <w:iCs/>
          <w:sz w:val="21"/>
          <w:szCs w:val="21"/>
          <w:lang w:eastAsia="es-ES"/>
        </w:rPr>
        <w:t>” a</w:t>
      </w:r>
      <w:r w:rsidRPr="00E729AA">
        <w:rPr>
          <w:rFonts w:ascii="Arial" w:eastAsia="Times New Roman" w:hAnsi="Arial" w:cs="Arial"/>
          <w:sz w:val="21"/>
          <w:szCs w:val="21"/>
          <w:lang w:eastAsia="es-ES"/>
        </w:rPr>
        <w:t xml:space="preserve"> los efectos de verificar la intensidad de uso de los distintos locales y dependencias, para comprobar que los servicios de limpieza realizados son adecuados con las necesidades de utilización, que se tramiten las modificaciones contractuales necesarias en su caso, y que se tengan en cuenta para futuras licitaciones. Además, que se mejoren los servicios de control efectivos para el seguimiento del contrato,</w:t>
      </w:r>
      <w:r w:rsidRPr="00E729AA">
        <w:rPr>
          <w:rFonts w:ascii="Arial" w:eastAsia="Times New Roman" w:hAnsi="Arial" w:cs="Arial"/>
          <w:b/>
          <w:bCs/>
          <w:sz w:val="21"/>
          <w:szCs w:val="21"/>
          <w:lang w:eastAsia="es-ES"/>
        </w:rPr>
        <w:t xml:space="preserve"> </w:t>
      </w:r>
      <w:r w:rsidRPr="00E729AA">
        <w:rPr>
          <w:rFonts w:ascii="Arial" w:eastAsia="Times New Roman" w:hAnsi="Arial" w:cs="Arial"/>
          <w:sz w:val="21"/>
          <w:szCs w:val="21"/>
          <w:lang w:eastAsia="es-ES"/>
        </w:rPr>
        <w:t>valorando el nombramiento de responsables específicos del mismo en función de la distribución geográfica en la provincia de los distintos centros o dependencias.</w:t>
      </w:r>
    </w:p>
    <w:p w14:paraId="500466F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Se ha completado esta fase. La Diputación de Castellón ha aceptado las recomendaciones.</w:t>
      </w:r>
    </w:p>
    <w:p w14:paraId="53EF8EB0"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52" w:name="_Toc95209074"/>
      <w:bookmarkStart w:id="253" w:name="_Toc95913866"/>
      <w:bookmarkStart w:id="254" w:name="_Toc99107042"/>
      <w:r w:rsidRPr="00E729AA">
        <w:rPr>
          <w:rFonts w:ascii="Arial" w:eastAsia="Times New Roman" w:hAnsi="Arial" w:cs="Arial"/>
          <w:b/>
          <w:bCs/>
          <w:color w:val="9D2235" w:themeColor="accent1"/>
          <w:sz w:val="28"/>
          <w:szCs w:val="28"/>
          <w:lang w:eastAsia="es-ES"/>
        </w:rPr>
        <w:t>Denominación: Institut Valencià de la Joventut (IVAJ). Comisiones de servicio</w:t>
      </w:r>
      <w:bookmarkEnd w:id="252"/>
      <w:bookmarkEnd w:id="253"/>
      <w:bookmarkEnd w:id="254"/>
    </w:p>
    <w:p w14:paraId="2841D82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2020/G01_01/000288</w:t>
      </w:r>
    </w:p>
    <w:p w14:paraId="010EC87C"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36" w:history="1">
        <w:r w:rsidRPr="00E729AA">
          <w:rPr>
            <w:rFonts w:ascii="Arial" w:eastAsia="Times New Roman" w:hAnsi="Arial" w:cs="Arial"/>
            <w:color w:val="000080"/>
            <w:sz w:val="18"/>
            <w:szCs w:val="18"/>
            <w:u w:val="single"/>
            <w:lang w:eastAsia="es-ES"/>
          </w:rPr>
          <w:t>http://www.antifraucv.es/wp-content/uploads/2021/04/20210510_IVAJ_DGFP.pdf</w:t>
        </w:r>
      </w:hyperlink>
    </w:p>
    <w:p w14:paraId="2F2DEEE0" w14:textId="77777777" w:rsidR="00E729AA" w:rsidRPr="00E729AA" w:rsidRDefault="00E729AA" w:rsidP="000C6DA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que existen puestos de trabajo en esta institución en los que las comisiones de servicios de las personas que los ocupan tienen una duración superior a dos años, plazo máximo que establece la normativa aplicable al efecto. Los dos puestos de trabajo que se detallan en la denuncia son los siguientes:</w:t>
      </w:r>
    </w:p>
    <w:p w14:paraId="1031D933" w14:textId="77777777" w:rsidR="00E729AA" w:rsidRPr="00E729AA" w:rsidRDefault="00E729AA" w:rsidP="000B6315">
      <w:pPr>
        <w:numPr>
          <w:ilvl w:val="0"/>
          <w:numId w:val="35"/>
        </w:numPr>
        <w:spacing w:after="120" w:line="276" w:lineRule="auto"/>
        <w:ind w:left="113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Puesto 13327. Director RJ LA FLORIDA (Alicante).</w:t>
      </w:r>
    </w:p>
    <w:p w14:paraId="636645FD" w14:textId="77777777" w:rsidR="00E729AA" w:rsidRPr="00E729AA" w:rsidRDefault="00E729AA" w:rsidP="000B6315">
      <w:pPr>
        <w:numPr>
          <w:ilvl w:val="0"/>
          <w:numId w:val="35"/>
        </w:numPr>
        <w:spacing w:after="240" w:line="276" w:lineRule="auto"/>
        <w:ind w:left="1134"/>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Puesto 21480. Director Albergue Juvenil LA MARINA de Moraira</w:t>
      </w:r>
    </w:p>
    <w:p w14:paraId="6597F5E7"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verificado en la fase de investigación que:</w:t>
      </w:r>
    </w:p>
    <w:p w14:paraId="11C19229" w14:textId="41CAA994" w:rsidR="00E729AA" w:rsidRPr="00E729AA" w:rsidRDefault="00E729AA" w:rsidP="00F5708C">
      <w:pPr>
        <w:numPr>
          <w:ilvl w:val="0"/>
          <w:numId w:val="68"/>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Una persona, permanece en comisión de servicios en el puesto de trabajo núm</w:t>
      </w:r>
      <w:r w:rsidR="00203A68">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13327 (director/a Residencia Juvenil La Florida de Alicante), desde el día 9 de marzo de 2017, habiendo superado en más de 2 años el plazo máximo de dos años establecido en el artículo 104.2 de la Ley 10/2010, de 9 de julio, de ordenación y gestión de la Función Pública Valenciana.</w:t>
      </w:r>
    </w:p>
    <w:p w14:paraId="4A10F04F" w14:textId="19B0D98B" w:rsidR="00E729AA" w:rsidRPr="00E729AA" w:rsidRDefault="00E729AA" w:rsidP="00E729AA">
      <w:pPr>
        <w:numPr>
          <w:ilvl w:val="0"/>
          <w:numId w:val="68"/>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Otra persona, permanece en comisión de servicios en el puesto de trabajo núm</w:t>
      </w:r>
      <w:r w:rsidR="00203A68">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21480 (director/a Albergue Juvenil “La Marina” de Moraira), desde el día 1 de abril de 2015, habiendo superado en más de 4 años el plazo máximo de dos años previsto en el artículo 104.2 de la Ley 10/2010, de 9 de julio, de ordenación y gestión de la Función Pública Valenciana.</w:t>
      </w:r>
    </w:p>
    <w:p w14:paraId="06DFD022"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las siguientes recomendaciones:</w:t>
      </w:r>
    </w:p>
    <w:p w14:paraId="53405C20" w14:textId="45A03F6E" w:rsidR="00E729AA" w:rsidRPr="00E729AA" w:rsidRDefault="00E729AA" w:rsidP="00F5708C">
      <w:pPr>
        <w:numPr>
          <w:ilvl w:val="0"/>
          <w:numId w:val="69"/>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proceda a resolverse la comisión de servicios en el puesto de trabajo núm</w:t>
      </w:r>
      <w:r w:rsidR="00203A68">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13327 (director/a Residencia Juvenil La Florida de Alicante), al haberse superado el plazo máximo de dos años establecido en el artículo 104.2 de la Ley 10/2010, de 9 de julio, de ordenación y gestión de la Función Pública Valenciana.</w:t>
      </w:r>
    </w:p>
    <w:p w14:paraId="671B252B" w14:textId="199B7B9B" w:rsidR="00E729AA" w:rsidRPr="00E729AA" w:rsidRDefault="00E729AA" w:rsidP="00E729AA">
      <w:pPr>
        <w:numPr>
          <w:ilvl w:val="0"/>
          <w:numId w:val="69"/>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proceda a resolverse la comisión de servicios en el puesto de trabajo núm</w:t>
      </w:r>
      <w:r w:rsidR="00203A68">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21480 (director/a Albergue Juvenil “La Marina” de Moraira), al haberse superado el plazo máximo de dos años establecido en el artículo 104.2 de la Ley 10/2010, de 9 de julio, de ordenación y gestión de la Función Pública Valenciana.</w:t>
      </w:r>
    </w:p>
    <w:p w14:paraId="176DD1E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i/>
          <w:iCs/>
          <w:sz w:val="21"/>
          <w:szCs w:val="21"/>
          <w:lang w:eastAsia="es-ES"/>
        </w:rPr>
        <w:t xml:space="preserve"> </w:t>
      </w:r>
      <w:r w:rsidRPr="00E729AA">
        <w:rPr>
          <w:rFonts w:ascii="Arial" w:eastAsia="Times New Roman" w:hAnsi="Arial" w:cs="Arial"/>
          <w:sz w:val="21"/>
          <w:szCs w:val="21"/>
          <w:lang w:eastAsia="es-ES"/>
        </w:rPr>
        <w:t>Por parte del IVAJ y de la Dirección General de Función Pública se ha procedido a cumplir las recomendaciones efectuadas resolviendo las comisiones de servicio.</w:t>
      </w:r>
    </w:p>
    <w:p w14:paraId="6B19E78D"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55" w:name="_Toc95209075"/>
      <w:bookmarkStart w:id="256" w:name="_Toc95913867"/>
      <w:bookmarkStart w:id="257" w:name="_Toc99107043"/>
      <w:bookmarkStart w:id="258" w:name="_Hlk78640239"/>
      <w:r w:rsidRPr="00E729AA">
        <w:rPr>
          <w:rFonts w:ascii="Arial" w:eastAsia="Times New Roman" w:hAnsi="Arial" w:cs="Arial"/>
          <w:b/>
          <w:bCs/>
          <w:color w:val="9D2235" w:themeColor="accent1"/>
          <w:sz w:val="28"/>
          <w:szCs w:val="28"/>
          <w:lang w:eastAsia="es-ES"/>
        </w:rPr>
        <w:t>Denominación: Ayuntamiento de València. Contratación campañas publicitarias</w:t>
      </w:r>
      <w:bookmarkEnd w:id="255"/>
      <w:bookmarkEnd w:id="256"/>
      <w:bookmarkEnd w:id="257"/>
    </w:p>
    <w:p w14:paraId="5BD4F04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Expediente: </w:t>
      </w:r>
      <w:r w:rsidRPr="00E729AA">
        <w:rPr>
          <w:rFonts w:ascii="Arial" w:eastAsia="Times New Roman" w:hAnsi="Arial" w:cs="Arial"/>
          <w:sz w:val="21"/>
          <w:szCs w:val="21"/>
          <w:lang w:eastAsia="es-ES"/>
        </w:rPr>
        <w:t>2020/G01_01/000217 [60/2019]</w:t>
      </w:r>
    </w:p>
    <w:p w14:paraId="1311B3F9"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37" w:history="1">
        <w:r w:rsidRPr="00E729AA">
          <w:rPr>
            <w:rFonts w:ascii="Arial" w:eastAsia="Times New Roman" w:hAnsi="Arial" w:cs="Arial"/>
            <w:color w:val="000080"/>
            <w:sz w:val="18"/>
            <w:szCs w:val="18"/>
            <w:u w:val="single"/>
            <w:lang w:eastAsia="es-ES"/>
          </w:rPr>
          <w:t>http://www.antifraucv.es/wp-content/uploads/2021/04/20210512_AYUNTAMIENTO_DE_VALENCIA.pdf</w:t>
        </w:r>
      </w:hyperlink>
    </w:p>
    <w:p w14:paraId="2932207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Descripción: </w:t>
      </w:r>
      <w:r w:rsidRPr="00E729AA">
        <w:rPr>
          <w:rFonts w:ascii="Arial" w:eastAsia="Times New Roman" w:hAnsi="Arial" w:cs="Arial"/>
          <w:sz w:val="21"/>
          <w:szCs w:val="21"/>
          <w:lang w:eastAsia="es-ES"/>
        </w:rPr>
        <w:t xml:space="preserve">Los hechos denunciados se concretaron en las irregularidades producidas en el procedimiento de contratación de la campaña de promoción de los mercados no sedentarios. </w:t>
      </w:r>
    </w:p>
    <w:p w14:paraId="03133F6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acreditó que no se justifica que la campaña de promoción de los mercados no sedentarios tenga encaje en la Ley 29/2005, de 29 de diciembre, de Publicidad y Comunicación Institucional y en la Ley 12/2018, de 24 de mayo, de publicidad institucional para el interés ciudadano y la concepción colectiva de las infraestructuras públicas. No queda, además debidamente justificada la necesidad del contrato No se ha acreditado el cumplimiento del artículo 101 de la Ley de contratos y además se produjeron irregularidades en la facturación.</w:t>
      </w:r>
    </w:p>
    <w:p w14:paraId="14734C26"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Resultado: </w:t>
      </w:r>
      <w:r w:rsidRPr="00E729AA">
        <w:rPr>
          <w:rFonts w:ascii="Arial" w:eastAsia="Times New Roman" w:hAnsi="Arial" w:cs="Arial"/>
          <w:sz w:val="21"/>
          <w:szCs w:val="21"/>
          <w:lang w:eastAsia="es-ES"/>
        </w:rPr>
        <w:t xml:space="preserve">Formulación de Recomendaciones al Ayuntamiento de València, que consisten en que formule Plan de Implementación con el objeto de que se incorporen las Conclusiones del Dictamen 657/2019, correspondiente al expediente 515/2019 del CJCCV en las instrucciones de contratación de los contratos menores de publicidad institucional para que sean de conocimiento de todas las áreas municipales, en especial en lo relativo a la convocatoria pública y publica concurrencia de dichos contratos. Que se sigan las instrucciones sobre la contratación menor elaboradas por la propia corporación y que se identifique con base a la Ley 34/1988, General de Publicidad, el tipo de contrato de publicidad institucional correspondiente. Asimismo, Se deberán dictar las instrucciones internas para acreditar el cumplimiento exacto de la normativa de facturación. </w:t>
      </w:r>
    </w:p>
    <w:p w14:paraId="263D147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Cumplimiento de las recomendaciones. No obstante, el Ayuntamiento de València deberá establecer los mecanismos internos necesarios de verificación del cumplimiento de las instrucciones propias que dicta y actuar en caso de incumplimiento.</w:t>
      </w:r>
    </w:p>
    <w:p w14:paraId="1046EEBA"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59" w:name="_Toc95209076"/>
      <w:bookmarkStart w:id="260" w:name="_Toc95913868"/>
      <w:bookmarkStart w:id="261" w:name="_Toc99107044"/>
      <w:bookmarkEnd w:id="258"/>
      <w:r w:rsidRPr="00E729AA">
        <w:rPr>
          <w:rFonts w:ascii="Arial" w:eastAsia="Times New Roman" w:hAnsi="Arial" w:cs="Arial"/>
          <w:b/>
          <w:bCs/>
          <w:color w:val="9D2235" w:themeColor="accent1"/>
          <w:sz w:val="28"/>
          <w:szCs w:val="28"/>
          <w:lang w:eastAsia="es-ES"/>
        </w:rPr>
        <w:t>Denominación: Ayuntamiento de Benissa. Irregularidades en materia de personal</w:t>
      </w:r>
      <w:bookmarkEnd w:id="259"/>
      <w:bookmarkEnd w:id="260"/>
      <w:bookmarkEnd w:id="261"/>
    </w:p>
    <w:p w14:paraId="0C4112B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2020/G01_01/000009 [92/2018]</w:t>
      </w:r>
    </w:p>
    <w:p w14:paraId="3777B259"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38" w:history="1">
        <w:r w:rsidRPr="00E729AA">
          <w:rPr>
            <w:rFonts w:ascii="Arial" w:eastAsia="Times New Roman" w:hAnsi="Arial" w:cs="Arial"/>
            <w:color w:val="000080"/>
            <w:sz w:val="18"/>
            <w:szCs w:val="18"/>
            <w:u w:val="single"/>
            <w:lang w:eastAsia="es-ES"/>
          </w:rPr>
          <w:t>http://www.antifraucv.es/wp-content/uploads/2021/04/20210518_AYUNTAMIENTO_DE_BENISSA.pdf</w:t>
        </w:r>
      </w:hyperlink>
    </w:p>
    <w:p w14:paraId="0601DF3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alerta sobre la presunta existencia de irregularidades administrativas cometidas en el seno de la gestión del Ayuntamiento de Benissa.</w:t>
      </w:r>
    </w:p>
    <w:p w14:paraId="10DC32FF"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han constatado las siguientes irregularidades:</w:t>
      </w:r>
    </w:p>
    <w:p w14:paraId="6A9D0C18" w14:textId="77777777" w:rsidR="00E729AA" w:rsidRPr="00E729AA" w:rsidRDefault="00E729AA" w:rsidP="00F5708C">
      <w:pPr>
        <w:numPr>
          <w:ilvl w:val="0"/>
          <w:numId w:val="70"/>
        </w:numPr>
        <w:spacing w:after="120" w:line="276" w:lineRule="auto"/>
        <w:ind w:hanging="294"/>
        <w:jc w:val="both"/>
        <w:rPr>
          <w:rFonts w:ascii="Arial" w:eastAsia="Times New Roman" w:hAnsi="Arial" w:cs="Arial"/>
          <w:sz w:val="21"/>
          <w:szCs w:val="21"/>
          <w:lang w:eastAsia="es-ES"/>
        </w:rPr>
      </w:pPr>
      <w:r w:rsidRPr="00E729AA">
        <w:rPr>
          <w:rFonts w:ascii="Arial" w:eastAsia="NSimSun" w:hAnsi="Arial" w:cs="Arial"/>
          <w:color w:val="000000"/>
          <w:kern w:val="3"/>
          <w:sz w:val="21"/>
          <w:szCs w:val="21"/>
          <w:lang w:eastAsia="zh-CN" w:bidi="hi-IN"/>
        </w:rPr>
        <w:t xml:space="preserve">Respecto de la utilización de un uniforme oficial de policía local, se constató que un </w:t>
      </w:r>
      <w:r w:rsidRPr="00E729AA">
        <w:rPr>
          <w:rFonts w:ascii="Arial" w:eastAsia="NSimSun" w:hAnsi="Arial" w:cs="Arial"/>
          <w:kern w:val="2"/>
          <w:sz w:val="21"/>
          <w:szCs w:val="21"/>
          <w:lang w:eastAsia="zh-CN" w:bidi="hi-IN"/>
        </w:rPr>
        <w:t>inspector</w:t>
      </w:r>
      <w:r w:rsidRPr="00E729AA">
        <w:rPr>
          <w:rFonts w:ascii="Arial" w:eastAsia="NSimSun" w:hAnsi="Arial" w:cs="Arial"/>
          <w:color w:val="000000"/>
          <w:kern w:val="3"/>
          <w:sz w:val="21"/>
          <w:szCs w:val="21"/>
          <w:lang w:eastAsia="zh-CN" w:bidi="hi-IN"/>
        </w:rPr>
        <w:t xml:space="preserve"> de Policía Local lo prestó de manera irregular a un particular, devolviéndose el citado uniforme al Ayuntamiento con motivo de la jubilación del inspector</w:t>
      </w:r>
      <w:r w:rsidRPr="00E729AA">
        <w:rPr>
          <w:rFonts w:ascii="Arial" w:eastAsia="Times New Roman" w:hAnsi="Arial" w:cs="Arial"/>
          <w:sz w:val="21"/>
          <w:szCs w:val="21"/>
          <w:lang w:eastAsia="es-ES"/>
        </w:rPr>
        <w:t>. No se tramitó expediente disciplinario por dichos actos contrarios a la normativa, por considerar el entonces alcalde que los hechos no revestían el carácter de infracción disciplinaria.</w:t>
      </w:r>
    </w:p>
    <w:p w14:paraId="25E5DC0C" w14:textId="77777777" w:rsidR="00E729AA" w:rsidRPr="00E729AA" w:rsidRDefault="00E729AA" w:rsidP="00F5708C">
      <w:pPr>
        <w:spacing w:after="120" w:line="276" w:lineRule="auto"/>
        <w:ind w:left="720" w:hanging="11"/>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mencionado inspector, ya jubilado, infringió el art. 33 apartado u) del Decreto 19/2003, de 4 de marzo, del Consell de la Generalitat, por el que se regula la Norma- Marco sobre Estructura, Organización y Funcionamiento de los Cuerpos de la Policía Local de la Comunidad Valenciana, en el que se indica que constituye una infracción grave. El Ayuntamiento de Benissa debería haber tramitado el correspondiente expediente, con el fin de depurar las responsabilidades acaecidas.</w:t>
      </w:r>
    </w:p>
    <w:p w14:paraId="7E377E57" w14:textId="77777777" w:rsidR="00E729AA" w:rsidRPr="00E729AA" w:rsidRDefault="00E729AA" w:rsidP="00E729AA">
      <w:pPr>
        <w:numPr>
          <w:ilvl w:val="0"/>
          <w:numId w:val="70"/>
        </w:numPr>
        <w:spacing w:after="240" w:line="276" w:lineRule="auto"/>
        <w:jc w:val="both"/>
        <w:rPr>
          <w:rFonts w:ascii="Arial" w:eastAsia="Times New Roman" w:hAnsi="Arial" w:cs="Arial"/>
          <w:sz w:val="21"/>
          <w:szCs w:val="21"/>
          <w:lang w:eastAsia="es-ES"/>
        </w:rPr>
      </w:pPr>
      <w:r w:rsidRPr="00E729AA">
        <w:rPr>
          <w:rFonts w:ascii="Arial" w:eastAsia="NSimSun" w:hAnsi="Arial" w:cs="Arial"/>
          <w:kern w:val="3"/>
          <w:sz w:val="21"/>
          <w:szCs w:val="21"/>
          <w:lang w:eastAsia="zh-CN" w:bidi="hi-IN"/>
        </w:rPr>
        <w:t xml:space="preserve">Respecto al cambio de jornada laboral de un policía local, el Ayuntamiento de Benissa no siguió el procedimiento al no poner en conocimiento del policía afectado el cambio del turno </w:t>
      </w:r>
      <w:r w:rsidRPr="00E729AA">
        <w:rPr>
          <w:rFonts w:ascii="Arial" w:eastAsia="NSimSun" w:hAnsi="Arial" w:cs="Arial"/>
          <w:color w:val="000000"/>
          <w:kern w:val="3"/>
          <w:sz w:val="21"/>
          <w:szCs w:val="21"/>
          <w:lang w:eastAsia="zh-CN" w:bidi="hi-IN"/>
        </w:rPr>
        <w:t>de</w:t>
      </w:r>
      <w:r w:rsidRPr="00E729AA">
        <w:rPr>
          <w:rFonts w:ascii="Arial" w:eastAsia="NSimSun" w:hAnsi="Arial" w:cs="Arial"/>
          <w:kern w:val="3"/>
          <w:sz w:val="21"/>
          <w:szCs w:val="21"/>
          <w:lang w:eastAsia="zh-CN" w:bidi="hi-IN"/>
        </w:rPr>
        <w:t xml:space="preserve"> trabajo </w:t>
      </w:r>
      <w:r w:rsidRPr="00E729AA">
        <w:rPr>
          <w:rFonts w:ascii="Arial" w:eastAsia="Times New Roman" w:hAnsi="Arial" w:cs="Arial"/>
          <w:sz w:val="21"/>
          <w:szCs w:val="21"/>
          <w:lang w:eastAsia="es-ES"/>
        </w:rPr>
        <w:t xml:space="preserve">con un mes de antelación a su aplicación, de acuerdo con lo dispuesto en el Decreto 19/2003. Si bien, como se pone de manifiesto en las alegaciones presentadas, el cambio de horario no se llegó a materializar. </w:t>
      </w:r>
    </w:p>
    <w:p w14:paraId="31F6C279"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Resultado: </w:t>
      </w:r>
      <w:r w:rsidRPr="00E729AA">
        <w:rPr>
          <w:rFonts w:ascii="Arial" w:eastAsia="Times New Roman" w:hAnsi="Arial" w:cs="Arial"/>
          <w:sz w:val="21"/>
          <w:szCs w:val="21"/>
          <w:lang w:eastAsia="es-ES"/>
        </w:rPr>
        <w:t xml:space="preserve">Finalización de la investigación con recomendaciones. </w:t>
      </w:r>
    </w:p>
    <w:p w14:paraId="628F60F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Se ha completado esta fase, el Ayuntamiento de Benissa ha aceptado las recomendaciones propuestas.</w:t>
      </w:r>
    </w:p>
    <w:p w14:paraId="3187C8BC"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62" w:name="_Toc95209077"/>
      <w:bookmarkStart w:id="263" w:name="_Toc95913869"/>
      <w:bookmarkStart w:id="264" w:name="_Toc99107045"/>
      <w:r w:rsidRPr="00E729AA">
        <w:rPr>
          <w:rFonts w:ascii="Arial" w:eastAsia="Times New Roman" w:hAnsi="Arial" w:cs="Arial"/>
          <w:b/>
          <w:bCs/>
          <w:color w:val="9D2235" w:themeColor="accent1"/>
          <w:sz w:val="28"/>
          <w:szCs w:val="28"/>
          <w:lang w:eastAsia="es-ES"/>
        </w:rPr>
        <w:t>Denominación: Ciutat de les Arts i de les Ciències (CACSA). Irregularidades en materia contractual</w:t>
      </w:r>
      <w:bookmarkEnd w:id="262"/>
      <w:bookmarkEnd w:id="263"/>
      <w:bookmarkEnd w:id="264"/>
    </w:p>
    <w:p w14:paraId="412CA87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2020/G01_01/0000165 [92/2019]</w:t>
      </w:r>
    </w:p>
    <w:p w14:paraId="6946D037"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39" w:history="1">
        <w:r w:rsidRPr="00E729AA">
          <w:rPr>
            <w:rFonts w:ascii="Arial" w:eastAsia="Times New Roman" w:hAnsi="Arial" w:cs="Arial"/>
            <w:color w:val="000080"/>
            <w:sz w:val="21"/>
            <w:szCs w:val="21"/>
            <w:u w:val="single"/>
            <w:lang w:eastAsia="es-ES"/>
          </w:rPr>
          <w:t>http://www.antifraucv.es/wp-content/uploads/2021/04/20210518_CACSA.pdf</w:t>
        </w:r>
      </w:hyperlink>
    </w:p>
    <w:p w14:paraId="5CAEADA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la presunta existencia de conductas contrarias a los principios y normas regulatorias, relativas a la contratación administrativa producidas durante la ejecución del contrato con número de expediente PA 2-15, por la prestación de servicio de mantenimiento de la Ciutat de les Arts y les Ciències.</w:t>
      </w:r>
    </w:p>
    <w:p w14:paraId="34492AE0"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verificado en la fase de investigación que:</w:t>
      </w:r>
    </w:p>
    <w:p w14:paraId="75FE9E3A" w14:textId="77777777" w:rsidR="00E729AA" w:rsidRPr="00E729AA" w:rsidRDefault="00E729AA" w:rsidP="00F5708C">
      <w:pPr>
        <w:numPr>
          <w:ilvl w:val="0"/>
          <w:numId w:val="71"/>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liquidación del contrato con número de expediente PA 2-15 y sus sucesivas adendas, se encuentra pendiente de liquidación, debiendo procederse a emitir el informe definitivo correspondiente, respecto al estado de las instalaciones, así como resolver las reclamaciones efectuadas por la adjudicataria.</w:t>
      </w:r>
    </w:p>
    <w:p w14:paraId="44090284" w14:textId="77777777" w:rsidR="00E729AA" w:rsidRPr="00E729AA" w:rsidRDefault="00E729AA" w:rsidP="00F5708C">
      <w:pPr>
        <w:numPr>
          <w:ilvl w:val="0"/>
          <w:numId w:val="71"/>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Las incidencias relacionadas con el personal asignado al servicio, puestas de manifiesto por el primer responsable del contrato, fueron analizadas, justificadas y resueltas por los responsables de CACSA.</w:t>
      </w:r>
    </w:p>
    <w:p w14:paraId="28B26E14" w14:textId="77777777" w:rsidR="00E729AA" w:rsidRPr="00E729AA" w:rsidRDefault="00E729AA" w:rsidP="00E729AA">
      <w:pPr>
        <w:numPr>
          <w:ilvl w:val="0"/>
          <w:numId w:val="71"/>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Las incidencias relacionadas con la justificación de los costes de material detectadas por el primer responsable del contrato fueron analizadas por los responsables de CACSA, procediendo desde el momento de su conocimiento a exigir a la adjudicataria la presentación de las facturas correspondientes.</w:t>
      </w:r>
    </w:p>
    <w:p w14:paraId="6035ACD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No consta que se hayan solicitado las facturas correspondientes a los periodos anteriores, en las que se soportaran las declaraciones responsables firmadas por el gerente de la adjudicataria, en las que se certificaba que la facturación de los precios era conforme a los términos del contrato. No obstante, lo anterior, las declaraciones responsables fueron aceptadas por CACSA, ya que en los Pliegos de prescripciones técnicas se establecía que el adjudicatario podía justificar el coste del material consumido, aportando la correspondiente factura o documento acreditativo del gasto incurrido.</w:t>
      </w:r>
    </w:p>
    <w:p w14:paraId="06356B96"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 recomendación a la mercantil CACSA de que proceda a efectuar la liquidación del contrato con número de expediente PA 2-15 y sus sucesivas adendas.</w:t>
      </w:r>
    </w:p>
    <w:p w14:paraId="4A6D100A" w14:textId="77777777" w:rsidR="00E729AA" w:rsidRPr="00E729AA" w:rsidRDefault="00E729AA" w:rsidP="00E729AA">
      <w:pPr>
        <w:spacing w:after="240" w:line="276" w:lineRule="auto"/>
        <w:jc w:val="both"/>
        <w:rPr>
          <w:rFonts w:ascii="Arial" w:eastAsia="Times New Roman" w:hAnsi="Arial" w:cs="Arial"/>
          <w:b/>
          <w:bCs/>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i/>
          <w:iCs/>
          <w:sz w:val="21"/>
          <w:szCs w:val="21"/>
          <w:lang w:eastAsia="es-ES"/>
        </w:rPr>
        <w:t xml:space="preserve"> </w:t>
      </w:r>
      <w:r w:rsidRPr="00E729AA">
        <w:rPr>
          <w:rFonts w:ascii="Arial" w:eastAsia="Times New Roman" w:hAnsi="Arial" w:cs="Arial"/>
          <w:sz w:val="21"/>
          <w:szCs w:val="21"/>
          <w:lang w:eastAsia="es-ES"/>
        </w:rPr>
        <w:t>En trámite.</w:t>
      </w:r>
    </w:p>
    <w:p w14:paraId="550D3276"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65" w:name="_Toc95209078"/>
      <w:bookmarkStart w:id="266" w:name="_Toc95913870"/>
      <w:bookmarkStart w:id="267" w:name="_Toc99107046"/>
      <w:r w:rsidRPr="00E729AA">
        <w:rPr>
          <w:rFonts w:ascii="Arial" w:eastAsia="Times New Roman" w:hAnsi="Arial" w:cs="Arial"/>
          <w:b/>
          <w:bCs/>
          <w:color w:val="9D2235" w:themeColor="accent1"/>
          <w:sz w:val="28"/>
          <w:szCs w:val="28"/>
          <w:lang w:eastAsia="es-ES"/>
        </w:rPr>
        <w:t>Denominación: Aigües i Sanejament de Sueca. Contratación del gerente</w:t>
      </w:r>
      <w:bookmarkEnd w:id="265"/>
      <w:bookmarkEnd w:id="266"/>
      <w:bookmarkEnd w:id="267"/>
    </w:p>
    <w:p w14:paraId="7655C91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Expediente: </w:t>
      </w:r>
      <w:r w:rsidRPr="00E729AA">
        <w:rPr>
          <w:rFonts w:ascii="Arial" w:eastAsia="Times New Roman" w:hAnsi="Arial" w:cs="Arial"/>
          <w:sz w:val="21"/>
          <w:szCs w:val="21"/>
          <w:lang w:eastAsia="es-ES"/>
        </w:rPr>
        <w:t>2020/G01_01/000199 [11/2019]</w:t>
      </w:r>
    </w:p>
    <w:p w14:paraId="541114C2"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40" w:history="1">
        <w:r w:rsidRPr="00E729AA">
          <w:rPr>
            <w:rFonts w:ascii="Arial" w:eastAsia="Times New Roman" w:hAnsi="Arial" w:cs="Arial"/>
            <w:color w:val="000080"/>
            <w:sz w:val="12"/>
            <w:szCs w:val="12"/>
            <w:u w:val="single"/>
            <w:lang w:eastAsia="es-ES"/>
          </w:rPr>
          <w:t>https://www.antifraucv.es/wp-content/uploads/2021/07/20210610_AYUNTAMIENTO_DE_SUECA_EPE_AIGUES_I_SANEJAMENT_DE_SUECA.pdf</w:t>
        </w:r>
      </w:hyperlink>
    </w:p>
    <w:p w14:paraId="2E562B5F"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Descripción: </w:t>
      </w:r>
      <w:r w:rsidRPr="00E729AA">
        <w:rPr>
          <w:rFonts w:ascii="Arial" w:eastAsia="Times New Roman" w:hAnsi="Arial" w:cs="Arial"/>
          <w:sz w:val="21"/>
          <w:szCs w:val="21"/>
          <w:lang w:eastAsia="es-ES"/>
        </w:rPr>
        <w:t>Los hechos denunciados se concretaron en las irregularidades en las que se incurrió en los procesos de provisión, tanto el provisional como el definitivo, del puesto de gerente.</w:t>
      </w:r>
    </w:p>
    <w:p w14:paraId="3ACAADA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constató que no se siguió ningún tipo de procedimiento para el nombramiento de forma provisional del gerente. Respecto al nombramiento definitivo, se aprobaron las bases sin ningún criterio jurídico. Adicionalmente, se comprobó que se utilizó la bolsa de empleo del Ayuntamiento de Sueca sin los requerimientos que establece la normativa.</w:t>
      </w:r>
    </w:p>
    <w:p w14:paraId="0C73FCB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Resultado: </w:t>
      </w:r>
      <w:r w:rsidRPr="00E729AA">
        <w:rPr>
          <w:rFonts w:ascii="Arial" w:eastAsia="Times New Roman" w:hAnsi="Arial" w:cs="Arial"/>
          <w:sz w:val="21"/>
          <w:szCs w:val="21"/>
          <w:lang w:eastAsia="es-ES"/>
        </w:rPr>
        <w:t>Formulación de recomendaciones a la empresa municipal</w:t>
      </w:r>
      <w:r w:rsidRPr="00E729AA">
        <w:rPr>
          <w:rFonts w:ascii="Arial" w:eastAsia="Times New Roman" w:hAnsi="Arial" w:cs="Arial"/>
          <w:b/>
          <w:bCs/>
          <w:sz w:val="21"/>
          <w:szCs w:val="21"/>
          <w:lang w:eastAsia="es-ES"/>
        </w:rPr>
        <w:t xml:space="preserve"> </w:t>
      </w:r>
      <w:bookmarkStart w:id="268" w:name="_Hlk78707510"/>
      <w:r w:rsidRPr="00E729AA">
        <w:rPr>
          <w:rFonts w:ascii="Arial" w:eastAsia="Times New Roman" w:hAnsi="Arial" w:cs="Arial"/>
          <w:sz w:val="21"/>
          <w:szCs w:val="21"/>
          <w:lang w:eastAsia="es-ES"/>
        </w:rPr>
        <w:t xml:space="preserve">Aigües i Sanejament de Sueca, </w:t>
      </w:r>
      <w:bookmarkEnd w:id="268"/>
      <w:r w:rsidRPr="00E729AA">
        <w:rPr>
          <w:rFonts w:ascii="Arial" w:eastAsia="Times New Roman" w:hAnsi="Arial" w:cs="Arial"/>
          <w:sz w:val="21"/>
          <w:szCs w:val="21"/>
          <w:lang w:eastAsia="es-ES"/>
        </w:rPr>
        <w:t xml:space="preserve">que consisten en que deberá formular un Plan de Implementación con el objeto de convocar bolsas de trabajo específicas, que se elabore un procedimiento de selección del puesto de gerente que se documente por completo y que se ciña a los informes técnicos y a la normativa, que las bases de las convocatorias respondan a criterios jurídicos y que se pueda acreditar por la secretaría la publicidad de la misma en todas sus fases. </w:t>
      </w:r>
    </w:p>
    <w:p w14:paraId="58B1C7C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Se ha completado esta fase. La empresa municipal Aigües i Sanejament de Sueca ha aceptado las recomendaciones propuestas.</w:t>
      </w:r>
    </w:p>
    <w:p w14:paraId="374AD179" w14:textId="2F18E660" w:rsidR="00E729AA" w:rsidRPr="003614B5"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69" w:name="_Toc95209079"/>
      <w:bookmarkStart w:id="270" w:name="_Toc95913871"/>
      <w:bookmarkStart w:id="271" w:name="_Toc99107047"/>
      <w:r w:rsidRPr="003614B5">
        <w:rPr>
          <w:rFonts w:ascii="Arial" w:eastAsia="Times New Roman" w:hAnsi="Arial" w:cs="Arial"/>
          <w:b/>
          <w:bCs/>
          <w:color w:val="9D2235" w:themeColor="accent1"/>
          <w:sz w:val="28"/>
          <w:szCs w:val="28"/>
          <w:lang w:eastAsia="es-ES"/>
        </w:rPr>
        <w:t>Denominación: Generalitat Valenciana. Irregularidades en el desarrollo de las pruebas selectivas de acceso al Cuerpo superior técnico de Administración General, Convocatoria 22/15</w:t>
      </w:r>
      <w:bookmarkEnd w:id="269"/>
      <w:bookmarkEnd w:id="270"/>
      <w:bookmarkEnd w:id="271"/>
    </w:p>
    <w:p w14:paraId="4C52EC2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2021/G01_02/000114 [21/2018]</w:t>
      </w:r>
    </w:p>
    <w:p w14:paraId="243B05F7"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41" w:history="1">
        <w:r w:rsidRPr="00E729AA">
          <w:rPr>
            <w:rFonts w:ascii="Arial" w:eastAsia="Times New Roman" w:hAnsi="Arial" w:cs="Arial"/>
            <w:color w:val="000080"/>
            <w:sz w:val="18"/>
            <w:szCs w:val="18"/>
            <w:u w:val="single"/>
            <w:lang w:eastAsia="es-ES"/>
          </w:rPr>
          <w:t>https://www.antifraucv.es/wp-content/uploads/2021/07/20210610_CONSELLERIA_DE_JUSTICIA.pdf</w:t>
        </w:r>
      </w:hyperlink>
    </w:p>
    <w:p w14:paraId="41501D09" w14:textId="77777777" w:rsidR="003614B5" w:rsidRPr="003614B5" w:rsidRDefault="003614B5" w:rsidP="003614B5">
      <w:pPr>
        <w:spacing w:after="240" w:line="276" w:lineRule="auto"/>
        <w:jc w:val="both"/>
        <w:rPr>
          <w:rFonts w:ascii="Arial" w:eastAsia="Times New Roman" w:hAnsi="Arial" w:cs="Arial"/>
          <w:sz w:val="21"/>
          <w:szCs w:val="21"/>
          <w:lang w:eastAsia="es-ES"/>
        </w:rPr>
      </w:pPr>
      <w:r w:rsidRPr="003614B5">
        <w:rPr>
          <w:rFonts w:ascii="Arial" w:eastAsia="Times New Roman" w:hAnsi="Arial" w:cs="Arial"/>
          <w:b/>
          <w:bCs/>
          <w:sz w:val="21"/>
          <w:szCs w:val="21"/>
          <w:lang w:eastAsia="es-ES"/>
        </w:rPr>
        <w:t xml:space="preserve">Descripción: </w:t>
      </w:r>
      <w:r w:rsidRPr="003614B5">
        <w:rPr>
          <w:rFonts w:ascii="Arial" w:eastAsia="Times New Roman" w:hAnsi="Arial" w:cs="Arial"/>
          <w:sz w:val="21"/>
          <w:szCs w:val="21"/>
          <w:lang w:eastAsia="es-ES"/>
        </w:rPr>
        <w:t>Los hechos denunciados se produjeron durante el desarrollo del segundo ejercicio de la fase de oposición en el procedimiento selectivo de acceso al Cuerpo superior técnico de Administración General, Convocatoria 22/15. En el curso de la prueba fue sorprendida una alta funcionaria de la administración convocante y ex alto cargo en materia de Función Pública, que estaba expresamente encargada de vigilar el examen y controlar la corrección del proceso selectivo, en el momento en el que la misma entregaba a una persona aspirante material prohibido con el objetivo de que esta opositora pudiera copiar la contestación a los temas planteados en la oposición. Esta actuación fue detectada por otras dos personas funcionarias administrativas que procedieron a efectuar la correspondiente denuncia ante esta Agencia.</w:t>
      </w:r>
    </w:p>
    <w:p w14:paraId="3976AE2C" w14:textId="77777777" w:rsidR="003614B5" w:rsidRPr="003614B5" w:rsidRDefault="003614B5" w:rsidP="003614B5">
      <w:pPr>
        <w:spacing w:after="240" w:line="276" w:lineRule="auto"/>
        <w:jc w:val="both"/>
        <w:rPr>
          <w:rFonts w:ascii="Arial" w:eastAsia="Times New Roman" w:hAnsi="Arial" w:cs="Arial"/>
          <w:sz w:val="21"/>
          <w:szCs w:val="21"/>
          <w:lang w:eastAsia="es-ES"/>
        </w:rPr>
      </w:pPr>
      <w:r w:rsidRPr="003614B5">
        <w:rPr>
          <w:rFonts w:ascii="Arial" w:eastAsia="Times New Roman" w:hAnsi="Arial" w:cs="Arial"/>
          <w:sz w:val="21"/>
          <w:szCs w:val="21"/>
          <w:lang w:eastAsia="es-ES"/>
        </w:rPr>
        <w:t xml:space="preserve">El procedimiento de investigación de esta Agencia tuvo que ser interrumpido al incoarse un procedimiento judicial que tenía por objeto la investigación penal sobre los mismos hechos. El proceso penal finalizó con el dictado de la Sentencia núm. 180/2021 de fecha 26 de marzo de 2021 de la Audiencia Provincial de Valencia, que fue recurrida en apelación ante el Tribunal Superior de Justicia, exclusivamente por razón de la condena en costas impuesta a la acusación particular, resultando, en definitiva, que los hechos probados que han devenido firmes, siguiendo el tenor literal de aquella, son los siguientes: </w:t>
      </w:r>
    </w:p>
    <w:p w14:paraId="1904A7E7" w14:textId="77777777" w:rsidR="003614B5" w:rsidRPr="003614B5" w:rsidRDefault="003614B5" w:rsidP="003614B5">
      <w:pPr>
        <w:spacing w:after="120" w:line="276" w:lineRule="auto"/>
        <w:ind w:left="567"/>
        <w:jc w:val="both"/>
        <w:rPr>
          <w:rFonts w:ascii="Arial" w:eastAsia="Times New Roman" w:hAnsi="Arial" w:cs="Arial"/>
          <w:sz w:val="20"/>
          <w:szCs w:val="20"/>
          <w:lang w:eastAsia="es-ES"/>
        </w:rPr>
      </w:pPr>
      <w:r w:rsidRPr="003614B5">
        <w:rPr>
          <w:rFonts w:ascii="Arial" w:eastAsia="Times New Roman" w:hAnsi="Arial" w:cs="Arial"/>
          <w:sz w:val="20"/>
          <w:szCs w:val="20"/>
          <w:lang w:eastAsia="es-ES"/>
        </w:rPr>
        <w:t>“II. HECHOS PROBADOS</w:t>
      </w:r>
    </w:p>
    <w:p w14:paraId="62A9FB31" w14:textId="77777777" w:rsidR="003614B5" w:rsidRPr="003614B5" w:rsidRDefault="003614B5" w:rsidP="003614B5">
      <w:pPr>
        <w:spacing w:after="120" w:line="276" w:lineRule="auto"/>
        <w:ind w:left="567"/>
        <w:jc w:val="both"/>
        <w:rPr>
          <w:rFonts w:ascii="Arial" w:eastAsia="Times New Roman" w:hAnsi="Arial" w:cs="Arial"/>
          <w:sz w:val="20"/>
          <w:szCs w:val="20"/>
          <w:lang w:eastAsia="es-ES"/>
        </w:rPr>
      </w:pPr>
      <w:r w:rsidRPr="003614B5">
        <w:rPr>
          <w:rFonts w:ascii="Arial" w:eastAsia="Times New Roman" w:hAnsi="Arial" w:cs="Arial"/>
          <w:sz w:val="20"/>
          <w:szCs w:val="20"/>
          <w:lang w:eastAsia="es-ES"/>
        </w:rPr>
        <w:t>La acusada XXXX, cuyas circunstancias personales constan en las actuaciones, funcionaria adscrita a la Dirección General de Función Pública que con anterioridad había ostentado el cargo de Directora General, el día 10 de marzo de 2018 formaba parte del grupo de funcionarios designados por dicho organismo para vigilar la transparencia y corrección en las pruebas de oposición a "Técnicos Superiores de la Administración de la Generalitat" (Grupo A1-01), convocadas por Orden 1/2017, de 3 de enero de la Conselleria de Justicia.</w:t>
      </w:r>
    </w:p>
    <w:p w14:paraId="2E16826F" w14:textId="77777777" w:rsidR="003614B5" w:rsidRPr="003614B5" w:rsidRDefault="003614B5" w:rsidP="003614B5">
      <w:pPr>
        <w:spacing w:after="120" w:line="276" w:lineRule="auto"/>
        <w:ind w:left="567"/>
        <w:jc w:val="both"/>
        <w:rPr>
          <w:rFonts w:ascii="Arial" w:eastAsia="Times New Roman" w:hAnsi="Arial" w:cs="Arial"/>
          <w:sz w:val="20"/>
          <w:szCs w:val="20"/>
          <w:lang w:eastAsia="es-ES"/>
        </w:rPr>
      </w:pPr>
      <w:r w:rsidRPr="003614B5">
        <w:rPr>
          <w:rFonts w:ascii="Arial" w:eastAsia="Times New Roman" w:hAnsi="Arial" w:cs="Arial"/>
          <w:sz w:val="20"/>
          <w:szCs w:val="20"/>
          <w:lang w:eastAsia="es-ES"/>
        </w:rPr>
        <w:t>En el desarrollo de dichas pruebas celebradas durante la mañana de ese día en la Universidad de Valencia y tras ser anunciados los temas a contestar, la acusada ocupó una silla al final del aula, donde comenzó a consultar su teléfono móvil y a escribir las respuestas a uno de dichos temas en varios folios de los repartidos a los opositores, en lugar de ejercer la labor de vigilancia encomendada. Seguidamente la acusada xxxx se aproximó a la opositora y también acusada YYYY, quien mantenía con aquella una relación de amistad, depositando XXXX en su mesa los indicados folios con las respuestas escritas de su puño y letra.</w:t>
      </w:r>
    </w:p>
    <w:p w14:paraId="3096AAED" w14:textId="77777777" w:rsidR="003614B5" w:rsidRPr="007E3D58" w:rsidRDefault="003614B5" w:rsidP="003614B5">
      <w:pPr>
        <w:spacing w:after="240" w:line="276" w:lineRule="auto"/>
        <w:ind w:left="567"/>
        <w:jc w:val="both"/>
        <w:rPr>
          <w:rFonts w:ascii="Arial" w:eastAsia="Times New Roman" w:hAnsi="Arial" w:cs="Arial"/>
          <w:sz w:val="20"/>
          <w:szCs w:val="20"/>
          <w:lang w:eastAsia="es-ES"/>
        </w:rPr>
      </w:pPr>
      <w:r w:rsidRPr="007E3D58">
        <w:rPr>
          <w:rFonts w:ascii="Arial" w:eastAsia="Times New Roman" w:hAnsi="Arial" w:cs="Arial"/>
          <w:sz w:val="20"/>
          <w:szCs w:val="20"/>
          <w:lang w:eastAsia="es-ES"/>
        </w:rPr>
        <w:t>La actuación descrita fue advertida por otras dos funcionarias que vigilaban igualmente el examen, dirigiéndose estas acto seguido a la mesa ocupada por YYYY e interviniendo en su poder las hojas escritas por la funcionaria XXXX que la referida opositora ocultaba debajo de otro bloque de hojas en blanco, de las que finalmente no llego a hacer el uso proyectado.”</w:t>
      </w:r>
    </w:p>
    <w:p w14:paraId="1F280E55" w14:textId="54247E90" w:rsidR="003614B5" w:rsidRPr="003614B5" w:rsidRDefault="003614B5" w:rsidP="003614B5">
      <w:pPr>
        <w:spacing w:after="240" w:line="276" w:lineRule="auto"/>
        <w:jc w:val="both"/>
        <w:rPr>
          <w:rFonts w:ascii="Arial" w:eastAsia="Times New Roman" w:hAnsi="Arial" w:cs="Arial"/>
          <w:sz w:val="21"/>
          <w:szCs w:val="21"/>
          <w:lang w:eastAsia="es-ES"/>
        </w:rPr>
      </w:pPr>
      <w:r w:rsidRPr="003614B5">
        <w:rPr>
          <w:rFonts w:ascii="Arial" w:eastAsia="Times New Roman" w:hAnsi="Arial" w:cs="Arial"/>
          <w:b/>
          <w:bCs/>
          <w:sz w:val="21"/>
          <w:szCs w:val="21"/>
          <w:lang w:eastAsia="es-ES"/>
        </w:rPr>
        <w:t>Resultado</w:t>
      </w:r>
      <w:r w:rsidRPr="003614B5">
        <w:rPr>
          <w:rFonts w:ascii="Arial" w:eastAsia="Times New Roman" w:hAnsi="Arial" w:cs="Arial"/>
          <w:sz w:val="21"/>
          <w:szCs w:val="21"/>
          <w:lang w:eastAsia="es-ES"/>
        </w:rPr>
        <w:t xml:space="preserve">: El relato fáctico establecido por la Sentencia penal vincula a todos los poderes públicos y ello tanto a esta Agencia, a quien le fue notificada esta por la Sala al efecto de proseguir sus actuaciones. A la vista de la Sentencia absolutoria, con pleno respeto a los hechos probados en la misma, se comprobó por esta Agencia que la actuación de la funcionaria investigada no tenía encaje en el principio non bis in </w:t>
      </w:r>
      <w:r w:rsidR="0082047D" w:rsidRPr="003614B5">
        <w:rPr>
          <w:rFonts w:ascii="Arial" w:eastAsia="Times New Roman" w:hAnsi="Arial" w:cs="Arial"/>
          <w:sz w:val="21"/>
          <w:szCs w:val="21"/>
          <w:lang w:eastAsia="es-ES"/>
        </w:rPr>
        <w:t>ídem</w:t>
      </w:r>
      <w:r w:rsidRPr="003614B5">
        <w:rPr>
          <w:rFonts w:ascii="Arial" w:eastAsia="Times New Roman" w:hAnsi="Arial" w:cs="Arial"/>
          <w:sz w:val="21"/>
          <w:szCs w:val="21"/>
          <w:lang w:eastAsia="es-ES"/>
        </w:rPr>
        <w:t xml:space="preserve">, y ello porque el fundamento del procedimiento disciplinario administrativo no solo es distinto y perfectamente compatible con la absolución penal por falta de tipicidad, sino además absolutamente exigible de acuerdo con la normativa sancionadora de función pública. Por lo expuesto, con total y plena adecuación al relato de hechos probados de la Sentencia de la Audiencia Provincial, esta Agencia finalizó su investigación instando a la Conselleria de Justicia, Interior y Administración Pública a que procediera a reanudar urgentemente el procedimiento disciplinario, dictando la resolución sancionadora correspondiente de conformidad con los elementos de hecho fijados por la Sentencia penal, con la clara advertencia de evitar caducidades o prescripciones. </w:t>
      </w:r>
    </w:p>
    <w:p w14:paraId="5EBA8A40" w14:textId="77777777" w:rsidR="003614B5" w:rsidRPr="003614B5" w:rsidRDefault="003614B5" w:rsidP="003614B5">
      <w:pPr>
        <w:spacing w:after="240" w:line="276" w:lineRule="auto"/>
        <w:jc w:val="both"/>
        <w:rPr>
          <w:rFonts w:ascii="Arial" w:eastAsia="Times New Roman" w:hAnsi="Arial" w:cs="Arial"/>
          <w:sz w:val="21"/>
          <w:szCs w:val="21"/>
          <w:lang w:eastAsia="es-ES"/>
        </w:rPr>
      </w:pPr>
      <w:r w:rsidRPr="003614B5">
        <w:rPr>
          <w:rFonts w:ascii="Arial" w:eastAsia="Times New Roman" w:hAnsi="Arial" w:cs="Arial"/>
          <w:b/>
          <w:bCs/>
          <w:sz w:val="21"/>
          <w:szCs w:val="21"/>
          <w:lang w:eastAsia="es-ES"/>
        </w:rPr>
        <w:t>Fase de seguimiento:</w:t>
      </w:r>
      <w:r w:rsidRPr="003614B5">
        <w:rPr>
          <w:rFonts w:ascii="Arial" w:eastAsia="Times New Roman" w:hAnsi="Arial" w:cs="Arial"/>
          <w:i/>
          <w:iCs/>
          <w:sz w:val="21"/>
          <w:szCs w:val="21"/>
          <w:lang w:eastAsia="es-ES"/>
        </w:rPr>
        <w:t xml:space="preserve"> </w:t>
      </w:r>
      <w:r w:rsidRPr="003614B5">
        <w:rPr>
          <w:rFonts w:ascii="Arial" w:eastAsia="Times New Roman" w:hAnsi="Arial" w:cs="Arial"/>
          <w:sz w:val="21"/>
          <w:szCs w:val="21"/>
          <w:lang w:eastAsia="es-ES"/>
        </w:rPr>
        <w:t>Se ha remitido por la Generalitat Valenciana la resolución del expediente disciplinario, por lo que se ha cumplido la solicitud realizada por esta Agencia y con ello se ha finalizado el expediente.</w:t>
      </w:r>
    </w:p>
    <w:p w14:paraId="78FB681C"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72" w:name="_Toc95209080"/>
      <w:bookmarkStart w:id="273" w:name="_Toc95913872"/>
      <w:bookmarkStart w:id="274" w:name="_Toc99107048"/>
      <w:r w:rsidRPr="00E729AA">
        <w:rPr>
          <w:rFonts w:ascii="Arial" w:eastAsia="Times New Roman" w:hAnsi="Arial" w:cs="Arial"/>
          <w:b/>
          <w:bCs/>
          <w:color w:val="9D2235" w:themeColor="accent1"/>
          <w:sz w:val="28"/>
          <w:szCs w:val="28"/>
          <w:lang w:eastAsia="es-ES"/>
        </w:rPr>
        <w:t>Denominación: Ayuntamiento de Canet d’en Berenguer. Procesos selectivos Policía Local</w:t>
      </w:r>
      <w:bookmarkEnd w:id="272"/>
      <w:bookmarkEnd w:id="273"/>
      <w:bookmarkEnd w:id="274"/>
    </w:p>
    <w:p w14:paraId="5FD5FD7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2020/G01_01/000261</w:t>
      </w:r>
    </w:p>
    <w:p w14:paraId="2F68E13F" w14:textId="77777777" w:rsidR="00E729AA" w:rsidRPr="00E729AA" w:rsidRDefault="00E729AA" w:rsidP="00E729AA">
      <w:pPr>
        <w:spacing w:after="240" w:line="276" w:lineRule="auto"/>
        <w:rPr>
          <w:rFonts w:ascii="Arial" w:eastAsia="Times New Roman" w:hAnsi="Arial" w:cs="Arial"/>
          <w:sz w:val="15"/>
          <w:szCs w:val="15"/>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42" w:history="1">
        <w:r w:rsidRPr="00E729AA">
          <w:rPr>
            <w:rFonts w:ascii="Arial" w:eastAsia="Times New Roman" w:hAnsi="Arial" w:cs="Arial"/>
            <w:color w:val="000080"/>
            <w:sz w:val="15"/>
            <w:szCs w:val="15"/>
            <w:u w:val="single"/>
            <w:lang w:eastAsia="es-ES"/>
          </w:rPr>
          <w:t>https://www.antifraucv.es/wp-content/uploads/2021/07/20210610_AYUNTAMIENTO_DE_CANET_DEN_BERENGUER.pdf</w:t>
        </w:r>
      </w:hyperlink>
    </w:p>
    <w:p w14:paraId="6595F7C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denuncian presuntas conductas contrarias a la normativa vigente en materia de acceso al empleo público, acontecidas en el Ayuntamiento de Canet d’en Berenguer. </w:t>
      </w:r>
    </w:p>
    <w:p w14:paraId="454EF7C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el estudio en detalle de la totalidad de la documentación requerida y obtenida en la fase de investigación, se ha verificado que los ejercicios se realizaron de manera anónima, constando un código numérico asignado a cada aspirante y no observándose datos personales de los mismos en los ejercicios que permitieran identificarlos en el momento de la corrección de los mismos.</w:t>
      </w:r>
    </w:p>
    <w:p w14:paraId="0184D535" w14:textId="77777777" w:rsidR="00E729AA" w:rsidRPr="00E729AA" w:rsidRDefault="00E729AA" w:rsidP="00E729AA">
      <w:pPr>
        <w:spacing w:after="240" w:line="276" w:lineRule="auto"/>
        <w:jc w:val="both"/>
        <w:rPr>
          <w:rFonts w:ascii="Arial" w:eastAsia="Times New Roman" w:hAnsi="Arial" w:cs="Arial"/>
          <w:b/>
          <w:bCs/>
          <w:sz w:val="21"/>
          <w:szCs w:val="21"/>
          <w:lang w:eastAsia="es-ES"/>
        </w:rPr>
      </w:pPr>
      <w:r w:rsidRPr="00E729AA">
        <w:rPr>
          <w:rFonts w:ascii="Arial" w:eastAsia="Times New Roman" w:hAnsi="Arial" w:cs="Arial"/>
          <w:sz w:val="21"/>
          <w:szCs w:val="21"/>
          <w:lang w:eastAsia="es-ES"/>
        </w:rPr>
        <w:t>Se concluye que no constan indicios, ni se ha acreditado la existencia de irregularidades en el desarrollo de los procedimientos selectivos, para la provisión en propiedad de dos plazas de agentes y de una plaza de oficial de la Policía Local de Canet d’en Berenguer, correspondientes a la Oferta de Empleo Público de 2020.</w:t>
      </w:r>
    </w:p>
    <w:p w14:paraId="5FF3F70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el archivo de las actuaciones de investigación.</w:t>
      </w:r>
    </w:p>
    <w:p w14:paraId="2D5941F5" w14:textId="77777777" w:rsidR="00E729AA" w:rsidRPr="00E729AA" w:rsidRDefault="00E729AA" w:rsidP="00E729AA">
      <w:pPr>
        <w:spacing w:after="240" w:line="276" w:lineRule="auto"/>
        <w:jc w:val="both"/>
        <w:rPr>
          <w:rFonts w:ascii="Arial" w:eastAsia="Times New Roman" w:hAnsi="Arial" w:cs="Arial"/>
          <w:b/>
          <w:bCs/>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i/>
          <w:iCs/>
          <w:sz w:val="21"/>
          <w:szCs w:val="21"/>
          <w:lang w:eastAsia="es-ES"/>
        </w:rPr>
        <w:t xml:space="preserve"> </w:t>
      </w:r>
      <w:r w:rsidRPr="00E729AA">
        <w:rPr>
          <w:rFonts w:ascii="Arial" w:eastAsia="Times New Roman" w:hAnsi="Arial" w:cs="Arial"/>
          <w:sz w:val="21"/>
          <w:szCs w:val="21"/>
          <w:lang w:eastAsia="es-ES"/>
        </w:rPr>
        <w:t>No procede</w:t>
      </w:r>
    </w:p>
    <w:p w14:paraId="54441497"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75" w:name="_Toc95209081"/>
      <w:bookmarkStart w:id="276" w:name="_Toc95913873"/>
      <w:bookmarkStart w:id="277" w:name="_Toc99107049"/>
      <w:r w:rsidRPr="00E729AA">
        <w:rPr>
          <w:rFonts w:ascii="Arial" w:eastAsia="Times New Roman" w:hAnsi="Arial" w:cs="Arial"/>
          <w:b/>
          <w:bCs/>
          <w:color w:val="9D2235" w:themeColor="accent1"/>
          <w:sz w:val="28"/>
          <w:szCs w:val="28"/>
          <w:lang w:eastAsia="es-ES"/>
        </w:rPr>
        <w:t>Denominación: Ayuntamiento de Benirredrà. Irregularidades en materia de acceso al empleo público, en proceso selectivo de provisión de plaza, por turno libre, de policía local (convocatoria del ejercicio 2019)</w:t>
      </w:r>
      <w:bookmarkEnd w:id="275"/>
      <w:bookmarkEnd w:id="276"/>
      <w:bookmarkEnd w:id="277"/>
    </w:p>
    <w:p w14:paraId="52D6D4B9"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2020/G01_01/000334 [149/2019]</w:t>
      </w:r>
    </w:p>
    <w:p w14:paraId="16AB9E51" w14:textId="77777777" w:rsidR="00E729AA" w:rsidRPr="00E729AA" w:rsidRDefault="00E729AA" w:rsidP="00E729AA">
      <w:pPr>
        <w:spacing w:after="240" w:line="276" w:lineRule="auto"/>
        <w:rPr>
          <w:rFonts w:ascii="Arial" w:eastAsia="Times New Roman" w:hAnsi="Arial" w:cs="Arial"/>
          <w:sz w:val="17"/>
          <w:szCs w:val="17"/>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43" w:history="1">
        <w:r w:rsidRPr="00E729AA">
          <w:rPr>
            <w:rFonts w:ascii="Arial" w:eastAsia="Times New Roman" w:hAnsi="Arial" w:cs="Arial"/>
            <w:color w:val="000080"/>
            <w:sz w:val="17"/>
            <w:szCs w:val="17"/>
            <w:u w:val="single"/>
            <w:lang w:eastAsia="es-ES"/>
          </w:rPr>
          <w:t>https://www.antifraucv.es/wp-content/uploads/2021/07/20210614_AYUNTAMIENTO_DE_BENIRREDRA.pdf</w:t>
        </w:r>
      </w:hyperlink>
    </w:p>
    <w:p w14:paraId="50E54C7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alerta que, con carácter previo a su resolución, el proceso selectivo para proveer una plaza, por turno libre, de funcionario de la policía local del Ayuntamiento de Benirredrà (convocatoria del ejercicio 2019), va a finalizar con la adjudicación de la misma a un aspirante concreto, denunciando presuntas filtraciones de exámenes y presuntos tratos de favor y conflictos de interés por amistad con un familiar.</w:t>
      </w:r>
    </w:p>
    <w:p w14:paraId="07B420B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en el que se efectuó el preceptivo trámite de audiencia a la administración denunciada, se concluye que no se ha acreditado la existencia de irregularidades en el desarrollo del proceso selectivo para proveer la plaza de referencia, sin perjuicio de que, a la vista de la tramitación del mismo, se puedan realizar recomendaciones de mejora en relación con ciertos aspectos de la tramitación del procedimiento (carácter anónimo de las pruebas mixtas, medios de prueba, mecanismos para evitar conflictos de interés, integridad del expediente, control interno,...).</w:t>
      </w:r>
    </w:p>
    <w:p w14:paraId="2456F281"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xml:space="preserve"> Finalización de la investigación con recomendaciones y sin necesidad de apertura de fase de seguimiento. Recomendaciones:</w:t>
      </w:r>
    </w:p>
    <w:p w14:paraId="36A20E4A" w14:textId="77777777" w:rsidR="00E729AA" w:rsidRPr="00E729AA" w:rsidRDefault="00E729AA" w:rsidP="00F5708C">
      <w:pPr>
        <w:numPr>
          <w:ilvl w:val="0"/>
          <w:numId w:val="73"/>
        </w:numPr>
        <w:spacing w:after="120" w:line="276" w:lineRule="auto"/>
        <w:ind w:left="714" w:hanging="357"/>
        <w:jc w:val="both"/>
        <w:rPr>
          <w:rFonts w:ascii="Arial" w:eastAsia="Times New Roman" w:hAnsi="Arial" w:cs="Arial"/>
          <w:sz w:val="21"/>
          <w:szCs w:val="21"/>
          <w:lang w:eastAsia="es-ES"/>
        </w:rPr>
      </w:pPr>
      <w:bookmarkStart w:id="278" w:name="_Hlk74212866"/>
      <w:r w:rsidRPr="00E729AA">
        <w:rPr>
          <w:rFonts w:ascii="Arial" w:eastAsia="Times New Roman" w:hAnsi="Arial" w:cs="Arial"/>
          <w:sz w:val="21"/>
          <w:szCs w:val="21"/>
          <w:lang w:eastAsia="es-ES"/>
        </w:rPr>
        <w:t xml:space="preserve">Sobre conflictos de interés: </w:t>
      </w:r>
      <w:bookmarkEnd w:id="278"/>
      <w:r w:rsidRPr="00E729AA">
        <w:rPr>
          <w:rFonts w:ascii="Arial" w:eastAsia="Times New Roman" w:hAnsi="Arial" w:cs="Arial"/>
          <w:sz w:val="21"/>
          <w:szCs w:val="21"/>
          <w:lang w:eastAsia="es-ES"/>
        </w:rPr>
        <w:t>El establecimiento de mecanismos que permitan evitar o reconocer situaciones de conflictos de interés y del resto de causas de abstención, a los efectos de evitar el riesgo potencial, aparente o real de producir un sesgo en el resultado del proceso selectivo.</w:t>
      </w:r>
    </w:p>
    <w:p w14:paraId="020AF50B" w14:textId="77777777" w:rsidR="00E729AA" w:rsidRPr="00E729AA" w:rsidRDefault="00E729AA" w:rsidP="00F5708C">
      <w:pPr>
        <w:numPr>
          <w:ilvl w:val="0"/>
          <w:numId w:val="7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Sobre el carácter anónimo de las pruebas mixtas: </w:t>
      </w:r>
      <w:bookmarkStart w:id="279" w:name="_Hlk92800706"/>
      <w:r w:rsidRPr="00E729AA">
        <w:rPr>
          <w:rFonts w:ascii="Arial" w:eastAsia="Times New Roman" w:hAnsi="Arial" w:cs="Arial"/>
          <w:sz w:val="21"/>
          <w:szCs w:val="21"/>
          <w:lang w:eastAsia="es-ES"/>
        </w:rPr>
        <w:t>Establecer en los procesos selectivos de la entidad, el carácter anónimo de la parte escrita previa a la oral de las pruebas mixtas escrita/oral (además de en las pruebas escritas), al objeto de proteger los principios de igualdad, mérito y capacidad en el acceso a la función pública.</w:t>
      </w:r>
    </w:p>
    <w:bookmarkEnd w:id="279"/>
    <w:p w14:paraId="79675766" w14:textId="77777777" w:rsidR="00E729AA" w:rsidRPr="00E729AA" w:rsidRDefault="00E729AA" w:rsidP="00F5708C">
      <w:pPr>
        <w:numPr>
          <w:ilvl w:val="0"/>
          <w:numId w:val="7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Sobre la grabación de las pruebas orales: La grabación, como medio de prueba, de las pruebas orales de los procesos selectivos de la entidad, con los requisitos y condiciones recogidos en la normativa aplicable sobre protección de datos de carácter personal, así como se recoja de forma expresa en las bases reguladoras del proceso selectivo.</w:t>
      </w:r>
    </w:p>
    <w:p w14:paraId="0C90CAF0" w14:textId="77777777" w:rsidR="00E729AA" w:rsidRPr="00E729AA" w:rsidRDefault="00E729AA" w:rsidP="00F5708C">
      <w:pPr>
        <w:numPr>
          <w:ilvl w:val="0"/>
          <w:numId w:val="7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Sobre la motivación de la valoración de las pruebas: Detallar de forma expresa en las bases reguladoras de los procesos selectivos los criterios de valoración de cada una de las pruebas selectivas, con sus especialidades.</w:t>
      </w:r>
    </w:p>
    <w:p w14:paraId="29C60C5D" w14:textId="77777777" w:rsidR="00E729AA" w:rsidRPr="00E729AA" w:rsidRDefault="00E729AA" w:rsidP="00F5708C">
      <w:pPr>
        <w:numPr>
          <w:ilvl w:val="0"/>
          <w:numId w:val="7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Sobre las actas del tribunal de selección: El carácter electrónico de todos los documentos que integran el expediente.</w:t>
      </w:r>
    </w:p>
    <w:p w14:paraId="2DD527F3" w14:textId="77777777" w:rsidR="00E729AA" w:rsidRPr="00E729AA" w:rsidRDefault="00E729AA" w:rsidP="00E729AA">
      <w:pPr>
        <w:numPr>
          <w:ilvl w:val="0"/>
          <w:numId w:val="73"/>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Sobre otras cuestiones económico-financieras: La inclusión de los informes preceptivos de fiscalización o intervención previa, en todos los expedientes que conlleven gasto, como trámite esencial en la tramitación del gasto.</w:t>
      </w:r>
    </w:p>
    <w:p w14:paraId="656A58C9" w14:textId="77777777" w:rsidR="00E729AA" w:rsidRPr="00E729AA" w:rsidRDefault="00E729AA" w:rsidP="00E729AA">
      <w:pPr>
        <w:spacing w:after="240" w:line="276" w:lineRule="auto"/>
        <w:jc w:val="both"/>
        <w:rPr>
          <w:rFonts w:ascii="Arial" w:eastAsia="Times New Roman" w:hAnsi="Arial" w:cs="Arial"/>
          <w:b/>
          <w:bCs/>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i/>
          <w:iCs/>
          <w:sz w:val="21"/>
          <w:szCs w:val="21"/>
          <w:lang w:eastAsia="es-ES"/>
        </w:rPr>
        <w:t xml:space="preserve"> </w:t>
      </w:r>
      <w:r w:rsidRPr="00E729AA">
        <w:rPr>
          <w:rFonts w:ascii="Arial" w:eastAsia="Times New Roman" w:hAnsi="Arial" w:cs="Arial"/>
          <w:sz w:val="21"/>
          <w:szCs w:val="21"/>
          <w:lang w:eastAsia="es-ES"/>
        </w:rPr>
        <w:t>No procede.</w:t>
      </w:r>
    </w:p>
    <w:p w14:paraId="3BDD0A1C"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80" w:name="_Toc95209082"/>
      <w:bookmarkStart w:id="281" w:name="_Toc95913874"/>
      <w:bookmarkStart w:id="282" w:name="_Toc99107050"/>
      <w:r w:rsidRPr="00E729AA">
        <w:rPr>
          <w:rFonts w:ascii="Arial" w:eastAsia="Times New Roman" w:hAnsi="Arial" w:cs="Arial"/>
          <w:b/>
          <w:bCs/>
          <w:color w:val="9D2235" w:themeColor="accent1"/>
          <w:sz w:val="28"/>
          <w:szCs w:val="28"/>
          <w:lang w:eastAsia="es-ES"/>
        </w:rPr>
        <w:t>Denominación: Ayuntamiento de La Yesa. Irregularidades contractuales</w:t>
      </w:r>
      <w:bookmarkEnd w:id="280"/>
      <w:bookmarkEnd w:id="281"/>
      <w:bookmarkEnd w:id="282"/>
    </w:p>
    <w:p w14:paraId="29D9AE03"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2020/G01_01/000324 - Acumulado 2020/G01_01/000325</w:t>
      </w:r>
    </w:p>
    <w:p w14:paraId="1EF57AC4"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44" w:history="1">
        <w:r w:rsidRPr="00E729AA">
          <w:rPr>
            <w:rFonts w:ascii="Arial" w:eastAsia="Times New Roman" w:hAnsi="Arial" w:cs="Arial"/>
            <w:color w:val="000080"/>
            <w:sz w:val="18"/>
            <w:szCs w:val="18"/>
            <w:u w:val="single"/>
            <w:lang w:eastAsia="es-ES"/>
          </w:rPr>
          <w:t>https://www.antifraucv.es/wp-content/uploads/2021/07/20210615-AYUNTAMIENTO_DE_LA-YESA.pdf</w:t>
        </w:r>
      </w:hyperlink>
    </w:p>
    <w:p w14:paraId="4A73643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la posible existencia de irregularidades en la licitación del contrato de concesión de servicios por procedimiento abierto, para la explotación del bar municipal de La Yesa.</w:t>
      </w:r>
    </w:p>
    <w:p w14:paraId="47D8F9A9"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verificado en la fase de investigación que:</w:t>
      </w:r>
    </w:p>
    <w:p w14:paraId="69EE9425" w14:textId="39746839" w:rsidR="00E729AA" w:rsidRPr="00E729AA" w:rsidRDefault="00E729AA" w:rsidP="00F5708C">
      <w:pPr>
        <w:numPr>
          <w:ilvl w:val="0"/>
          <w:numId w:val="74"/>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el expediente núm</w:t>
      </w:r>
      <w:r w:rsidR="00203A68">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52/2019, por el que se ha procedió a licitar el contrato de concesión de servicios por procedimiento abierto, para la explotación del bar municipal de La Yesa, se ha comprobado que el mismo adoleció de las siguientes irregularidades administrativas:</w:t>
      </w:r>
    </w:p>
    <w:p w14:paraId="00B641C9" w14:textId="77777777" w:rsidR="00E729AA" w:rsidRPr="00E729AA" w:rsidRDefault="00E729AA" w:rsidP="000B6315">
      <w:pPr>
        <w:numPr>
          <w:ilvl w:val="0"/>
          <w:numId w:val="35"/>
        </w:numPr>
        <w:spacing w:after="120" w:line="276" w:lineRule="auto"/>
        <w:ind w:left="1276" w:hanging="361"/>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No consta informe del funcionario que ejerce las funciones de Secretaría, el cual debe de emitirse con carácter preceptivo previamente a la aprobación del expediente de contratación, tal y como establece la Disposición adicional tercera de la Ley 9/2017.</w:t>
      </w:r>
    </w:p>
    <w:p w14:paraId="6B067689" w14:textId="77777777" w:rsidR="00E729AA" w:rsidRPr="00E729AA" w:rsidRDefault="00E729AA" w:rsidP="000B6315">
      <w:pPr>
        <w:numPr>
          <w:ilvl w:val="0"/>
          <w:numId w:val="35"/>
        </w:numPr>
        <w:spacing w:after="120" w:line="276" w:lineRule="auto"/>
        <w:ind w:left="1276"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plazo concedido para la presentación de ofertas, una vez publicado el anuncio de licitación en la Plataforma de Contratación del Sector Público, fue de 15 días naturales, plazo que contraviene el apartado 6 del artículo 156 de la Ley 9/2017, de 8 de noviembre, que establece un plazo no inferior a 26 días para la presentación de ofertas cuando el contrato se refiere a una concesión de servicios.</w:t>
      </w:r>
    </w:p>
    <w:p w14:paraId="71FE60A6" w14:textId="77777777" w:rsidR="00E729AA" w:rsidRPr="00E729AA" w:rsidRDefault="00E729AA" w:rsidP="00F5708C">
      <w:pPr>
        <w:numPr>
          <w:ilvl w:val="0"/>
          <w:numId w:val="74"/>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anterior contrato fue resuelto en fecha 9 de julio de 2020, por renuncia expresa del adjudicatario. Mientras se preparaba la tramitación del nuevo expediente, se procedió a realizar una adjudicación directa por el plazo de 3 meses, motivada en la peculiaridad del bien objeto de arrendamiento, la explotación de la que es objeto el mismo y la imprevisible renuncia del adjudicatario.</w:t>
      </w:r>
    </w:p>
    <w:p w14:paraId="46CEC7DA" w14:textId="30ECE952" w:rsidR="00E729AA" w:rsidRPr="00E729AA" w:rsidRDefault="00E729AA" w:rsidP="00F5708C">
      <w:pPr>
        <w:numPr>
          <w:ilvl w:val="0"/>
          <w:numId w:val="74"/>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contrato volvió a licitarse mediante la tramitación del expediente núm</w:t>
      </w:r>
      <w:r w:rsidR="00203A68">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503016J, en relación con el cual se ha detectado que se tramitó mediante un procedimiento abierto simplificado, cuando este procedimiento no es aplicable a los contratos de concesión de servicios, de conformidad con lo establecido en el artículo 159.1 de la Ley 9/2017.</w:t>
      </w:r>
    </w:p>
    <w:p w14:paraId="05D5C04E" w14:textId="695FA846" w:rsidR="00E729AA" w:rsidRPr="00E729AA" w:rsidRDefault="00E729AA" w:rsidP="00F5708C">
      <w:pPr>
        <w:numPr>
          <w:ilvl w:val="0"/>
          <w:numId w:val="74"/>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Asimismo, en el estudio del expediente núm</w:t>
      </w:r>
      <w:r w:rsidR="00203A68">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503016J y, en concreto, del análisis de los pliegos de cláusulas administrativas particulares que obran en el mismo, se han detectado las siguientes irregularidades, que contradicen la regulación que del procedimiento abierto simplificado establece el artículo 159 de la LCSP:</w:t>
      </w:r>
    </w:p>
    <w:p w14:paraId="743F1619" w14:textId="77777777" w:rsidR="00E729AA" w:rsidRPr="00E729AA" w:rsidRDefault="00E729AA" w:rsidP="000B6315">
      <w:pPr>
        <w:numPr>
          <w:ilvl w:val="0"/>
          <w:numId w:val="35"/>
        </w:numPr>
        <w:spacing w:after="120" w:line="276" w:lineRule="auto"/>
        <w:ind w:left="1276"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Los criterios de adjudicación previstos en el pliego cuya ponderación depende de un juicio de valor, suponen un sesenta por ciento del total, cuando el citado artículo 159 de la LCSP establece que, de haberlos, su ponderación no puede superar el veinticinco por ciento del total, salvo en el caso de que el contrato tenga por objeto prestaciones de carácter intelectual, como los servicios de ingeniería y arquitectura, en que su ponderación no podrá superar el cuarenta y cinco por ciento del total.</w:t>
      </w:r>
    </w:p>
    <w:p w14:paraId="333FABE7" w14:textId="77777777" w:rsidR="00E729AA" w:rsidRPr="00E729AA" w:rsidRDefault="00E729AA" w:rsidP="000B6315">
      <w:pPr>
        <w:numPr>
          <w:ilvl w:val="0"/>
          <w:numId w:val="35"/>
        </w:numPr>
        <w:spacing w:after="120" w:line="276" w:lineRule="auto"/>
        <w:ind w:left="1276"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PCAP establece que las proposiciones se presentarán en el Registro del Ayuntamiento, pero luego indica que podrán presentarse en cualquiera de los lugares establecidos en el artículo 16.4 de la Ley 39/2015, de 1 de octubre, del Procedimiento Administrativo Común de las Administraciones Públicas. Esta cuestión es contraria a lo establecido artículo 159.4 c) de la LCSP, que indica que “las proposiciones deberán presentarse necesaria y únicamente en el registro indicado en el anuncio de licitación”.</w:t>
      </w:r>
    </w:p>
    <w:p w14:paraId="2CB28945" w14:textId="77777777" w:rsidR="00E729AA" w:rsidRPr="00E729AA" w:rsidRDefault="00E729AA" w:rsidP="000B6315">
      <w:pPr>
        <w:numPr>
          <w:ilvl w:val="0"/>
          <w:numId w:val="35"/>
        </w:numPr>
        <w:spacing w:after="120" w:line="276" w:lineRule="auto"/>
        <w:ind w:left="1276"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PCAP establece que las proposiciones para tomar parte en la licitación se presentarán en tres sobres cerrados, cuando el artículo 159.4 d) de la LCSP establece que como máximo se presentarán en 2 sobres.</w:t>
      </w:r>
    </w:p>
    <w:p w14:paraId="5848F96D" w14:textId="77777777" w:rsidR="00E729AA" w:rsidRPr="00E729AA" w:rsidRDefault="00E729AA" w:rsidP="000B6315">
      <w:pPr>
        <w:numPr>
          <w:ilvl w:val="0"/>
          <w:numId w:val="35"/>
        </w:numPr>
        <w:spacing w:after="120" w:line="276" w:lineRule="auto"/>
        <w:ind w:left="1276"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PCAP establece que la Mesa, para la valoración de las proposiciones, podrá solicitar cuantos informes técnicos considere precisos, pero el artículo 159.4 e) de la LCSP determina que es obligatorio el informe técnico cuando hay criterios evaluables que dependen de un juicio de valor.</w:t>
      </w:r>
    </w:p>
    <w:p w14:paraId="0295B0E1" w14:textId="77777777" w:rsidR="00E729AA" w:rsidRPr="00E729AA" w:rsidRDefault="00E729AA" w:rsidP="000B6315">
      <w:pPr>
        <w:numPr>
          <w:ilvl w:val="0"/>
          <w:numId w:val="35"/>
        </w:numPr>
        <w:spacing w:after="120" w:line="276" w:lineRule="auto"/>
        <w:ind w:left="1276"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PCAP no hace mención a la inscripción de los licitadores en el Registro Oficial de Licitadores y Empresas Clasificadas, cuestión que se establece como obligatoria para todos los licitadores que se presenten a licitaciones realizadas a través de este procedimiento simplificado en el artículo 159.4 a) de la LCSP.</w:t>
      </w:r>
    </w:p>
    <w:p w14:paraId="43AF58E4" w14:textId="77777777" w:rsidR="00E729AA" w:rsidRPr="00E729AA" w:rsidRDefault="00E729AA" w:rsidP="00E729AA">
      <w:pPr>
        <w:numPr>
          <w:ilvl w:val="0"/>
          <w:numId w:val="74"/>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Ayuntamiento de la Yesa, ha manifestado en el escrito de alegaciones presentado al informe provisional de investigación, que las irregularidades detectadas en la instrucción del presente expediente se corresponden con errores administrativos fruto del desconocimiento de determinados preceptos de la LCSP, de la rapidez en la tramitación de los expedientes y de la situación de los servicios administrativos municipales con los que se cuenta. Asimismo, se manifiesta que en ningún caso se ha pretendido ni se ha llevado a cabo ninguna conducta de fraude.</w:t>
      </w:r>
    </w:p>
    <w:p w14:paraId="38F202AA"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las siguientes recomendaciones:</w:t>
      </w:r>
    </w:p>
    <w:p w14:paraId="375D0A73" w14:textId="60F610FF" w:rsidR="00E729AA" w:rsidRPr="00E729AA" w:rsidRDefault="00E729AA" w:rsidP="00F5708C">
      <w:pPr>
        <w:numPr>
          <w:ilvl w:val="0"/>
          <w:numId w:val="75"/>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Proceder a iniciar la revisión de oficio del acto de adjudicación del procedimiento abierto simplificado, mediante el cual se adjudicó en fecha 20 de octubre de 2020 el contrato de concesión del servicio de gestión del bar municipal a Doña Olga Argentina Ramos (expediente núm</w:t>
      </w:r>
      <w:r w:rsidR="00203A68">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503016J). Ello por existir una posible causa de nulidad al haberse utilizado el procedimiento de contratación abierto simplificado, el cual no está permitido por la Ley 9/2017, de 8 de noviembre, de Contratos del Sector Público, para los contratos de concesión de servicios.</w:t>
      </w:r>
    </w:p>
    <w:p w14:paraId="0766BDB0" w14:textId="77777777" w:rsidR="00E729AA" w:rsidRPr="00E729AA" w:rsidRDefault="00E729AA" w:rsidP="00E729AA">
      <w:pPr>
        <w:numPr>
          <w:ilvl w:val="0"/>
          <w:numId w:val="75"/>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Proceder a remitir a la Agencia Valenciana Antifraude, en el plazo de 2 meses, un plan de implementación de la recomendación anterior, en el que se indiquen las fechas aproximadas de las actuaciones a realizar por la entidad local.</w:t>
      </w:r>
    </w:p>
    <w:p w14:paraId="0B87CF99"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Por parte del Ayuntamiento de la Yesa, se ha propuesto no prorrogar el contrato actual de concesión del servicio de gestión del bar municipal al finalizar el primer año de prestación e iniciar una nueva licitación conforme a la normativa viendo las irregularidades puestas de manifiesto. Se ha finalizado la fase de seguimiento con la aceptación de las recomendaciones con la alternativa propuesta.</w:t>
      </w:r>
    </w:p>
    <w:p w14:paraId="7433DF12"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83" w:name="_Toc95209083"/>
      <w:bookmarkStart w:id="284" w:name="_Toc95913875"/>
      <w:bookmarkStart w:id="285" w:name="_Toc99107051"/>
      <w:r w:rsidRPr="00E729AA">
        <w:rPr>
          <w:rFonts w:ascii="Arial" w:eastAsia="Times New Roman" w:hAnsi="Arial" w:cs="Arial"/>
          <w:b/>
          <w:bCs/>
          <w:color w:val="9D2235" w:themeColor="accent1"/>
          <w:sz w:val="28"/>
          <w:szCs w:val="28"/>
          <w:lang w:eastAsia="es-ES"/>
        </w:rPr>
        <w:t>Denominación: Conselleria de Agricultura. Dirección General Desarrollo Rural y Política Agraria Común (PAC)</w:t>
      </w:r>
      <w:bookmarkEnd w:id="283"/>
      <w:bookmarkEnd w:id="284"/>
      <w:bookmarkEnd w:id="285"/>
    </w:p>
    <w:p w14:paraId="0501A21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2020/G01_01/000088</w:t>
      </w:r>
    </w:p>
    <w:p w14:paraId="2AB4EDA8" w14:textId="77777777" w:rsidR="00E729AA" w:rsidRPr="00E729AA" w:rsidRDefault="00E729AA" w:rsidP="00E729AA">
      <w:pPr>
        <w:spacing w:after="240" w:line="276" w:lineRule="auto"/>
        <w:rPr>
          <w:rFonts w:ascii="Arial" w:eastAsia="Times New Roman" w:hAnsi="Arial" w:cs="Arial"/>
          <w:sz w:val="17"/>
          <w:szCs w:val="17"/>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45" w:history="1">
        <w:r w:rsidRPr="00E729AA">
          <w:rPr>
            <w:rFonts w:ascii="Arial" w:eastAsia="Times New Roman" w:hAnsi="Arial" w:cs="Arial"/>
            <w:color w:val="000080"/>
            <w:sz w:val="17"/>
            <w:szCs w:val="17"/>
            <w:u w:val="single"/>
            <w:lang w:eastAsia="es-ES"/>
          </w:rPr>
          <w:t>https://www.antifraucv.es/wp-content/uploads/2021/07/20210616_CONSELLERIA_DE_AGRICULTURA.pdf</w:t>
        </w:r>
      </w:hyperlink>
    </w:p>
    <w:p w14:paraId="7A0E059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en particular, que la Dirección General de Desarrollo Rural y PAC, dependiente de la Conselleria de Agricultura podría haber concedido el pago de una subvención inicialmente denegada, por incumplimiento de los requisitos establecidos en las bases de su concesión.</w:t>
      </w:r>
    </w:p>
    <w:p w14:paraId="06F88D15"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Del estudio detallado de la documentación que consta en el expediente y la obtenida en fuentes abiertas se constató que:</w:t>
      </w:r>
    </w:p>
    <w:p w14:paraId="0849066B" w14:textId="77777777" w:rsidR="00E729AA" w:rsidRPr="00E729AA" w:rsidRDefault="00E729AA" w:rsidP="00F5708C">
      <w:pPr>
        <w:numPr>
          <w:ilvl w:val="0"/>
          <w:numId w:val="76"/>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Con respecto al hecho primero de los de la denuncia, resulta acreditado que la solicitud de pago de la anualidad 2012 no fue registrada de entrada en ningún registro oficial, mientras que la solicitud de pago 2013 sí habría sido registrada en el registro del GAL Portmader en fecha 13 de septiembre de 2013, aunque habría sido remitida a la Conselleria un mes después, tal y como acredita la fecha del registro de salida.</w:t>
      </w:r>
    </w:p>
    <w:p w14:paraId="7487FBA7" w14:textId="77777777" w:rsidR="00E729AA" w:rsidRPr="00E729AA" w:rsidRDefault="00E729AA" w:rsidP="00F5708C">
      <w:pPr>
        <w:numPr>
          <w:ilvl w:val="0"/>
          <w:numId w:val="76"/>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Con respecto al hecho segundo, del análisis de los documentos digitalizados en las anteriores páginas del presente informe, se constata, efectivamente, que transcurrió 1 mes, aspecto singular de esta solicitud, desde la fecha en que la solicitud de pago 2013 fue registrada de entrada en el GAL Portmader (13-09-2013) y hasta que dicho organismo procedió a su remisión a la Conselleria a través de la OFISAM de Morella (14-10-2013), lo que, en efecto, supuso un incumplimiento del plazo máximo de 5 días hábiles establecido para dar traslado a la Conselleria de la solicitud de pago, tal y como establecía la Orden 36/2010, de 26 de octubre de 2010, de la Conselleria de Agricultura, Pesca y Alimentación, por la que se aprueban las bases de las ayudas RURALTER-Leader.</w:t>
      </w:r>
    </w:p>
    <w:p w14:paraId="1FCE2C22" w14:textId="77777777" w:rsidR="00E729AA" w:rsidRPr="00E729AA" w:rsidRDefault="00E729AA" w:rsidP="00F5708C">
      <w:pPr>
        <w:numPr>
          <w:ilvl w:val="0"/>
          <w:numId w:val="76"/>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han localizado en el expediente hasta tres certificaciones de final de obra, soportadas en tres documentos físicos diferentes.</w:t>
      </w:r>
    </w:p>
    <w:p w14:paraId="437FCE92" w14:textId="77777777" w:rsidR="00E729AA" w:rsidRPr="00E729AA" w:rsidRDefault="00E729AA" w:rsidP="00F5708C">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Sin que exista justificación para ello, y sin que para la Conselleria ni para la Abogacía de la Generalitat Valenciana tenga posibles repercusiones para la tramitación del expediente administrativo.</w:t>
      </w:r>
    </w:p>
    <w:p w14:paraId="1924960D" w14:textId="77777777" w:rsidR="00E729AA" w:rsidRPr="00E729AA" w:rsidRDefault="00E729AA" w:rsidP="00F5708C">
      <w:pPr>
        <w:numPr>
          <w:ilvl w:val="0"/>
          <w:numId w:val="76"/>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han localizado en el expediente hasta dos certificados de estar al corriente de obligaciones tributarias, soportadas en dos documentos físicos diferentes.</w:t>
      </w:r>
    </w:p>
    <w:p w14:paraId="2B9D307D" w14:textId="77777777" w:rsidR="00E729AA" w:rsidRPr="00E729AA" w:rsidRDefault="00E729AA" w:rsidP="00F5708C">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Sin que exista justificación para ello, y sin que para la Conselleria ni para la Abogacía de la Generalitat Valenciana tenga posibles repercusiones para la tramitación del expediente administrativo.</w:t>
      </w:r>
    </w:p>
    <w:p w14:paraId="4859F4FD" w14:textId="77777777" w:rsidR="00E729AA" w:rsidRPr="00E729AA" w:rsidRDefault="00E729AA" w:rsidP="00E729AA">
      <w:pPr>
        <w:numPr>
          <w:ilvl w:val="0"/>
          <w:numId w:val="76"/>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han localizado en el expediente y en dependencias administrativas hasta tres solicitudes de pago de la anualidad 2012, soportadas en tres documentos físicos diferentes, siendo criterio de la Abogacía de la Generalitat considerar que las solicitudes que obran en el expediente de la Conselleria acreditarían una correcta estimación del recurso de reposición, sin entrar a valorar, las incongruencias que resultan del visionado de los propios documentos, y sin entrar a analizar, los documentos obrantes en los registros físicos del GAL. Habiendo basado su argumentación la Abogacía, en una revisión formal documental sin cuestionarse la existencia de diversos documentos y su posible manipulación, con las consecuencias de ello.</w:t>
      </w:r>
    </w:p>
    <w:p w14:paraId="3E1875F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 elevación de recomendaciones:</w:t>
      </w:r>
    </w:p>
    <w:p w14:paraId="4B7329D9"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Proceder a implementar las medidas que correspondan, en orden a asegurar el cumplimiento de la normativa administrativa en materia de procedimiento administrativo para la concesión de subvenciones, en particular:</w:t>
      </w:r>
    </w:p>
    <w:p w14:paraId="1C1959DA" w14:textId="77777777" w:rsidR="00E729AA" w:rsidRPr="00E729AA" w:rsidRDefault="00E729AA" w:rsidP="00F5708C">
      <w:pPr>
        <w:numPr>
          <w:ilvl w:val="0"/>
          <w:numId w:val="7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Establecer protocolos, procedimientos o mecanismos de trabajo que permitan la tramitación de las subvenciones de forma íntegramente electrónica, de forma que se garanticen los principios inspiradores del procedimiento administrativo común, evitando situaciones como la investigada en el presente expediente, en el que se hallan diferentes versiones en papel de un mismo documento. </w:t>
      </w:r>
    </w:p>
    <w:p w14:paraId="1398C8E1" w14:textId="77777777" w:rsidR="00E729AA" w:rsidRPr="00E729AA" w:rsidRDefault="00E729AA" w:rsidP="00E729AA">
      <w:pPr>
        <w:numPr>
          <w:ilvl w:val="0"/>
          <w:numId w:val="77"/>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Establecer mecanismo que garanticen el registro electrónico en todos los entes colaboradores, como los Grupos de Acción Local, con posibilidad de proceder a realizar anotaciones de registro de entrada, con las consecuencias que implican para la posterior tramitación. Para que exista una constancia electrónica de la presentación de la documentación, que permita dejar la trazabilidad exacta de la fecha y hora de las anotaciones del registro y de los documentos presentados anexos.</w:t>
      </w:r>
    </w:p>
    <w:p w14:paraId="675F1A8E"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Se ha finalizado el seguimiento con la aceptación de las recomendaciones.</w:t>
      </w:r>
    </w:p>
    <w:p w14:paraId="468AA9FA"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86" w:name="_Toc95209084"/>
      <w:bookmarkStart w:id="287" w:name="_Toc95913876"/>
      <w:bookmarkStart w:id="288" w:name="_Toc99107052"/>
      <w:r w:rsidRPr="00E729AA">
        <w:rPr>
          <w:rFonts w:ascii="Arial" w:eastAsia="Times New Roman" w:hAnsi="Arial" w:cs="Arial"/>
          <w:b/>
          <w:bCs/>
          <w:color w:val="9D2235" w:themeColor="accent1"/>
          <w:sz w:val="28"/>
          <w:szCs w:val="28"/>
          <w:lang w:eastAsia="es-ES"/>
        </w:rPr>
        <w:t>Denominación: Construcciones e Infraestructuras Educativas de la Generalitat Valenciana, S.A. (CIEGSA). Irregularidades en materia de contratación</w:t>
      </w:r>
      <w:bookmarkEnd w:id="286"/>
      <w:bookmarkEnd w:id="287"/>
      <w:bookmarkEnd w:id="288"/>
    </w:p>
    <w:p w14:paraId="50A7C75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2020/G01_01/000023 [83/2018]</w:t>
      </w:r>
    </w:p>
    <w:p w14:paraId="4F97478B"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46" w:history="1">
        <w:r w:rsidRPr="00E729AA">
          <w:rPr>
            <w:rFonts w:ascii="Arial" w:hAnsi="Arial" w:cs="Arial"/>
            <w:color w:val="000080"/>
            <w:sz w:val="18"/>
            <w:szCs w:val="18"/>
            <w:u w:val="single"/>
          </w:rPr>
          <w:t>https://www.antifraucv.es/wp-content/uploads/2021/07/20210623_CIEGSA.pdf</w:t>
        </w:r>
      </w:hyperlink>
    </w:p>
    <w:p w14:paraId="79A091C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denuncia la presunta existencia de conductas contrarias a los principios y normas regulatorias, relativas a la contratación administrativa producidas en el seno de la gestión de la actividad de CIEGSA desde el año 2015, coincidentes con las irregularidades puestas de manifiesto en los informes del Plan de Auditorias del Sector Público elaborados por la Intervención General de la Generalitat Valenciana.</w:t>
      </w:r>
    </w:p>
    <w:p w14:paraId="2004BFC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evidenció que, desde hace años, se estaban autorizando modificaciones y prórrogas sin el correspondiente marco contractual al que está sometido el sector público, vulnerando tanto el principio de igualdad como la pública concurrencia.</w:t>
      </w:r>
    </w:p>
    <w:p w14:paraId="713D27C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A través de la duración no determinada de los contratos y la aprobación de las diferentes modificaciones, se desvirtúa el “carácter competitivo” de la adjudicación inicial, en la medida en que el contrato que efectivamente se ejecuta y su precio no se corresponden con los elementos objetivos por los que se licitó. </w:t>
      </w:r>
    </w:p>
    <w:p w14:paraId="522AEC6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 recomendación a la mercantil CIEGSA de que proceda a efectuar un Plan de Implementación para su control y cumplimiento, y abriendo la fase de seguimiento.</w:t>
      </w:r>
    </w:p>
    <w:p w14:paraId="53BB3A5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En trámite. </w:t>
      </w:r>
    </w:p>
    <w:p w14:paraId="50BA64DD" w14:textId="4B2CE035"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89" w:name="_Toc95209085"/>
      <w:bookmarkStart w:id="290" w:name="_Toc95913877"/>
      <w:bookmarkStart w:id="291" w:name="_Toc99107053"/>
      <w:r w:rsidRPr="00E729AA">
        <w:rPr>
          <w:rFonts w:ascii="Arial" w:eastAsia="Times New Roman" w:hAnsi="Arial" w:cs="Arial"/>
          <w:b/>
          <w:bCs/>
          <w:color w:val="9D2235" w:themeColor="accent1"/>
          <w:sz w:val="28"/>
          <w:szCs w:val="28"/>
          <w:lang w:eastAsia="es-ES"/>
        </w:rPr>
        <w:t>Denominación:</w:t>
      </w:r>
      <w:r w:rsidR="00480CC8">
        <w:rPr>
          <w:rFonts w:ascii="Arial" w:eastAsia="Times New Roman" w:hAnsi="Arial" w:cs="Arial"/>
          <w:b/>
          <w:bCs/>
          <w:color w:val="9D2235" w:themeColor="accent1"/>
          <w:sz w:val="28"/>
          <w:szCs w:val="28"/>
          <w:lang w:eastAsia="es-ES"/>
        </w:rPr>
        <w:t xml:space="preserve"> </w:t>
      </w:r>
      <w:r w:rsidRPr="00E729AA">
        <w:rPr>
          <w:rFonts w:ascii="Arial" w:eastAsia="Times New Roman" w:hAnsi="Arial" w:cs="Arial"/>
          <w:b/>
          <w:bCs/>
          <w:color w:val="9D2235" w:themeColor="accent1"/>
          <w:sz w:val="28"/>
          <w:szCs w:val="28"/>
          <w:lang w:eastAsia="es-ES"/>
        </w:rPr>
        <w:t>Vicepresidencia y Conselleria de Igualdad y Políticas Inclusivas. Gestión de residencias de tercera edad y mayores dependientes por la situación de pandemia</w:t>
      </w:r>
      <w:bookmarkEnd w:id="289"/>
      <w:bookmarkEnd w:id="290"/>
      <w:bookmarkEnd w:id="291"/>
    </w:p>
    <w:p w14:paraId="19BC47C8"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2020/G01_01/000236</w:t>
      </w:r>
    </w:p>
    <w:p w14:paraId="671A80CC"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47" w:history="1">
        <w:r w:rsidRPr="00E729AA">
          <w:rPr>
            <w:rFonts w:ascii="Arial" w:eastAsia="Times New Roman" w:hAnsi="Arial" w:cs="Arial"/>
            <w:color w:val="000080"/>
            <w:sz w:val="18"/>
            <w:szCs w:val="18"/>
            <w:u w:val="single"/>
            <w:lang w:eastAsia="es-ES"/>
          </w:rPr>
          <w:t>https://www.antifraucv.es/wp-content/uploads/2021/07/20210630_-CONSELLERIA_DE_SANITAT.pdf</w:t>
        </w:r>
      </w:hyperlink>
    </w:p>
    <w:p w14:paraId="7ECBF456" w14:textId="694ABD86"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Esta Agencia ha tenido conocimiento de la situación producida en las residencias de personas de tercera edad y mayores dependientes de la Comunitat Valenciana como consecuencia de la pandemia de COVID-19, algunas de las cuales obtienen financiación con fondos públicos al estar sometidos a régimen de concierto administrativo.</w:t>
      </w:r>
    </w:p>
    <w:p w14:paraId="71698C76"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situación acaecida en las residencias de personas de tercera edad y mayores dependientes de la Comunitat Valenciana como consecuencia de la pandemia de COVID-19, ha producido entre otras situaciones, el fallecimiento de un gran número de residentes de las mismas.</w:t>
      </w:r>
    </w:p>
    <w:p w14:paraId="793E899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Asimismo, se tuvo constancia de la existencia denuncias previas contra determinados centros de residencias de personas de tercera edad y mayores dependientes, así como la incoación de diferentes procedimientos sancionadores por incumplimiento de las cláusulas esenciales de los contratos.</w:t>
      </w:r>
    </w:p>
    <w:p w14:paraId="6F3085DF"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régimen de financiación pública del sistema asistencial derivado de las residencias de personas de tercera edad y mayores dependientes de la Comunitat Valenciana, implica obligatoriamente la existencia de una aplicación de los recursos públicos para garantizar la calidad de la prestación sanitaria de las personas mayores y dependientes.</w:t>
      </w:r>
    </w:p>
    <w:p w14:paraId="338CA22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Del estudio detallado de la documentación que consta en el expediente y la obtenida en fuentes abiertas se constató que:</w:t>
      </w:r>
    </w:p>
    <w:p w14:paraId="353508B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incoación de un total de 39 expedientes sancionadores, en materia de infracciones por incumplimiento de las disposiciones que contenían obligaciones relativas al régimen de personal y similares.</w:t>
      </w:r>
    </w:p>
    <w:p w14:paraId="4E9CDCF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Y un total de 9 expedientes del total de 39 habían sido incoados en la anualidad 2020.</w:t>
      </w:r>
    </w:p>
    <w:p w14:paraId="72D6440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Por otra parte, de dichos 39 expedientes, 4 correspondían a las entidades con mayor número de mortandad derivada de la pandemia COVID-19.</w:t>
      </w:r>
    </w:p>
    <w:p w14:paraId="20FBA465"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el siguiente pronunciamiento:</w:t>
      </w:r>
    </w:p>
    <w:p w14:paraId="70DE7BD9" w14:textId="77777777" w:rsidR="00E729AA" w:rsidRPr="00E729AA" w:rsidRDefault="00E729AA" w:rsidP="00F5708C">
      <w:pPr>
        <w:numPr>
          <w:ilvl w:val="0"/>
          <w:numId w:val="78"/>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planifique un programa de control permanente específico, en aras a la comprobación periódica y continua del cumplimiento de las obligaciones, estipulaciones y condiciones contenidas en los pliegos y contratos reguladores de los centros de residencias de tercera edad, tanto públicos como privados, que incluyen plazas con financiación pública.</w:t>
      </w:r>
    </w:p>
    <w:p w14:paraId="224226C6" w14:textId="77777777" w:rsidR="00E729AA" w:rsidRPr="00E729AA" w:rsidRDefault="00E729AA" w:rsidP="00F5708C">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En concreto, deberá priorizarse de manera singular la verificación del cumplimiento de las ratios de personal sanitario y asistencial de carácter prestacional. </w:t>
      </w:r>
    </w:p>
    <w:p w14:paraId="5ED645FB" w14:textId="77777777" w:rsidR="00E729AA" w:rsidRPr="00E729AA" w:rsidRDefault="00E729AA" w:rsidP="00F5708C">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programa de control deberá planificar las verificaciones, de tal manera que todos los centros sean objeto de supervisión específica y completa con la periodicidad que se regule.</w:t>
      </w:r>
    </w:p>
    <w:p w14:paraId="5D479608" w14:textId="77777777" w:rsidR="00E729AA" w:rsidRPr="00E729AA" w:rsidRDefault="00E729AA" w:rsidP="00E729AA">
      <w:pPr>
        <w:numPr>
          <w:ilvl w:val="0"/>
          <w:numId w:val="78"/>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coordinación con el programa de control permanente y específico de la recomendación primera, que se planifique la inclusión, en el “plan de inspección o actuaciones de inspección previstas a realizar”, de manera anual, las actuaciones de comprobación y verificación in situ de los centros de residencias de tercera edad, de modo que se garantice la comprobación material con una frecuencia máxima cuatrianual. Todo ello sin perjuicio cualquier otra acción singular o específica que proceda.</w:t>
      </w:r>
    </w:p>
    <w:p w14:paraId="1E53A7AC" w14:textId="48DE633B" w:rsid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Se ha finalizado el seguimiento con la aceptación de las recomendaciones.</w:t>
      </w:r>
    </w:p>
    <w:p w14:paraId="1691ACEC" w14:textId="58A9A19D" w:rsidR="00EC27A7" w:rsidRDefault="00EC27A7" w:rsidP="00E729AA">
      <w:pPr>
        <w:spacing w:after="240" w:line="276" w:lineRule="auto"/>
        <w:jc w:val="both"/>
        <w:rPr>
          <w:rFonts w:ascii="Arial" w:eastAsia="Times New Roman" w:hAnsi="Arial" w:cs="Arial"/>
          <w:sz w:val="21"/>
          <w:szCs w:val="21"/>
          <w:lang w:eastAsia="es-ES"/>
        </w:rPr>
      </w:pPr>
    </w:p>
    <w:p w14:paraId="7EA9E297" w14:textId="77777777" w:rsidR="00EC27A7" w:rsidRPr="00E729AA" w:rsidRDefault="00EC27A7" w:rsidP="00E729AA">
      <w:pPr>
        <w:spacing w:after="240" w:line="276" w:lineRule="auto"/>
        <w:jc w:val="both"/>
        <w:rPr>
          <w:rFonts w:ascii="Arial" w:eastAsia="Times New Roman" w:hAnsi="Arial" w:cs="Arial"/>
          <w:sz w:val="21"/>
          <w:szCs w:val="21"/>
          <w:lang w:eastAsia="es-ES"/>
        </w:rPr>
      </w:pPr>
    </w:p>
    <w:p w14:paraId="0A542124"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92" w:name="_Toc95209086"/>
      <w:bookmarkStart w:id="293" w:name="_Toc95913878"/>
      <w:bookmarkStart w:id="294" w:name="_Toc99107054"/>
      <w:r w:rsidRPr="00E729AA">
        <w:rPr>
          <w:rFonts w:ascii="Arial" w:eastAsia="Times New Roman" w:hAnsi="Arial" w:cs="Arial"/>
          <w:b/>
          <w:bCs/>
          <w:color w:val="9D2235" w:themeColor="accent1"/>
          <w:sz w:val="28"/>
          <w:szCs w:val="28"/>
          <w:lang w:eastAsia="es-ES"/>
        </w:rPr>
        <w:t>Denominación: Ayuntamiento de València. Complementos al sueldo de los concejales</w:t>
      </w:r>
      <w:bookmarkEnd w:id="292"/>
      <w:bookmarkEnd w:id="293"/>
      <w:bookmarkEnd w:id="294"/>
    </w:p>
    <w:p w14:paraId="588829A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2020/G01_01/000225 [104/2019]</w:t>
      </w:r>
    </w:p>
    <w:p w14:paraId="7AB21798"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48" w:history="1">
        <w:r w:rsidRPr="00E729AA">
          <w:rPr>
            <w:rFonts w:ascii="Arial" w:eastAsia="Times New Roman" w:hAnsi="Arial" w:cs="Arial"/>
            <w:color w:val="000080"/>
            <w:sz w:val="18"/>
            <w:szCs w:val="18"/>
            <w:u w:val="single"/>
            <w:lang w:eastAsia="es-ES"/>
          </w:rPr>
          <w:t>https://www.antifraucv.es/wp-content/uploads/2021/07/20210706-AYUNTAMIENTO-DE-VALENCIA.pdf</w:t>
        </w:r>
      </w:hyperlink>
    </w:p>
    <w:p w14:paraId="1D402A1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Descripción: </w:t>
      </w:r>
      <w:r w:rsidRPr="00E729AA">
        <w:rPr>
          <w:rFonts w:ascii="Arial" w:eastAsia="Times New Roman" w:hAnsi="Arial" w:cs="Arial"/>
          <w:sz w:val="21"/>
          <w:szCs w:val="21"/>
          <w:lang w:eastAsia="es-ES"/>
        </w:rPr>
        <w:t>Los hechos denunciados se concretaron en el abono a 31 regidores de la corporación del régimen de dedicación exclusiva y la creación de un complemento de especial responsabilidad a los tenientes de alcalde de forma irregular.</w:t>
      </w:r>
    </w:p>
    <w:p w14:paraId="419A8DC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Tras la instrucción del oportuno procedimiento de investigación, quedó acreditado que pese a la limitación a 25 concejales del régimen de dedicación exclusiva y pese al cumplimiento teórico de este requisito legal, se pagó a 31 miembros de la corporación el importe económico equivalente al régimen de dedicación exclusiva, para ello a los 8 tenientes de alcalde que tenían dedicación parcial se les aprobó un complemento de especial responsabilidad sin motivación. </w:t>
      </w:r>
    </w:p>
    <w:p w14:paraId="613E6063"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la legislatura 2019-2023, no queda justificada la inaplicación del principio de proporcionalidad entre dedicación parcial y el importe a percibir.</w:t>
      </w:r>
    </w:p>
    <w:p w14:paraId="3104A649"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Resultado: </w:t>
      </w:r>
      <w:r w:rsidRPr="00E729AA">
        <w:rPr>
          <w:rFonts w:ascii="Arial" w:eastAsia="Times New Roman" w:hAnsi="Arial" w:cs="Arial"/>
          <w:sz w:val="21"/>
          <w:szCs w:val="21"/>
          <w:lang w:eastAsia="es-ES"/>
        </w:rPr>
        <w:t>Formulación de Recomendaciones de mejora futura, que consisten en que:</w:t>
      </w:r>
    </w:p>
    <w:p w14:paraId="1A6BFCB6" w14:textId="77777777" w:rsidR="00E729AA" w:rsidRPr="00E729AA" w:rsidRDefault="00E729AA" w:rsidP="00F5708C">
      <w:pPr>
        <w:numPr>
          <w:ilvl w:val="0"/>
          <w:numId w:val="79"/>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solicite de forma ineludible la emisión de informe jurídico de legalidad de la secretaría al amparo del marco normativo dispuesto en el artículo 122.5 e) de la Ley 7/1985, de 2 de abril, reguladora de las Bases del Régimen Local, antes de aprobar el régimen de dedicación, retribuciones y asistencias de los cargos electos de la Corporación.</w:t>
      </w:r>
    </w:p>
    <w:p w14:paraId="3BCAA2D1" w14:textId="77777777" w:rsidR="00E729AA" w:rsidRPr="00E729AA" w:rsidRDefault="00E729AA" w:rsidP="00E729AA">
      <w:pPr>
        <w:numPr>
          <w:ilvl w:val="0"/>
          <w:numId w:val="79"/>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Las responsabilidades específicas de los cargos deben estar fijadas y determinadas de antemano y, respecto al régimen retributivo de las dedicaciones parciales se debe guardar una proporcionalidad con la dedicación retribuida, una vez fijadas las retribuciones inherentes a las responsabilidades del cargo en régimen de dedicación exclusiva, debiendo motivarse de manera objetiva y acreditarse de manera previa las mayores responsabilidades en su caso.</w:t>
      </w:r>
    </w:p>
    <w:p w14:paraId="67D4F77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Se ha completado esta fase. El Ayuntamiento de València ha aceptado parcialmente las recomendaciones propuestas, y han sido objeto de justificación, sobre las causas de su inobservancia, las no aceptadas.</w:t>
      </w:r>
    </w:p>
    <w:p w14:paraId="7025FA93"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95" w:name="_Toc95209087"/>
      <w:bookmarkStart w:id="296" w:name="_Toc95913879"/>
      <w:bookmarkStart w:id="297" w:name="_Toc99107055"/>
      <w:r w:rsidRPr="00E729AA">
        <w:rPr>
          <w:rFonts w:ascii="Arial" w:eastAsia="Times New Roman" w:hAnsi="Arial" w:cs="Arial"/>
          <w:b/>
          <w:bCs/>
          <w:color w:val="9D2235" w:themeColor="accent1"/>
          <w:sz w:val="28"/>
          <w:szCs w:val="28"/>
          <w:lang w:eastAsia="es-ES"/>
        </w:rPr>
        <w:t>Denominación: Ayuntamiento de València. Nombramiento de personal de asesoría jurídica y acumulación de funciones de letrado mayor</w:t>
      </w:r>
      <w:bookmarkEnd w:id="295"/>
      <w:bookmarkEnd w:id="296"/>
      <w:bookmarkEnd w:id="297"/>
    </w:p>
    <w:p w14:paraId="7C0AC6A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w:t>
      </w:r>
      <w:bookmarkStart w:id="298" w:name="_Hlk92875611"/>
      <w:r w:rsidRPr="00E729AA">
        <w:rPr>
          <w:rFonts w:ascii="Arial" w:eastAsia="Times New Roman" w:hAnsi="Arial" w:cs="Arial"/>
          <w:sz w:val="21"/>
          <w:szCs w:val="21"/>
          <w:lang w:eastAsia="es-ES"/>
        </w:rPr>
        <w:t>2020/G01_01/000096 [155-2018</w:t>
      </w:r>
      <w:bookmarkEnd w:id="298"/>
      <w:r w:rsidRPr="00E729AA">
        <w:rPr>
          <w:rFonts w:ascii="Arial" w:eastAsia="Times New Roman" w:hAnsi="Arial" w:cs="Arial"/>
          <w:sz w:val="21"/>
          <w:szCs w:val="21"/>
          <w:lang w:eastAsia="es-ES"/>
        </w:rPr>
        <w:t>] - Acumulados 2020/G01_01/000260 [260/220] y 2020/G01_01/000263 [263/2020]</w:t>
      </w:r>
    </w:p>
    <w:p w14:paraId="4473A1DA"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49" w:history="1">
        <w:r w:rsidRPr="00E729AA">
          <w:rPr>
            <w:rFonts w:ascii="Arial" w:eastAsia="Times New Roman" w:hAnsi="Arial" w:cs="Arial"/>
            <w:color w:val="000080"/>
            <w:sz w:val="18"/>
            <w:szCs w:val="18"/>
            <w:u w:val="single"/>
            <w:lang w:eastAsia="es-ES"/>
          </w:rPr>
          <w:t>https://www.antifraucv.es/wp-content/uploads/2021/07/20210711_AYUNTAMIENTO-DE-VALENCIA.pdf</w:t>
        </w:r>
      </w:hyperlink>
    </w:p>
    <w:p w14:paraId="2314F00E"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denuncia:</w:t>
      </w:r>
    </w:p>
    <w:p w14:paraId="754A03FA" w14:textId="77777777" w:rsidR="00E729AA" w:rsidRPr="00E729AA" w:rsidRDefault="00E729AA" w:rsidP="00F5708C">
      <w:pPr>
        <w:numPr>
          <w:ilvl w:val="0"/>
          <w:numId w:val="80"/>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El desempeño de funciones en comisión de servicios como Letrado de la Asesoría jurídica municipal, desde el año 1989 hasta la actualidad. </w:t>
      </w:r>
    </w:p>
    <w:p w14:paraId="3387852F" w14:textId="77777777" w:rsidR="00E729AA" w:rsidRPr="00E729AA" w:rsidRDefault="00E729AA" w:rsidP="00E729AA">
      <w:pPr>
        <w:numPr>
          <w:ilvl w:val="0"/>
          <w:numId w:val="80"/>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La atribución temporal de funciones como letrado mayor a don C.R.L sin cumplir los requisitos exigidos. </w:t>
      </w:r>
    </w:p>
    <w:p w14:paraId="710D1D2F"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evidenció que:</w:t>
      </w:r>
    </w:p>
    <w:p w14:paraId="1F258E5C" w14:textId="77777777" w:rsidR="00E729AA" w:rsidRPr="00E729AA" w:rsidRDefault="00E729AA" w:rsidP="00F5708C">
      <w:pPr>
        <w:numPr>
          <w:ilvl w:val="0"/>
          <w:numId w:val="81"/>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el nombramiento del letrado del Servicio Jurídico Municipal.</w:t>
      </w:r>
    </w:p>
    <w:p w14:paraId="7ED323AE" w14:textId="77777777" w:rsidR="00E729AA" w:rsidRPr="00E729AA" w:rsidRDefault="00E729AA" w:rsidP="00F5708C">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forma de provisión del puesto de “Letrado/a de la Asesoría Jurídica Municipal (TD)”, con número de referencia 5754, es la de libre designación. Sin embargo, el Ayuntamiento de València ha permitido que, desde 1989 a la actualidad, dicho puesto esté ocupado de manera temporal mediante una comisión de servicios.</w:t>
      </w:r>
    </w:p>
    <w:p w14:paraId="050CB643" w14:textId="77777777" w:rsidR="00E729AA" w:rsidRPr="00E729AA" w:rsidRDefault="00E729AA" w:rsidP="00F5708C">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Dicha temporalidad excede los plazos contemplados en la normativa.</w:t>
      </w:r>
    </w:p>
    <w:p w14:paraId="53B8D91E" w14:textId="77777777" w:rsidR="00E729AA" w:rsidRPr="00E729AA" w:rsidRDefault="00E729AA" w:rsidP="00F5708C">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Asimismo, el Ayuntamiento de València no ha incluido en ninguna oferta pública de empleo, la plaza vacante ocupada de manera temporal mediante comisión de servicios.</w:t>
      </w:r>
    </w:p>
    <w:p w14:paraId="756E3740" w14:textId="77777777" w:rsidR="00E729AA" w:rsidRPr="00E729AA" w:rsidRDefault="00E729AA" w:rsidP="00F5708C">
      <w:pPr>
        <w:numPr>
          <w:ilvl w:val="0"/>
          <w:numId w:val="81"/>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la atribución temporal de funciones de letrado Mayor.</w:t>
      </w:r>
    </w:p>
    <w:p w14:paraId="204A8CE9" w14:textId="77777777" w:rsidR="00E729AA" w:rsidRPr="00E729AA" w:rsidRDefault="00E729AA" w:rsidP="00F5708C">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La Junta de Gobierno del Ayuntamiento de València, en su sesión de 16 de junio de 2017, acordó la atribución temporal de funciones de Letrado Mayor al puesto 5754. </w:t>
      </w:r>
    </w:p>
    <w:p w14:paraId="670C8775" w14:textId="77777777" w:rsidR="00E729AA" w:rsidRPr="00E729AA" w:rsidRDefault="00E729AA" w:rsidP="00F5708C">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Ayuntamiento de València comunica que, el funcionario implicado en los hechos investigados renuncia a la acumulación de tareas de Letrado Mayor, continuando sus funciones como letrado de la Asesoría Jurídica Municipal. El 14 de mayo de 2021, el órgano colegiado competente acepta la renuncia.</w:t>
      </w:r>
    </w:p>
    <w:p w14:paraId="66B571E9" w14:textId="77777777" w:rsidR="00E729AA" w:rsidRPr="00E729AA" w:rsidRDefault="00E729AA" w:rsidP="00E729AA">
      <w:pPr>
        <w:spacing w:after="24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Teniendo en cuenta que la forma de provisión del puesto 884 Letrado/a Mayor es la libre designación, el Ayuntamiento de València debería haber realizado la convocatoria pública del mencionado puesto de trabajo en el plazo que señala la normativa. </w:t>
      </w:r>
    </w:p>
    <w:p w14:paraId="59DFF2C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Formulación de recomendaciones al Ayuntamiento de València, que consisten en que formule un Plan de Implementación con el objeto de que se incluya en la próxima Oferta de Empleo Público la plaza con número de referencia 5754, con denominación del puesto letrado/a Asesoría Jurídica Municipal (TD), y se provea definitivamente el puesto número 884 denominado letrado mayor.</w:t>
      </w:r>
    </w:p>
    <w:p w14:paraId="7F709A4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Se ha remitido por parte del Ayuntamiento de València el plan de implementación solicitado, aceptando las recomendaciones.</w:t>
      </w:r>
    </w:p>
    <w:p w14:paraId="1DDC3AB1"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299" w:name="_Toc95209088"/>
      <w:bookmarkStart w:id="300" w:name="_Toc95913880"/>
      <w:bookmarkStart w:id="301" w:name="_Toc99107056"/>
      <w:r w:rsidRPr="00E729AA">
        <w:rPr>
          <w:rFonts w:ascii="Arial" w:eastAsia="Times New Roman" w:hAnsi="Arial" w:cs="Arial"/>
          <w:b/>
          <w:bCs/>
          <w:color w:val="9D2235" w:themeColor="accent1"/>
          <w:sz w:val="28"/>
          <w:szCs w:val="28"/>
          <w:lang w:eastAsia="es-ES"/>
        </w:rPr>
        <w:t>Denominación: Ayuntamiento de Benidorm. Trato de favor en la tramitación de la devolución de un vehículo retirado por la grúa municipal</w:t>
      </w:r>
      <w:bookmarkEnd w:id="299"/>
      <w:bookmarkEnd w:id="300"/>
      <w:bookmarkEnd w:id="301"/>
    </w:p>
    <w:p w14:paraId="24C44D2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2020/G01_01/000147 [33/2019]</w:t>
      </w:r>
    </w:p>
    <w:p w14:paraId="19CFA0A4"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50" w:history="1">
        <w:r w:rsidRPr="00E729AA">
          <w:rPr>
            <w:rFonts w:ascii="Arial" w:eastAsia="Times New Roman" w:hAnsi="Arial" w:cs="Arial"/>
            <w:color w:val="000080"/>
            <w:sz w:val="18"/>
            <w:szCs w:val="18"/>
            <w:u w:val="single"/>
            <w:lang w:eastAsia="es-ES"/>
          </w:rPr>
          <w:t>https://www.antifraucv.es/wp-content/uploads/2021/07/20210715_AYUNTAMIENTO-DE-BENIDORM.pdf</w:t>
        </w:r>
      </w:hyperlink>
    </w:p>
    <w:p w14:paraId="4D52692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pone en conocimiento de la Agencia, un presunto trato de favor en la tramitación de la devolución de un vehículo retirado de la vía pública el 9 de abril de 2016, del municipio de Benidorm. </w:t>
      </w:r>
    </w:p>
    <w:p w14:paraId="6D98D222"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evidenció que:</w:t>
      </w:r>
    </w:p>
    <w:p w14:paraId="1AC261CF" w14:textId="77777777" w:rsidR="00E729AA" w:rsidRPr="00E729AA" w:rsidRDefault="00E729AA" w:rsidP="00F5708C">
      <w:pPr>
        <w:numPr>
          <w:ilvl w:val="0"/>
          <w:numId w:val="82"/>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El día 9 de abril de 2016 (sábado), la policía local ordena la retirada del vehículo de la vía pública a las 13:09. Y a las 13:34 del mismo día, el vehículo queda a disposición de su titular. En apenas 25 minutos, el señor F. se pone en contacto con el concejal de movilidad y este último dio la orden de entrega del vehículo, sin necesidad de proceder al abono de la tasa. Dicha actuación no responde a un procedimiento reglado ni preestablecido de manera objetiva. </w:t>
      </w:r>
    </w:p>
    <w:p w14:paraId="2E2EF4A1" w14:textId="77777777" w:rsidR="00E729AA" w:rsidRPr="00E729AA" w:rsidRDefault="00E729AA" w:rsidP="00F5708C">
      <w:pPr>
        <w:numPr>
          <w:ilvl w:val="0"/>
          <w:numId w:val="82"/>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la documentación remitida por el Ayuntamiento de Benidorm, tan solo consta un documento que autoriza la entrega del vehículo con matrícula XXX XXX. El señor F. tuvo acceso inmediato al concejal competente en la materia, obteniendo un beneficio al no tener que abonar el importe previsto en la ordenanza correspondiente. No se tiene constancia de la emisión de ningún decreto posterior del concejal delegado que autorice la entrega del vehículo. No se acuerda la exención del pago de la tasa conforme al supuesto previsto en la Ordenanza Fiscal Municipal.</w:t>
      </w:r>
    </w:p>
    <w:p w14:paraId="5A6B8154" w14:textId="77777777" w:rsidR="00E729AA" w:rsidRPr="00E729AA" w:rsidRDefault="00E729AA" w:rsidP="00E729AA">
      <w:pPr>
        <w:numPr>
          <w:ilvl w:val="0"/>
          <w:numId w:val="82"/>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En la documentación obrante en el expediente y remitida a esta Agencia, no consta justificación de las razones de la autorización a no abonar el importe de la tasa. La tasa la recauda la empresa concesionaria. </w:t>
      </w:r>
    </w:p>
    <w:p w14:paraId="694D603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xml:space="preserve">: Se finaliza el expediente, recomendando la emisión de una instrucción específica en la que se fije el procedimiento que se ha de seguir en los supuestos en que el Ayuntamiento, a través de una autorización especial, faculte la retirada de vehículos aplicando la exención prevista en la ordenanza fiscal municipal. </w:t>
      </w:r>
    </w:p>
    <w:p w14:paraId="5871CD24" w14:textId="34402D9F" w:rsid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 xml:space="preserve">En trámite. </w:t>
      </w:r>
    </w:p>
    <w:p w14:paraId="1D22FCB6" w14:textId="3A9951D8" w:rsidR="00EC27A7" w:rsidRDefault="00EC27A7" w:rsidP="00E729AA">
      <w:pPr>
        <w:spacing w:after="240" w:line="276" w:lineRule="auto"/>
        <w:jc w:val="both"/>
        <w:rPr>
          <w:rFonts w:ascii="Arial" w:eastAsia="Times New Roman" w:hAnsi="Arial" w:cs="Arial"/>
          <w:sz w:val="21"/>
          <w:szCs w:val="21"/>
          <w:lang w:eastAsia="es-ES"/>
        </w:rPr>
      </w:pPr>
    </w:p>
    <w:p w14:paraId="26E59BB8" w14:textId="77777777" w:rsidR="00EC27A7" w:rsidRPr="00E729AA" w:rsidRDefault="00EC27A7" w:rsidP="00E729AA">
      <w:pPr>
        <w:spacing w:after="240" w:line="276" w:lineRule="auto"/>
        <w:jc w:val="both"/>
        <w:rPr>
          <w:rFonts w:ascii="Arial" w:eastAsia="Times New Roman" w:hAnsi="Arial" w:cs="Arial"/>
          <w:sz w:val="21"/>
          <w:szCs w:val="21"/>
          <w:lang w:eastAsia="es-ES"/>
        </w:rPr>
      </w:pPr>
    </w:p>
    <w:p w14:paraId="20D7B4C6"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02" w:name="_Toc95209089"/>
      <w:bookmarkStart w:id="303" w:name="_Toc95913881"/>
      <w:bookmarkStart w:id="304" w:name="_Toc99107057"/>
      <w:r w:rsidRPr="00E729AA">
        <w:rPr>
          <w:rFonts w:ascii="Arial" w:eastAsia="Times New Roman" w:hAnsi="Arial" w:cs="Arial"/>
          <w:b/>
          <w:bCs/>
          <w:color w:val="9D2235" w:themeColor="accent1"/>
          <w:sz w:val="28"/>
          <w:szCs w:val="28"/>
          <w:lang w:eastAsia="es-ES"/>
        </w:rPr>
        <w:t>Denominación: Ayuntamiento de València. Encargo directo Servicio de estacionamiento regulado de aparcamiento de vehículos (ORA)</w:t>
      </w:r>
      <w:bookmarkEnd w:id="302"/>
      <w:bookmarkEnd w:id="303"/>
      <w:bookmarkEnd w:id="304"/>
    </w:p>
    <w:p w14:paraId="0E3EC97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2020/G01_01/000339</w:t>
      </w:r>
    </w:p>
    <w:p w14:paraId="19C413FB"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51" w:history="1">
        <w:r w:rsidRPr="00E729AA">
          <w:rPr>
            <w:rFonts w:ascii="Arial" w:eastAsia="Times New Roman" w:hAnsi="Arial" w:cs="Arial"/>
            <w:color w:val="000080"/>
            <w:sz w:val="18"/>
            <w:szCs w:val="18"/>
            <w:u w:val="single"/>
            <w:lang w:eastAsia="es-ES"/>
          </w:rPr>
          <w:t>https://www.antifraucv.es/wp-content/uploads/2021/07/20210729_AYUNTAMIENTO-DE-VALENCIA.pdf</w:t>
        </w:r>
      </w:hyperlink>
    </w:p>
    <w:p w14:paraId="123F42A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iniciaron actuaciones, en relación con la posible existencia de determinadas irregularidades cometidas, en relación con los pagos realizados por el servicio de gestión del servicio público del estacionamiento de vehículos en la vía pública bajo control horario.</w:t>
      </w:r>
    </w:p>
    <w:p w14:paraId="1FEDAD0F"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Entre los hechos manifestados, resulta de especial relevancia, el incremento aplicado en el coste del servicio producido, a partir del momento en el que el contrato administrativo en vigor es resuelto y comienza a prestarse sin cobertura contractual, ocurriendo todo ello desde 2013, sin que el Ayuntamiento haya procedido a licitar la contratación.</w:t>
      </w:r>
    </w:p>
    <w:p w14:paraId="7C14D37D"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evidenció que:</w:t>
      </w:r>
    </w:p>
    <w:p w14:paraId="460267B5" w14:textId="77777777" w:rsidR="00E729AA" w:rsidRPr="00E729AA" w:rsidRDefault="00E729AA" w:rsidP="00F5708C">
      <w:pPr>
        <w:numPr>
          <w:ilvl w:val="0"/>
          <w:numId w:val="8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el servicio público del estacionamiento de vehículos en la vía pública, bajo control horario, se ha prestado sin cobertura contractual administrativa idónea desde el 12 de abril de 2013, hasta la reciente adjudicación de 13 de noviembre de 2020, lo que supone la realización de pagos materiales a favor del prestatario del servicio, adjudicado inicialmente en 2006, durante un periodo superior a siete años.</w:t>
      </w:r>
    </w:p>
    <w:p w14:paraId="655169FC" w14:textId="77777777" w:rsidR="00E729AA" w:rsidRPr="00E729AA" w:rsidRDefault="00E729AA" w:rsidP="00F5708C">
      <w:pPr>
        <w:numPr>
          <w:ilvl w:val="0"/>
          <w:numId w:val="8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las condiciones económicas que se aplican son las mismas que rigieron el contrato suscrito el 27 de mayo del 2006, de conformidad con el contenido del acuerdo adoptado por la Junta de Gobierno Local en sesión de fecha 12 de abril de 2013, por el que se aprobó la continuidad de la prestación del servicio, hasta la resolución del expediente de contratación en trámite para la nueva adjudicación del servicio y la incorporación de un nuevo adjudicatario.</w:t>
      </w:r>
    </w:p>
    <w:p w14:paraId="7F5BE393" w14:textId="77777777" w:rsidR="00E729AA" w:rsidRPr="00E729AA" w:rsidRDefault="00E729AA" w:rsidP="00F5708C">
      <w:pPr>
        <w:numPr>
          <w:ilvl w:val="0"/>
          <w:numId w:val="8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la nueva licitación había sido convocada por acuerdo de la Junta de Gobierno Local de 13 de marzo de 2015, procediéndose a renunciar de la misma como consecuencia del Acuerdo de la Junta de Gobierno de fecha 29 de julio de 2016, todo ello de conformidad con la moción del concejal delegado de Infraestructuras del Transporte Público de 18 de febrero de 2016, el informe de la Asesoría Jurídica Municipal de 15 de diciembre de 2015 y el informe de la Sección de Señalización del Servicio de Mobilitat Sostenible de 18 de mayo de 2016, así como los demás hechos y fundamentos de derecho recogidos en dicho acuerdo.</w:t>
      </w:r>
    </w:p>
    <w:p w14:paraId="03368859" w14:textId="77777777" w:rsidR="00E729AA" w:rsidRPr="00E729AA" w:rsidRDefault="00E729AA" w:rsidP="00F5708C">
      <w:pPr>
        <w:numPr>
          <w:ilvl w:val="0"/>
          <w:numId w:val="8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Junta de Gobierno Local, en sesión ordinaria celebrada el día 22 de noviembre de 2019, acordó contratar la prestación del servicio de estacionamiento regulado en la vía pública de la ciudad de València (ORA), más de tres años después de acordar la renuncia al procedimiento previo.</w:t>
      </w:r>
    </w:p>
    <w:p w14:paraId="5E19813E" w14:textId="77777777" w:rsidR="00E729AA" w:rsidRPr="00E729AA" w:rsidRDefault="00E729AA" w:rsidP="00F5708C">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Previa la tramitación oportuna, en el seno del expediente 04101/2019/87-SER, la Junta de Gobierno Local en sesión celebrada con fecha 13 de noviembre de 2020, acordó </w:t>
      </w:r>
      <w:r w:rsidRPr="00E729AA">
        <w:rPr>
          <w:rFonts w:ascii="Arial" w:eastAsia="Times New Roman" w:hAnsi="Arial" w:cs="Arial"/>
          <w:b/>
          <w:bCs/>
          <w:sz w:val="21"/>
          <w:szCs w:val="21"/>
          <w:lang w:eastAsia="es-ES"/>
        </w:rPr>
        <w:t>adjudicar</w:t>
      </w:r>
      <w:r w:rsidRPr="00E729AA">
        <w:rPr>
          <w:rFonts w:ascii="Arial" w:eastAsia="Times New Roman" w:hAnsi="Arial" w:cs="Arial"/>
          <w:sz w:val="21"/>
          <w:szCs w:val="21"/>
          <w:lang w:eastAsia="es-ES"/>
        </w:rPr>
        <w:t xml:space="preserve"> el contrato.</w:t>
      </w:r>
    </w:p>
    <w:p w14:paraId="1380093C" w14:textId="77777777" w:rsidR="00E729AA" w:rsidRPr="00E729AA" w:rsidRDefault="00E729AA" w:rsidP="00E729AA">
      <w:pPr>
        <w:numPr>
          <w:ilvl w:val="0"/>
          <w:numId w:val="83"/>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Servicio de Personal no ha procedido a exigir responsabilidades de tipo disciplinario al personal encargado de la gestión, con motivo de que no se han producido ninguna de las diferentes actuaciones que puedan dar lugar a la incoación de un procedimiento de diligencias informativas y si procede de expediente disciplinario.</w:t>
      </w:r>
    </w:p>
    <w:p w14:paraId="31EF07E2"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recomendaciones:</w:t>
      </w:r>
    </w:p>
    <w:p w14:paraId="3A0E2EB6" w14:textId="77777777" w:rsidR="00E729AA" w:rsidRPr="00E729AA" w:rsidRDefault="00E729AA" w:rsidP="00F5708C">
      <w:pPr>
        <w:numPr>
          <w:ilvl w:val="0"/>
          <w:numId w:val="84"/>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proceda a la implementación de un plan integral por parte de la Delegación que afecte a todas las áreas o servicios dependientes, con el objetivo de garantizar la cobertura contractual de todos los servicios, concesiones de servicios y suministros de carácter ordinario o recurrente, con especial atención a las grandes contrataciones por su volumen de presupuestario, para que no se produzcan o se minimicen las situaciones como las descritas en el presente expediente.</w:t>
      </w:r>
    </w:p>
    <w:p w14:paraId="4D22CC24" w14:textId="77777777" w:rsidR="00E729AA" w:rsidRPr="00E729AA" w:rsidRDefault="00E729AA" w:rsidP="00F5708C">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Este plan deberá detallar las acciones, plazos, personas responsables de cada uno de los servicios, concesiones de servicios, suministros ordinarios o recurrentes, detallando las actuaciones a realizar con antelación suficiente, para garantizar la continuidad en las prestaciones con cobertura contractual, al objeto de eliminar o minimizar los encargos de continuidad de la prestación sin contrato en vigor, y derivado de ello el reconocimiento extrajudicial de las indemnizaciones por las prestaciones sin contrato.</w:t>
      </w:r>
    </w:p>
    <w:p w14:paraId="4AFE5A9E" w14:textId="77777777" w:rsidR="00E729AA" w:rsidRPr="00E729AA" w:rsidRDefault="00E729AA" w:rsidP="00F5708C">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Este plan deberá servir e integrarse en la elaboración del Plan anual de contratación del Ayuntamiento.</w:t>
      </w:r>
    </w:p>
    <w:p w14:paraId="1AE73B90" w14:textId="77777777" w:rsidR="00E729AA" w:rsidRPr="00E729AA" w:rsidRDefault="00E729AA" w:rsidP="00E729AA">
      <w:pPr>
        <w:numPr>
          <w:ilvl w:val="0"/>
          <w:numId w:val="84"/>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Proceder a implementar las medidas contempladas en la recomendación de esta Agencia de mayo de 2020, sobre la vía del enriquecimiento injusto.</w:t>
      </w:r>
    </w:p>
    <w:p w14:paraId="33E4C6D3"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6AAC5960"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05" w:name="_Toc95209090"/>
      <w:bookmarkStart w:id="306" w:name="_Toc95913882"/>
      <w:bookmarkStart w:id="307" w:name="_Toc99107058"/>
      <w:r w:rsidRPr="00E729AA">
        <w:rPr>
          <w:rFonts w:ascii="Arial" w:eastAsia="Times New Roman" w:hAnsi="Arial" w:cs="Arial"/>
          <w:b/>
          <w:bCs/>
          <w:color w:val="9D2235" w:themeColor="accent1"/>
          <w:sz w:val="28"/>
          <w:szCs w:val="28"/>
          <w:lang w:eastAsia="es-ES"/>
        </w:rPr>
        <w:t>Denominación: Diputación Provincial de Castellón. Remuneraciones del personal de la Diputación Provincial de Castellón en Consorcios</w:t>
      </w:r>
      <w:bookmarkEnd w:id="305"/>
      <w:bookmarkEnd w:id="306"/>
      <w:bookmarkEnd w:id="307"/>
    </w:p>
    <w:p w14:paraId="70EDB813"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2020/G01_01/000031 [123/2018]</w:t>
      </w:r>
    </w:p>
    <w:p w14:paraId="6ABBA8EF"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52" w:history="1">
        <w:r w:rsidRPr="00E729AA">
          <w:rPr>
            <w:rFonts w:ascii="Arial" w:eastAsia="Times New Roman" w:hAnsi="Arial" w:cs="Arial"/>
            <w:color w:val="000080"/>
            <w:sz w:val="18"/>
            <w:szCs w:val="18"/>
            <w:u w:val="single"/>
            <w:lang w:eastAsia="es-ES"/>
          </w:rPr>
          <w:t>https://www.antifraucv.es/wp-content/uploads/2021/09/20210824_DIPUTACION_DE_CASTELLON.pdf</w:t>
        </w:r>
      </w:hyperlink>
    </w:p>
    <w:p w14:paraId="3C4CD8B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denuncia que desde el ejercicio 2009, funcionarios de la Diputación Provincial de Castellón, han ejercido una segunda actividad profesional como "personal colaborador" de los Consorcios de los Planes zonales de residuos I, II, III y VIII y del Consorcio de Aguas de la Plana, sin cumplir la normativa de incompatibilidades. </w:t>
      </w:r>
    </w:p>
    <w:p w14:paraId="6B2333B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Tras la instrucción del oportuno procedimiento de investigación, se constataba, que los funcionarios relacionados en el informe compatibilizaban el ejercicio de su actividad pública en la Diputación Provincial de Castellón con el ejercicio de funciones públicas en distintos consorcios de residuos ubicados en la provincia de Castellón, desde el año 2009. </w:t>
      </w:r>
    </w:p>
    <w:p w14:paraId="408476CF"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Constan, diferentes acuerdos plenarios, en los que se autoriza a los funcionarios a ejercer funciones en los distintos consorcios de residuos a cambio de una indemnización.</w:t>
      </w:r>
    </w:p>
    <w:p w14:paraId="34CEB000"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observa el incumplimiento de los requisitos previstos en la Ley 53/84:</w:t>
      </w:r>
    </w:p>
    <w:p w14:paraId="7842D0CE" w14:textId="77777777" w:rsidR="00E729AA" w:rsidRPr="00E729AA" w:rsidRDefault="00E729AA" w:rsidP="000B6315">
      <w:pPr>
        <w:numPr>
          <w:ilvl w:val="0"/>
          <w:numId w:val="35"/>
        </w:numPr>
        <w:spacing w:after="120" w:line="276" w:lineRule="auto"/>
        <w:ind w:left="851"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Las funciones ejercidas en los distintos consorcios no se encuentran entre las funciones que la Ley 53/84 permite compatibilizar.</w:t>
      </w:r>
    </w:p>
    <w:p w14:paraId="365162C0" w14:textId="77777777" w:rsidR="00E729AA" w:rsidRPr="00E729AA" w:rsidRDefault="00E729AA" w:rsidP="000B6315">
      <w:pPr>
        <w:numPr>
          <w:ilvl w:val="0"/>
          <w:numId w:val="35"/>
        </w:numPr>
        <w:spacing w:after="120" w:line="276" w:lineRule="auto"/>
        <w:ind w:left="851"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Incumplimiento de los horarios en la Diputación Provincial de Castellón. </w:t>
      </w:r>
    </w:p>
    <w:p w14:paraId="6B463996" w14:textId="77777777" w:rsidR="00E729AA" w:rsidRPr="00E729AA" w:rsidRDefault="00E729AA" w:rsidP="000B6315">
      <w:pPr>
        <w:numPr>
          <w:ilvl w:val="0"/>
          <w:numId w:val="35"/>
        </w:numPr>
        <w:spacing w:after="240" w:line="276" w:lineRule="auto"/>
        <w:ind w:left="851"/>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Las cuantías abonadas a algunos funcionarios exceden de los límites previstos en la ley 53/1984. </w:t>
      </w:r>
    </w:p>
    <w:p w14:paraId="001C2788"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Finalización de la investigación con recomendaciones, para que la administración de adscripción dotara de medios personales propios a los consorcios C1 y C3/V1 de manera estructural y permanente, evitando el ejercicio continuado de esta segunda actividad por funcionarios de la Diputación de Castellón.</w:t>
      </w:r>
    </w:p>
    <w:p w14:paraId="53253F9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Y en caso de ser necesaria la colaboración del personal de la Diputación Provincial de Castellón, que se realicen las modificaciones que se estimen pertinentes en su relación de puestos de trabajo. </w:t>
      </w:r>
    </w:p>
    <w:p w14:paraId="5705134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En trámite. </w:t>
      </w:r>
    </w:p>
    <w:p w14:paraId="78C1F624"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08" w:name="_Toc95209091"/>
      <w:bookmarkStart w:id="309" w:name="_Toc95913883"/>
      <w:bookmarkStart w:id="310" w:name="_Toc99107059"/>
      <w:r w:rsidRPr="00E729AA">
        <w:rPr>
          <w:rFonts w:ascii="Arial" w:eastAsia="Times New Roman" w:hAnsi="Arial" w:cs="Arial"/>
          <w:b/>
          <w:bCs/>
          <w:color w:val="9D2235" w:themeColor="accent1"/>
          <w:sz w:val="28"/>
          <w:szCs w:val="28"/>
          <w:lang w:eastAsia="es-ES"/>
        </w:rPr>
        <w:t>Denominación: Ayuntamiento de La Serratella, Foment La Serratella, SL. Alquiler de hotel municipal por 250 euros</w:t>
      </w:r>
      <w:bookmarkEnd w:id="308"/>
      <w:bookmarkEnd w:id="309"/>
      <w:bookmarkEnd w:id="310"/>
    </w:p>
    <w:p w14:paraId="440CB15F"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2020/G01_01/242 [129/2019]</w:t>
      </w:r>
    </w:p>
    <w:p w14:paraId="35FD71BD" w14:textId="77777777" w:rsidR="00E729AA" w:rsidRPr="00E729AA" w:rsidRDefault="00E729AA" w:rsidP="00E729AA">
      <w:pPr>
        <w:spacing w:after="240" w:line="276" w:lineRule="auto"/>
        <w:rPr>
          <w:rFonts w:ascii="Arial" w:eastAsia="Times New Roman" w:hAnsi="Arial" w:cs="Arial"/>
          <w:sz w:val="17"/>
          <w:szCs w:val="17"/>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53" w:history="1">
        <w:r w:rsidRPr="00E729AA">
          <w:rPr>
            <w:rFonts w:ascii="Arial" w:eastAsia="Times New Roman" w:hAnsi="Arial" w:cs="Arial"/>
            <w:color w:val="000080"/>
            <w:sz w:val="17"/>
            <w:szCs w:val="17"/>
            <w:u w:val="single"/>
            <w:lang w:eastAsia="es-ES"/>
          </w:rPr>
          <w:t>https://www.antifraucv.es/wp-content/uploads/2021/09/20210824_AYUNTAMIENTO_DE_LA_SERRATELLA.pdf</w:t>
        </w:r>
      </w:hyperlink>
    </w:p>
    <w:p w14:paraId="57012C89"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los hechos denunciados se concretaron en la creación de una mercantil pública municipal Foment La Serratella SL, para la gestión del hotel rural municipal. Esta mercantil alquiló a un particular el hotel, por un año prorrogable, por un importe mensual de 280 €.</w:t>
      </w:r>
    </w:p>
    <w:p w14:paraId="63166B8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quedó acreditada la existencia de irregularidades en la creación de la mercantil Foment La Serratella SL, incumplimiento de los Estatutos de la mercantil e incumplimiento de la Ley de contratos del Sector Públic.</w:t>
      </w:r>
    </w:p>
    <w:p w14:paraId="6E28A349"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No obstante, los incumplimientos constatados en el procedimiento de investigación, relativos a la gestión del hotel municipal, deben señalarse varias cuestiones: el contrato de alquiler no está en vigor, se informa la disolución de la mercantil municipal y se manifiesta la voluntad, en el escrito presentado, de sacar un nuevo concurso público para la gestión del hotel.</w:t>
      </w:r>
    </w:p>
    <w:p w14:paraId="280D2806" w14:textId="77777777" w:rsidR="00E729AA" w:rsidRPr="00E729AA" w:rsidRDefault="00E729AA" w:rsidP="00F5708C">
      <w:pPr>
        <w:spacing w:after="240" w:line="276" w:lineRule="auto"/>
        <w:jc w:val="both"/>
        <w:rPr>
          <w:rFonts w:ascii="Arial" w:eastAsia="Times New Roman" w:hAnsi="Arial" w:cs="Arial"/>
          <w:b/>
          <w:bCs/>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Formulación de recomendaciones</w:t>
      </w:r>
      <w:r w:rsidRPr="00E729AA">
        <w:rPr>
          <w:rFonts w:ascii="Arial" w:eastAsia="Times New Roman" w:hAnsi="Arial" w:cs="Arial"/>
          <w:b/>
          <w:bCs/>
          <w:sz w:val="21"/>
          <w:szCs w:val="21"/>
          <w:lang w:eastAsia="es-ES"/>
        </w:rPr>
        <w:t xml:space="preserve"> </w:t>
      </w:r>
      <w:r w:rsidRPr="00E729AA">
        <w:rPr>
          <w:rFonts w:ascii="Arial" w:eastAsia="Times New Roman" w:hAnsi="Arial" w:cs="Arial"/>
          <w:sz w:val="21"/>
          <w:szCs w:val="21"/>
          <w:lang w:eastAsia="es-ES"/>
        </w:rPr>
        <w:t>de mejora futura en relación con la materia:</w:t>
      </w:r>
    </w:p>
    <w:p w14:paraId="1BC53570" w14:textId="77777777" w:rsidR="00E729AA" w:rsidRPr="00E729AA" w:rsidRDefault="00E729AA" w:rsidP="00F5708C">
      <w:pPr>
        <w:numPr>
          <w:ilvl w:val="0"/>
          <w:numId w:val="85"/>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Que en la tramitación de los expedientes administrativos que tramite, recabe de forma ineludible la emisión de los informes técnicos, jurídicos o económicos que correspondan según la naturaleza del acuerdo que se pretenda adoptar, debiendo existir constancia escrita de los mismos en el expediente. Para ello debe acudir a los medios personales propios o a los recursos de asesoramiento que les puede prestar la Diputación Provincial, o a la contratación de los servicios, en el supuesto que proceda, conforme a lo normativa de la Ley de Contratos del Sector Público. </w:t>
      </w:r>
    </w:p>
    <w:p w14:paraId="779FD98F" w14:textId="77777777" w:rsidR="00E729AA" w:rsidRPr="00E729AA" w:rsidRDefault="00E729AA" w:rsidP="00E729AA">
      <w:pPr>
        <w:numPr>
          <w:ilvl w:val="0"/>
          <w:numId w:val="85"/>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Respecto a la gestión del hotel municipal, realizada la inversión con fondos públicos debe darse la finalidad para la cual se destinaron los recursos. Visto lo informado sobre la liquidación de la empresa municipal, debe procederse a la finalización completa del expediente de disolución y liquidación de la mercantil, desde todas las perspectivas fiscales, laborales, mercantiles y registrales, y posteriormente proceder a la licitación de la gestión de las instalaciones del hotel conforme a la Ley de Contratos 9/2017, de 8 de noviembre, de Contratos del Sector Público.</w:t>
      </w:r>
    </w:p>
    <w:p w14:paraId="4A6A34E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El Ayuntamiento ha aceptado íntegramente las recomendaciones.</w:t>
      </w:r>
    </w:p>
    <w:p w14:paraId="677CD97C"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11" w:name="_Toc95209092"/>
      <w:bookmarkStart w:id="312" w:name="_Toc95913884"/>
      <w:bookmarkStart w:id="313" w:name="_Toc99107060"/>
      <w:r w:rsidRPr="00E729AA">
        <w:rPr>
          <w:rFonts w:ascii="Arial" w:eastAsia="Times New Roman" w:hAnsi="Arial" w:cs="Arial"/>
          <w:b/>
          <w:bCs/>
          <w:color w:val="9D2235" w:themeColor="accent1"/>
          <w:sz w:val="28"/>
          <w:szCs w:val="28"/>
          <w:lang w:eastAsia="es-ES"/>
        </w:rPr>
        <w:t>Denominación: Ayuntamiento de València – Junta Central Fallera. Irregularidades en materia de contratación</w:t>
      </w:r>
      <w:bookmarkEnd w:id="311"/>
      <w:bookmarkEnd w:id="312"/>
      <w:bookmarkEnd w:id="313"/>
    </w:p>
    <w:p w14:paraId="3BB05A2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2020/G01_01/000107</w:t>
      </w:r>
    </w:p>
    <w:p w14:paraId="777EE6B9"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54" w:history="1">
        <w:r w:rsidRPr="00E729AA">
          <w:rPr>
            <w:rFonts w:ascii="Arial" w:eastAsia="Times New Roman" w:hAnsi="Arial" w:cs="Arial"/>
            <w:color w:val="000080"/>
            <w:sz w:val="18"/>
            <w:szCs w:val="18"/>
            <w:u w:val="single"/>
            <w:lang w:eastAsia="es-ES"/>
          </w:rPr>
          <w:t>https://www.antifraucv.es/wp-content/uploads/2021/09/20210907_JUNTA_CENTRAL_FALLERA.pdf</w:t>
        </w:r>
      </w:hyperlink>
    </w:p>
    <w:p w14:paraId="5A664AA1" w14:textId="242C6389"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la posible existencia de supuestas conductas contrarias a la normativa en materia contractual, acontecidas en la Junta Central Fallera con motivo de la tramitación del expediente de contratación del suministro y fabricación de estandartes, banderines, bordados, medallas, estuches, bandas para las Falleras Mayores/Cortes de Honor y placas premios para Concursos varios (expediente núm</w:t>
      </w:r>
      <w:r w:rsidR="00203A68">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68/2019).</w:t>
      </w:r>
    </w:p>
    <w:p w14:paraId="2149F368"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verificado en la fase de investigación que:</w:t>
      </w:r>
    </w:p>
    <w:p w14:paraId="2D0BAC5B" w14:textId="77777777" w:rsidR="00E729AA" w:rsidRPr="00E729AA" w:rsidRDefault="00E729AA" w:rsidP="00F5708C">
      <w:pPr>
        <w:numPr>
          <w:ilvl w:val="0"/>
          <w:numId w:val="86"/>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el momento de organizarse por parte de la Junta Central Fallera las galas de la cultura, gala de la cultura infantil y exaltaciones de las falleras mayor e infantil de València, el citado organismo autónomo no tenía suscrito ningún contrato de suministro para proveerse de los premios, bandas y galardones que se entregan en los citados actos.</w:t>
      </w:r>
    </w:p>
    <w:p w14:paraId="33DFF527" w14:textId="77777777" w:rsidR="00E729AA" w:rsidRPr="00E729AA" w:rsidRDefault="00E729AA" w:rsidP="00F5708C">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Una inadecuada planificación en la tramitación del expediente para la contratación de los citados suministros mediante procedimiento abierto, el cual se inició el día 19 de noviembre de 2019, pero no se adjudicó hasta el día 14 de febrero de 2020, provocó que se decidiera por parte de la Junta Central Fallera encargar los suministros directamente al adjudicatario del contrato anterior.</w:t>
      </w:r>
    </w:p>
    <w:p w14:paraId="31CCA7B2" w14:textId="77777777" w:rsidR="00E729AA" w:rsidRPr="00E729AA" w:rsidRDefault="00E729AA" w:rsidP="00F5708C">
      <w:pPr>
        <w:numPr>
          <w:ilvl w:val="0"/>
          <w:numId w:val="86"/>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No consta que se tramitara un expediente de contratación menor que cumpliera las premisas que establece la Ley 9/2017, de 8 de noviembre, de Contratos del Sector Público, ni que se suscribiera ningún documento de formalización del encargo o entrega de los citados suministros.</w:t>
      </w:r>
    </w:p>
    <w:p w14:paraId="134A18EE" w14:textId="77777777" w:rsidR="00E729AA" w:rsidRPr="00E729AA" w:rsidRDefault="00E729AA" w:rsidP="00E729AA">
      <w:pPr>
        <w:numPr>
          <w:ilvl w:val="0"/>
          <w:numId w:val="86"/>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Durante el trámite de audiencia concedido tras la notificación del informe provisional de investigación, se ha justificado por Junta Central Fallera, que la falta de tramitación de los correspondientes expedientes de contratación se debe a la</w:t>
      </w:r>
      <w:r w:rsidRPr="00E729AA">
        <w:rPr>
          <w:rFonts w:ascii="Arial" w:eastAsia="Times New Roman" w:hAnsi="Arial" w:cs="Arial"/>
          <w:b/>
          <w:bCs/>
          <w:sz w:val="21"/>
          <w:szCs w:val="21"/>
          <w:lang w:eastAsia="es-ES"/>
        </w:rPr>
        <w:t xml:space="preserve"> </w:t>
      </w:r>
      <w:r w:rsidRPr="00E729AA">
        <w:rPr>
          <w:rFonts w:ascii="Arial" w:eastAsia="Times New Roman" w:hAnsi="Arial" w:cs="Arial"/>
          <w:sz w:val="21"/>
          <w:szCs w:val="21"/>
          <w:lang w:eastAsia="es-ES"/>
        </w:rPr>
        <w:t>propia estructura organizativa y la escasez de personal con que cuenta Junta Central Fallera, así como a la concentración de actos durante los meses de enero a marzo.</w:t>
      </w:r>
    </w:p>
    <w:p w14:paraId="1CAB1DF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 recomendación a la Junta Central Fallera, de que proceda a elaborar y aprobar un plan anual de contratación que recoja las necesidades anuales y planifique su tramitación, para que junto con la previa adopción de las medidas de carácter organizativo que considere oportunas, evite que estos hechos se repitan en ejercicios futuros, máxime cuando se trata de suministros que, a priori, van a contratarse todos los ejercicios en las mismas fechas, con las mismas características y por importes similares.</w:t>
      </w:r>
    </w:p>
    <w:p w14:paraId="6BA8FC0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No procede.</w:t>
      </w:r>
    </w:p>
    <w:p w14:paraId="4CD9389D"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14" w:name="_Toc95209093"/>
      <w:bookmarkStart w:id="315" w:name="_Toc95913885"/>
      <w:bookmarkStart w:id="316" w:name="_Toc99107061"/>
      <w:r w:rsidRPr="00E729AA">
        <w:rPr>
          <w:rFonts w:ascii="Arial" w:eastAsia="Times New Roman" w:hAnsi="Arial" w:cs="Arial"/>
          <w:b/>
          <w:bCs/>
          <w:color w:val="9D2235" w:themeColor="accent1"/>
          <w:sz w:val="28"/>
          <w:szCs w:val="28"/>
          <w:lang w:eastAsia="es-ES"/>
        </w:rPr>
        <w:t>Denominación: Fundación para la Investigación Instituto Sanitario La Fe (IIS – La FE). Irregularidades en materia de contratación de personal laboral</w:t>
      </w:r>
      <w:bookmarkEnd w:id="314"/>
      <w:bookmarkEnd w:id="315"/>
      <w:bookmarkEnd w:id="316"/>
    </w:p>
    <w:p w14:paraId="445DAEF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2020/G01_01/000347</w:t>
      </w:r>
    </w:p>
    <w:p w14:paraId="590ECC1E"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55" w:history="1">
        <w:r w:rsidRPr="00E729AA">
          <w:rPr>
            <w:rFonts w:ascii="Arial" w:eastAsia="Times New Roman" w:hAnsi="Arial" w:cs="Arial"/>
            <w:color w:val="000080"/>
            <w:sz w:val="12"/>
            <w:szCs w:val="12"/>
            <w:u w:val="single"/>
            <w:lang w:eastAsia="es-ES"/>
          </w:rPr>
          <w:t>https://www.antifraucv.es/wp-content/uploads/2021/09/20210907_FUNDACION_PARA_LA_INVESTIGACION_INSTITUTO_SANITARIO_LA_FE.pdf</w:t>
        </w:r>
      </w:hyperlink>
    </w:p>
    <w:p w14:paraId="27B97B2F"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iniciaron actuaciones, en relación con la posible existencia de determinadas irregularidades, cometidas en relación con continuas irregularidades en materia de gestión del personal de la Fundación para la Investigación Sanitaria (IIS – La Fe).</w:t>
      </w:r>
    </w:p>
    <w:p w14:paraId="11B77D3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Del estudio detallado de la documentación que consta en el expediente y la obtenida en fuentes abiertas se constató que:</w:t>
      </w:r>
    </w:p>
    <w:p w14:paraId="474B50DE"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Respecto de la evolución de la regularización de gastos en materia de personal del IISLAFE, del análisis de la información obtenida, así como la aportada por la entidad, se constatan los progresos en la consolidación de los puestos estructurales de su plantilla, si bien derivado de la utilización continuada en el tiempo de contrataciones temporales para puestos estructurales de plantilla, en fraude de ley, pero sin que conste que la situación atípica de exceso de temporalidad haya sido erradicada, ni exista una planificación temporal prevista para regularizar la totalidad de las contrataciones temporales en fraude de ley.</w:t>
      </w:r>
    </w:p>
    <w:p w14:paraId="2F6A1CB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Conforme a la autorización de la Dirección General de Presupuestos de fecha 9 de abril de 2021, la RPT de la fundación consta de 41 puestos de un total de 355 trabajadores, de los cuales 114 serían los estructurales fijos, conforme a la petición de RPT realizada en julio de 2020.</w:t>
      </w:r>
    </w:p>
    <w:p w14:paraId="14DD01B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En relación con la cobertura de los puestos de trabajo ocupados por personal al que se le ha otorgado la condición de indefinido no fijo, en virtud de la normativa aplicable, de conformidad con la jurisprudencia del Tribunal Supremo (Sentencia de 27 de mayo de 2002) "El carácter indefinido del contrato implica desde una perspectiva temporal que éste no está sometido, directa o indirectamente a un término. </w:t>
      </w:r>
      <w:r w:rsidRPr="00E729AA">
        <w:rPr>
          <w:rFonts w:ascii="Arial" w:eastAsia="Times New Roman" w:hAnsi="Arial" w:cs="Arial"/>
          <w:sz w:val="21"/>
          <w:szCs w:val="21"/>
          <w:u w:val="single"/>
          <w:lang w:eastAsia="es-ES"/>
        </w:rPr>
        <w:t>Pero esto no supone que el trabajador consolide, sin superar los procedimientos de selección, una condición de fijeza en plantilla que no sería compatible con las normas legales sobre selección de personal fijo en las Administraciones Públicas</w:t>
      </w:r>
      <w:r w:rsidRPr="00E729AA">
        <w:rPr>
          <w:rFonts w:ascii="Arial" w:eastAsia="Times New Roman" w:hAnsi="Arial" w:cs="Arial"/>
          <w:sz w:val="21"/>
          <w:szCs w:val="21"/>
          <w:lang w:eastAsia="es-ES"/>
        </w:rPr>
        <w:t xml:space="preserve">. En virtud de estas normas el organismo afectado no puede atribuir la pretendida fijeza en plantilla con una adscripción definitiva del puesto de trabajo, sino que, por el contrario, </w:t>
      </w:r>
      <w:r w:rsidRPr="00E729AA">
        <w:rPr>
          <w:rFonts w:ascii="Arial" w:eastAsia="Times New Roman" w:hAnsi="Arial" w:cs="Arial"/>
          <w:b/>
          <w:bCs/>
          <w:sz w:val="21"/>
          <w:szCs w:val="21"/>
          <w:lang w:eastAsia="es-ES"/>
        </w:rPr>
        <w:t>está obligado a adoptar las medidas necesarias para la provisión regular del mismo y, producida esa provisión en la forma legalmente procedente, existirá una causa lícita para extinguir el contrato."</w:t>
      </w:r>
    </w:p>
    <w:p w14:paraId="7D984DEE" w14:textId="77777777" w:rsidR="00E729AA" w:rsidRPr="00E729AA" w:rsidRDefault="00E729AA" w:rsidP="00F5708C">
      <w:pPr>
        <w:spacing w:after="240" w:line="276" w:lineRule="auto"/>
        <w:jc w:val="both"/>
        <w:rPr>
          <w:rFonts w:ascii="Arial" w:eastAsia="Times New Roman" w:hAnsi="Arial" w:cs="Arial"/>
          <w:i/>
          <w:iCs/>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 elevación de recomendaciones:</w:t>
      </w:r>
    </w:p>
    <w:p w14:paraId="56F28BFC" w14:textId="77777777" w:rsidR="00E729AA" w:rsidRPr="00E729AA" w:rsidRDefault="00E729AA" w:rsidP="00F5708C">
      <w:pPr>
        <w:numPr>
          <w:ilvl w:val="0"/>
          <w:numId w:val="8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formalice una planificación temporal, que incluya una propuesta de regularización, para que se incorporen en la RPT y plantilla estable todas las necesidades de personal estructural contratado en fraude de ley, debiendo identificar los puestos necesarios por su carácter estructural, actual situación de cobertura y/o provisión y una temporalización de las actuaciones.</w:t>
      </w:r>
    </w:p>
    <w:p w14:paraId="31F12B5F" w14:textId="77777777" w:rsidR="00E729AA" w:rsidRPr="00E729AA" w:rsidRDefault="00E729AA" w:rsidP="00F5708C">
      <w:pPr>
        <w:numPr>
          <w:ilvl w:val="0"/>
          <w:numId w:val="8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adopten las medidas oportunas y se protocolicen las propuestas que se consideren necesarias, para que de futuro no se vuelva a contratar personal laboral para prestar necesidades estructurales que pueden acarrear contrataciones en fraude de ley, vía proyectos de investigación o actuaciones singulares.</w:t>
      </w:r>
    </w:p>
    <w:p w14:paraId="0C19B9C6" w14:textId="77777777" w:rsidR="00E729AA" w:rsidRPr="00E729AA" w:rsidRDefault="00E729AA" w:rsidP="00E729AA">
      <w:pPr>
        <w:numPr>
          <w:ilvl w:val="0"/>
          <w:numId w:val="87"/>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formalice una planificación temporal, que incluya una propuesta de calendario para la provisión reglamentaria definitiva de los puestos de trabajos incorporados en la RPT y plantilla de manera temporal, y de forma particular, que están cubiertos por personal laboral indefinido no fijo, debiendo identificar los puestos actuales incluidos en la RPT cubiertos por dicho personal y una temporalización de las actuaciones a realizar para la provisión definitiva de forma reglamentaria.</w:t>
      </w:r>
    </w:p>
    <w:p w14:paraId="51F8A7BC" w14:textId="4FC41430" w:rsid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Finalizada por la aceptación de las recomendaciones.</w:t>
      </w:r>
    </w:p>
    <w:p w14:paraId="30475DF7" w14:textId="77777777" w:rsidR="00EC27A7" w:rsidRPr="00E729AA" w:rsidRDefault="00EC27A7" w:rsidP="00E729AA">
      <w:pPr>
        <w:spacing w:after="240" w:line="276" w:lineRule="auto"/>
        <w:jc w:val="both"/>
        <w:rPr>
          <w:rFonts w:ascii="Arial" w:eastAsia="Times New Roman" w:hAnsi="Arial" w:cs="Arial"/>
          <w:sz w:val="21"/>
          <w:szCs w:val="21"/>
          <w:lang w:eastAsia="es-ES"/>
        </w:rPr>
      </w:pPr>
    </w:p>
    <w:p w14:paraId="4B47CA16"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17" w:name="_Toc95209094"/>
      <w:bookmarkStart w:id="318" w:name="_Toc95913886"/>
      <w:bookmarkStart w:id="319" w:name="_Toc99107062"/>
      <w:r w:rsidRPr="00E729AA">
        <w:rPr>
          <w:rFonts w:ascii="Arial" w:eastAsia="Times New Roman" w:hAnsi="Arial" w:cs="Arial"/>
          <w:b/>
          <w:bCs/>
          <w:color w:val="9D2235" w:themeColor="accent1"/>
          <w:sz w:val="28"/>
          <w:szCs w:val="28"/>
          <w:lang w:eastAsia="es-ES"/>
        </w:rPr>
        <w:t>Denominación: Ayuntamiento de Gavarda. Incompatibilidad cargos electos dedicación exclusiva</w:t>
      </w:r>
      <w:bookmarkEnd w:id="317"/>
      <w:bookmarkEnd w:id="318"/>
      <w:bookmarkEnd w:id="319"/>
    </w:p>
    <w:p w14:paraId="1C209253"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2020/G01_01/000282 - Acumulado 2020/G01_01/000396</w:t>
      </w:r>
    </w:p>
    <w:p w14:paraId="289A35F2"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56" w:history="1">
        <w:r w:rsidRPr="00E729AA">
          <w:rPr>
            <w:rFonts w:ascii="Arial" w:eastAsia="Times New Roman" w:hAnsi="Arial" w:cs="Arial"/>
            <w:color w:val="000080"/>
            <w:sz w:val="18"/>
            <w:szCs w:val="18"/>
            <w:u w:val="single"/>
            <w:lang w:eastAsia="es-ES"/>
          </w:rPr>
          <w:t>https://www.antifraucv.es/wp-content/uploads/2021/09/20210908_AYUNTAMIENTO_DE_GAVARDA.pdf</w:t>
        </w:r>
      </w:hyperlink>
    </w:p>
    <w:p w14:paraId="3F145CCE"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Posible causa de incompatibilidad, por parte de la persona que ocupó el cargo de alcalde de la entidad local ejercido en régimen de dedicación exclusiva, sin autorización para compatibilizar el ejercicio de actividad privada, (actividad económica en régimen de autónomo y gerente de una empresa)</w:t>
      </w:r>
    </w:p>
    <w:p w14:paraId="0B39272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alcalde fue declarado en régimen de dedicación exclusiva para el ejercicio de su cargo de alcalde del Ayuntamiento. Durante el tiempo en que tenía reconocida dedicación exclusiva, ejerció simultáneamente una actividad privada no marginal. Para tal actividad no se puso en conocimiento del Pleno, no solicitó, ni obtuvo declaración de compatibilidad siendo ello preceptivo, puesto que, al tener dedicación exclusiva, se encontraba sujeto a la Ley de Incompatibilidades y al régimen establecido por ésta.</w:t>
      </w:r>
    </w:p>
    <w:p w14:paraId="2A9FAE4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las siguientes recomendaciones:</w:t>
      </w:r>
    </w:p>
    <w:p w14:paraId="4AECB819"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recomienda el inicio de la revisión de oficio de aquellas actuaciones que incurrieran en causa de nulidad de pleno derecho, correspondientes a los actos administrativos aprobatorios de las distintas nóminas abonadas al cargo electo. Igualmente, el Ayuntamiento deberá establecer los protocolos o procedimientos, dirigidos a informar a los cargos electos municipales sobre la obligatoria observancia y cumplimiento de la normativa en materia de incompatibilidades.</w:t>
      </w:r>
    </w:p>
    <w:p w14:paraId="765F71A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46989E1D"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20" w:name="_Toc95209095"/>
      <w:bookmarkStart w:id="321" w:name="_Toc95913887"/>
      <w:bookmarkStart w:id="322" w:name="_Toc99107063"/>
      <w:r w:rsidRPr="00E729AA">
        <w:rPr>
          <w:rFonts w:ascii="Arial" w:eastAsia="Times New Roman" w:hAnsi="Arial" w:cs="Arial"/>
          <w:b/>
          <w:bCs/>
          <w:color w:val="9D2235" w:themeColor="accent1"/>
          <w:sz w:val="28"/>
          <w:szCs w:val="28"/>
          <w:lang w:eastAsia="es-ES"/>
        </w:rPr>
        <w:t>Denominación: Ayuntamiento de Aras de los Olmos. Acceso al empleo público</w:t>
      </w:r>
      <w:bookmarkEnd w:id="320"/>
      <w:bookmarkEnd w:id="321"/>
      <w:bookmarkEnd w:id="322"/>
    </w:p>
    <w:p w14:paraId="67F69513"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2020/G01_01/000093</w:t>
      </w:r>
    </w:p>
    <w:p w14:paraId="79C1F23C"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57" w:history="1">
        <w:r w:rsidRPr="00E729AA">
          <w:rPr>
            <w:rFonts w:ascii="Arial" w:eastAsia="Times New Roman" w:hAnsi="Arial" w:cs="Arial"/>
            <w:color w:val="000080"/>
            <w:sz w:val="16"/>
            <w:szCs w:val="16"/>
            <w:u w:val="single"/>
            <w:lang w:eastAsia="es-ES"/>
          </w:rPr>
          <w:t>https://www.antifraucv.es/wp-content/uploads/2021/09/20210914_AYUNTAMIENTO_DE_ARAS_DE_LOS_OLMOS.pdf</w:t>
        </w:r>
      </w:hyperlink>
    </w:p>
    <w:p w14:paraId="2076DD1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la posible existencia de supuestas conductas contrarias a la normativa de acceso a la función pública de una trabajadora del Ayuntamiento.</w:t>
      </w:r>
    </w:p>
    <w:p w14:paraId="0B0B6CA2"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verificado en la fase de investigación que:</w:t>
      </w:r>
    </w:p>
    <w:p w14:paraId="505330B5" w14:textId="77777777" w:rsidR="00E729AA" w:rsidRPr="00E729AA" w:rsidRDefault="00E729AA" w:rsidP="00F5708C">
      <w:pPr>
        <w:numPr>
          <w:ilvl w:val="0"/>
          <w:numId w:val="88"/>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Ayuntamiento de Aras de los Olmos, realizó un proceso de funcionarización de personal laboral al amparo de la normativa básica estatal contemplada en la Disposición Transitoria Segunda del Ley 7/2007, de 12 de abril, del Estatuto Básico del Empleado Público, cuando esta disposición no era de aplicación, ya que afecta a un contrato laboral suscrito en el ejercicio 2009, posteriormente a la entrada en vigor de la citada ley, que se produjo en mayo de 2007.</w:t>
      </w:r>
    </w:p>
    <w:p w14:paraId="22806FE4" w14:textId="77777777" w:rsidR="00E729AA" w:rsidRPr="00E729AA" w:rsidRDefault="00E729AA" w:rsidP="00F5708C">
      <w:pPr>
        <w:numPr>
          <w:ilvl w:val="0"/>
          <w:numId w:val="88"/>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Ayuntamiento de Aras de los Olmos, realizó un proceso de funcionarización de personal laboral estableciendo en las bases al menos un requisito ad-hoc, únicamente aplicable a la candidata finalmente seleccionada y que excluye la posibilidad de concurrencia de terceros, “estar desempeñando el puesto de trabajo que es objeto de la presente convocatoria”.</w:t>
      </w:r>
    </w:p>
    <w:p w14:paraId="34513307" w14:textId="77777777" w:rsidR="00E729AA" w:rsidRPr="00E729AA" w:rsidRDefault="00E729AA" w:rsidP="00E729AA">
      <w:pPr>
        <w:numPr>
          <w:ilvl w:val="0"/>
          <w:numId w:val="88"/>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Las anteriores circunstancias pueden constituir causa de nulidad de pleno derecho, de conformidad con lo establecido en el artículo 47.1 apartado f de la Ley 39/2015.</w:t>
      </w:r>
    </w:p>
    <w:p w14:paraId="2A1F6C09" w14:textId="4DC338FC"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 recomendación al Ayuntamiento de Aras de los Olmos de que proceda a</w:t>
      </w:r>
      <w:r w:rsidRPr="00E729AA">
        <w:rPr>
          <w:rFonts w:ascii="Arial" w:eastAsia="Times New Roman" w:hAnsi="Arial" w:cs="Arial"/>
          <w:b/>
          <w:bCs/>
          <w:sz w:val="21"/>
          <w:szCs w:val="21"/>
          <w:lang w:eastAsia="es-ES"/>
        </w:rPr>
        <w:t xml:space="preserve"> </w:t>
      </w:r>
      <w:r w:rsidRPr="00E729AA">
        <w:rPr>
          <w:rFonts w:ascii="Arial" w:eastAsia="Times New Roman" w:hAnsi="Arial" w:cs="Arial"/>
          <w:sz w:val="21"/>
          <w:szCs w:val="21"/>
          <w:lang w:eastAsia="es-ES"/>
        </w:rPr>
        <w:t>instar la revisión de oficio del acto incurso en posible causa de nulidad de pleno derecho, regulada en el artículo 106 de la Ley 39/2015, de 1 de octubre, del Procedimiento Administrativo Común de las Administraciones Públicas, relativa a la aprobación de las bases y convocatoria del concurso-oposición restringido para el acceso a la función pública del personal laboral del Ayuntamiento de Aras de los Olmos, con objeto de la funcionarización de la plaza de técnico de Administración, llevada a cabo mediante Resolución de alcaldía de dicho Ayuntamiento núm</w:t>
      </w:r>
      <w:r w:rsidR="00D53DAD">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34 de fecha 1 de abril de 2019.</w:t>
      </w:r>
    </w:p>
    <w:p w14:paraId="12805C9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616D56C9"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23" w:name="_Toc95209096"/>
      <w:bookmarkStart w:id="324" w:name="_Toc95913888"/>
      <w:bookmarkStart w:id="325" w:name="_Toc99107064"/>
      <w:r w:rsidRPr="00E729AA">
        <w:rPr>
          <w:rFonts w:ascii="Arial" w:eastAsia="Times New Roman" w:hAnsi="Arial" w:cs="Arial"/>
          <w:b/>
          <w:bCs/>
          <w:color w:val="9D2235" w:themeColor="accent1"/>
          <w:sz w:val="28"/>
          <w:szCs w:val="28"/>
          <w:lang w:eastAsia="es-ES"/>
        </w:rPr>
        <w:t>Denominación: Ayuntamiento de Castelló de Rugat. Irregularidades contratación administrativa</w:t>
      </w:r>
      <w:bookmarkEnd w:id="323"/>
      <w:bookmarkEnd w:id="324"/>
      <w:bookmarkEnd w:id="325"/>
    </w:p>
    <w:p w14:paraId="3AA74AD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2020/G01_01/000314 [168/2019]</w:t>
      </w:r>
    </w:p>
    <w:p w14:paraId="3EEFE510"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58" w:history="1">
        <w:r w:rsidRPr="00E729AA">
          <w:rPr>
            <w:rFonts w:ascii="Arial" w:eastAsia="Times New Roman" w:hAnsi="Arial" w:cs="Arial"/>
            <w:color w:val="000080"/>
            <w:sz w:val="16"/>
            <w:szCs w:val="16"/>
            <w:u w:val="single"/>
            <w:lang w:eastAsia="es-ES"/>
          </w:rPr>
          <w:t>https://www.antifraucv.es/wp-content/uploads/2021/09/20210914_AYUNTAMIENTO_DE_CASTELLO_DE_RUGAT.pdf</w:t>
        </w:r>
      </w:hyperlink>
    </w:p>
    <w:p w14:paraId="14337C6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la posible existencia de conductas contrarias a la normativa en materia contractual acontecidas en el Ayuntamiento de Castelló de Rugat, con motivo de la contratación de actuaciones musicales durante las fiestas del mes de agosto de 2018.</w:t>
      </w:r>
    </w:p>
    <w:p w14:paraId="1638D40A" w14:textId="77777777" w:rsidR="00E729AA" w:rsidRPr="00E729AA" w:rsidRDefault="00E729AA" w:rsidP="00F5708C">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verificado en la fase de investigación que:</w:t>
      </w:r>
    </w:p>
    <w:p w14:paraId="1D2B3BD5" w14:textId="77777777" w:rsidR="00E729AA" w:rsidRPr="00E729AA" w:rsidRDefault="00E729AA" w:rsidP="002505A5">
      <w:pPr>
        <w:numPr>
          <w:ilvl w:val="0"/>
          <w:numId w:val="89"/>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Ayuntamiento de Castelló de Rugat, no tramitó ningún expediente de contratación para la prestación de los servicios de actuaciones siguientes efectuados durante las fiestas de agosto de 2018:</w:t>
      </w:r>
    </w:p>
    <w:p w14:paraId="1EA316B3" w14:textId="77777777" w:rsidR="00E729AA" w:rsidRPr="00E729AA" w:rsidRDefault="00E729AA" w:rsidP="002505A5">
      <w:pPr>
        <w:numPr>
          <w:ilvl w:val="0"/>
          <w:numId w:val="35"/>
        </w:numPr>
        <w:spacing w:after="120" w:line="276" w:lineRule="auto"/>
        <w:ind w:left="1560"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Actuación discomóvil el día 16 de agosto de 2018.</w:t>
      </w:r>
    </w:p>
    <w:p w14:paraId="71AA8CF8" w14:textId="77777777" w:rsidR="00E729AA" w:rsidRPr="00E729AA" w:rsidRDefault="00E729AA" w:rsidP="002505A5">
      <w:pPr>
        <w:numPr>
          <w:ilvl w:val="0"/>
          <w:numId w:val="35"/>
        </w:numPr>
        <w:spacing w:after="120" w:line="276" w:lineRule="auto"/>
        <w:ind w:left="1560"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Actuación del día 17 de agosto de 2018.</w:t>
      </w:r>
    </w:p>
    <w:p w14:paraId="36EEEBEC" w14:textId="77777777" w:rsidR="00E729AA" w:rsidRPr="00E729AA" w:rsidRDefault="00E729AA" w:rsidP="002505A5">
      <w:pPr>
        <w:numPr>
          <w:ilvl w:val="0"/>
          <w:numId w:val="35"/>
        </w:numPr>
        <w:spacing w:after="120" w:line="276" w:lineRule="auto"/>
        <w:ind w:left="1560"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Actuación de la orquesta el día 18 de agosto de 2018.</w:t>
      </w:r>
    </w:p>
    <w:p w14:paraId="06DD90E2" w14:textId="77777777" w:rsidR="00E729AA" w:rsidRPr="00E729AA" w:rsidRDefault="00E729AA" w:rsidP="002505A5">
      <w:pPr>
        <w:numPr>
          <w:ilvl w:val="0"/>
          <w:numId w:val="35"/>
        </w:numPr>
        <w:spacing w:after="120" w:line="276" w:lineRule="auto"/>
        <w:ind w:left="1560"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Actuación de la orquesta el día 21 de agosto de 2018.</w:t>
      </w:r>
    </w:p>
    <w:p w14:paraId="7D0BE0E6" w14:textId="5876EE09" w:rsidR="00E729AA" w:rsidRPr="00E729AA" w:rsidRDefault="00E729AA" w:rsidP="002505A5">
      <w:pPr>
        <w:numPr>
          <w:ilvl w:val="0"/>
          <w:numId w:val="89"/>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mercantil presentó ante el Ayuntamiento de Castelló de Rugat la factura núm</w:t>
      </w:r>
      <w:r w:rsidR="00203A68">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18 199, emitida el día 28 de agosto de 2018, relativa a los servicios anteriores, la cual ascendía a un importe de 20.570,00 € (17.000,00 € de base y 3.570,00 € de I.V.A.). </w:t>
      </w:r>
    </w:p>
    <w:p w14:paraId="4BBFDD9A" w14:textId="77777777" w:rsidR="00E729AA" w:rsidRPr="00E729AA" w:rsidRDefault="00E729AA" w:rsidP="002505A5">
      <w:pPr>
        <w:numPr>
          <w:ilvl w:val="0"/>
          <w:numId w:val="89"/>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el informe emitido por la Secretaria-Interventora municipal el día 31 de agosto de 2018, en el que se pone de manifiesto la inexistencia de contratación para la prestación de los mencionados servicios, se presentó una factura de abono de la anterior. Posteriormente, se presentaron dos facturas en sustitución de la que había sido abonada, por los mismos conceptos, pero con importes que no superan el límite establecido para los contratos menores en la Ley 9/2017, de 8 de noviembre, de contratos del sector público. Una de las facturas ascendía a 10.890,00 € (9.000,00 € de base y 1.890,00 € de I.V.A.) y fue presentada por la misma mercantil, y la otra de las facturas, fue presentada por una mercantil vinculada y la misma ascendía a un importe de 9.680,00 € (8.000,00 € de base y 1.680,00 € de I.V.A.).</w:t>
      </w:r>
    </w:p>
    <w:p w14:paraId="1AA53523"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suma de ambas facturas asciende al importe de la factura inicialmente presentada.</w:t>
      </w:r>
    </w:p>
    <w:p w14:paraId="4EF45189"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Por lo tanto, se fraccionó la contratación contenida en la factura inicial en dos facturas, con una clara voluntad de “enmascarar” la falta de tramitación del correspondiente procedimiento de contratación y la elusión de los requisitos de publicidad y todos los relativos al procedimiento de adjudicación que hubiera correspondido, como se puso de manifiesto por la secretaría-intervención en su momento, procediendo a la aprobación y pago de las facturas mencionadas sin la cobertura contractual correspondiente.</w:t>
      </w:r>
    </w:p>
    <w:p w14:paraId="0DE8DC19" w14:textId="77777777" w:rsidR="00E729AA" w:rsidRPr="00E729AA" w:rsidRDefault="00E729AA" w:rsidP="002505A5">
      <w:pPr>
        <w:numPr>
          <w:ilvl w:val="0"/>
          <w:numId w:val="89"/>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misma persona física que es titular real única de la primera mercantil, ostenta titularidad compartida en la segunda mercantil. Habiéndose tramitado dos facturas, una de cada empresa, tras el abono de la primera factura presentada, se ha puesto en evidencia tras el levantamiento del velo empresarial, que existe una clara vinculación en la titularidad real de ambas empresas. Por lo tanto, la presentación de dos facturas fraccionando el objeto inicial facturado se realizó con una clara voluntad de dar apariencia de legalidad a una contratación no ajustada a derecho, creando la ficción de dos contratos menores.</w:t>
      </w:r>
    </w:p>
    <w:p w14:paraId="39507111" w14:textId="77777777" w:rsidR="00E729AA" w:rsidRPr="00E729AA" w:rsidRDefault="00E729AA" w:rsidP="00E729AA">
      <w:pPr>
        <w:numPr>
          <w:ilvl w:val="0"/>
          <w:numId w:val="89"/>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Adicionalmente, no consta que se hayan cumplido los requisitos previstos para la tramitación de contratos menores que prevé la Ley 9/2017, de 8 de noviembre, de Contratos del Sector Público.</w:t>
      </w:r>
    </w:p>
    <w:p w14:paraId="5E0E65A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xml:space="preserve">: Se finaliza el expediente con la recomendación de que por el Ayuntamiento de Castelló de Rugat se proceda a instar la revisión de oficio de los actos incursos en posible causa de nulidad de pleno derecho, regulada en el artículo 106 de la Ley 39/2015, de 1 de octubre, del Procedimiento Administrativo Común de las Administraciones Públicas, relativa a los actos administrativos aprobatorios de las facturas objeto de la investigación. </w:t>
      </w:r>
    </w:p>
    <w:p w14:paraId="695F892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111D2E7B" w14:textId="2DF988EA"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26" w:name="_Toc95209097"/>
      <w:bookmarkStart w:id="327" w:name="_Toc95913889"/>
      <w:bookmarkStart w:id="328" w:name="_Toc99107065"/>
      <w:r w:rsidRPr="00E729AA">
        <w:rPr>
          <w:rFonts w:ascii="Arial" w:eastAsia="Times New Roman" w:hAnsi="Arial" w:cs="Arial"/>
          <w:b/>
          <w:bCs/>
          <w:color w:val="9D2235" w:themeColor="accent1"/>
          <w:sz w:val="28"/>
          <w:szCs w:val="28"/>
          <w:lang w:eastAsia="es-ES"/>
        </w:rPr>
        <w:t>Descripción: Instituto Valenciano de Arte Moderno (</w:t>
      </w:r>
      <w:r w:rsidR="00480CC8">
        <w:rPr>
          <w:rFonts w:ascii="Arial" w:eastAsia="Times New Roman" w:hAnsi="Arial" w:cs="Arial"/>
          <w:b/>
          <w:bCs/>
          <w:color w:val="9D2235" w:themeColor="accent1"/>
          <w:sz w:val="28"/>
          <w:szCs w:val="28"/>
          <w:lang w:eastAsia="es-ES"/>
        </w:rPr>
        <w:t>IVAM)</w:t>
      </w:r>
      <w:r w:rsidRPr="00E729AA">
        <w:rPr>
          <w:rFonts w:ascii="Arial" w:eastAsia="Times New Roman" w:hAnsi="Arial" w:cs="Arial"/>
          <w:b/>
          <w:bCs/>
          <w:color w:val="9D2235" w:themeColor="accent1"/>
          <w:sz w:val="28"/>
          <w:szCs w:val="28"/>
          <w:lang w:eastAsia="es-ES"/>
        </w:rPr>
        <w:t>. Irregularidades en el proceso de selección del gerente</w:t>
      </w:r>
      <w:bookmarkEnd w:id="326"/>
      <w:bookmarkEnd w:id="327"/>
      <w:bookmarkEnd w:id="328"/>
    </w:p>
    <w:p w14:paraId="278CD696"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Expediente: </w:t>
      </w:r>
      <w:r w:rsidRPr="00E729AA">
        <w:rPr>
          <w:rFonts w:ascii="Arial" w:eastAsia="Times New Roman" w:hAnsi="Arial" w:cs="Arial"/>
          <w:sz w:val="21"/>
          <w:szCs w:val="21"/>
          <w:lang w:eastAsia="es-ES"/>
        </w:rPr>
        <w:t>2020/G01_01/ 238 [126/2019]</w:t>
      </w:r>
    </w:p>
    <w:p w14:paraId="61111148"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59" w:history="1">
        <w:r w:rsidRPr="00E729AA">
          <w:rPr>
            <w:rFonts w:ascii="Arial" w:eastAsia="Times New Roman" w:hAnsi="Arial" w:cs="Arial"/>
            <w:color w:val="000080"/>
            <w:sz w:val="18"/>
            <w:szCs w:val="18"/>
            <w:u w:val="single"/>
            <w:lang w:eastAsia="es-ES"/>
          </w:rPr>
          <w:t>https://www.antifraucv.es/wp-content/uploads/2021/10/20211001_IVAM.pdf</w:t>
        </w:r>
      </w:hyperlink>
    </w:p>
    <w:p w14:paraId="66D0DA5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Descripción: </w:t>
      </w:r>
      <w:r w:rsidRPr="00E729AA">
        <w:rPr>
          <w:rFonts w:ascii="Arial" w:eastAsia="Times New Roman" w:hAnsi="Arial" w:cs="Arial"/>
          <w:sz w:val="21"/>
          <w:szCs w:val="21"/>
          <w:lang w:eastAsia="es-ES"/>
        </w:rPr>
        <w:t>Tras la instrucción del oportuno procedimiento de investigación, quedó acreditado la existencia de irregularidades en el proceso de selección del gerente del IVAM, que se concretaron en la modificación de la base sexta de la convocatoria sin utilizar los procedimientos de revisión contemplados LPCAP y que no se justificara suficientemente los motivos que condujeron al nombramiento del candidato seleccionado. El IVAM, comunica que ya ha establecido el procedimiento a seguir para la convalidación de las actuaciones realizadas en el procedimiento de selección de la gerencia del IVAM, con base al Informe de la Abogacía de la Generalitat de fecha 30 de agosto de 2021, la convalidación del acto deberá hacerse por el Consell.</w:t>
      </w:r>
    </w:p>
    <w:p w14:paraId="7555E82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ha formulado al IVAM la recomendación de que se proceda a tramitar el expediente para convalidar las actuaciones realizadas en el procedimiento de selección de la gerencia del IVAM.</w:t>
      </w:r>
    </w:p>
    <w:p w14:paraId="7BB79C6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4DF8B213"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29" w:name="_Toc95209098"/>
      <w:bookmarkStart w:id="330" w:name="_Toc95913890"/>
      <w:bookmarkStart w:id="331" w:name="_Toc99107066"/>
      <w:r w:rsidRPr="00E729AA">
        <w:rPr>
          <w:rFonts w:ascii="Arial" w:eastAsia="Times New Roman" w:hAnsi="Arial" w:cs="Arial"/>
          <w:b/>
          <w:bCs/>
          <w:color w:val="9D2235" w:themeColor="accent1"/>
          <w:sz w:val="28"/>
          <w:szCs w:val="28"/>
          <w:lang w:eastAsia="es-ES"/>
        </w:rPr>
        <w:t>Denominación: Ayuntamiento de Turís. Comisiones de servicio</w:t>
      </w:r>
      <w:bookmarkEnd w:id="329"/>
      <w:bookmarkEnd w:id="330"/>
      <w:bookmarkEnd w:id="331"/>
    </w:p>
    <w:p w14:paraId="58D470D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2021/G01_02/000022 [22/2021]</w:t>
      </w:r>
    </w:p>
    <w:p w14:paraId="68F91409"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60" w:history="1">
        <w:r w:rsidRPr="00E729AA">
          <w:rPr>
            <w:rFonts w:ascii="Arial" w:eastAsia="Times New Roman" w:hAnsi="Arial" w:cs="Arial"/>
            <w:color w:val="000080"/>
            <w:sz w:val="18"/>
            <w:szCs w:val="18"/>
            <w:u w:val="single"/>
            <w:lang w:eastAsia="es-ES"/>
          </w:rPr>
          <w:t>https://www.antifraucv.es/wp-content/uploads/2021/10/20211006_AYUNTAMIENTO_DE_TURIS.pdf</w:t>
        </w:r>
      </w:hyperlink>
    </w:p>
    <w:p w14:paraId="36827EC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denuncian presuntas conductas contrarias a la normativa vigente en materia de selección de personal de la policía local, acontecidas en el Ayuntamiento de Turís.</w:t>
      </w:r>
    </w:p>
    <w:p w14:paraId="474571A7"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verificado en la fase de investigación que:</w:t>
      </w:r>
    </w:p>
    <w:p w14:paraId="4E25EEB5" w14:textId="77777777" w:rsidR="00E729AA" w:rsidRPr="00E729AA" w:rsidRDefault="00E729AA" w:rsidP="002505A5">
      <w:pPr>
        <w:numPr>
          <w:ilvl w:val="0"/>
          <w:numId w:val="90"/>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Un funcionario prestó sus servicios en el Ayuntamiento de Turís en régimen de comisión de servicios, en el puesto número 14 de la relación de puestos de trabajo del citado Ayuntamiento (Oficial nº1 de la Policía Local del Ayuntamiento de Turís), desde el día 13 de diciembre de 2018 al 12 de diciembre de 2020, siendo este plazo de dos años el máximo previsto en la ley 17/2017, de 13 de diciembre, de coordinación de policías locales de la Comunitat Valenciana.</w:t>
      </w:r>
    </w:p>
    <w:p w14:paraId="204363D5" w14:textId="77777777" w:rsidR="00E729AA" w:rsidRPr="00E729AA" w:rsidRDefault="00E729AA" w:rsidP="002505A5">
      <w:pPr>
        <w:numPr>
          <w:ilvl w:val="0"/>
          <w:numId w:val="90"/>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Mientras se ocupaba dicho puesto, el Ayuntamiento de Turís convocó el proceso selectivo para proveer mediante comisión de servicios la plaza de oficial de policía local con funciones de jefatura, correspondiente al puesto número 14 de la relación de puestos de trabajo del citado Ayuntamiento.</w:t>
      </w:r>
    </w:p>
    <w:p w14:paraId="5459A032" w14:textId="13CC8685" w:rsidR="00E729AA" w:rsidRPr="00E729AA" w:rsidRDefault="00E729AA" w:rsidP="00E729AA">
      <w:pPr>
        <w:numPr>
          <w:ilvl w:val="0"/>
          <w:numId w:val="90"/>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el desarrollo del proceso selectivo, para proveer mediante comisión de servicios la plaza de oficial de policía local con funciones de jefatura del Ayuntamiento de Turís, convocado mediante Resolución de la alcaldía núm</w:t>
      </w:r>
      <w:r w:rsidR="00DD6F16">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2020-0718, de 25 de noviembre, se realizó una entrevista a los aspirantes, la cual fue determinante para que el mismo funcionario obtuviera la puntuación más alta en el proceso selectivo de referencia.</w:t>
      </w:r>
    </w:p>
    <w:p w14:paraId="0D637263"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las siguientes recomendaciones:</w:t>
      </w:r>
    </w:p>
    <w:p w14:paraId="3B27F9BC" w14:textId="77777777" w:rsidR="00E729AA" w:rsidRPr="00E729AA" w:rsidRDefault="00E729AA" w:rsidP="002505A5">
      <w:pPr>
        <w:numPr>
          <w:ilvl w:val="0"/>
          <w:numId w:val="91"/>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Proceder a la convocatoria del puesto número 14 de la relación de puestos de trabajo del citado Ayuntamiento (Oficial nº1 de la Policía Local del Ayuntamiento de Turís), para su provisión definitiva, dado que dicho puesto se encuentra ocupado mediante el régimen de comisión de servicios por el mismo funcionario que ya agotó el plazo máximo de dos años previsto en la normativa vigente.</w:t>
      </w:r>
    </w:p>
    <w:p w14:paraId="07A47CDD" w14:textId="77777777" w:rsidR="00E729AA" w:rsidRPr="00E729AA" w:rsidRDefault="00E729AA" w:rsidP="00E729AA">
      <w:pPr>
        <w:numPr>
          <w:ilvl w:val="0"/>
          <w:numId w:val="91"/>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Proceder, en futuros procesos selectivos, a documentar las entrevistas que en su caso se realicen y los criterios seguidos para determinar la puntuación otorgada a las mismas, siendo esta cuestión especialmente relevante cuando la entrevista se realiza a posteriori de la valoración de méritos y otras pruebas de carácter objetivo.</w:t>
      </w:r>
    </w:p>
    <w:p w14:paraId="4C56DC69"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i/>
          <w:iCs/>
          <w:sz w:val="21"/>
          <w:szCs w:val="21"/>
          <w:lang w:eastAsia="es-ES"/>
        </w:rPr>
        <w:t xml:space="preserve"> </w:t>
      </w:r>
      <w:r w:rsidRPr="00E729AA">
        <w:rPr>
          <w:rFonts w:ascii="Arial" w:eastAsia="Times New Roman" w:hAnsi="Arial" w:cs="Arial"/>
          <w:sz w:val="21"/>
          <w:szCs w:val="21"/>
          <w:lang w:eastAsia="es-ES"/>
        </w:rPr>
        <w:t>En trámite.</w:t>
      </w:r>
    </w:p>
    <w:p w14:paraId="3B5295D7"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32" w:name="_Toc95209099"/>
      <w:bookmarkStart w:id="333" w:name="_Toc95913891"/>
      <w:bookmarkStart w:id="334" w:name="_Toc99107067"/>
      <w:r w:rsidRPr="00E729AA">
        <w:rPr>
          <w:rFonts w:ascii="Arial" w:eastAsia="Times New Roman" w:hAnsi="Arial" w:cs="Arial"/>
          <w:b/>
          <w:bCs/>
          <w:color w:val="9D2235" w:themeColor="accent1"/>
          <w:sz w:val="28"/>
          <w:szCs w:val="28"/>
          <w:lang w:eastAsia="es-ES"/>
        </w:rPr>
        <w:t>Denominación: Ayuntamiento de Orba. Irregularidades contractuales</w:t>
      </w:r>
      <w:bookmarkEnd w:id="332"/>
      <w:bookmarkEnd w:id="333"/>
      <w:bookmarkEnd w:id="334"/>
    </w:p>
    <w:p w14:paraId="6A4B2FF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2020/G01_01/000305</w:t>
      </w:r>
    </w:p>
    <w:p w14:paraId="617B44C2"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61" w:history="1">
        <w:r w:rsidRPr="00E729AA">
          <w:rPr>
            <w:rFonts w:ascii="Arial" w:eastAsia="Times New Roman" w:hAnsi="Arial" w:cs="Arial"/>
            <w:color w:val="000080"/>
            <w:sz w:val="18"/>
            <w:szCs w:val="18"/>
            <w:u w:val="single"/>
            <w:lang w:eastAsia="es-ES"/>
          </w:rPr>
          <w:t>https://www.antifraucv.es/wp-content/uploads/2021/10/20211014_AYUNTAMIENTO_DE_ORBA.pdf</w:t>
        </w:r>
      </w:hyperlink>
    </w:p>
    <w:p w14:paraId="5109AB4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la posible existencia de conductas contrarias a los principios y normas regulatorias relativas a la contratación administrativa, acontecidas en el Ayuntamiento de Orba.</w:t>
      </w:r>
    </w:p>
    <w:p w14:paraId="7AFBC236"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verificado en la fase de investigación que:</w:t>
      </w:r>
    </w:p>
    <w:p w14:paraId="27569D83" w14:textId="77777777" w:rsidR="00E729AA" w:rsidRPr="00E729AA" w:rsidRDefault="00E729AA" w:rsidP="002505A5">
      <w:pPr>
        <w:numPr>
          <w:ilvl w:val="0"/>
          <w:numId w:val="92"/>
        </w:numPr>
        <w:spacing w:after="120" w:line="276" w:lineRule="auto"/>
        <w:jc w:val="both"/>
        <w:rPr>
          <w:rFonts w:ascii="Arial" w:eastAsia="Times New Roman" w:hAnsi="Arial" w:cs="Arial"/>
          <w:sz w:val="21"/>
          <w:szCs w:val="21"/>
          <w:lang w:eastAsia="es-ES"/>
        </w:rPr>
      </w:pPr>
      <w:bookmarkStart w:id="335" w:name="_Hlk90555965"/>
      <w:r w:rsidRPr="00E729AA">
        <w:rPr>
          <w:rFonts w:ascii="Arial" w:eastAsia="Times New Roman" w:hAnsi="Arial" w:cs="Arial"/>
          <w:sz w:val="21"/>
          <w:szCs w:val="21"/>
          <w:lang w:eastAsia="es-ES"/>
        </w:rPr>
        <w:t xml:space="preserve">En relación con los expedientes de tramitación de contratos, efectuados con una mercantil para la prestación del servicio de gestión contable y presupuestaria y asistencia jurídico-administrativa, el Ayuntamiento de Orba, ha expuesto y motivado el carácter “asistencial” y no funcionarial del servicio contratado. </w:t>
      </w:r>
    </w:p>
    <w:p w14:paraId="40E562DC"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En el expediente remitido a esta Agencia, no consta el informe del órgano de contratación justificando de manera motivada la necesidad del contrato y que no se está alterando su objeto con el fin de evitar la aplicación de los umbrales descritos en el artículo 118 de la Ley 9/2017. </w:t>
      </w:r>
    </w:p>
    <w:p w14:paraId="3B0E7B92"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adoptado el acuerdo de prórroga del contrato después del vencimiento del mismo. Por lo tanto, al no haberse producido la prórroga expresa del contrato previamente al vencimiento o cumplimiento de este, se produjo su extinción, no procediendo la prórroga con carácter posterior a dicha extinción.</w:t>
      </w:r>
    </w:p>
    <w:p w14:paraId="35A76E3A" w14:textId="77777777" w:rsidR="00E729AA" w:rsidRPr="00E729AA" w:rsidRDefault="00E729AA" w:rsidP="002505A5">
      <w:pPr>
        <w:numPr>
          <w:ilvl w:val="0"/>
          <w:numId w:val="92"/>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el contrato menor adjudicado a la mercantil para proceder a la modificación de la relación de puestos de trabajo, no consta fecha de finalización, indicándose que finalizará cuando se apruebe la relación de puestos de trabajo. Dicho contrato fue adjudicado el día 28 de septiembre de 2020, por lo que debería finalizar antes del día 28 de septiembre de 2021 al tratarse de un contrato menor. Por lo tanto, en caso de no haber sido ejecutado, deberá procederse a la liquidación del contrato, al estar vencido por cumplimiento del plazo máximo legal de vigencia de los contratos menores.</w:t>
      </w:r>
    </w:p>
    <w:p w14:paraId="733C66E8"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No se justifica debidamente por el órgano de contratación la celebración del contrato menor, a los efectos de lo establecido en el artículo 118 de la Ley 9/2017.</w:t>
      </w:r>
    </w:p>
    <w:p w14:paraId="6F44C931" w14:textId="7A4E925E" w:rsidR="00E729AA" w:rsidRPr="00E729AA" w:rsidRDefault="00E729AA" w:rsidP="002505A5">
      <w:pPr>
        <w:numPr>
          <w:ilvl w:val="0"/>
          <w:numId w:val="92"/>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20 de septiembre de 2019, se adjudicó el contrato de coordinación y gestión de escuelas deportivas del municipio de Orba a una mercantil, mediante la tramitación de un procedimiento abierto (expediente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375/2019) por un plazo de un año, prorrogable otro más.</w:t>
      </w:r>
    </w:p>
    <w:p w14:paraId="3CE740D5"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Previamente a la finalización del primer año de prestación del servicio el día 20 de septiembre de 2020, no se procedió a la prórroga de este, pero el servicio continuó prestándose.</w:t>
      </w:r>
    </w:p>
    <w:p w14:paraId="0EAEF1BD"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Se observa que el acuerdo de prórroga se produce más de 6 meses después del vencimiento del contrato. Por lo tanto, al no haberse producido la prórroga expresa del contrato previamente al vencimiento o cumplimiento de este, se produjo su extinción, no procediendo la prórroga con carácter posterior a dicha extinción. </w:t>
      </w:r>
    </w:p>
    <w:p w14:paraId="687CA8A3" w14:textId="77777777" w:rsidR="00E729AA" w:rsidRPr="00E729AA" w:rsidRDefault="00E729AA" w:rsidP="002505A5">
      <w:pPr>
        <w:numPr>
          <w:ilvl w:val="0"/>
          <w:numId w:val="92"/>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comprobado en la Plataforma de Contratación del Sector Público, la publicación de la contratación por procedimiento abierto del servicio de gestión y coordinación de las escuelas deportivas de la localidad de Orba, el cual consta adjudicado el día 5 de septiembre de 2021 y formalizado el día 22 de septiembre de 2021.</w:t>
      </w:r>
    </w:p>
    <w:p w14:paraId="115E7246" w14:textId="364B4E4A" w:rsidR="00E729AA" w:rsidRPr="00E729AA" w:rsidRDefault="00E729AA" w:rsidP="002505A5">
      <w:pPr>
        <w:numPr>
          <w:ilvl w:val="0"/>
          <w:numId w:val="92"/>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fecha 11 de febrero de 2020, se adjudicó a la misma mercantil el contrato menor del servicio de mantenimiento y gestión de las instalaciones deportivas (expediente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80/2020), por un importe total de 8.034,00 por un plazo de 4 meses.</w:t>
      </w:r>
    </w:p>
    <w:p w14:paraId="6F52A0F9"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No se justifica debidamente por el órgano de contratación la celebración del contrato menor, a los efectos de lo establecido en el artículo 118 de la Ley 9/2017.</w:t>
      </w:r>
    </w:p>
    <w:p w14:paraId="4FF65D7A" w14:textId="7B1D1CBF"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 mayor abundancia, previamente a la celebración de este contrato, el día 11 de enero de 2019 se adjudicó el contrato de gestión y mantenimiento de instalaciones deportivas del municipio de Orba a la misma mercantil, mediante la tramitación de un procedimiento abierto simplificado (expediente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517/2018).</w:t>
      </w:r>
    </w:p>
    <w:p w14:paraId="396CF640"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Por lo tanto, se pone de manifiesto, que el servicio de gestión y mantenimiento de instalaciones deportivas constituye una necesidad permanente en el Ayuntamiento de Orba y a la vez previsible, por lo que debería haberse procedido a tramitar el expediente de contratación correspondiente y no acudir a la contratación menor.</w:t>
      </w:r>
    </w:p>
    <w:p w14:paraId="242FC26E" w14:textId="5EF6DF14"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Nuevamente, en fecha 4 de junio de 2020, se adjudicó a la misma mercantil el contrato menor del servicio de mantenimiento y gestión de las instalaciones deportivas (expediente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358/2020), por un importe total de 14.746,00 € y 3.097,00 € de IVA (17.843,00 €, en total), justificándose la no tramitación de un procedimiento de contratación por la suspensión de los plazos administrativos, derivada de la normativa aprobada por el Estado Español como consecuencia de la emergencia sanitaria provocada por el COVID-19.</w:t>
      </w:r>
    </w:p>
    <w:p w14:paraId="5742ACE2"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suma de los dos contratos menores asciende a un importe de 22.780,00 €, lo que supera los 15.000,00 € que establece para los contratos menores de servicios el artículo 118 de la LCSP.</w:t>
      </w:r>
    </w:p>
    <w:p w14:paraId="33EF3969"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comprobado en la Plataforma de Contratación del Sector Público, la publicación de la contratación por procedimiento abierto del servicio de gestión de las instalaciones y actividades deportives de la localidad de Orba, el cual consta adjudicado el día 5 de septiembre de 2021 y formalizado el día 22 de septiembre de 2021.</w:t>
      </w:r>
    </w:p>
    <w:p w14:paraId="7B7A4CC7" w14:textId="08F5DC31" w:rsidR="00E729AA" w:rsidRPr="00E729AA" w:rsidRDefault="00E729AA" w:rsidP="002505A5">
      <w:pPr>
        <w:numPr>
          <w:ilvl w:val="0"/>
          <w:numId w:val="92"/>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fecha 4 de junio de 2020 se adjudicó a la misma mercantil , el contrato menor del servicio de atención, vigilancia (socorrismo), mantenimiento y limpieza del recinto de la piscina para el periodo estival del año 2020 (expediente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357/2020).</w:t>
      </w:r>
    </w:p>
    <w:p w14:paraId="1DE0741E"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contrato se adjudicó por un importe de 14.750 € y 3.098 € de IVA (17.848 €, en total), por un plazo que comprende los días 15 de junio a 31 de agosto de 2020, justificándose la no tramitación de un procedimiento de contratación por la suspensión de los plazos administrativos, derivada de la normativa aprobada por el Estado Español como consecuencia de la emergencia sanitaria provocada por el COVID-19.</w:t>
      </w:r>
    </w:p>
    <w:p w14:paraId="46D36642" w14:textId="77777777" w:rsidR="00E729AA" w:rsidRPr="00E729AA" w:rsidRDefault="00E729AA" w:rsidP="00E729AA">
      <w:pPr>
        <w:spacing w:after="24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el caso que nos ocupa, el servicio de atención, vigilancia (socorrismo), mantenimiento y limpieza del recinto de la piscina para el periodo estival, debe tener a priori carácter recurrente, al ser necesario cada año durante el periodo estival, por lo que procedería realizar un estudio y planificación de las necesidades del servicio, a los efectos de proceder a licitar el servicio para conseguir una prestación del mismo lo más eficiente posible y que garantice la libre concurrencia de los licitadores. La contratación menor año tras año incumpliría en caso de producirse la LCSP, así como los diferentes pronunciamientos de la jurisprudencia y doctrina sobre contratos menores para cubrir necesidades continúas.</w:t>
      </w:r>
    </w:p>
    <w:bookmarkEnd w:id="335"/>
    <w:p w14:paraId="3706D721"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las siguientes recomendaciones:</w:t>
      </w:r>
    </w:p>
    <w:p w14:paraId="1C77EF12" w14:textId="757769F5" w:rsidR="00E729AA" w:rsidRPr="00E729AA" w:rsidRDefault="00E729AA" w:rsidP="002505A5">
      <w:pPr>
        <w:numPr>
          <w:ilvl w:val="0"/>
          <w:numId w:val="93"/>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el contrato menor suscrito, relativo al servicio de gestión contable y presupuestaria (expediente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665/2019), al no constar en el citado expediente remitido a esta Agencia, el informe del órgano de contratación justificando de manera motivada la necesidad del contrato y que no se está alterando su objeto con el fin de evitar la aplicación de los umbrales descritos en el artículo 118 de la Ley 9/2017, y resultando que dicha emisión constituye un vicio de anulabilidad, procede recomendar su convalidación mediante la incorporación del informe correspondiente.</w:t>
      </w:r>
    </w:p>
    <w:p w14:paraId="401B5676" w14:textId="77777777" w:rsidR="00E729AA" w:rsidRPr="00E729AA" w:rsidRDefault="00E729AA" w:rsidP="002505A5">
      <w:pPr>
        <w:numPr>
          <w:ilvl w:val="0"/>
          <w:numId w:val="93"/>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el contrato menor suscrito con la misma mercantil, relativo al servicio de asistencia jurídico-administrativa, al no constar en el citado expediente remitido a esta Agencia, el informe del órgano de contratación justificando de manera motivada la necesidad del contrato y que no se está alterando su objeto con el fin de evitar la aplicación de los umbrales descritos en el artículo 118 de la Ley 9/2017, y resultando que dicha emisión constituye un vicio de anulabilidad, procede recomendar su convalidación mediante la incorporación del informe correspondiente.</w:t>
      </w:r>
    </w:p>
    <w:p w14:paraId="73D0CD4C" w14:textId="77777777" w:rsidR="00E729AA" w:rsidRPr="00E729AA" w:rsidRDefault="00E729AA" w:rsidP="002505A5">
      <w:pPr>
        <w:numPr>
          <w:ilvl w:val="0"/>
          <w:numId w:val="93"/>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el contrato menor suscrito con la misma mercantil, relativo a la asistencia en el expediente de modificación de la relación de puestos de trabajo, al no constar en el citado expediente remitido a esta Agencia, el informe del órgano de contratación justificando de manera motivada la necesidad del contrato y que no se está alterando su objeto con el fin de evitar la aplicación de los umbrales descritos en el artículo 118 de la Ley 9/2017, y resultando que dicha emisión constituye un vicio de anulabilidad, procede recomendar su convalidación mediante la incorporación del informe correspondiente.</w:t>
      </w:r>
    </w:p>
    <w:p w14:paraId="2C60D40C"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Adicionalmente, en caso de no haber sido ejecutado el contrato, deberá procederse a la liquidación del mismo, al estar vencido por cumplimiento del plazo máximo legal de un año de vigencia establecido para los contratos menores.</w:t>
      </w:r>
    </w:p>
    <w:p w14:paraId="19B39885" w14:textId="77777777" w:rsidR="00E729AA" w:rsidRPr="00E729AA" w:rsidRDefault="00E729AA" w:rsidP="002505A5">
      <w:pPr>
        <w:numPr>
          <w:ilvl w:val="0"/>
          <w:numId w:val="93"/>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el contrato anterior, en el caso de que con posterioridad a la finalización del mismo (1 año desde su adjudicación) existan trabajos pendientes de realizar, se recomienda tramitar el expediente de licitación correspondiente a través de procedimiento abierto.</w:t>
      </w:r>
    </w:p>
    <w:p w14:paraId="19EED6B9" w14:textId="77777777" w:rsidR="00E729AA" w:rsidRPr="00E729AA" w:rsidRDefault="00E729AA" w:rsidP="00E729AA">
      <w:pPr>
        <w:numPr>
          <w:ilvl w:val="0"/>
          <w:numId w:val="93"/>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Finalmente, se recomienda realizar una adecuada planificación de la contratación administrativa de manera anual, para reducir al máximo la utilización de la figura del contrato menor y evitarla en todo caso para dar cobertura a necesidades permanentes, tal y como ocurre en el servicio de atención, vigilancia (socorrismo), mantenimiento y limpieza del recinto de la piscina para el periodo estival.</w:t>
      </w:r>
    </w:p>
    <w:p w14:paraId="7AB037B8"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Seguimiento:</w:t>
      </w:r>
      <w:r w:rsidRPr="00E729AA">
        <w:rPr>
          <w:rFonts w:ascii="Arial" w:eastAsia="Times New Roman" w:hAnsi="Arial" w:cs="Arial"/>
          <w:i/>
          <w:iCs/>
          <w:sz w:val="21"/>
          <w:szCs w:val="21"/>
          <w:lang w:eastAsia="es-ES"/>
        </w:rPr>
        <w:t xml:space="preserve"> </w:t>
      </w:r>
      <w:r w:rsidRPr="00E729AA">
        <w:rPr>
          <w:rFonts w:ascii="Arial" w:eastAsia="Times New Roman" w:hAnsi="Arial" w:cs="Arial"/>
          <w:sz w:val="21"/>
          <w:szCs w:val="21"/>
          <w:lang w:eastAsia="es-ES"/>
        </w:rPr>
        <w:t>Se han cumplido las recomendaciones efectuadas, quedando pendiente la remisión de la resolución que se adopte, en relación con la continuación de la prestación del servicio relativo a la asistencia en el expediente de modificación de la relación de puestos de trabajo.</w:t>
      </w:r>
    </w:p>
    <w:p w14:paraId="555676BE"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36" w:name="_Toc95209100"/>
      <w:bookmarkStart w:id="337" w:name="_Toc95913892"/>
      <w:bookmarkStart w:id="338" w:name="_Toc99107068"/>
      <w:r w:rsidRPr="00E729AA">
        <w:rPr>
          <w:rFonts w:ascii="Arial" w:eastAsia="Times New Roman" w:hAnsi="Arial" w:cs="Arial"/>
          <w:b/>
          <w:bCs/>
          <w:color w:val="9D2235" w:themeColor="accent1"/>
          <w:sz w:val="28"/>
          <w:szCs w:val="28"/>
          <w:lang w:eastAsia="es-ES"/>
        </w:rPr>
        <w:t>Denominación: Ayuntamiento de Sueca. Irregularidades en materia de contratación</w:t>
      </w:r>
      <w:bookmarkEnd w:id="336"/>
      <w:bookmarkEnd w:id="337"/>
      <w:bookmarkEnd w:id="338"/>
    </w:p>
    <w:p w14:paraId="71163C4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2020/G01_01/000370</w:t>
      </w:r>
    </w:p>
    <w:p w14:paraId="7D124C4C"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62" w:history="1">
        <w:r w:rsidRPr="00E729AA">
          <w:rPr>
            <w:rFonts w:ascii="Arial" w:eastAsia="Times New Roman" w:hAnsi="Arial" w:cs="Arial"/>
            <w:color w:val="000080"/>
            <w:sz w:val="18"/>
            <w:szCs w:val="18"/>
            <w:u w:val="single"/>
            <w:lang w:eastAsia="es-ES"/>
          </w:rPr>
          <w:t>https://www.antifraucv.es/wp-content/uploads/2021/10/20211018_AYUNTAMIENTO_DE_SUECA.pdf</w:t>
        </w:r>
      </w:hyperlink>
    </w:p>
    <w:p w14:paraId="4205F2E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iniciaron actuaciones en relación con la posible existencia, de determinadas irregularidades cometidas en relación con un presunto fraccionamiento de contratos.</w:t>
      </w:r>
    </w:p>
    <w:p w14:paraId="7945368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Entre los hechos manifestados, resulta de especial relevancia, el hecho de la existencia de 45 facturas abonadas a un mismo contratista en el periodo de un año natural, que sumarían la cuantía total de 41.016,87 €, por contratos de suministro.</w:t>
      </w:r>
    </w:p>
    <w:p w14:paraId="6F4AB1D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Del estudio detallado de la documentación que consta en el expediente y la obtenida en fuentes abiertas, se constató que:</w:t>
      </w:r>
    </w:p>
    <w:p w14:paraId="1F9641D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han tramitado pagos con origen contractual sin ajustarse a lo dispuesto en la Ley 9/2017, de 8 de noviembre, de Contratos del Sector Público. Las facturas habían sido objeto del correspondiente reparo emitido por la Intervención municipal. En algunos expedientes, se constató la inexistencia de los informes exigidos por el art. 118 de la Ley de Contratos, en base al contenido de una nota interna elaborada por la alcaldía-presidencia, elevada con posterioridad a las Bases de Ejecución Presupuestaria. En algunos expedientes, los informes técnicos advertían de la existencia de fraccionamiento indebido de contratos o duplicidades.</w:t>
      </w:r>
    </w:p>
    <w:p w14:paraId="6268340F"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incumplido el límite establecido en el art. 118.3 (límite del importe agregado de obligaciones reconocidas a un único contratista dentro de un mismo ejercicio por misma naturaleza de prestación), en su redacción vigente hasta el 5 de febrero de 2020, habiéndose producido una situación efectiva de colusión del mercado.</w:t>
      </w:r>
    </w:p>
    <w:p w14:paraId="52A21FAE" w14:textId="77777777" w:rsidR="00E729AA" w:rsidRPr="00E729AA" w:rsidRDefault="00E729AA" w:rsidP="002505A5">
      <w:pPr>
        <w:spacing w:after="240" w:line="276" w:lineRule="auto"/>
        <w:jc w:val="both"/>
        <w:rPr>
          <w:rFonts w:ascii="Arial" w:eastAsia="Times New Roman" w:hAnsi="Arial" w:cs="Arial"/>
          <w:i/>
          <w:iCs/>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recomendaciones:</w:t>
      </w:r>
    </w:p>
    <w:p w14:paraId="30A63632" w14:textId="77777777" w:rsidR="00E729AA" w:rsidRPr="00E729AA" w:rsidRDefault="00E729AA" w:rsidP="002505A5">
      <w:pPr>
        <w:numPr>
          <w:ilvl w:val="0"/>
          <w:numId w:val="95"/>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inicien los procedimientos de revisión de oficio procedentes, en relación con los actos administrativos dictados aprobatorios de las facturas, en los que se han detectado informes de reparo de legalidad e informes técnicos que advierten de la existencia de fraccionamiento indebido de contratos o duplicidades.</w:t>
      </w:r>
    </w:p>
    <w:p w14:paraId="7379E9C9"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Deberá informarse específicamente sobre el coste de mercado y valorar las cantidades que, en su caso, proceda reclamar al proveedor.</w:t>
      </w:r>
    </w:p>
    <w:p w14:paraId="270ACB1E" w14:textId="77777777" w:rsidR="00E729AA" w:rsidRPr="00E729AA" w:rsidRDefault="00E729AA" w:rsidP="002505A5">
      <w:pPr>
        <w:numPr>
          <w:ilvl w:val="0"/>
          <w:numId w:val="95"/>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proceda a dejar sin efecto las disposiciones normativas contenidas en la Nota Interior contrarias a la Ley de Contratos del Sector Público, para determinados gastos por razón de la cuantía, estableciendo el límite en 2.000 € por propuesta, sin tener en cuenta el objeto, el carácter recurrente, el importe acumulado por proveedor u otras circunstancias adicionales.</w:t>
      </w:r>
    </w:p>
    <w:p w14:paraId="641F048E" w14:textId="77777777" w:rsidR="00E729AA" w:rsidRPr="00E729AA" w:rsidRDefault="00E729AA" w:rsidP="00E729AA">
      <w:pPr>
        <w:numPr>
          <w:ilvl w:val="0"/>
          <w:numId w:val="95"/>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proceda a la modificación de las Bases de Ejecución del Presupuesto contrarias a lo establecido en la Ley de Contratos del Sector Público, para determinados gastos por razón de la cuantía, estableciendo el límite en 2.000 € por propuesta, sin tener en cuenta el objeto, el carácter recurrente, el importe acumulado por proveedor u otras circunstancias adicionales.</w:t>
      </w:r>
    </w:p>
    <w:p w14:paraId="14FEA071" w14:textId="2F73A7BB" w:rsid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02F67CFD" w14:textId="77777777" w:rsidR="00EC27A7" w:rsidRPr="00E729AA" w:rsidRDefault="00EC27A7" w:rsidP="00E729AA">
      <w:pPr>
        <w:spacing w:after="240" w:line="276" w:lineRule="auto"/>
        <w:jc w:val="both"/>
        <w:rPr>
          <w:rFonts w:ascii="Arial" w:eastAsia="Times New Roman" w:hAnsi="Arial" w:cs="Arial"/>
          <w:sz w:val="21"/>
          <w:szCs w:val="21"/>
          <w:lang w:eastAsia="es-ES"/>
        </w:rPr>
      </w:pPr>
    </w:p>
    <w:p w14:paraId="075DD543" w14:textId="77777777"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39" w:name="_Toc95209101"/>
      <w:bookmarkStart w:id="340" w:name="_Toc95913893"/>
      <w:bookmarkStart w:id="341" w:name="_Toc99107069"/>
      <w:r w:rsidRPr="00E729AA">
        <w:rPr>
          <w:rFonts w:ascii="Arial" w:eastAsia="Times New Roman" w:hAnsi="Arial" w:cs="Arial"/>
          <w:b/>
          <w:bCs/>
          <w:color w:val="9D2235" w:themeColor="accent1"/>
          <w:sz w:val="28"/>
          <w:szCs w:val="28"/>
          <w:lang w:eastAsia="es-ES"/>
        </w:rPr>
        <w:t>Denominación: Consorci de Museus. Irregularidades en materia de personal y contratación pública</w:t>
      </w:r>
      <w:bookmarkEnd w:id="339"/>
      <w:bookmarkEnd w:id="340"/>
      <w:bookmarkEnd w:id="341"/>
    </w:p>
    <w:p w14:paraId="35CB266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2020/G01_01/000187 [114/2018]</w:t>
      </w:r>
    </w:p>
    <w:p w14:paraId="4D8C5C89" w14:textId="77777777" w:rsidR="00E729AA" w:rsidRPr="00E729AA" w:rsidRDefault="00E729AA" w:rsidP="00E729AA">
      <w:pPr>
        <w:spacing w:after="240" w:line="276" w:lineRule="auto"/>
        <w:rPr>
          <w:rFonts w:ascii="Arial" w:eastAsia="Times New Roman" w:hAnsi="Arial" w:cs="Arial"/>
          <w:sz w:val="17"/>
          <w:szCs w:val="17"/>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63" w:history="1">
        <w:r w:rsidRPr="00E729AA">
          <w:rPr>
            <w:rFonts w:ascii="Arial" w:eastAsia="Times New Roman" w:hAnsi="Arial" w:cs="Arial"/>
            <w:color w:val="000080"/>
            <w:sz w:val="17"/>
            <w:szCs w:val="17"/>
            <w:u w:val="single"/>
            <w:lang w:eastAsia="es-ES"/>
          </w:rPr>
          <w:t>https://www.antifraucv.es/wp-content/uploads/2021/10/20211020_CONSORCIO_DE_MUSEOS_DE_LA_CV.pdf</w:t>
        </w:r>
      </w:hyperlink>
    </w:p>
    <w:p w14:paraId="1CC6D2EE"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alerta sobre la presunta existencia de conductas contrarias a los principios y normas regulatorias en materia de personal y contratación administrativa producidas, en el seno de la gestión de la actividad del Consorci de Museus de la Comunitat Valenciana.</w:t>
      </w:r>
    </w:p>
    <w:p w14:paraId="1296C22A"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han constatado las siguientes irregularidades:</w:t>
      </w:r>
    </w:p>
    <w:p w14:paraId="3CA38699" w14:textId="77777777" w:rsidR="00E729AA" w:rsidRPr="00E729AA" w:rsidRDefault="00E729AA" w:rsidP="002505A5">
      <w:pPr>
        <w:numPr>
          <w:ilvl w:val="0"/>
          <w:numId w:val="96"/>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Exposición Vicente Rodes Aries.</w:t>
      </w:r>
    </w:p>
    <w:p w14:paraId="686F5E0B"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han producido déficits en el adecuado cumplimiento del ordenamiento jurídico administrativo y sus principios generales reguladores de la actuación administrativa pública en materia de contratación.</w:t>
      </w:r>
    </w:p>
    <w:p w14:paraId="1377AA42" w14:textId="77777777" w:rsidR="00E729AA" w:rsidRPr="00E729AA" w:rsidRDefault="00E729AA" w:rsidP="002505A5">
      <w:pPr>
        <w:numPr>
          <w:ilvl w:val="0"/>
          <w:numId w:val="96"/>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Adscripción temporal funcionaria de carrera.</w:t>
      </w:r>
    </w:p>
    <w:p w14:paraId="70CB6CC8"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Consta el acuerdo de 9 de mayo de 2017 del Consorcio y de la subsecretaría de la Conselleria de Educación, Investigación, Cultura y Deporte, por el que se acuerda adscribir temporalmente a una funcionaria de carrera para que colabore en las funciones del Consorcio por insuficiencia de personal. Dicha adscripción tiene efectos a partir del día siguiente a la notificación del acuerdo por el período de un año, prorrogable por uno más si persisten las necesidades que motivan el acuerdo. Sin embargo, se observa que se sigue prestando funciones en el mencionado consorcio. </w:t>
      </w:r>
    </w:p>
    <w:p w14:paraId="47192772" w14:textId="77777777" w:rsidR="00E729AA" w:rsidRPr="00E729AA" w:rsidRDefault="00E729AA" w:rsidP="002505A5">
      <w:pPr>
        <w:numPr>
          <w:ilvl w:val="0"/>
          <w:numId w:val="96"/>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Proceso selectivo para la constitución de una bolsa, para cubrir el puesto de Técnico Coordinador de Exposiciones (convocatoria DOGV núm. 8074 de 30/06/2017).</w:t>
      </w:r>
    </w:p>
    <w:p w14:paraId="2B0B24BF"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Posibles causas de abstención, por relación de amistad, de una persona miembro del tribunal con personas que se presentan al proceso, sin que se haya podido acreditar documentalmente la relación de amistad.</w:t>
      </w:r>
    </w:p>
    <w:p w14:paraId="658D6F2D" w14:textId="77777777" w:rsidR="00E729AA" w:rsidRPr="00E729AA" w:rsidRDefault="00E729AA" w:rsidP="00E729AA">
      <w:pPr>
        <w:spacing w:after="24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u w:val="single"/>
          <w:lang w:eastAsia="es-ES"/>
        </w:rPr>
        <w:t xml:space="preserve">Se ha superado el período máximo de duración prevista en la normativa. </w:t>
      </w:r>
    </w:p>
    <w:p w14:paraId="7DEF0F99"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Resultado: </w:t>
      </w:r>
      <w:r w:rsidRPr="00E729AA">
        <w:rPr>
          <w:rFonts w:ascii="Arial" w:eastAsia="Times New Roman" w:hAnsi="Arial" w:cs="Arial"/>
          <w:sz w:val="21"/>
          <w:szCs w:val="21"/>
          <w:lang w:eastAsia="es-ES"/>
        </w:rPr>
        <w:t>Finalización de la investigación con recomendaciones:</w:t>
      </w:r>
    </w:p>
    <w:p w14:paraId="57366342" w14:textId="77777777" w:rsidR="00E729AA" w:rsidRPr="00E729AA" w:rsidRDefault="00E729AA" w:rsidP="002505A5">
      <w:pPr>
        <w:numPr>
          <w:ilvl w:val="0"/>
          <w:numId w:val="9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Sobre conflictos de interés: Se recomienda la redacción de una circular y/o instrucción de buenas prácticas, aplicable a los procesos selectivos que lleve a cabo el consorcio, en el que se incluya la presentación de una declaración responsable de ausencia de conflictos de interés, en el que se manifieste que no existen hechos o circunstancias, pasados o presentes, o que puedan surgir en un futuro previsible, que sea motivo de abstención conforme al artículo 23 de la Ley 40/2015, de 1 de octubre, de Régimen Jurídico del Sector Público, por la que pudieran poner en cuestión la imparcialidad e independencia por causa de interés financiero, económico o personal.</w:t>
      </w:r>
    </w:p>
    <w:p w14:paraId="5C8AAC6C" w14:textId="77777777" w:rsidR="00E729AA" w:rsidRPr="00E729AA" w:rsidRDefault="00E729AA" w:rsidP="00E729AA">
      <w:pPr>
        <w:numPr>
          <w:ilvl w:val="0"/>
          <w:numId w:val="97"/>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Sobre contratación: La implementación de un plan anual de contratación, con el objetivo final de otorgar una cobertura contractual adecuada a todos los servicios, suministros, y demás contratos que se requieran por parte del Consorci de Museus de la Comunitat Valenciana. </w:t>
      </w:r>
    </w:p>
    <w:p w14:paraId="4F059615" w14:textId="60CDB5BB" w:rsid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245B7E38" w14:textId="2818F723" w:rsidR="00E729AA" w:rsidRPr="00E729AA" w:rsidRDefault="00E729AA" w:rsidP="00F61CAF">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42" w:name="_Toc95209102"/>
      <w:bookmarkStart w:id="343" w:name="_Toc95913894"/>
      <w:bookmarkStart w:id="344" w:name="_Toc99107070"/>
      <w:r w:rsidRPr="00E729AA">
        <w:rPr>
          <w:rFonts w:ascii="Arial" w:eastAsia="Times New Roman" w:hAnsi="Arial" w:cs="Arial"/>
          <w:b/>
          <w:bCs/>
          <w:color w:val="9D2235" w:themeColor="accent1"/>
          <w:sz w:val="28"/>
          <w:szCs w:val="28"/>
          <w:lang w:eastAsia="es-ES"/>
        </w:rPr>
        <w:t>Denominación: Relaciones Internacionales de la Universidad de Alicante S.A. Irregularidades en la contratación por “Taller Digital de Establecimiento de Textos Literarios y Científicos, S.A.”</w:t>
      </w:r>
      <w:bookmarkEnd w:id="342"/>
      <w:bookmarkEnd w:id="343"/>
      <w:bookmarkEnd w:id="344"/>
    </w:p>
    <w:p w14:paraId="6505F4F8"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2020/G01_01/00113 [84/2018]</w:t>
      </w:r>
    </w:p>
    <w:p w14:paraId="3093CB00"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64" w:history="1">
        <w:r w:rsidRPr="00E729AA">
          <w:rPr>
            <w:rFonts w:ascii="Arial" w:eastAsia="Times New Roman" w:hAnsi="Arial" w:cs="Arial"/>
            <w:color w:val="000080"/>
            <w:sz w:val="18"/>
            <w:szCs w:val="18"/>
            <w:u w:val="single"/>
            <w:lang w:eastAsia="es-ES"/>
          </w:rPr>
          <w:t>https://www.antifraucv.es/wp-content/uploads/2021/10/20211021_UNIVERSIDAD_DE_ALICANTE.pdf</w:t>
        </w:r>
      </w:hyperlink>
    </w:p>
    <w:p w14:paraId="30DF90F9"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Los hechos denunciados se concretaron en:</w:t>
      </w:r>
    </w:p>
    <w:p w14:paraId="0BC96F5C" w14:textId="77777777" w:rsidR="00E729AA" w:rsidRPr="00E729AA" w:rsidRDefault="00E729AA" w:rsidP="002505A5">
      <w:pPr>
        <w:numPr>
          <w:ilvl w:val="0"/>
          <w:numId w:val="98"/>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Que la persona que ocupaba el puesto de Responsable Técnico/a de Literatura Infantil en la empresa “Taller Digital de Establecimientos de Textos Literarios y Científicos S.A.”, suspendió todos los exámenes de la bolsa de trabajo convocada por la sociedad “Relaciones Internacionales de la Universidad de Alicante S.A”. </w:t>
      </w:r>
    </w:p>
    <w:p w14:paraId="49C1DA2A" w14:textId="77777777" w:rsidR="00E729AA" w:rsidRPr="00E729AA" w:rsidRDefault="00E729AA" w:rsidP="00E729AA">
      <w:pPr>
        <w:numPr>
          <w:ilvl w:val="0"/>
          <w:numId w:val="98"/>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persona que ocupa el puesto de Responsable Técnico/a de Hemeroteca en la empresa “Taller Digital de Establecimientos de Textos Literarios y Científicos S.A.”, no se presentó a ninguna convocatoria para el puesto.</w:t>
      </w:r>
    </w:p>
    <w:p w14:paraId="2CDB4A83"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Tras la instrucción del oportuno procedimiento de investigación, se evidenció: </w:t>
      </w:r>
    </w:p>
    <w:p w14:paraId="73C6417A" w14:textId="77777777" w:rsidR="00E729AA" w:rsidRPr="00E729AA" w:rsidRDefault="00E729AA" w:rsidP="002505A5">
      <w:pPr>
        <w:numPr>
          <w:ilvl w:val="0"/>
          <w:numId w:val="99"/>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u w:val="single"/>
          <w:lang w:eastAsia="es-ES"/>
        </w:rPr>
        <w:t>Respecto a la mercantil “Relaciones Internacionales de la Universidad de Alicante S.A.”</w:t>
      </w:r>
      <w:r w:rsidRPr="00E729AA">
        <w:rPr>
          <w:rFonts w:ascii="Arial" w:eastAsia="Times New Roman" w:hAnsi="Arial" w:cs="Arial"/>
          <w:sz w:val="21"/>
          <w:szCs w:val="21"/>
          <w:lang w:eastAsia="es-ES"/>
        </w:rPr>
        <w:t xml:space="preserve">: </w:t>
      </w:r>
      <w:r w:rsidRPr="00E729AA">
        <w:rPr>
          <w:rFonts w:ascii="Arial" w:eastAsia="Times New Roman" w:hAnsi="Arial" w:cs="Arial"/>
          <w:b/>
          <w:bCs/>
          <w:sz w:val="21"/>
          <w:szCs w:val="21"/>
          <w:lang w:eastAsia="es-ES"/>
        </w:rPr>
        <w:t>a)</w:t>
      </w:r>
      <w:r w:rsidRPr="00E729AA">
        <w:rPr>
          <w:rFonts w:ascii="Arial" w:eastAsia="Times New Roman" w:hAnsi="Arial" w:cs="Arial"/>
          <w:sz w:val="21"/>
          <w:szCs w:val="21"/>
          <w:lang w:eastAsia="es-ES"/>
        </w:rPr>
        <w:t xml:space="preserve"> Que dos trabajadoras estaban contratadas por la empresa “Relaciones Internacionales de la Universidad de Alicante S.A.” desde el 2/08/1999, previo a la aprobación del convenio colectivo, con contrato laboral temporal sin determinar la categoría profesional, a partir del 1/10/2001 (acreditado respecto a una trabajadora) con un contrato laboral temporal a tiempo completo incluido en la categoría profesional 6B, </w:t>
      </w:r>
      <w:r w:rsidRPr="00E729AA">
        <w:rPr>
          <w:rFonts w:ascii="Arial" w:eastAsia="Times New Roman" w:hAnsi="Arial" w:cs="Arial"/>
          <w:b/>
          <w:bCs/>
          <w:sz w:val="21"/>
          <w:szCs w:val="21"/>
          <w:lang w:eastAsia="es-ES"/>
        </w:rPr>
        <w:t>b)</w:t>
      </w:r>
      <w:r w:rsidRPr="00E729AA">
        <w:rPr>
          <w:rFonts w:ascii="Arial" w:eastAsia="Times New Roman" w:hAnsi="Arial" w:cs="Arial"/>
          <w:sz w:val="21"/>
          <w:szCs w:val="21"/>
          <w:lang w:eastAsia="es-ES"/>
        </w:rPr>
        <w:t xml:space="preserve"> No consta acreditado el procedimiento de selección para el acceso al empleo público del personal laboral de las trabajadoras y </w:t>
      </w:r>
      <w:r w:rsidRPr="00E729AA">
        <w:rPr>
          <w:rFonts w:ascii="Arial" w:eastAsia="Times New Roman" w:hAnsi="Arial" w:cs="Arial"/>
          <w:b/>
          <w:bCs/>
          <w:sz w:val="21"/>
          <w:szCs w:val="21"/>
          <w:lang w:eastAsia="es-ES"/>
        </w:rPr>
        <w:t>c)</w:t>
      </w:r>
      <w:r w:rsidRPr="00E729AA">
        <w:rPr>
          <w:rFonts w:ascii="Arial" w:eastAsia="Times New Roman" w:hAnsi="Arial" w:cs="Arial"/>
          <w:sz w:val="21"/>
          <w:szCs w:val="21"/>
          <w:lang w:eastAsia="es-ES"/>
        </w:rPr>
        <w:t xml:space="preserve"> No consta acreditada, respecto la otra trabajadora, la fecha del contrato laboral a tiempo completo en el puesto del grupo profesional 6B, la fecha del contrato y si el puesto estaba adscrito al proyecto de la Biblioteca Virtual Miguel Hernández.</w:t>
      </w:r>
    </w:p>
    <w:p w14:paraId="17CAE6E0" w14:textId="77777777" w:rsidR="00E729AA" w:rsidRPr="00E729AA" w:rsidRDefault="00E729AA" w:rsidP="002505A5">
      <w:pPr>
        <w:numPr>
          <w:ilvl w:val="0"/>
          <w:numId w:val="99"/>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u w:val="single"/>
          <w:lang w:eastAsia="es-ES"/>
        </w:rPr>
        <w:t xml:space="preserve">Respecto a la entidad “Taller Digital de Establecimiento de Textos Literarios y Científicos S.A.U </w:t>
      </w:r>
      <w:r w:rsidRPr="00E729AA">
        <w:rPr>
          <w:rFonts w:ascii="Arial" w:eastAsia="Times New Roman" w:hAnsi="Arial" w:cs="Arial"/>
          <w:sz w:val="21"/>
          <w:szCs w:val="21"/>
          <w:lang w:eastAsia="es-ES"/>
        </w:rPr>
        <w:t xml:space="preserve">“: </w:t>
      </w:r>
      <w:r w:rsidRPr="00E729AA">
        <w:rPr>
          <w:rFonts w:ascii="Arial" w:eastAsia="Times New Roman" w:hAnsi="Arial" w:cs="Arial"/>
          <w:b/>
          <w:bCs/>
          <w:sz w:val="21"/>
          <w:szCs w:val="21"/>
          <w:lang w:eastAsia="es-ES"/>
        </w:rPr>
        <w:t>a)</w:t>
      </w:r>
      <w:r w:rsidRPr="00E729AA">
        <w:rPr>
          <w:rFonts w:ascii="Arial" w:eastAsia="Times New Roman" w:hAnsi="Arial" w:cs="Arial"/>
          <w:sz w:val="21"/>
          <w:szCs w:val="21"/>
          <w:lang w:eastAsia="es-ES"/>
        </w:rPr>
        <w:t xml:space="preserve"> En la subrogación del personal procedente de la entidad “Relaciones Internacionales de la Universidad de Alicante SA” a “Taller Digital de Establecimiento de Textos Literarios y Científicos S.A.U “, por la escisión parcial de la sociedad “Relaciones Internacionales de la Universidad de Alicante S.A.”, ambas trabajadoras han mantenido la misma categoría profesional, </w:t>
      </w:r>
      <w:r w:rsidRPr="00E729AA">
        <w:rPr>
          <w:rFonts w:ascii="Arial" w:eastAsia="Times New Roman" w:hAnsi="Arial" w:cs="Arial"/>
          <w:b/>
          <w:bCs/>
          <w:sz w:val="21"/>
          <w:szCs w:val="21"/>
          <w:lang w:eastAsia="es-ES"/>
        </w:rPr>
        <w:t>b)</w:t>
      </w:r>
      <w:r w:rsidRPr="00E729AA">
        <w:rPr>
          <w:rFonts w:ascii="Arial" w:eastAsia="Times New Roman" w:hAnsi="Arial" w:cs="Arial"/>
          <w:sz w:val="21"/>
          <w:szCs w:val="21"/>
          <w:lang w:eastAsia="es-ES"/>
        </w:rPr>
        <w:t xml:space="preserve"> Con respecto al Expediente de Regulación de Empleo (ERE) instruido con motivo de la restructuración de la plantilla de la sociedad “Taller Digital de Establecimiento de Textos Literarios y Científicos S.A.U“ (TDSA), ha quedado acreditada su tramitación ante la Autoridad Laboral competente.</w:t>
      </w:r>
    </w:p>
    <w:p w14:paraId="5E07D519" w14:textId="77777777" w:rsidR="00E729AA" w:rsidRPr="00E729AA" w:rsidRDefault="00E729AA" w:rsidP="00E729AA">
      <w:pPr>
        <w:numPr>
          <w:ilvl w:val="0"/>
          <w:numId w:val="99"/>
        </w:numPr>
        <w:spacing w:after="240" w:line="276" w:lineRule="auto"/>
        <w:jc w:val="both"/>
        <w:rPr>
          <w:rFonts w:ascii="Arial" w:eastAsia="Times New Roman" w:hAnsi="Arial" w:cs="Arial"/>
          <w:b/>
          <w:bCs/>
          <w:sz w:val="21"/>
          <w:szCs w:val="21"/>
          <w:lang w:eastAsia="es-ES"/>
        </w:rPr>
      </w:pPr>
      <w:r w:rsidRPr="00E729AA">
        <w:rPr>
          <w:rFonts w:ascii="Arial" w:eastAsia="Times New Roman" w:hAnsi="Arial" w:cs="Arial"/>
          <w:sz w:val="21"/>
          <w:szCs w:val="21"/>
          <w:u w:val="single"/>
          <w:lang w:eastAsia="es-ES"/>
        </w:rPr>
        <w:t>Respecto a la extinción de la mercantil “Taller Digital de Establecimiento de Textos Literarios y Científicos S.A.“ y cesión de todo el personal a la Universidad de Alicante:</w:t>
      </w:r>
      <w:r w:rsidRPr="00E729AA">
        <w:rPr>
          <w:rFonts w:ascii="Arial" w:eastAsia="Times New Roman" w:hAnsi="Arial" w:cs="Arial"/>
          <w:sz w:val="21"/>
          <w:szCs w:val="21"/>
          <w:lang w:eastAsia="es-ES"/>
        </w:rPr>
        <w:t xml:space="preserve"> Teniendo la mercantil "Taller Digital de Establecimiento de Textos Literarios y Científicos, S.A." el carácter de entidad del sector público instrumental de la Generalitat Valenciana, todo el personal de esta se integró como personal laboral de la "Universidad de Alicante S.A." (entidad cesionaria) en las condiciones y términos que dispone la normativa aplicable al sector público instrumental de la Generalitat Valenciana y, por referencia, según el artículo 44 del Estatuto de los Trabajadores.</w:t>
      </w:r>
    </w:p>
    <w:p w14:paraId="6D8702FC" w14:textId="77777777" w:rsidR="00E729AA" w:rsidRPr="00E729AA" w:rsidRDefault="00E729AA" w:rsidP="00E729AA">
      <w:pPr>
        <w:spacing w:after="240" w:line="276" w:lineRule="auto"/>
        <w:jc w:val="both"/>
        <w:rPr>
          <w:rFonts w:ascii="Arial" w:eastAsia="Times New Roman" w:hAnsi="Arial" w:cs="Arial"/>
          <w:i/>
          <w:iCs/>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xml:space="preserve"> Finalización de la investigación con archivo sin recomendaciones. </w:t>
      </w:r>
    </w:p>
    <w:p w14:paraId="6F8A74C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No procede.</w:t>
      </w:r>
    </w:p>
    <w:p w14:paraId="2DAE1004"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45" w:name="_Toc95209103"/>
      <w:bookmarkStart w:id="346" w:name="_Toc95913895"/>
      <w:bookmarkStart w:id="347" w:name="_Toc99107071"/>
      <w:r w:rsidRPr="00E729AA">
        <w:rPr>
          <w:rFonts w:ascii="Arial" w:eastAsia="Times New Roman" w:hAnsi="Arial" w:cs="Arial"/>
          <w:b/>
          <w:bCs/>
          <w:color w:val="9D2235" w:themeColor="accent1"/>
          <w:sz w:val="28"/>
          <w:szCs w:val="28"/>
          <w:lang w:eastAsia="es-ES"/>
        </w:rPr>
        <w:t>Denominación: Ayuntamiento de Pedralba. Irregularidades en materia de retribuciones de cargos electos, productividades de empleados/as públicos/as, contratación administrativa y acceso a la función pública</w:t>
      </w:r>
      <w:bookmarkEnd w:id="345"/>
      <w:bookmarkEnd w:id="346"/>
      <w:bookmarkEnd w:id="347"/>
    </w:p>
    <w:p w14:paraId="09A945B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2020/G01_02/000035</w:t>
      </w:r>
    </w:p>
    <w:p w14:paraId="3DE361C8"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65" w:history="1">
        <w:r w:rsidRPr="00E729AA">
          <w:rPr>
            <w:rFonts w:ascii="Arial" w:eastAsia="Times New Roman" w:hAnsi="Arial" w:cs="Arial"/>
            <w:color w:val="000080"/>
            <w:sz w:val="18"/>
            <w:szCs w:val="18"/>
            <w:u w:val="single"/>
            <w:lang w:eastAsia="es-ES"/>
          </w:rPr>
          <w:t>https://www.antifraucv.es/wp-content/uploads/2021/10/20211026_AYUNTAMIENTO_DE_PEDRALBA.pdf</w:t>
        </w:r>
      </w:hyperlink>
    </w:p>
    <w:p w14:paraId="572AFE43"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alerta sobre distintas irregularidades en el Ayuntamiento de Pedralba, sobre diversas materias (retribuciones de cargos electos, productividades de empleados/as públicos/as, contratación administrativa y acceso a la función pública).</w:t>
      </w:r>
    </w:p>
    <w:p w14:paraId="27692A8E"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concluye que han sido constatadas las siguientes irregularidades:</w:t>
      </w:r>
    </w:p>
    <w:p w14:paraId="089257BD" w14:textId="77777777" w:rsidR="00E729AA" w:rsidRPr="00E729AA" w:rsidRDefault="00E729AA" w:rsidP="002505A5">
      <w:pPr>
        <w:numPr>
          <w:ilvl w:val="0"/>
          <w:numId w:val="100"/>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Percepción de retribuciones fijas y periódicas en favor de cargos electos fuera del régimen de la dedicación exclusiva o parcial, sin alta en la seguridad social, habiéndolas simultaneado, asimismo, con la percepción por los mismos cargos electos, de indemnizaciones por asistencia a órganos colegiados (1.780,00 €).</w:t>
      </w:r>
    </w:p>
    <w:p w14:paraId="713CB271" w14:textId="77777777" w:rsidR="00E729AA" w:rsidRPr="00E729AA" w:rsidRDefault="00E729AA" w:rsidP="002505A5">
      <w:pPr>
        <w:numPr>
          <w:ilvl w:val="0"/>
          <w:numId w:val="100"/>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pago de productividades a personal funcionario y laboral de forma irregular, al carecer de motivación y sin que se hayan establecido criterios objetivos para el establecimiento de dichas productividades (24.296,11 €).</w:t>
      </w:r>
    </w:p>
    <w:p w14:paraId="40968F83" w14:textId="77777777" w:rsidR="00E729AA" w:rsidRPr="00E729AA" w:rsidRDefault="00E729AA" w:rsidP="002505A5">
      <w:pPr>
        <w:numPr>
          <w:ilvl w:val="0"/>
          <w:numId w:val="100"/>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Adjudicación de hecho de las instalaciones municipales para su explotación sin concurso público (pistas de pádel y tenis).</w:t>
      </w:r>
    </w:p>
    <w:p w14:paraId="6B0C752C" w14:textId="77777777" w:rsidR="00E729AA" w:rsidRPr="00E729AA" w:rsidRDefault="00E729AA" w:rsidP="00E729AA">
      <w:pPr>
        <w:numPr>
          <w:ilvl w:val="0"/>
          <w:numId w:val="100"/>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Contratación de personal sin proceso selectivo</w:t>
      </w:r>
    </w:p>
    <w:p w14:paraId="57F7F7FE"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Resultado: </w:t>
      </w:r>
      <w:r w:rsidRPr="00E729AA">
        <w:rPr>
          <w:rFonts w:ascii="Arial" w:eastAsia="Times New Roman" w:hAnsi="Arial" w:cs="Arial"/>
          <w:sz w:val="21"/>
          <w:szCs w:val="21"/>
          <w:lang w:eastAsia="es-ES"/>
        </w:rPr>
        <w:t>Finalización de la investigación con recomendaciones:</w:t>
      </w:r>
    </w:p>
    <w:p w14:paraId="5EF1B166" w14:textId="77777777" w:rsidR="00E729AA" w:rsidRPr="00E729AA" w:rsidRDefault="00E729AA" w:rsidP="002505A5">
      <w:pPr>
        <w:numPr>
          <w:ilvl w:val="0"/>
          <w:numId w:val="94"/>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la percepción de contraprestaciones económicas por parte de los miembros de la Corporación [3 / 6 meses]:</w:t>
      </w:r>
    </w:p>
    <w:p w14:paraId="792F85FF" w14:textId="77777777" w:rsidR="00E729AA" w:rsidRPr="00E729AA" w:rsidRDefault="00E729AA" w:rsidP="002505A5">
      <w:pPr>
        <w:numPr>
          <w:ilvl w:val="0"/>
          <w:numId w:val="35"/>
        </w:numPr>
        <w:spacing w:after="120" w:line="276" w:lineRule="auto"/>
        <w:ind w:left="1418"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Tramitar procedimiento de revisión de oficio del acuerdo plenario, por el que se establecieron las asignaciones a los miembros de la corporación que no desempeñen el cargo en régimen de dedicación exclusiva ni parcial, al no tener encaje legal en ninguno de los apartados del citado art. 75 de la Ley 7/8, dejando sin efecto tales asignaciones, o, en su caso, transformarlas en dedicaciones parciales, con alta en el régimen general de la seguridad social, incompatibles con la percepción de indemnizaciones por la concurrencia efectiva a las sesiones de los órganos colegiados y resto de condiciones aplicables a la misma.</w:t>
      </w:r>
    </w:p>
    <w:p w14:paraId="2F346FB7" w14:textId="77777777" w:rsidR="00E729AA" w:rsidRPr="00E729AA" w:rsidRDefault="00E729AA" w:rsidP="002505A5">
      <w:pPr>
        <w:numPr>
          <w:ilvl w:val="0"/>
          <w:numId w:val="35"/>
        </w:numPr>
        <w:spacing w:after="120" w:line="276" w:lineRule="auto"/>
        <w:ind w:left="1418"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las retribuciones ya reconocidas, regularizar las obligaciones con la seguridad social por las asignaciones percibidas (estimación de 39.829,74€), instando la devolución de las cantidades que proceda indebidamente pagadas, en concepto de indemnizaciones por la concurrencia efectiva a las sesiones de los órganos colegiados (</w:t>
      </w:r>
      <w:r w:rsidRPr="00E729AA">
        <w:rPr>
          <w:rFonts w:ascii="Arial" w:eastAsia="Times New Roman" w:hAnsi="Arial" w:cs="Arial"/>
          <w:sz w:val="21"/>
          <w:szCs w:val="21"/>
          <w:lang w:eastAsia="es-ES"/>
        </w:rPr>
        <w:fldChar w:fldCharType="begin" w:fldLock="1"/>
      </w:r>
      <w:r w:rsidRPr="00E729AA">
        <w:rPr>
          <w:rFonts w:ascii="Arial" w:eastAsia="Times New Roman" w:hAnsi="Arial" w:cs="Arial"/>
          <w:sz w:val="21"/>
          <w:szCs w:val="21"/>
          <w:lang w:eastAsia="es-ES"/>
        </w:rPr>
        <w:instrText xml:space="preserve"> =SUM(ABOVE) </w:instrText>
      </w:r>
      <w:r w:rsidRPr="00E729AA">
        <w:rPr>
          <w:rFonts w:ascii="Arial" w:eastAsia="Times New Roman" w:hAnsi="Arial" w:cs="Arial"/>
          <w:sz w:val="21"/>
          <w:szCs w:val="21"/>
          <w:lang w:eastAsia="es-ES"/>
        </w:rPr>
        <w:fldChar w:fldCharType="separate"/>
      </w:r>
      <w:r w:rsidRPr="00E729AA">
        <w:rPr>
          <w:rFonts w:ascii="Arial" w:eastAsia="Times New Roman" w:hAnsi="Arial" w:cs="Arial"/>
          <w:sz w:val="21"/>
          <w:szCs w:val="21"/>
          <w:lang w:eastAsia="es-ES"/>
        </w:rPr>
        <w:t>1.780</w:t>
      </w:r>
      <w:r w:rsidRPr="00E729AA">
        <w:rPr>
          <w:rFonts w:ascii="Arial" w:eastAsia="Times New Roman" w:hAnsi="Arial" w:cs="Arial"/>
          <w:sz w:val="21"/>
          <w:szCs w:val="21"/>
          <w:lang w:eastAsia="es-ES"/>
        </w:rPr>
        <w:fldChar w:fldCharType="end"/>
      </w:r>
      <w:r w:rsidRPr="00E729AA">
        <w:rPr>
          <w:rFonts w:ascii="Arial" w:eastAsia="Times New Roman" w:hAnsi="Arial" w:cs="Arial"/>
          <w:sz w:val="21"/>
          <w:szCs w:val="21"/>
          <w:lang w:eastAsia="es-ES"/>
        </w:rPr>
        <w:t>,00 €).</w:t>
      </w:r>
    </w:p>
    <w:p w14:paraId="09AE7E80" w14:textId="77777777" w:rsidR="00E729AA" w:rsidRPr="00E729AA" w:rsidRDefault="00E729AA" w:rsidP="002505A5">
      <w:pPr>
        <w:numPr>
          <w:ilvl w:val="0"/>
          <w:numId w:val="35"/>
        </w:numPr>
        <w:spacing w:after="120" w:line="276" w:lineRule="auto"/>
        <w:ind w:left="1418"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Publicación en fuentes abiertas municipales de todas las retribuciones percibidas por los cargos electos.</w:t>
      </w:r>
    </w:p>
    <w:p w14:paraId="06379EC3" w14:textId="77777777" w:rsidR="00E729AA" w:rsidRPr="00E729AA" w:rsidRDefault="00E729AA" w:rsidP="002505A5">
      <w:pPr>
        <w:numPr>
          <w:ilvl w:val="0"/>
          <w:numId w:val="94"/>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la percepción de productividades [3/6 meses]: La aprobación de un Reglamento de Productividades y establecimiento de un Plan para su Implementación, en su caso, la regularización de las productividades recurrentes a través de la RPT, acreditación de los incrementos retributivos no justificados o regularización, en su caso.</w:t>
      </w:r>
    </w:p>
    <w:p w14:paraId="1ED26367" w14:textId="77777777" w:rsidR="00E729AA" w:rsidRPr="00E729AA" w:rsidRDefault="00E729AA" w:rsidP="002505A5">
      <w:pPr>
        <w:numPr>
          <w:ilvl w:val="0"/>
          <w:numId w:val="94"/>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la adjudicación de hecho de instalaciones municipales sin concurso público (pistas de tenis y pádel) [20 días]: Acreditación de la formalización de las nuevas contrataciones tramitadas.</w:t>
      </w:r>
    </w:p>
    <w:p w14:paraId="083C219D" w14:textId="77777777" w:rsidR="00E729AA" w:rsidRPr="00E729AA" w:rsidRDefault="00E729AA" w:rsidP="002505A5">
      <w:pPr>
        <w:numPr>
          <w:ilvl w:val="0"/>
          <w:numId w:val="94"/>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la adjudicación de hecho de instalaciones municipales sin concurso público (gimnasio, bar del polideportivo y piscina) [3 meses]: Implementación de un plan de actuaciones, con el objetivo final de otorgar cobertura contractual a estos servicios, así como de otorgar la cobertura fiscal (aprobación de la tasa de la entrada a la piscina municipal y la ordenanza fiscal reguladora de la misma, en caso de gestión directa municipal de la misma).</w:t>
      </w:r>
    </w:p>
    <w:p w14:paraId="05E24A8C" w14:textId="77777777" w:rsidR="00E729AA" w:rsidRPr="00E729AA" w:rsidRDefault="00E729AA" w:rsidP="002505A5">
      <w:pPr>
        <w:numPr>
          <w:ilvl w:val="0"/>
          <w:numId w:val="94"/>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la prestación de servicios de limpieza viaria sin contratación licitada [sin seguimiento]: En caso de utilización del contrato menor, por tratarse de necesidades no periódicas ni repetitivas, deberán seguirse los requisitos legales.</w:t>
      </w:r>
    </w:p>
    <w:p w14:paraId="55528D69" w14:textId="77777777" w:rsidR="00E729AA" w:rsidRPr="00E729AA" w:rsidRDefault="00E729AA" w:rsidP="002505A5">
      <w:pPr>
        <w:numPr>
          <w:ilvl w:val="0"/>
          <w:numId w:val="94"/>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la contratación de personal sin proceso selectivo [3 meses]: Implementación de un plan de actuaciones, con el objetivo final de otorgar cobertura a las contrataciones de personal objeto de la investigación y subsanar todas las irregularidades constatadas</w:t>
      </w:r>
    </w:p>
    <w:p w14:paraId="5B07E9F5" w14:textId="77777777" w:rsidR="00E729AA" w:rsidRPr="00E729AA" w:rsidRDefault="00E729AA" w:rsidP="00E729AA">
      <w:pPr>
        <w:numPr>
          <w:ilvl w:val="0"/>
          <w:numId w:val="94"/>
        </w:numPr>
        <w:spacing w:after="240" w:line="276" w:lineRule="auto"/>
        <w:ind w:left="709"/>
        <w:jc w:val="both"/>
        <w:rPr>
          <w:rFonts w:ascii="Arial" w:eastAsia="Times New Roman" w:hAnsi="Arial" w:cs="Arial"/>
          <w:b/>
          <w:sz w:val="21"/>
          <w:szCs w:val="21"/>
          <w:lang w:eastAsia="es-ES"/>
        </w:rPr>
      </w:pPr>
      <w:r w:rsidRPr="00E729AA">
        <w:rPr>
          <w:rFonts w:ascii="Arial" w:eastAsia="Times New Roman" w:hAnsi="Arial" w:cs="Arial"/>
          <w:sz w:val="21"/>
          <w:szCs w:val="21"/>
          <w:lang w:eastAsia="es-ES"/>
        </w:rPr>
        <w:t>En relación con cuestiones económico-financieras y de control del gasto [sin seguimiento]: Todos los expedientes que conlleven gasto deberán incluir los informes preceptivos previos de fiscalización o intervención, salvo en los casos expresamente excluidos en la normativa aplicable. Ello, sin que pueda ser tratada la función interventora preceptiva previa como un trámite formal o una mera cuestión procedimental, sino un trámite esencial en la tramitación del gasto, tal y como establece la normativa aplicable.</w:t>
      </w:r>
    </w:p>
    <w:p w14:paraId="59A73CA9"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7FCF055E"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48" w:name="_Toc95209104"/>
      <w:bookmarkStart w:id="349" w:name="_Toc95913896"/>
      <w:bookmarkStart w:id="350" w:name="_Toc99107072"/>
      <w:r w:rsidRPr="00E729AA">
        <w:rPr>
          <w:rFonts w:ascii="Arial" w:eastAsia="Times New Roman" w:hAnsi="Arial" w:cs="Arial"/>
          <w:b/>
          <w:bCs/>
          <w:color w:val="9D2235" w:themeColor="accent1"/>
          <w:sz w:val="28"/>
          <w:szCs w:val="28"/>
          <w:lang w:eastAsia="es-ES"/>
        </w:rPr>
        <w:t>Denominación: Ayuntamiento de Canet d’en Berenguer. Conflictos de interés</w:t>
      </w:r>
      <w:bookmarkEnd w:id="348"/>
      <w:bookmarkEnd w:id="349"/>
      <w:bookmarkEnd w:id="350"/>
    </w:p>
    <w:p w14:paraId="440DEF8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2021/G01_02/000021 - Acumulado 2021/G01_02/000046</w:t>
      </w:r>
    </w:p>
    <w:p w14:paraId="65AA8B45" w14:textId="77777777" w:rsidR="00E729AA" w:rsidRPr="00E729AA" w:rsidRDefault="00E729AA" w:rsidP="00E729AA">
      <w:pPr>
        <w:spacing w:after="240" w:line="276" w:lineRule="auto"/>
        <w:rPr>
          <w:rFonts w:ascii="Arial" w:eastAsia="Times New Roman" w:hAnsi="Arial" w:cs="Arial"/>
          <w:sz w:val="15"/>
          <w:szCs w:val="15"/>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66" w:history="1">
        <w:r w:rsidRPr="00E729AA">
          <w:rPr>
            <w:rFonts w:ascii="Arial" w:eastAsia="Times New Roman" w:hAnsi="Arial" w:cs="Arial"/>
            <w:color w:val="000080"/>
            <w:sz w:val="15"/>
            <w:szCs w:val="15"/>
            <w:u w:val="single"/>
            <w:lang w:eastAsia="es-ES"/>
          </w:rPr>
          <w:t>https://www.antifraucv.es/wp-content/uploads/2021/11/202117011-AYUNTAMIENTO-DE-CANET-DEN-BERENGUER.pdf</w:t>
        </w:r>
      </w:hyperlink>
    </w:p>
    <w:p w14:paraId="5AADBA9E"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analiza la comisión de presuntas irregularidades en la adjudicación de contratos administrativos a personas que mantienen afinidad familiar y política con cargos públicos de esa administración local, pudiendo incurrir en supuestos de conflicto de interés.</w:t>
      </w:r>
    </w:p>
    <w:p w14:paraId="55DD367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los expedientes de contratación analizados, no se aprecia conflicto de interés al no concurrir ninguno de los supuestos de prohibición de contratar que determina la normativa contractual.</w:t>
      </w:r>
    </w:p>
    <w:p w14:paraId="227F1866"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los expedientes de contratos menores remitidos no consta informe de necesidad de la contratación, no se aportan los informes preceptivos justificando de manera motivada la necesidad del contrato y que no se está alterando su objeto (art 118.1 de la LCSP), haciendo con ello alusión a evitar su fraccionamiento. Igualmente, en el ejercicio 2019, para la factura L01460826-FACT-2020-56, no se aporta documentación administrativa, por lo que no fue tramitado expediente de contratación previo a su pago.</w:t>
      </w:r>
    </w:p>
    <w:p w14:paraId="00D7B822"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las siguientes recomendaciones:</w:t>
      </w:r>
    </w:p>
    <w:p w14:paraId="6EBF90DE" w14:textId="77777777" w:rsidR="00E729AA" w:rsidRPr="00E729AA" w:rsidRDefault="00E729AA" w:rsidP="002505A5">
      <w:pPr>
        <w:numPr>
          <w:ilvl w:val="0"/>
          <w:numId w:val="112"/>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omisión de los informes preceptivos del órgano de contratación, justificando de manera motivada la necesidad del contrato y que no se está alterando su objeto, con el fin de evitar la aplicación de los umbrales descritos en el artículo 118 de la Ley 9/2017, supone un vicio de anulabilidad, por lo que procedería su convalidación mediante la incorporación de los informes correspondientes.</w:t>
      </w:r>
    </w:p>
    <w:p w14:paraId="46258E68" w14:textId="77777777" w:rsidR="00E729AA" w:rsidRPr="00E729AA" w:rsidRDefault="00E729AA" w:rsidP="00E729AA">
      <w:pPr>
        <w:numPr>
          <w:ilvl w:val="0"/>
          <w:numId w:val="112"/>
        </w:numPr>
        <w:spacing w:after="240" w:line="276" w:lineRule="auto"/>
        <w:ind w:left="709"/>
        <w:jc w:val="both"/>
        <w:rPr>
          <w:rFonts w:ascii="Arial" w:eastAsia="Times New Roman" w:hAnsi="Arial" w:cs="Arial"/>
          <w:b/>
          <w:bCs/>
          <w:sz w:val="21"/>
          <w:szCs w:val="21"/>
          <w:lang w:eastAsia="es-ES"/>
        </w:rPr>
      </w:pPr>
      <w:r w:rsidRPr="00E729AA">
        <w:rPr>
          <w:rFonts w:ascii="Arial" w:eastAsia="Times New Roman" w:hAnsi="Arial" w:cs="Arial"/>
          <w:sz w:val="21"/>
          <w:szCs w:val="21"/>
          <w:lang w:eastAsia="es-ES"/>
        </w:rPr>
        <w:t>Se proceda a implementar medidas, en orden a asegurar el cumplimiento del procedimiento administrativo en materia de contratación y el establecimiento de protocolos o trámites internos de gestión que permitan alcanzar el cumplimiento de los fines generales de la contratación pública y realizar una adecuada planificación.</w:t>
      </w:r>
    </w:p>
    <w:p w14:paraId="29D5179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Seguimiento: </w:t>
      </w:r>
      <w:r w:rsidRPr="00E729AA">
        <w:rPr>
          <w:rFonts w:ascii="Arial" w:eastAsia="Times New Roman" w:hAnsi="Arial" w:cs="Arial"/>
          <w:sz w:val="21"/>
          <w:szCs w:val="21"/>
          <w:lang w:eastAsia="es-ES"/>
        </w:rPr>
        <w:t>En trámite.</w:t>
      </w:r>
    </w:p>
    <w:p w14:paraId="6EF75765"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51" w:name="_Toc95209105"/>
      <w:bookmarkStart w:id="352" w:name="_Toc95913897"/>
      <w:bookmarkStart w:id="353" w:name="_Toc99107073"/>
      <w:r w:rsidRPr="00E729AA">
        <w:rPr>
          <w:rFonts w:ascii="Arial" w:eastAsia="Times New Roman" w:hAnsi="Arial" w:cs="Arial"/>
          <w:b/>
          <w:bCs/>
          <w:color w:val="9D2235" w:themeColor="accent1"/>
          <w:sz w:val="28"/>
          <w:szCs w:val="28"/>
          <w:lang w:eastAsia="es-ES"/>
        </w:rPr>
        <w:t>Denominación: Ayuntamiento de Elche. Contratación obras nuevo mercado central</w:t>
      </w:r>
      <w:bookmarkEnd w:id="351"/>
      <w:bookmarkEnd w:id="352"/>
      <w:bookmarkEnd w:id="353"/>
    </w:p>
    <w:p w14:paraId="21E09F7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2020/G01_02/000260 [163/2018]</w:t>
      </w:r>
    </w:p>
    <w:p w14:paraId="4152C072"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67" w:history="1">
        <w:r w:rsidRPr="00E729AA">
          <w:rPr>
            <w:rFonts w:ascii="Arial" w:eastAsia="Times New Roman" w:hAnsi="Arial" w:cs="Arial"/>
            <w:color w:val="000080"/>
            <w:sz w:val="18"/>
            <w:szCs w:val="18"/>
            <w:u w:val="single"/>
            <w:lang w:eastAsia="es-ES"/>
          </w:rPr>
          <w:t>https://www.antifraucv.es/wp-content/uploads/2021/11/202111019-AYUNTAMIENTO_DE_ELCHE.pdf</w:t>
        </w:r>
      </w:hyperlink>
    </w:p>
    <w:p w14:paraId="1EADA6F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denuncia la presunta existencia de determinadas irregularidades, en relación con el desarrollo y ejecución del contrato de concesión de obra pública para el Nuevo Mercado Central de Elche.</w:t>
      </w:r>
    </w:p>
    <w:p w14:paraId="06EA10A5"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evidenció:</w:t>
      </w:r>
    </w:p>
    <w:p w14:paraId="5C8D3A0B" w14:textId="77777777" w:rsidR="00E729AA" w:rsidRPr="00E729AA" w:rsidRDefault="00E729AA" w:rsidP="002505A5">
      <w:pPr>
        <w:numPr>
          <w:ilvl w:val="0"/>
          <w:numId w:val="101"/>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ejecución del contrato de concesión de obra pública para el Nuevo Mercado Central de Elche:</w:t>
      </w:r>
    </w:p>
    <w:p w14:paraId="30F8A95D" w14:textId="77777777" w:rsidR="00E729AA" w:rsidRPr="00E729AA" w:rsidRDefault="00E729AA" w:rsidP="002505A5">
      <w:pPr>
        <w:numPr>
          <w:ilvl w:val="0"/>
          <w:numId w:val="35"/>
        </w:numPr>
        <w:spacing w:after="120" w:line="276" w:lineRule="auto"/>
        <w:ind w:left="1560"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Afectado por la declaración del Misterio de Elche como patrimonio inmaterial de la humanidad por la UNESCO. </w:t>
      </w:r>
    </w:p>
    <w:p w14:paraId="4E8627CE" w14:textId="77777777" w:rsidR="00E729AA" w:rsidRPr="00E729AA" w:rsidRDefault="00E729AA" w:rsidP="002505A5">
      <w:pPr>
        <w:numPr>
          <w:ilvl w:val="0"/>
          <w:numId w:val="35"/>
        </w:numPr>
        <w:spacing w:after="120" w:line="276" w:lineRule="auto"/>
        <w:ind w:left="1560"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Durante las excavaciones se encuentran restos de un refugio de la Guerra Civil (GC). Durante la ejecución, se modifica la Ley 4/1998, del patrimonio cultural valenciano con el fin de que los restos de la GC sean declarados Bienes de Interés Cultural y se inscriban en el Inventario General del Patrimonio Cultural Valenciano. </w:t>
      </w:r>
    </w:p>
    <w:p w14:paraId="0BB1ED92" w14:textId="77777777" w:rsidR="00E729AA" w:rsidRPr="00E729AA" w:rsidRDefault="00E729AA" w:rsidP="002505A5">
      <w:pPr>
        <w:numPr>
          <w:ilvl w:val="0"/>
          <w:numId w:val="101"/>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Ayuntamiento, ha resuelto el contrato conforme a las recomendaciones dictadas por distintos estamentos y conforme al criterio marcado por el CJCCV respecto a la procedencia de la resolución del contrato, sin perjuicio de que el Ayuntamiento se separe del criterio del CJCCV en relación con la indemnización a la mercantil adjudicataria de la concesión. No puede deducirse que hay indicio de fraude o corrupción en esta actuación.</w:t>
      </w:r>
    </w:p>
    <w:p w14:paraId="43F3A473" w14:textId="77777777" w:rsidR="00E729AA" w:rsidRPr="00E729AA" w:rsidRDefault="00E729AA" w:rsidP="002505A5">
      <w:pPr>
        <w:numPr>
          <w:ilvl w:val="0"/>
          <w:numId w:val="101"/>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mercado provisional se construye en zona verde. De acuerdo con los informes emitidos por los técnicos, la ubicación y superficie del mercado provisional cumplen con los requisitos exigidos en la normativa del PGOU. Se ha acreditado la existencia de 8 alternativas para la ubicación del mercado provisional y que la alternativa escogida se informó por los técnicos municipales. Se ha iniciado la tramitación de la modificación del PGOU para adecuar la calificación urbanística del suelo ocupado por el Mercado Provisional para, con posterioridad, obtener los títulos habilitantes para ejercer la actividad y con ello, regularizar la situación.</w:t>
      </w:r>
    </w:p>
    <w:p w14:paraId="74F8A245" w14:textId="77777777" w:rsidR="00E729AA" w:rsidRPr="00E729AA" w:rsidRDefault="00E729AA" w:rsidP="00E729AA">
      <w:pPr>
        <w:numPr>
          <w:ilvl w:val="0"/>
          <w:numId w:val="101"/>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realización de obras e instalaciones que no se ajustan al Proyecto Básico y de Ejecución del Mercado Provisional aprobado por la JGL el 18 de marzo de 2015. Concretamente, se incrementa en 20m</w:t>
      </w:r>
      <w:r w:rsidRPr="00E729AA">
        <w:rPr>
          <w:rFonts w:ascii="Arial" w:eastAsia="Times New Roman" w:hAnsi="Arial" w:cs="Arial"/>
          <w:sz w:val="21"/>
          <w:szCs w:val="21"/>
          <w:vertAlign w:val="superscript"/>
          <w:lang w:eastAsia="es-ES"/>
        </w:rPr>
        <w:t>2</w:t>
      </w:r>
      <w:r w:rsidRPr="00E729AA">
        <w:rPr>
          <w:rFonts w:ascii="Arial" w:eastAsia="Times New Roman" w:hAnsi="Arial" w:cs="Arial"/>
          <w:sz w:val="21"/>
          <w:szCs w:val="21"/>
          <w:lang w:eastAsia="es-ES"/>
        </w:rPr>
        <w:t xml:space="preserve"> la superficie de la solera que sirve de acceso al edificio y además se ha cubierto con soportes metálicos. Todo ello sirve de terraza a la cafetería y ocupa una superficie aproximada de 30m</w:t>
      </w:r>
      <w:r w:rsidRPr="00E729AA">
        <w:rPr>
          <w:rFonts w:ascii="Arial" w:eastAsia="Times New Roman" w:hAnsi="Arial" w:cs="Arial"/>
          <w:sz w:val="21"/>
          <w:szCs w:val="21"/>
          <w:vertAlign w:val="superscript"/>
          <w:lang w:eastAsia="es-ES"/>
        </w:rPr>
        <w:t>2</w:t>
      </w:r>
      <w:r w:rsidRPr="00E729AA">
        <w:rPr>
          <w:rFonts w:ascii="Arial" w:eastAsia="Times New Roman" w:hAnsi="Arial" w:cs="Arial"/>
          <w:sz w:val="21"/>
          <w:szCs w:val="21"/>
          <w:lang w:eastAsia="es-ES"/>
        </w:rPr>
        <w:t>. Se comunica la suspensión de la orden de restauración de la legalidad, al iniciarse los trámites para la modificación del PGOU.</w:t>
      </w:r>
    </w:p>
    <w:p w14:paraId="017630C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Finalización de la investigación con recomendaciones para que se concluya la tramitación de la modificación del PGOU o, en caso contrario, proceder a la restauración de la legalidad urbanística respecto a las obras ejecutadas fuera de ordenación.</w:t>
      </w:r>
    </w:p>
    <w:p w14:paraId="2E38D6A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558F47D1"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54" w:name="_Toc95209106"/>
      <w:bookmarkStart w:id="355" w:name="_Toc95913898"/>
      <w:bookmarkStart w:id="356" w:name="_Toc99107074"/>
      <w:r w:rsidRPr="00E729AA">
        <w:rPr>
          <w:rFonts w:ascii="Arial" w:eastAsia="Times New Roman" w:hAnsi="Arial" w:cs="Arial"/>
          <w:b/>
          <w:bCs/>
          <w:color w:val="9D2235" w:themeColor="accent1"/>
          <w:sz w:val="28"/>
          <w:szCs w:val="28"/>
          <w:lang w:eastAsia="es-ES"/>
        </w:rPr>
        <w:t>Denominación: Ayuntamiento de Burriana. Irregularidades en materia urbanística y contratación pública</w:t>
      </w:r>
      <w:bookmarkEnd w:id="354"/>
      <w:bookmarkEnd w:id="355"/>
      <w:bookmarkEnd w:id="356"/>
    </w:p>
    <w:p w14:paraId="74C2F40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2020/G01_01/000357</w:t>
      </w:r>
    </w:p>
    <w:p w14:paraId="7618A3A1"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68" w:history="1">
        <w:r w:rsidRPr="00E729AA">
          <w:rPr>
            <w:rFonts w:ascii="Arial" w:eastAsia="Times New Roman" w:hAnsi="Arial" w:cs="Arial"/>
            <w:color w:val="000080"/>
            <w:sz w:val="18"/>
            <w:szCs w:val="18"/>
            <w:u w:val="single"/>
            <w:lang w:eastAsia="es-ES"/>
          </w:rPr>
          <w:t>https://www.antifraucv.es/wp-content/uploads/2021/11/202111030-AYUNTAMIENTO_DE_BURRIANA.pdf</w:t>
        </w:r>
      </w:hyperlink>
    </w:p>
    <w:p w14:paraId="2A4A57B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alerta sobre la presunta existencia de irregularidades administrativas en la ejecución de un convenio urbanístico y la falta de reclamación de penalidades, por parte del Ayuntamiento de Burriana, al agente urbanizador adjudicatario de la ejecución del Programa de Actuación Integrada para el desarrollo Sector SUR-T-1 “Sant Gregori”.</w:t>
      </w:r>
    </w:p>
    <w:p w14:paraId="0112F30D" w14:textId="77777777" w:rsidR="00E729AA" w:rsidRPr="00E729AA" w:rsidRDefault="00E729AA" w:rsidP="002505A5">
      <w:p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han constatado las siguientes irregularidades:</w:t>
      </w:r>
    </w:p>
    <w:p w14:paraId="4F02F3B7" w14:textId="77777777" w:rsidR="00E729AA" w:rsidRPr="00E729AA" w:rsidRDefault="00E729AA" w:rsidP="002505A5">
      <w:pPr>
        <w:numPr>
          <w:ilvl w:val="0"/>
          <w:numId w:val="102"/>
        </w:numPr>
        <w:spacing w:after="8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incumplimiento por parte de la entidad denunciada, de la imposición de las penalidades al agente urbanizador (estimadas en 21.052.095,45 €), recogidas como obligatorias en el convenio urbanístico, al incurrir en mora de los plazos de ejecución del programa.</w:t>
      </w:r>
    </w:p>
    <w:p w14:paraId="3F4CA3F3" w14:textId="77777777" w:rsidR="00E729AA" w:rsidRPr="00E729AA" w:rsidRDefault="00E729AA" w:rsidP="00E729AA">
      <w:pPr>
        <w:numPr>
          <w:ilvl w:val="0"/>
          <w:numId w:val="102"/>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Irregularidades en la contratación de asesoramientos jurídicos externos (contratos menores sin motivación de la necesidad, si determinación de objeto, falta de publicación).</w:t>
      </w:r>
    </w:p>
    <w:p w14:paraId="7A3A78DE" w14:textId="77777777" w:rsidR="00E729AA" w:rsidRPr="00E729AA" w:rsidRDefault="00E729AA" w:rsidP="002505A5">
      <w:pPr>
        <w:spacing w:after="12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Resultado: </w:t>
      </w:r>
      <w:r w:rsidRPr="00E729AA">
        <w:rPr>
          <w:rFonts w:ascii="Arial" w:eastAsia="Times New Roman" w:hAnsi="Arial" w:cs="Arial"/>
          <w:sz w:val="21"/>
          <w:szCs w:val="21"/>
          <w:lang w:eastAsia="es-ES"/>
        </w:rPr>
        <w:t>Finalización de la investigación con recomendaciones:</w:t>
      </w:r>
    </w:p>
    <w:p w14:paraId="303BC374" w14:textId="77777777" w:rsidR="00E729AA" w:rsidRPr="00E729AA" w:rsidRDefault="00E729AA" w:rsidP="002505A5">
      <w:pPr>
        <w:numPr>
          <w:ilvl w:val="0"/>
          <w:numId w:val="103"/>
        </w:numPr>
        <w:spacing w:after="8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bCs/>
          <w:sz w:val="21"/>
          <w:szCs w:val="21"/>
          <w:lang w:eastAsia="es-ES"/>
        </w:rPr>
        <w:t xml:space="preserve">En relación con el incumplimiento del convenio urbanístico por parte del agente </w:t>
      </w:r>
      <w:r w:rsidRPr="00E729AA">
        <w:rPr>
          <w:rFonts w:ascii="Arial" w:eastAsia="Times New Roman" w:hAnsi="Arial" w:cs="Arial"/>
          <w:sz w:val="21"/>
          <w:szCs w:val="21"/>
          <w:lang w:eastAsia="es-ES"/>
        </w:rPr>
        <w:t>urbanizador y la procedencia de la imposición de penalidades [3/6 meses]: Reclamación al agente urbanizador de las penalidades por incumplimiento de los plazos establecidos en el convenio (Estimación: 21.052.095,45 € más otras no cuantificadas por falta de datos).</w:t>
      </w:r>
    </w:p>
    <w:p w14:paraId="7FC5F4B4" w14:textId="77777777" w:rsidR="00E729AA" w:rsidRPr="00E729AA" w:rsidRDefault="00E729AA" w:rsidP="002505A5">
      <w:pPr>
        <w:numPr>
          <w:ilvl w:val="0"/>
          <w:numId w:val="103"/>
        </w:numPr>
        <w:spacing w:after="80" w:line="276" w:lineRule="auto"/>
        <w:ind w:left="709" w:hanging="357"/>
        <w:jc w:val="both"/>
        <w:rPr>
          <w:rFonts w:ascii="Arial" w:eastAsia="Times New Roman" w:hAnsi="Arial" w:cs="Arial"/>
          <w:b/>
          <w:bCs/>
          <w:sz w:val="21"/>
          <w:szCs w:val="21"/>
          <w:lang w:eastAsia="es-ES"/>
        </w:rPr>
      </w:pPr>
      <w:r w:rsidRPr="00E729AA">
        <w:rPr>
          <w:rFonts w:ascii="Arial" w:eastAsia="Times New Roman" w:hAnsi="Arial" w:cs="Arial"/>
          <w:sz w:val="21"/>
          <w:szCs w:val="21"/>
          <w:lang w:eastAsia="es-ES"/>
        </w:rPr>
        <w:t>En relación con la contratación de informes de asesores jurídicos externos [recomendaciones de buenas prácticas antifraude y de lucha contra la corrupción sin seguimiento]: Como regla general, que la tramitación de los procedimientos administrativos y la emisión de informes se lleve a cabo por los empleados públicos con funciones atribuidas para ello, evitando que se lleven a cabo contrataciones menores para realización de informes de asesores externos, sobre aquellas materias ya informadas de forma concluyente por parte de los funcionarios municipales en ejercicio de sus funciones.</w:t>
      </w:r>
    </w:p>
    <w:p w14:paraId="6849AD1A" w14:textId="77777777" w:rsidR="00E729AA" w:rsidRPr="00E729AA" w:rsidRDefault="00E729AA" w:rsidP="00E729AA">
      <w:pPr>
        <w:spacing w:after="24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caso de tener que realizarse este tipo de contrataciones, por motivos justificados, se sigan todos los requisitos establecidos en la normativa aplicable según el tipo de contratación (acreditación de la necesidad de la contratación, concreción de su objeto, principio de servicio realizado en la realización del gasto público, conformación de las facturas por empleado público y responsable político, publicación de las contrataciones).</w:t>
      </w:r>
    </w:p>
    <w:p w14:paraId="6D82A74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Seguimiento: </w:t>
      </w:r>
      <w:r w:rsidRPr="00E729AA">
        <w:rPr>
          <w:rFonts w:ascii="Arial" w:eastAsia="Times New Roman" w:hAnsi="Arial" w:cs="Arial"/>
          <w:sz w:val="21"/>
          <w:szCs w:val="21"/>
          <w:lang w:eastAsia="es-ES"/>
        </w:rPr>
        <w:t>En trámite.</w:t>
      </w:r>
    </w:p>
    <w:p w14:paraId="4857E053"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57" w:name="_Toc95209107"/>
      <w:bookmarkStart w:id="358" w:name="_Toc95913899"/>
      <w:bookmarkStart w:id="359" w:name="_Toc99107075"/>
      <w:r w:rsidRPr="00E729AA">
        <w:rPr>
          <w:rFonts w:ascii="Arial" w:eastAsia="Times New Roman" w:hAnsi="Arial" w:cs="Arial"/>
          <w:b/>
          <w:bCs/>
          <w:color w:val="9D2235" w:themeColor="accent1"/>
          <w:sz w:val="28"/>
          <w:szCs w:val="28"/>
          <w:lang w:eastAsia="es-ES"/>
        </w:rPr>
        <w:t>Denominación: Presidencia de la Generalitat Valenciana. Contrato de patrocinio</w:t>
      </w:r>
      <w:bookmarkEnd w:id="357"/>
      <w:bookmarkEnd w:id="358"/>
      <w:bookmarkEnd w:id="359"/>
    </w:p>
    <w:p w14:paraId="6E45BD78"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Expediente: </w:t>
      </w:r>
      <w:r w:rsidRPr="00E729AA">
        <w:rPr>
          <w:rFonts w:ascii="Arial" w:eastAsia="Times New Roman" w:hAnsi="Arial" w:cs="Arial"/>
          <w:sz w:val="21"/>
          <w:szCs w:val="21"/>
          <w:lang w:eastAsia="es-ES"/>
        </w:rPr>
        <w:t>2020/G01_01/000067</w:t>
      </w:r>
    </w:p>
    <w:p w14:paraId="0482A553" w14:textId="77777777" w:rsidR="00E729AA" w:rsidRPr="00E729AA" w:rsidRDefault="00E729AA" w:rsidP="00E729AA">
      <w:pPr>
        <w:spacing w:after="240" w:line="276" w:lineRule="auto"/>
        <w:rPr>
          <w:rFonts w:ascii="Arial" w:eastAsia="Times New Roman" w:hAnsi="Arial" w:cs="Arial"/>
          <w:sz w:val="17"/>
          <w:szCs w:val="17"/>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69" w:history="1">
        <w:r w:rsidRPr="00E729AA">
          <w:rPr>
            <w:rFonts w:ascii="Arial" w:eastAsia="Times New Roman" w:hAnsi="Arial" w:cs="Arial"/>
            <w:color w:val="000080"/>
            <w:sz w:val="17"/>
            <w:szCs w:val="17"/>
            <w:u w:val="single"/>
            <w:lang w:eastAsia="es-ES"/>
          </w:rPr>
          <w:t>https://www.antifraucv.es/wp-content/uploads/2021/11/202111030-CONSELLERIA_DE_PRESIDENCIA.pdf</w:t>
        </w:r>
      </w:hyperlink>
    </w:p>
    <w:p w14:paraId="230D170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Los hechos denunciados se concretaron en las irregularidades en el patrocinio publicitario del Congreso “bienestar y sociedad”, patrocinado por la Conselleria de Presidencia.</w:t>
      </w:r>
    </w:p>
    <w:p w14:paraId="48393206"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Tras la instrucción el oportuno procedimiento de investigación, quedaron acreditadas la existencia de diversas irregularidades: </w:t>
      </w:r>
    </w:p>
    <w:p w14:paraId="5540D8C9" w14:textId="6C5C97A2" w:rsidR="00E729AA" w:rsidRPr="00E729AA" w:rsidRDefault="00E729AA" w:rsidP="002505A5">
      <w:pPr>
        <w:numPr>
          <w:ilvl w:val="0"/>
          <w:numId w:val="104"/>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No se observaron las indicaciones del informe jurídico emitido por la Abogacía de la Generalitat Valenciana: no se realizó una calificación jurídicamente adecuada del contrato; el objeto del contrato no estaba suficientemente determinado; no quedó acreditada adecuada y suficientemente la necesidad que se pretendía cubrir mediante el referido contrato; no fue jurídicamente correcta la utilización del procedimiento de contratación negociado sin publicidad; no se consiguió mejora tras la presunta negociación; no quedó acreditado el precio base de licitación ni el sistema de cálculo que permitía determinarlo con garantía de que se tratase de un precio de mercado y no de un precio abusivo; no se recogía el desglose de costes directos e indirectos; no se recogían las razones que justificaban la equivalencia de las prestaciones, es decir, la relación de equilibrio entre el precio y el retorno publicitario del patrocinio; y tampoco quedó demostrado que se realizara la evaluación del impacto publicitario del Congreso.</w:t>
      </w:r>
    </w:p>
    <w:p w14:paraId="33C9713C" w14:textId="77777777" w:rsidR="00E729AA" w:rsidRPr="00E729AA" w:rsidRDefault="00E729AA" w:rsidP="00E729AA">
      <w:pPr>
        <w:numPr>
          <w:ilvl w:val="0"/>
          <w:numId w:val="104"/>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Respecto al PCAP de 26 de diciembre de 2019, pese a que disponía su cláusula 5.3 que respecto al precio del contrato sería el que resultase de la adjudicación y que se pagaría en función de la prestación realmente ejecutada, no se incluyó en las obligaciones del adjudicatario, de modo que se hiciera posible esta previsión, como recomendaba la Abogacía. Asimismo, no quedó acreditado el cumplimiento de la cláusula 10.2.C, 3º del PCAP, de 26 de diciembre de 2019, respecto a la documentación técnica; y, además, en los documentos presentados por el licitador no se incluía el público objetivo y mensajes asociados, impacto económico en destino, definición del patrocinio, alcance y las contraprestaciones ciertas que recibiría Presidencia. </w:t>
      </w:r>
    </w:p>
    <w:p w14:paraId="5209D8F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con la recomendación de que proceda a la revisión de oficio de los actos incursos en causa de nulidad de pleno derecho o anulabilidad, así como a elaborar una instrucción o circular sobre la utilización del contrato de patrocinio en la Generalitat Valenciana, en la que se introduzcan los criterios de la Sindicatura de Cuentas, y la más reciente doctrina y jurisprudencia.</w:t>
      </w:r>
    </w:p>
    <w:p w14:paraId="5ED4A70F"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1F19E0EA"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60" w:name="_Toc95209108"/>
      <w:bookmarkStart w:id="361" w:name="_Toc95913900"/>
      <w:bookmarkStart w:id="362" w:name="_Toc99107076"/>
      <w:r w:rsidRPr="00E729AA">
        <w:rPr>
          <w:rFonts w:ascii="Arial" w:eastAsia="Times New Roman" w:hAnsi="Arial" w:cs="Arial"/>
          <w:b/>
          <w:bCs/>
          <w:color w:val="9D2235" w:themeColor="accent1"/>
          <w:sz w:val="28"/>
          <w:szCs w:val="28"/>
          <w:lang w:eastAsia="es-ES"/>
        </w:rPr>
        <w:t>Denominación: Ayuntamiento de València. Servicio de grúa municipal</w:t>
      </w:r>
      <w:bookmarkEnd w:id="360"/>
      <w:bookmarkEnd w:id="361"/>
      <w:bookmarkEnd w:id="362"/>
    </w:p>
    <w:p w14:paraId="3ED62B2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2020/G01_01/000311</w:t>
      </w:r>
    </w:p>
    <w:p w14:paraId="39424F36"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70" w:history="1">
        <w:r w:rsidRPr="00E729AA">
          <w:rPr>
            <w:rFonts w:ascii="Arial" w:eastAsia="Times New Roman" w:hAnsi="Arial" w:cs="Arial"/>
            <w:color w:val="000080"/>
            <w:sz w:val="18"/>
            <w:szCs w:val="18"/>
            <w:u w:val="single"/>
            <w:lang w:eastAsia="es-ES"/>
          </w:rPr>
          <w:t>https://www.antifraucv.es/wp-content/uploads/2021/11/202111030-AYUNTAMIENTO_VALENCIA_.pdf</w:t>
        </w:r>
      </w:hyperlink>
    </w:p>
    <w:p w14:paraId="3FE58E8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iniciaron actuaciones en relación con determinadas irregularidades cometidas, en relación con los pagos realizados por el servicio de grúa municipal del Ayuntamiento de València. Entre los hechos manifestados, resulta de especial relevancia, el incremento aplicado en el coste del servicio producido a partir del momento en el que el contrato administrativo en vigor es resuelto y comienza a prestarse sin cobertura contractual.</w:t>
      </w:r>
    </w:p>
    <w:p w14:paraId="6498B411"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Del estudio detallado de la documentación que consta en el expediente y la obtenida en fuentes abiertas se constató que:</w:t>
      </w:r>
    </w:p>
    <w:p w14:paraId="5140DBC6" w14:textId="77777777" w:rsidR="00E729AA" w:rsidRPr="00E729AA" w:rsidRDefault="00E729AA" w:rsidP="002505A5">
      <w:pPr>
        <w:numPr>
          <w:ilvl w:val="0"/>
          <w:numId w:val="105"/>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2014, el Ayuntamiento de València suscribió contrato con una U.T.E. para la gestión del servicio de grúa municipal. Dicho contrato establecía la retribución mensual de la U.T.E. en proporción al número de retiradas de vehículos del mes. La adjudicataria presentó numerosas solicitudes de reordenación/reequilibrio económico contractual, siendo desestimadas todas ellas. En 2017 el Ayuntamiento cambió de criterio, acordando la resolución por el art. 223.g) del TRLCSP, que refiere como causa “la imposibilidad de ejecutar el contrato en los términos inicialmente pactados o la posibilidad de producción de una lesión grave al interés público de continuarse ejecutando la prestación en esos términos”, y al no ser posible modificar el contrato, concediendo una indemnización al adjudicatario y estableciendo un régimen transitorio para la prestación del servicio, que todavía pervive hasta la actualidad, superando en la actualidad los cuatro años de vigencia del régimen transitorio.</w:t>
      </w:r>
    </w:p>
    <w:p w14:paraId="403C0E7A" w14:textId="77777777" w:rsidR="00E729AA" w:rsidRPr="00E729AA" w:rsidRDefault="00E729AA" w:rsidP="002505A5">
      <w:pPr>
        <w:numPr>
          <w:ilvl w:val="0"/>
          <w:numId w:val="105"/>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Respecto al régimen económico del periodo transitorio del contrato:</w:t>
      </w:r>
    </w:p>
    <w:p w14:paraId="5B04261A" w14:textId="77777777" w:rsidR="00E729AA" w:rsidRPr="00E729AA" w:rsidRDefault="00E729AA" w:rsidP="00F41913">
      <w:pPr>
        <w:numPr>
          <w:ilvl w:val="0"/>
          <w:numId w:val="35"/>
        </w:numPr>
        <w:spacing w:after="120" w:line="276" w:lineRule="auto"/>
        <w:ind w:left="1418"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modificado sustancialmente, en la práctica, el sistema retributivo pactado originariamente en el contrato, pasando de una retribución vinculada al número de servicios prestados a una retribución a tanto alzado o “iguala”, totalmente independiente del número de servicios prestados. Eliminando todo riesgo operacional al contratista, de hecho, a pesar de la reducción del número de servicios las retribuciones no se han alterado.</w:t>
      </w:r>
    </w:p>
    <w:p w14:paraId="49368DBC" w14:textId="77777777" w:rsidR="00E729AA" w:rsidRPr="00E729AA" w:rsidRDefault="00E729AA" w:rsidP="00F41913">
      <w:pPr>
        <w:numPr>
          <w:ilvl w:val="0"/>
          <w:numId w:val="35"/>
        </w:numPr>
        <w:spacing w:after="120" w:line="276" w:lineRule="auto"/>
        <w:ind w:left="1418"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fijación del monto de la retribución a tanto alzado se contiene en varios informes de la Policía Local de València, uno de los cuales está firmado de forma manuscrita, y contiene una fecha que no se corresponde con la fecha de incorporación a la plataforma de tramitación electrónica de expedientes, siendo el único informe del servicio en todo el expediente que reviste de dichas características.</w:t>
      </w:r>
    </w:p>
    <w:p w14:paraId="4CE83A6A" w14:textId="77777777" w:rsidR="00E729AA" w:rsidRPr="00E729AA" w:rsidRDefault="00E729AA" w:rsidP="00F41913">
      <w:pPr>
        <w:numPr>
          <w:ilvl w:val="0"/>
          <w:numId w:val="35"/>
        </w:numPr>
        <w:spacing w:after="120" w:line="276" w:lineRule="auto"/>
        <w:ind w:left="1418"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precio para el periodo transitorio fue establecido en 300.000 € más IVA al mes, de manera discrecional, lo que motivó que el Servicio de Contratación municipal solicitase la aportación del estudio económico explicativo de la contraprestación económica y la concreción para su percepción por la U.T.E.</w:t>
      </w:r>
    </w:p>
    <w:p w14:paraId="0415DB8A" w14:textId="77777777" w:rsidR="00E729AA" w:rsidRPr="00E729AA" w:rsidRDefault="00E729AA" w:rsidP="00F41913">
      <w:pPr>
        <w:numPr>
          <w:ilvl w:val="0"/>
          <w:numId w:val="35"/>
        </w:numPr>
        <w:spacing w:after="120" w:line="276" w:lineRule="auto"/>
        <w:ind w:left="1418"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Emitido informe explicativo por la Policía Local de València, se constata que, no motiva documentalmente la adecuación del precio del contrato propuesto, al argumentarse el informe de forma insuficiente.</w:t>
      </w:r>
    </w:p>
    <w:p w14:paraId="5593E73E" w14:textId="77777777" w:rsidR="00E729AA" w:rsidRPr="00E729AA" w:rsidRDefault="00E729AA" w:rsidP="002505A5">
      <w:pPr>
        <w:numPr>
          <w:ilvl w:val="0"/>
          <w:numId w:val="105"/>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Respecto a la duración estimada del periodo transitorio y la insuficiencia económica de los avales para la cobertura del mismo, se ha constatado que el periodo transitorio ha excedido, con mucho la estimación de 12 meses que contemplaban los informes de Policía Local, siendo que actualmente el periodo transitorio, iniciado en noviembre de 2017, consta de más de 48 meses, por lo que el aval fijado como garantía, y calculado para 12 meses, resulta insuficiente, sin que se haya procedido por el Ayuntamiento a acordar una actualización de dichas garantías.</w:t>
      </w:r>
    </w:p>
    <w:p w14:paraId="261B1283" w14:textId="77777777" w:rsidR="00E729AA" w:rsidRPr="00E729AA" w:rsidRDefault="00E729AA" w:rsidP="002505A5">
      <w:pPr>
        <w:numPr>
          <w:ilvl w:val="0"/>
          <w:numId w:val="105"/>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constata una ruptura del equilibrio económico de la prestación, pasando de ser desfavorable para la adjudicataria en el periodo de contrato en vigor, según reclamaba la empresa, en donde el riesgo operacional era de la empresa adjudicataria a una situación actual, desfavorable para el Ayuntamiento, en donde el prestador del servicio sin cobertura contractual no tiene transferido el riesgo de la prestación, teniendo garantizado los ingresos mensuales, de manera que el coste unitario del servicio real ha experimentado un incremento significativo, mientras que los medios afectos al servicio se encuentran infrautilizados y se ha procedido a una minoración gradual de costes globales, elevándose de esta manera los beneficios para la prestadora durante este periodo “transitorio” que dura desde el año 2017. La diferencia total final que se obtiene en concepto de beneficio real en comparación con el esperado por el contratista es de +614.501,85 €, conforme a los cálculos motivados en la investigación.</w:t>
      </w:r>
    </w:p>
    <w:p w14:paraId="77A1EF06" w14:textId="77777777" w:rsidR="00E729AA" w:rsidRPr="00E729AA" w:rsidRDefault="00E729AA" w:rsidP="00E729AA">
      <w:pPr>
        <w:numPr>
          <w:ilvl w:val="0"/>
          <w:numId w:val="105"/>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No se están realizando seguimientos periódicos de la prestación del servicio en términos económicos, ajustando en su caso los importes a abonar a la empresa por los servicios realmente prestados y los costes reales que asume para ello, a pesar de que la minoración de algunos gastos fijos, como los de personal, como se reflejan del análisis de la contabilidad de la empresa prestadora del servicio.</w:t>
      </w:r>
    </w:p>
    <w:p w14:paraId="1A5BA54E"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recomendaciones:</w:t>
      </w:r>
    </w:p>
    <w:p w14:paraId="48E15902" w14:textId="77777777" w:rsidR="00E729AA" w:rsidRPr="00E729AA" w:rsidRDefault="00E729AA" w:rsidP="002505A5">
      <w:pPr>
        <w:numPr>
          <w:ilvl w:val="0"/>
          <w:numId w:val="106"/>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proceda a adoptar las medidas necesarias para regularizar la situación jurídica de la prestación del servicio, ya sea realizando y finalizando la licitación pública con la adjudicación a la oferta más ventajosa, ya sea adoptando las decisiones de gestión que garanticen la terminación de la actual situación de prestación del servicio sin cobertura contractual.</w:t>
      </w:r>
    </w:p>
    <w:p w14:paraId="082079FF" w14:textId="77777777" w:rsidR="00E729AA" w:rsidRPr="00E729AA" w:rsidRDefault="00E729AA" w:rsidP="002505A5">
      <w:pPr>
        <w:numPr>
          <w:ilvl w:val="0"/>
          <w:numId w:val="106"/>
        </w:num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proceda a revisar las condiciones económicas establecidas para la prestación del servicio por parte de la UTE, desde el 1 de noviembre de 2017, día siguiente al que producirá efectos la resolución del contrato y hasta que se formalice el nuevo contrato, dada la realidad económica de la prestación acreditada en la contabilidad de la UTE, tanto de minoración de costes directos de la prestación del servicio, como de beneficios reales superiores a los previstos por la propia UTE en la licitación inicial resuelta.</w:t>
      </w:r>
    </w:p>
    <w:p w14:paraId="60F4DE10"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Establecer procedimientos de revisión periódica del régimen económico de la prestación del servicio mientras dure la actual situación, que permitan fijar con la periodicidad máxima semestral el precio al que efectivamente debe retribuirse por el Ayuntamiento la prestación del servicio en la actual situación, en función de los costes reales del servicio, beneficio empresarial y necesidades reales prestación.</w:t>
      </w:r>
    </w:p>
    <w:p w14:paraId="2CF7EF05" w14:textId="77777777" w:rsidR="00E729AA" w:rsidRPr="00E729AA" w:rsidRDefault="00E729AA" w:rsidP="002505A5">
      <w:pPr>
        <w:numPr>
          <w:ilvl w:val="0"/>
          <w:numId w:val="106"/>
        </w:num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proceda, previa la tramitación oportuna, a actualizar el importe del aval o garantía depositada por la mercantil prestadora del servicio, que claramente ha superado el periodo transitorio previsto de 12 meses, situándose en la actualidad en 48 meses, por lo que se considera adecuado proceder al reajuste de la garantía por la realidad del riesgo cubierto.</w:t>
      </w:r>
    </w:p>
    <w:p w14:paraId="3E99592D" w14:textId="77777777" w:rsidR="00E729AA" w:rsidRPr="00E729AA" w:rsidRDefault="00E729AA" w:rsidP="00E729AA">
      <w:pPr>
        <w:numPr>
          <w:ilvl w:val="0"/>
          <w:numId w:val="106"/>
        </w:numPr>
        <w:spacing w:after="24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valore el inicio de la revisión de oficio de los acuerdos aprobatorios de las indemnizaciones abonadas a la UTE, dado que se ha acreditado que el prestador del servicio sin cobertura contractual y que no tiene transferido el riesgo de la prestación, ha obtenido unos beneficios acumulados derivados de las compensaciones del periodo “transitorio” que dura desde el año 2017, en términos acumulados superiores en +614.501,85 €, conforme a los cálculos motivados en el presente informe, beneficio real en comparación con el esperado por el contratista en su proposición inicial.</w:t>
      </w:r>
    </w:p>
    <w:p w14:paraId="1BFEDC5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1B575936" w14:textId="18161A9E"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63" w:name="_Toc95209109"/>
      <w:bookmarkStart w:id="364" w:name="_Toc95913901"/>
      <w:bookmarkStart w:id="365" w:name="_Toc99107077"/>
      <w:r w:rsidRPr="00E729AA">
        <w:rPr>
          <w:rFonts w:ascii="Arial" w:eastAsia="Times New Roman" w:hAnsi="Arial" w:cs="Arial"/>
          <w:b/>
          <w:bCs/>
          <w:color w:val="9D2235" w:themeColor="accent1"/>
          <w:sz w:val="28"/>
          <w:szCs w:val="28"/>
          <w:lang w:eastAsia="es-ES"/>
        </w:rPr>
        <w:t>Denominación: Ayuntamiento de Callosa de Segura. Gastos realizados sin</w:t>
      </w:r>
      <w:r w:rsidR="00480CC8">
        <w:rPr>
          <w:rFonts w:ascii="Arial" w:eastAsia="Times New Roman" w:hAnsi="Arial" w:cs="Arial"/>
          <w:b/>
          <w:bCs/>
          <w:color w:val="9D2235" w:themeColor="accent1"/>
          <w:sz w:val="28"/>
          <w:szCs w:val="28"/>
          <w:lang w:eastAsia="es-ES"/>
        </w:rPr>
        <w:t xml:space="preserve"> </w:t>
      </w:r>
      <w:r w:rsidRPr="00E729AA">
        <w:rPr>
          <w:rFonts w:ascii="Arial" w:eastAsia="Times New Roman" w:hAnsi="Arial" w:cs="Arial"/>
          <w:b/>
          <w:bCs/>
          <w:color w:val="9D2235" w:themeColor="accent1"/>
          <w:sz w:val="28"/>
          <w:szCs w:val="28"/>
          <w:lang w:eastAsia="es-ES"/>
        </w:rPr>
        <w:t>procedimiento en materia de contratación y concesión de licencia urbanística que no ampara las obras ejecutadas</w:t>
      </w:r>
      <w:bookmarkEnd w:id="363"/>
      <w:bookmarkEnd w:id="364"/>
      <w:bookmarkEnd w:id="365"/>
    </w:p>
    <w:p w14:paraId="0106262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2020/G01_02/0000002</w:t>
      </w:r>
    </w:p>
    <w:p w14:paraId="63F2DFEA" w14:textId="77777777" w:rsidR="00E729AA" w:rsidRPr="00E729AA" w:rsidRDefault="00E729AA" w:rsidP="00E729AA">
      <w:pPr>
        <w:spacing w:after="240" w:line="276" w:lineRule="auto"/>
        <w:rPr>
          <w:rFonts w:ascii="Arial" w:eastAsia="Times New Roman" w:hAnsi="Arial" w:cs="Arial"/>
          <w:sz w:val="16"/>
          <w:szCs w:val="16"/>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71" w:history="1">
        <w:r w:rsidRPr="00E729AA">
          <w:rPr>
            <w:rFonts w:ascii="Arial" w:eastAsia="Times New Roman" w:hAnsi="Arial" w:cs="Arial"/>
            <w:color w:val="000080"/>
            <w:sz w:val="16"/>
            <w:szCs w:val="16"/>
            <w:u w:val="single"/>
            <w:lang w:eastAsia="es-ES"/>
          </w:rPr>
          <w:t>https://www.antifraucv.es/wp-content/uploads/2022/01/20211202_AYUNTAMIENTO-CALLOSA-DE-SEGURA.pdf</w:t>
        </w:r>
      </w:hyperlink>
    </w:p>
    <w:p w14:paraId="7784F8DC"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Los hechos denunciados se concretaron en:</w:t>
      </w:r>
    </w:p>
    <w:p w14:paraId="434C07F5" w14:textId="77777777" w:rsidR="00E729AA" w:rsidRPr="00E729AA" w:rsidRDefault="00E729AA" w:rsidP="002505A5">
      <w:pPr>
        <w:numPr>
          <w:ilvl w:val="0"/>
          <w:numId w:val="10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Ayuntamiento de Callosa, durante el periodo 2006–2015, abonó sucesivas facturas por el servicio de análisis del agua en determinadas zonas del municipio, a favor del cónyuge de la funcionaria que durante el periodo 2000-2020 ha venido desempeñando de forma accidental los puestos de secretaría e intervención. No tramitándose la licitación del servicio para su adjudicación y</w:t>
      </w:r>
    </w:p>
    <w:p w14:paraId="56DA1B8B" w14:textId="77777777" w:rsidR="00E729AA" w:rsidRPr="00E729AA" w:rsidRDefault="00E729AA" w:rsidP="00E729AA">
      <w:pPr>
        <w:numPr>
          <w:ilvl w:val="0"/>
          <w:numId w:val="107"/>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Ayuntamiento de Callosa de Segura concedió una licencia urbanística, en relación con unas obras que se pretendían ejecutar en el inmueble sito en el municipio, que no ampara las obras realmente ejecutadas y cuyo promotor era familiar de la Secretaria-Interventora del Ayuntamiento en aquel momento.</w:t>
      </w:r>
    </w:p>
    <w:p w14:paraId="085F7FA9"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Tras la instrucción del oportuno procedimiento de investigación, se evidenció que: </w:t>
      </w:r>
    </w:p>
    <w:p w14:paraId="52B139E7" w14:textId="77777777" w:rsidR="00E729AA" w:rsidRPr="00E729AA" w:rsidRDefault="00E729AA" w:rsidP="002505A5">
      <w:pPr>
        <w:numPr>
          <w:ilvl w:val="0"/>
          <w:numId w:val="110"/>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cuanto a los gastos sufragados por el servicio de analíticas para el control de la calidad del agua en grifo del consumidor, de legionela en diversas instalaciones municipales, y del agua residual en la Estación Depuradora de Aguas Residuales:</w:t>
      </w:r>
    </w:p>
    <w:p w14:paraId="74074601" w14:textId="77777777" w:rsidR="00E729AA" w:rsidRPr="00E729AA" w:rsidRDefault="00E729AA" w:rsidP="00F41913">
      <w:pPr>
        <w:numPr>
          <w:ilvl w:val="0"/>
          <w:numId w:val="108"/>
        </w:numPr>
        <w:spacing w:after="120" w:line="276" w:lineRule="auto"/>
        <w:ind w:hanging="44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Ayuntamiento de Callosa de Segura, durante el periodo 2003-2014, abonó a una misma persona la cuantía de 187.885 € (548 facturas), por la realización de distintas clases de analíticas sin que la administración municipal, en cumplimiento de la normativa contractual, instruyese el oportuno y preceptivo expediente de contratación que respaldase la prestación del servicio, debiendo tener en cuenta que la periodicidad del servicio era recurrente.</w:t>
      </w:r>
    </w:p>
    <w:p w14:paraId="56159491" w14:textId="77777777" w:rsidR="00E729AA" w:rsidRPr="00E729AA" w:rsidRDefault="00E729AA" w:rsidP="00F41913">
      <w:pPr>
        <w:numPr>
          <w:ilvl w:val="0"/>
          <w:numId w:val="108"/>
        </w:numPr>
        <w:spacing w:after="120" w:line="276" w:lineRule="auto"/>
        <w:ind w:hanging="44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Ayuntamiento de Callosa de Segura, abonó durante 9 años, el servicio de analíticas de agua sin la instrucción de ningún expediente para el reconocimiento de la obligación y pago, conociendo que la persona a la que se le abonaban, no disponía ni la capacidad ni habilitación profesional necesaria para realizar los análisis de agua y legionela, viendo que el precio unitario de las analíticas iba incrementándose durante los años y que se realizaban analíticas con periodicidad mayor a la frecuencia mínima exigida en la legislación y analíticas no exigidas por la legislación, sin mediar justificación alguna.</w:t>
      </w:r>
    </w:p>
    <w:p w14:paraId="14F1506D" w14:textId="77777777" w:rsidR="00E729AA" w:rsidRPr="00E729AA" w:rsidRDefault="00E729AA" w:rsidP="00F41913">
      <w:pPr>
        <w:numPr>
          <w:ilvl w:val="0"/>
          <w:numId w:val="108"/>
        </w:numPr>
        <w:spacing w:after="120" w:line="276" w:lineRule="auto"/>
        <w:ind w:hanging="44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Concurrencia de una situación de conflicto de intereses y causa de abstención,</w:t>
      </w:r>
      <w:r w:rsidRPr="00E729AA">
        <w:rPr>
          <w:rFonts w:ascii="Arial" w:eastAsia="Times New Roman" w:hAnsi="Arial" w:cs="Arial"/>
          <w:b/>
          <w:bCs/>
          <w:sz w:val="21"/>
          <w:szCs w:val="21"/>
          <w:lang w:eastAsia="es-ES"/>
        </w:rPr>
        <w:t xml:space="preserve"> </w:t>
      </w:r>
      <w:r w:rsidRPr="00E729AA">
        <w:rPr>
          <w:rFonts w:ascii="Arial" w:eastAsia="Times New Roman" w:hAnsi="Arial" w:cs="Arial"/>
          <w:sz w:val="21"/>
          <w:szCs w:val="21"/>
          <w:lang w:eastAsia="es-ES"/>
        </w:rPr>
        <w:t xml:space="preserve">la actuación u omisión de la Secretaria e Interventora accidental del Ayuntamiento de Callosa de Segura, en quien concurre motivo de abstención por relación de parentesco respecto de los gastos sufragados por el Ayuntamiento en concepto del servicio de análisis del agua, sin la instrucción de expediente de contratación y de los oportunos expedientes para el reconocimiento y pago de las facturas, ha sido relevante; situación irregular que ha tenido una clara permanencia en el tiempo, evidenciando que la persona que ostentaba los puestos de secretaría e intervención del Ayuntamiento, garantes de la legalidad de la actuación administrativa, no ha actuado cuando venía obligada a actuar. </w:t>
      </w:r>
    </w:p>
    <w:p w14:paraId="08A71F99" w14:textId="77777777" w:rsidR="00E729AA" w:rsidRPr="00E729AA" w:rsidRDefault="00E729AA" w:rsidP="002505A5">
      <w:pPr>
        <w:numPr>
          <w:ilvl w:val="0"/>
          <w:numId w:val="110"/>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En cuanto a las obras ejecutadas en el inmueble sito en el municipio: </w:t>
      </w:r>
      <w:r w:rsidRPr="00E729AA">
        <w:rPr>
          <w:rFonts w:ascii="Arial" w:eastAsia="Times New Roman" w:hAnsi="Arial" w:cs="Arial"/>
          <w:b/>
          <w:bCs/>
          <w:sz w:val="21"/>
          <w:szCs w:val="21"/>
          <w:lang w:eastAsia="es-ES"/>
        </w:rPr>
        <w:t>a)</w:t>
      </w:r>
      <w:r w:rsidRPr="00E729AA">
        <w:rPr>
          <w:rFonts w:ascii="Arial" w:eastAsia="Times New Roman" w:hAnsi="Arial" w:cs="Arial"/>
          <w:sz w:val="21"/>
          <w:szCs w:val="21"/>
          <w:lang w:eastAsia="es-ES"/>
        </w:rPr>
        <w:t xml:space="preserve"> las obras realmente ejecutadas, no se ajustan a las determinaciones de la licencia que el ayuntamiento concedió al interesado y </w:t>
      </w:r>
      <w:r w:rsidRPr="00E729AA">
        <w:rPr>
          <w:rFonts w:ascii="Arial" w:eastAsia="Times New Roman" w:hAnsi="Arial" w:cs="Arial"/>
          <w:b/>
          <w:bCs/>
          <w:sz w:val="21"/>
          <w:szCs w:val="21"/>
          <w:lang w:eastAsia="es-ES"/>
        </w:rPr>
        <w:t xml:space="preserve">b) </w:t>
      </w:r>
      <w:r w:rsidRPr="00E729AA">
        <w:rPr>
          <w:rFonts w:ascii="Arial" w:eastAsia="Times New Roman" w:hAnsi="Arial" w:cs="Arial"/>
          <w:sz w:val="21"/>
          <w:szCs w:val="21"/>
          <w:lang w:eastAsia="es-ES"/>
        </w:rPr>
        <w:t>concurrencia de causa de abstención siendo el promotor de las obras, familiar en primer grado, y no obrando en el expediente el preceptivo informe jurídico, la Secretaria e Interventora accidental debería haberse abstenido de suscribir el Decreto de alcaldía en virtud del cual se concede la licencia de obras.</w:t>
      </w:r>
    </w:p>
    <w:p w14:paraId="0E73D454" w14:textId="77777777" w:rsidR="00E729AA" w:rsidRPr="00E729AA" w:rsidRDefault="00E729AA" w:rsidP="002505A5">
      <w:pPr>
        <w:numPr>
          <w:ilvl w:val="0"/>
          <w:numId w:val="110"/>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En cuanto a la provisión accidental de los puestos de secretaría e intervención del Ayuntamiento de Callosa de Segura, reservados a funcionarios con habilitación de carácter nacional, durante un dilatado periodo de tiempo: </w:t>
      </w:r>
    </w:p>
    <w:p w14:paraId="0CA54048" w14:textId="77777777" w:rsidR="00E729AA" w:rsidRPr="00E729AA" w:rsidRDefault="00E729AA" w:rsidP="00F41913">
      <w:pPr>
        <w:numPr>
          <w:ilvl w:val="0"/>
          <w:numId w:val="109"/>
        </w:numPr>
        <w:spacing w:after="120" w:line="276" w:lineRule="auto"/>
        <w:ind w:hanging="44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Ayuntamiento de Callosa de Segura ha mantenido durante más de 19 años un nombramiento accidental del puesto de secretaría, y más de 12 años un nombramiento accidental del puesto de intervención en la misma funcionaria de la corporación, ambos puestos son reservados a la provisión por funcionario de habilitación nacional.</w:t>
      </w:r>
    </w:p>
    <w:p w14:paraId="3A9FD29D" w14:textId="77777777" w:rsidR="00E729AA" w:rsidRPr="00E729AA" w:rsidRDefault="00E729AA" w:rsidP="00F41913">
      <w:pPr>
        <w:numPr>
          <w:ilvl w:val="0"/>
          <w:numId w:val="109"/>
        </w:numPr>
        <w:spacing w:after="240" w:line="276" w:lineRule="auto"/>
        <w:ind w:hanging="44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Dirección General de Administración Local no resolvió la situación anterior.</w:t>
      </w:r>
    </w:p>
    <w:p w14:paraId="205F9D50"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xml:space="preserve"> Finalización de la investigación con recomendaciones:</w:t>
      </w:r>
    </w:p>
    <w:p w14:paraId="0F22DC75" w14:textId="77777777" w:rsidR="00E729AA" w:rsidRPr="00E729AA" w:rsidRDefault="00E729AA" w:rsidP="002505A5">
      <w:pPr>
        <w:numPr>
          <w:ilvl w:val="0"/>
          <w:numId w:val="111"/>
        </w:num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En relación con los gastos sufragados por el servicio de </w:t>
      </w:r>
      <w:r w:rsidRPr="00E729AA">
        <w:rPr>
          <w:rFonts w:ascii="Arial" w:eastAsia="Times New Roman" w:hAnsi="Arial" w:cs="Arial"/>
          <w:b/>
          <w:bCs/>
          <w:sz w:val="21"/>
          <w:szCs w:val="21"/>
          <w:lang w:eastAsia="es-ES"/>
        </w:rPr>
        <w:t>analíticas</w:t>
      </w:r>
      <w:r w:rsidRPr="00E729AA">
        <w:rPr>
          <w:rFonts w:ascii="Arial" w:eastAsia="Times New Roman" w:hAnsi="Arial" w:cs="Arial"/>
          <w:sz w:val="21"/>
          <w:szCs w:val="21"/>
          <w:lang w:eastAsia="es-ES"/>
        </w:rPr>
        <w:t xml:space="preserve"> para el control de la calidad del agua en grifo del consumidor y de legionela en diversas instalaciones municipales, y del agua residual en la Estación Depuradora de Aguas Residuales:</w:t>
      </w:r>
    </w:p>
    <w:p w14:paraId="4770388A"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Instar al Ayuntamiento de Callosa de Segura que proceda a tramitar la revisión de oficio de los actos incursos en causa de nulidad de pleno derecho, regulada en el artículo 106 de la Ley 39/2015, de 1 de octubre, del Procedimiento Administrativo Común de las Administraciones Públicas, correspondiente a los gastos sufragados por el servicio de analíticas para el control de la calidad del agua en grifo del consumidor, de legionela en diversas instalaciones municipales, y del agua residual en la Estación Depuradora de Aguas Residuales, por haberse prescindido total y absolutamente del procedimiento contractual legalmente establecido, y ante la inexistencia de expedientes de contratación que amparen la prestación del servicio de analíticas. </w:t>
      </w:r>
    </w:p>
    <w:p w14:paraId="3735DD46"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Deberá, asimismo, cuantificarse los perjuicios producidos por el procedimiento de revisión de oficio y que deben ser objeto de resarcimiento al erario municipal para evitar el menoscabo de caudales o efectos públicos, en concreto deberá acreditarse que las cantidades pagadas responden a valor de mercado de los servicios prestados.</w:t>
      </w:r>
    </w:p>
    <w:p w14:paraId="2876A9C9"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Asimismo, deben depurarse las responsabilidades de todo tipo que corresponda del personal y autoridades al servicio de las administraciones públicas que pudieran ser responsables de esta actuación.</w:t>
      </w:r>
    </w:p>
    <w:p w14:paraId="6B5C5850" w14:textId="77777777" w:rsidR="00E729AA" w:rsidRPr="00E729AA" w:rsidRDefault="00E729AA" w:rsidP="002505A5">
      <w:pPr>
        <w:numPr>
          <w:ilvl w:val="0"/>
          <w:numId w:val="111"/>
        </w:num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el uso del contrato menor para dar cobertura a necesidades permanentes:</w:t>
      </w:r>
    </w:p>
    <w:p w14:paraId="50B4DC2A"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Realizar una adecuada planificación anual de la contratación administrativa para reducir al máximo la utilización de la figura del contrato menor y evitarla en todo caso, para dar cobertura a necesidades permanentes, tal y como ocurre en el servicio para el control de la calidad del agua en grifo del consumidor y de legionela en diversas instalaciones municipales.</w:t>
      </w:r>
    </w:p>
    <w:p w14:paraId="456F0EB3" w14:textId="77777777" w:rsidR="00E729AA" w:rsidRPr="00E729AA" w:rsidRDefault="00E729AA" w:rsidP="002505A5">
      <w:pPr>
        <w:numPr>
          <w:ilvl w:val="0"/>
          <w:numId w:val="111"/>
        </w:numPr>
        <w:spacing w:after="120" w:line="276" w:lineRule="auto"/>
        <w:ind w:left="709" w:hanging="357"/>
        <w:jc w:val="both"/>
        <w:rPr>
          <w:rFonts w:ascii="Arial" w:eastAsia="Times New Roman" w:hAnsi="Arial" w:cs="Arial"/>
          <w:sz w:val="21"/>
          <w:szCs w:val="21"/>
          <w:u w:val="single"/>
          <w:lang w:eastAsia="es-ES"/>
        </w:rPr>
      </w:pPr>
      <w:r w:rsidRPr="00E729AA">
        <w:rPr>
          <w:rFonts w:ascii="Arial" w:eastAsia="Times New Roman" w:hAnsi="Arial" w:cs="Arial"/>
          <w:sz w:val="21"/>
          <w:szCs w:val="21"/>
          <w:lang w:eastAsia="es-ES"/>
        </w:rPr>
        <w:t>En relación con las obras ejecutadas en el inmueble sito en el municipio:</w:t>
      </w:r>
    </w:p>
    <w:p w14:paraId="5093C1E4"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Instar al Ayuntamiento de Callosa de Segura para que proceda a incoar expediente de protección de la legalidad urbanística respecto de las obras ejecutadas, para verificar si las obras realmente ejecutadas se ajustan o no a las determinaciones de la licencia que el Ayuntamiento concedió al interesado. Debiendo actuar en consecuencia una vez verificada la adecuación de las obras ejecutadas con las autorizadas en la licencia concedida, tanto respecto el régimen de restauración de la legalidad urbanística como al sancionador.</w:t>
      </w:r>
    </w:p>
    <w:p w14:paraId="4F823200" w14:textId="77777777" w:rsidR="00E729AA" w:rsidRPr="00E729AA" w:rsidRDefault="00E729AA" w:rsidP="002505A5">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caso de que se acuerde el inicio del expediente de protección de la legalidad urbanística, el Ayuntamiento deberá informar al interesado que desde el momento en que tenga conocimiento de la incoación del citado expediente quedará interrumpida la prescripción de la infracción, de conformidad con lo dispuesto en el artículo 270 Decreto Legislativo 1/2021, de 18 de junio, del Consell de aprobación del Texto Refundido de la Ley de Ordenación del Territorio, Urbanismo y Paisaje (anterior 251.4 de la LOTUP).</w:t>
      </w:r>
    </w:p>
    <w:p w14:paraId="50C51299" w14:textId="77777777" w:rsidR="00E729AA" w:rsidRPr="00E729AA" w:rsidRDefault="00E729AA" w:rsidP="00E729AA">
      <w:pPr>
        <w:spacing w:after="24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Asimismo, deben depurarse las responsabilidades de todo tipo que correspondan respecto del personal y autoridades al servicio de la administraciones pública. </w:t>
      </w:r>
    </w:p>
    <w:p w14:paraId="3367674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20F2C825"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66" w:name="_Toc95209110"/>
      <w:bookmarkStart w:id="367" w:name="_Toc95913902"/>
      <w:bookmarkStart w:id="368" w:name="_Toc99107078"/>
      <w:r w:rsidRPr="00E729AA">
        <w:rPr>
          <w:rFonts w:ascii="Arial" w:eastAsia="Times New Roman" w:hAnsi="Arial" w:cs="Arial"/>
          <w:b/>
          <w:bCs/>
          <w:color w:val="9D2235" w:themeColor="accent1"/>
          <w:sz w:val="28"/>
          <w:szCs w:val="28"/>
          <w:lang w:eastAsia="es-ES"/>
        </w:rPr>
        <w:t>Denominación: Corporació Valenciana de Mitjans de Comunicació (CVMC) y de la Societat Anónima de Mitjans de Comunicació de la Comunitat Valenciana (SAMC). Irregularidades nombramiento personal directivo</w:t>
      </w:r>
      <w:bookmarkEnd w:id="366"/>
      <w:bookmarkEnd w:id="367"/>
      <w:bookmarkEnd w:id="368"/>
    </w:p>
    <w:p w14:paraId="1CF4FEBF"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2021/G01_02/000286 [181/2018] -Acumulado 2020/G01_01/000214 [132/2019]</w:t>
      </w:r>
    </w:p>
    <w:p w14:paraId="7DDDADEA"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72" w:history="1">
        <w:r w:rsidRPr="00E729AA">
          <w:rPr>
            <w:rFonts w:ascii="Arial" w:eastAsia="Times New Roman" w:hAnsi="Arial" w:cs="Arial"/>
            <w:color w:val="000080"/>
            <w:sz w:val="16"/>
            <w:szCs w:val="16"/>
            <w:u w:val="single"/>
            <w:lang w:eastAsia="es-ES"/>
          </w:rPr>
          <w:t>https://www.antifraucv.es/wp-content/uploads/2022/01/20211207_CORPORACION-VALENCIANA-DE-MEDIOS.pdf</w:t>
        </w:r>
      </w:hyperlink>
    </w:p>
    <w:p w14:paraId="3C65E39E"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denuncia la presunta existencia de determinadas irregularidades, cometidas en el seno de la gestión de la actividad de la Corporació Valenciana de Mitjans de Comunicació (CVMC) y de la Societat Anónima de Mitjans de Comunicació de la Comunitat Valenciana (SAMC), puestas de manifiesto en los informes de Auditorias del Sector Público elaborados por la Intervención General de la Generalitat Valenciana.</w:t>
      </w:r>
    </w:p>
    <w:p w14:paraId="2BD9F6BF"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evidenció que:</w:t>
      </w:r>
    </w:p>
    <w:p w14:paraId="63DBC8C3" w14:textId="77777777" w:rsidR="00E729AA" w:rsidRPr="00E729AA" w:rsidRDefault="00E729AA" w:rsidP="002505A5">
      <w:pPr>
        <w:numPr>
          <w:ilvl w:val="0"/>
          <w:numId w:val="117"/>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No se han cubierto de manera definitiva los puestos de jefe de servicio de fiscalización y secretario del Consejo Rector. </w:t>
      </w:r>
    </w:p>
    <w:p w14:paraId="01B1D6B5" w14:textId="77777777" w:rsidR="00E729AA" w:rsidRPr="00E729AA" w:rsidRDefault="00E729AA" w:rsidP="002505A5">
      <w:pPr>
        <w:numPr>
          <w:ilvl w:val="0"/>
          <w:numId w:val="117"/>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En relación con la cobertura provisional del puesto de secretario del Consejo Rector, se ha superado el límite temporal establecido en seis meses. </w:t>
      </w:r>
    </w:p>
    <w:p w14:paraId="1E868684" w14:textId="77777777" w:rsidR="00E729AA" w:rsidRPr="00E729AA" w:rsidRDefault="00E729AA" w:rsidP="002505A5">
      <w:pPr>
        <w:numPr>
          <w:ilvl w:val="0"/>
          <w:numId w:val="117"/>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En el nombramiento del director de Contenidos y Programación no se han cumplido los principios de publicidad, mérito, capacidad e igualdad. </w:t>
      </w:r>
    </w:p>
    <w:p w14:paraId="29E3489A" w14:textId="77777777" w:rsidR="00E729AA" w:rsidRPr="00E729AA" w:rsidRDefault="00E729AA" w:rsidP="002505A5">
      <w:pPr>
        <w:numPr>
          <w:ilvl w:val="0"/>
          <w:numId w:val="117"/>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el expediente CNMY17/CVMC/15 (Reforma de los estudios de radio):</w:t>
      </w:r>
    </w:p>
    <w:p w14:paraId="0F6513D7" w14:textId="77777777" w:rsidR="00E729AA" w:rsidRPr="00E729AA" w:rsidRDefault="00E729AA" w:rsidP="00F41913">
      <w:pPr>
        <w:numPr>
          <w:ilvl w:val="1"/>
          <w:numId w:val="113"/>
        </w:numPr>
        <w:spacing w:after="120" w:line="276" w:lineRule="auto"/>
        <w:ind w:hanging="44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La urgencia no se encuentra correctamente motivada. Se justifica la urgencia en la necesidad de dotarse de todo lo necesario para acometer y garantizar la puesta en marcha del servicio de radiodifusión y, concretamente, la obra de los estudios de radiodifusión. Se alega que hay una demanda política para que los medios audiovisuales se pongan en marcha. La motivación no se debe basar en criterios políticos, si no en una necesidad inaplazable o por razones de interés público. </w:t>
      </w:r>
    </w:p>
    <w:p w14:paraId="33B6D50E" w14:textId="77777777" w:rsidR="00E729AA" w:rsidRPr="00E729AA" w:rsidRDefault="00E729AA" w:rsidP="00F41913">
      <w:pPr>
        <w:numPr>
          <w:ilvl w:val="1"/>
          <w:numId w:val="113"/>
        </w:numPr>
        <w:spacing w:after="120" w:line="276" w:lineRule="auto"/>
        <w:ind w:hanging="44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produce un retraso en el plazo de ejecución del contrato sin que se hayan exigido penalidades contractuales.</w:t>
      </w:r>
    </w:p>
    <w:p w14:paraId="08184B89" w14:textId="77777777" w:rsidR="00E729AA" w:rsidRPr="00E729AA" w:rsidRDefault="00E729AA" w:rsidP="002505A5">
      <w:pPr>
        <w:numPr>
          <w:ilvl w:val="0"/>
          <w:numId w:val="117"/>
        </w:numPr>
        <w:spacing w:after="120" w:line="276" w:lineRule="auto"/>
        <w:ind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el expediente CNMY17/CVMC/03 (Redacción del proyecto y dirección de obras de los estudios de radio para el servicio de radiodifusión):</w:t>
      </w:r>
    </w:p>
    <w:p w14:paraId="27168B41" w14:textId="77777777" w:rsidR="00E729AA" w:rsidRPr="00E729AA" w:rsidRDefault="00E729AA" w:rsidP="00F41913">
      <w:pPr>
        <w:numPr>
          <w:ilvl w:val="0"/>
          <w:numId w:val="114"/>
        </w:numPr>
        <w:spacing w:after="120" w:line="276" w:lineRule="auto"/>
        <w:ind w:left="1418" w:hanging="425"/>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No consta acreditada la concurrencia real de tres licitadores.</w:t>
      </w:r>
    </w:p>
    <w:p w14:paraId="26E91734" w14:textId="77777777" w:rsidR="00E729AA" w:rsidRPr="00E729AA" w:rsidRDefault="00E729AA" w:rsidP="00F41913">
      <w:pPr>
        <w:numPr>
          <w:ilvl w:val="0"/>
          <w:numId w:val="114"/>
        </w:numPr>
        <w:spacing w:after="120" w:line="276" w:lineRule="auto"/>
        <w:ind w:left="1418" w:hanging="425"/>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No se acredita la negociación con la mercantil adjudicataria. </w:t>
      </w:r>
    </w:p>
    <w:p w14:paraId="572BF085" w14:textId="77777777" w:rsidR="00E729AA" w:rsidRPr="00E729AA" w:rsidRDefault="00E729AA" w:rsidP="00F41913">
      <w:pPr>
        <w:numPr>
          <w:ilvl w:val="0"/>
          <w:numId w:val="114"/>
        </w:numPr>
        <w:spacing w:after="120" w:line="276" w:lineRule="auto"/>
        <w:ind w:left="1418" w:hanging="425"/>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La solvencia técnica se acredita durante la ejecución del contrato y no antes de la formalización del contrato. </w:t>
      </w:r>
    </w:p>
    <w:p w14:paraId="4BB6F4DC" w14:textId="77777777" w:rsidR="00E729AA" w:rsidRPr="00E729AA" w:rsidRDefault="00E729AA" w:rsidP="002505A5">
      <w:pPr>
        <w:numPr>
          <w:ilvl w:val="0"/>
          <w:numId w:val="11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Contratos menores: se observa que las entidades investigadas adjudican una serie de contratos menores con importes ligeramente inferiores a 6.000 €, límite de la instrucción interna. Nueve contratos menores han sido adjudicados por 5.995 €. </w:t>
      </w:r>
    </w:p>
    <w:p w14:paraId="44DC6DE5" w14:textId="77777777" w:rsidR="00E729AA" w:rsidRPr="00E729AA" w:rsidRDefault="00E729AA" w:rsidP="00E729AA">
      <w:pPr>
        <w:spacing w:after="24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Tiempo después de adjudicar los contratos, los adjudicatarios fueron contratados con personal laboral. El objeto de muchos de ellos es similar, pero sobre todo coincidente con las funciones previstas en la relación de puestos de trabajo de la entidad, existiendo un claro riesgo de fraude en la contratación por existir indicios de laboralidad en la prestación.</w:t>
      </w:r>
    </w:p>
    <w:p w14:paraId="5770B917"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recomendaciones:</w:t>
      </w:r>
    </w:p>
    <w:p w14:paraId="1A798B76" w14:textId="77777777" w:rsidR="00E729AA" w:rsidRPr="00E729AA" w:rsidRDefault="00E729AA" w:rsidP="002505A5">
      <w:pPr>
        <w:numPr>
          <w:ilvl w:val="0"/>
          <w:numId w:val="115"/>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relación con los nombramientos del personal directivo, se recomienda llevar a cabo procesos de selección públicos y transparentes que garanticen los principios de igualdad, publicidad, mérito y capacidad. Para ello, sería recomendable la fijación de unos requisitos mínimos de formación y de experiencia profesional por cada uno de los puestos directivos de las entidades investigadas. Es decir, que se fijen las condiciones mínimas objetivas que cualquier candidato debe cumplir para poder acceder al puesto directivo en cuestión.</w:t>
      </w:r>
    </w:p>
    <w:p w14:paraId="43E7FB1E" w14:textId="77777777" w:rsidR="00E729AA" w:rsidRPr="00E729AA" w:rsidRDefault="00E729AA" w:rsidP="002505A5">
      <w:pPr>
        <w:numPr>
          <w:ilvl w:val="0"/>
          <w:numId w:val="115"/>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Que se solicite al órgano competente la realización de los trámites necesarios para la cobertura de los puestos de jefe de servicio de fiscalización y secretario del Consejo rector. </w:t>
      </w:r>
    </w:p>
    <w:p w14:paraId="35999227" w14:textId="77777777" w:rsidR="00E729AA" w:rsidRPr="00E729AA" w:rsidRDefault="00E729AA" w:rsidP="00E729AA">
      <w:pPr>
        <w:numPr>
          <w:ilvl w:val="0"/>
          <w:numId w:val="115"/>
        </w:numPr>
        <w:spacing w:after="8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Como norma general, se recomienda que los contratos se adjudiquen mediante procedimiento abierto. En caso de acudir a otro tipo de procedimiento, han de justificarse las razones que lo motivan. Por otro lado, la razón de ser de la utilización del procedimiento negociado es la negociación, por lo que recomienda que no se prescinda de dicho trámite esencial y definitorio, ya que ello conduce a la nulidad del procedimiento. Actualmente, en caso de prescindirse de la negociación, se debería acudir al procedimiento de revisión de oficio previsto en el artículo 41 de la Ley 9/2017, de 8 de noviembre, de Contratos del Sector Público, por la que se transponen al ordenamiento jurídico español las Directivas del Parlamento Europeo y del Consejo 2014/23/UE y 2014/24/UE, de 26 de febrero de 2014. </w:t>
      </w:r>
    </w:p>
    <w:p w14:paraId="5F88BD5B" w14:textId="77777777" w:rsidR="00E729AA" w:rsidRPr="00E729AA" w:rsidRDefault="00E729AA" w:rsidP="00E729AA">
      <w:pPr>
        <w:spacing w:after="80" w:line="276" w:lineRule="auto"/>
        <w:ind w:left="709"/>
        <w:jc w:val="both"/>
        <w:rPr>
          <w:rFonts w:ascii="Arial" w:eastAsia="Times New Roman" w:hAnsi="Arial" w:cs="Arial"/>
          <w:sz w:val="21"/>
          <w:szCs w:val="21"/>
          <w:lang w:eastAsia="es-ES"/>
        </w:rPr>
      </w:pPr>
    </w:p>
    <w:p w14:paraId="1BD52813"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5B6F167A"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69" w:name="_Toc95209111"/>
      <w:bookmarkStart w:id="370" w:name="_Toc95913903"/>
      <w:bookmarkStart w:id="371" w:name="_Toc99107079"/>
      <w:r w:rsidRPr="00E729AA">
        <w:rPr>
          <w:rFonts w:ascii="Arial" w:eastAsia="Times New Roman" w:hAnsi="Arial" w:cs="Arial"/>
          <w:b/>
          <w:bCs/>
          <w:color w:val="9D2235" w:themeColor="accent1"/>
          <w:sz w:val="28"/>
          <w:szCs w:val="28"/>
          <w:lang w:eastAsia="es-ES"/>
        </w:rPr>
        <w:t>Denominación: Ayuntamiento de València. Licencia concierto La Marina</w:t>
      </w:r>
      <w:bookmarkEnd w:id="369"/>
      <w:bookmarkEnd w:id="370"/>
      <w:bookmarkEnd w:id="371"/>
      <w:r w:rsidRPr="00E729AA">
        <w:rPr>
          <w:rFonts w:ascii="Arial" w:eastAsia="Times New Roman" w:hAnsi="Arial" w:cs="Arial"/>
          <w:b/>
          <w:bCs/>
          <w:color w:val="9D2235" w:themeColor="accent1"/>
          <w:sz w:val="28"/>
          <w:szCs w:val="28"/>
          <w:lang w:eastAsia="es-ES"/>
        </w:rPr>
        <w:t xml:space="preserve"> </w:t>
      </w:r>
    </w:p>
    <w:p w14:paraId="4FBE1B4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Expediente: </w:t>
      </w:r>
      <w:r w:rsidRPr="00E729AA">
        <w:rPr>
          <w:rFonts w:ascii="Arial" w:eastAsia="Times New Roman" w:hAnsi="Arial" w:cs="Arial"/>
          <w:sz w:val="21"/>
          <w:szCs w:val="21"/>
          <w:lang w:eastAsia="es-ES"/>
        </w:rPr>
        <w:t>2020/G01_01/000351</w:t>
      </w:r>
    </w:p>
    <w:p w14:paraId="4B29BEF9" w14:textId="77777777" w:rsidR="00E729AA" w:rsidRPr="00E729AA" w:rsidRDefault="00E729AA" w:rsidP="00E729AA">
      <w:pPr>
        <w:spacing w:after="240" w:line="276" w:lineRule="auto"/>
        <w:rPr>
          <w:rFonts w:ascii="Arial" w:eastAsia="Times New Roman" w:hAnsi="Arial" w:cs="Arial"/>
          <w:sz w:val="18"/>
          <w:szCs w:val="18"/>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73" w:history="1">
        <w:r w:rsidRPr="00E729AA">
          <w:rPr>
            <w:rFonts w:ascii="Arial" w:eastAsia="Times New Roman" w:hAnsi="Arial" w:cs="Arial"/>
            <w:color w:val="000080"/>
            <w:sz w:val="18"/>
            <w:szCs w:val="18"/>
            <w:u w:val="single"/>
            <w:lang w:eastAsia="es-ES"/>
          </w:rPr>
          <w:t>https://www.antifraucv.es/wp-content/uploads/2022/01/20211209_AYUNTAMENTO-DE-VALENCIA.pdf</w:t>
        </w:r>
      </w:hyperlink>
    </w:p>
    <w:p w14:paraId="1B902F2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Descripción: </w:t>
      </w:r>
      <w:r w:rsidRPr="00E729AA">
        <w:rPr>
          <w:rFonts w:ascii="Arial" w:eastAsia="Times New Roman" w:hAnsi="Arial" w:cs="Arial"/>
          <w:sz w:val="21"/>
          <w:szCs w:val="21"/>
          <w:lang w:eastAsia="es-ES"/>
        </w:rPr>
        <w:t>Los hechos denunciados se concretaron en la celebración de un concierto en La Marina, sin la correspondiente autorización administrativa.</w:t>
      </w:r>
    </w:p>
    <w:p w14:paraId="056E873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Tras la instrucción del oportuno procedimiento de investigación, quedó acreditado que la autorización no fue arbitraria, ni ausente de motivación jurídica injusta o contraria al derecho, por lo que la irregularidad quedó circunscrita a la concesión tardía de dicha licencia o autorización. </w:t>
      </w:r>
    </w:p>
    <w:p w14:paraId="7C46602F"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El secretario de área del Ayuntamiento de València firmó la propuesta de resolución el 14 de mayo, fue debido a que no pudo finalizar la tarea y firmarla en remoto. Por lo que, aunque la tarea de revisión se inició el día 11 de mayo de 2018, viernes, el mismo día del concierto, no pudo concluir dicha tarea hasta el 14 de mayo de 2018, lunes siguiente. El concierto, con fecha de celebración 11 de mayo de 2018, con emplazamiento en la parcela sita en la Zona Portuaria de la Marina Sur, se celebró sin la Resolución de Autorización correspondiente antes del inicio de dicho evento, ya que consta la firma extemporánea de 31 de julio de 2018 en dicha resolución </w:t>
      </w:r>
      <w:r w:rsidRPr="00E729AA">
        <w:rPr>
          <w:rFonts w:ascii="Arial" w:eastAsia="Times New Roman" w:hAnsi="Arial" w:cs="Arial"/>
          <w:b/>
          <w:bCs/>
          <w:sz w:val="21"/>
          <w:szCs w:val="21"/>
          <w:lang w:eastAsia="es-ES"/>
        </w:rPr>
        <w:t>GO-5915</w:t>
      </w:r>
      <w:r w:rsidRPr="00E729AA">
        <w:rPr>
          <w:rFonts w:ascii="Arial" w:eastAsia="Times New Roman" w:hAnsi="Arial" w:cs="Arial"/>
          <w:sz w:val="21"/>
          <w:szCs w:val="21"/>
          <w:lang w:eastAsia="es-ES"/>
        </w:rPr>
        <w:t xml:space="preserve"> del concejal que la tenía delegada. No se ha justificado, ni explicado, la tardanza de la firma del regidor delegado.</w:t>
      </w:r>
    </w:p>
    <w:p w14:paraId="32E4DA0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Las actas por infracción administrativa que se levantaron y presuntamente constitutivas de infracción grave, prescribieron por discrepancias entre la administración de la Generalitat Valenciana y el Ayuntamiento de València. </w:t>
      </w:r>
    </w:p>
    <w:p w14:paraId="108DB24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Pese a que la solicitud de la empresa organizadora se produjo el 22 de febrero de 2018, no se firmó la propuesta de resolución por el servicio hasta el mismo día 11 de mayo de 2018, día de la celebración del concierto, y pese a que se han aclarado las causas, se debería haber realizado por el Servicio de Actividades la propuesta de resolución de autorización del evento, con una antelación mínima razonable a la celebración de este.</w:t>
      </w:r>
    </w:p>
    <w:p w14:paraId="26FD6FA4"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Resultado: </w:t>
      </w:r>
      <w:r w:rsidRPr="00E729AA">
        <w:rPr>
          <w:rFonts w:ascii="Arial" w:eastAsia="Times New Roman" w:hAnsi="Arial" w:cs="Arial"/>
          <w:sz w:val="21"/>
          <w:szCs w:val="21"/>
          <w:lang w:eastAsia="es-ES"/>
        </w:rPr>
        <w:t>Formulación de las siguientes recomendaciones:</w:t>
      </w:r>
    </w:p>
    <w:p w14:paraId="63B0A73D" w14:textId="77777777" w:rsidR="00E729AA" w:rsidRPr="00E729AA" w:rsidRDefault="00E729AA" w:rsidP="002505A5">
      <w:pPr>
        <w:numPr>
          <w:ilvl w:val="0"/>
          <w:numId w:val="116"/>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elaboren instrucciones o guías, si no se dispone de ellas, respecto de los procedimientos de autorización de eventos multitudinarios donde se contemplen los requisitos, informes necesarios y plazos para su presentación ante el Ayuntamiento de València, recogiendo un cronograma de las actuaciones con plazos de antelación previstos de presentación de autorización y aportación de la documentación, necesarios para obtener la autorización de manera previa a la celebración del evento. Se deberá destacar en las mismas, que la falta de resolución previa en plazo impide la celebración del evento, así como las infracciones y sanciones aplicables en su caso. Asimismo, se deberán establecer las debidas cautelas por parte del Servicio de Actividades Municipal en orden a garantizar, en todos los casos, que la puesta a disposición de la resolución de autorización de este tipo de eventos se realice con una antelación suficiente para la finalización del procedimiento de firma y notificación a los interesados.</w:t>
      </w:r>
    </w:p>
    <w:p w14:paraId="0B0CC600" w14:textId="77777777" w:rsidR="00E729AA" w:rsidRPr="00E729AA" w:rsidRDefault="00E729AA" w:rsidP="00E729AA">
      <w:pPr>
        <w:numPr>
          <w:ilvl w:val="0"/>
          <w:numId w:val="116"/>
        </w:numPr>
        <w:spacing w:after="24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inicie expediente para valorar las posibles responsabilidades existentes, en su caso, por la tardanza en la firma de la Concejalía responsable.</w:t>
      </w:r>
    </w:p>
    <w:p w14:paraId="0414A4A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r w:rsidRPr="00E729AA">
        <w:rPr>
          <w:rFonts w:ascii="Arial" w:eastAsia="Times New Roman" w:hAnsi="Arial" w:cs="Arial"/>
          <w:b/>
          <w:bCs/>
          <w:sz w:val="21"/>
          <w:szCs w:val="21"/>
          <w:lang w:eastAsia="es-ES"/>
        </w:rPr>
        <w:t xml:space="preserve"> </w:t>
      </w:r>
    </w:p>
    <w:p w14:paraId="26FC5190"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72" w:name="_Toc95209112"/>
      <w:bookmarkStart w:id="373" w:name="_Toc95913904"/>
      <w:bookmarkStart w:id="374" w:name="_Toc99107080"/>
      <w:r w:rsidRPr="00E729AA">
        <w:rPr>
          <w:rFonts w:ascii="Arial" w:eastAsia="Times New Roman" w:hAnsi="Arial" w:cs="Arial"/>
          <w:b/>
          <w:bCs/>
          <w:color w:val="9D2235" w:themeColor="accent1"/>
          <w:sz w:val="28"/>
          <w:szCs w:val="28"/>
          <w:lang w:eastAsia="es-ES"/>
        </w:rPr>
        <w:t>Denominación: Ayuntamiento de Torrevieja. Irregularidades en materia de contratación y urbanismo</w:t>
      </w:r>
      <w:bookmarkEnd w:id="372"/>
      <w:bookmarkEnd w:id="373"/>
      <w:bookmarkEnd w:id="374"/>
    </w:p>
    <w:p w14:paraId="38D1C71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2020/G01_01/000151 [45/2019]</w:t>
      </w:r>
    </w:p>
    <w:p w14:paraId="62CEDB7F" w14:textId="77777777" w:rsidR="00E729AA" w:rsidRPr="00E729AA" w:rsidRDefault="00E729AA" w:rsidP="00E729AA">
      <w:pPr>
        <w:spacing w:after="240" w:line="276" w:lineRule="auto"/>
        <w:rPr>
          <w:rFonts w:ascii="Arial" w:eastAsia="Times New Roman" w:hAnsi="Arial" w:cs="Arial"/>
          <w:sz w:val="17"/>
          <w:szCs w:val="17"/>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74" w:history="1">
        <w:r w:rsidRPr="00E729AA">
          <w:rPr>
            <w:rFonts w:ascii="Arial" w:eastAsia="Times New Roman" w:hAnsi="Arial" w:cs="Arial"/>
            <w:color w:val="000080"/>
            <w:sz w:val="17"/>
            <w:szCs w:val="17"/>
            <w:u w:val="single"/>
            <w:lang w:eastAsia="es-ES"/>
          </w:rPr>
          <w:t>https://www.antifraucv.es/wp-content/uploads/2022/02/20220114_AYUNTAMIENTO_DE_TORREVIEJA.pdf</w:t>
        </w:r>
      </w:hyperlink>
    </w:p>
    <w:p w14:paraId="34C78ECC"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denuncia lo siguiente:</w:t>
      </w:r>
    </w:p>
    <w:p w14:paraId="66BE0505" w14:textId="77777777" w:rsidR="00E729AA" w:rsidRPr="00E729AA" w:rsidRDefault="00E729AA" w:rsidP="002505A5">
      <w:pPr>
        <w:numPr>
          <w:ilvl w:val="0"/>
          <w:numId w:val="118"/>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En el año 2011 se realiza el asfaltado de una de las calles de la finca rústica Lago Sol, donde se ubica la vivienda de los padres del teniente alcalde del Ayuntamiento de Torrevieja en la legislatura 2007-2011 y alcalde en la legislatura 2011-2015. </w:t>
      </w:r>
    </w:p>
    <w:p w14:paraId="22D373A6" w14:textId="77777777" w:rsidR="00E729AA" w:rsidRPr="00E729AA" w:rsidRDefault="00E729AA" w:rsidP="002505A5">
      <w:pPr>
        <w:numPr>
          <w:ilvl w:val="0"/>
          <w:numId w:val="118"/>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finca está afectada por las determinaciones del Parque Natural Lagunas de la Mata -Torrevieja.</w:t>
      </w:r>
    </w:p>
    <w:p w14:paraId="25087130" w14:textId="77777777" w:rsidR="00E729AA" w:rsidRPr="00E729AA" w:rsidRDefault="00E729AA" w:rsidP="002505A5">
      <w:pPr>
        <w:numPr>
          <w:ilvl w:val="0"/>
          <w:numId w:val="118"/>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La persona encargada de redactar el proyecto de asfaltado es familiar de cargos electos del Ayuntamiento. </w:t>
      </w:r>
    </w:p>
    <w:p w14:paraId="4FEAF5A9" w14:textId="77777777" w:rsidR="00E729AA" w:rsidRPr="00E729AA" w:rsidRDefault="00E729AA" w:rsidP="00E729AA">
      <w:pPr>
        <w:numPr>
          <w:ilvl w:val="0"/>
          <w:numId w:val="118"/>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Se informa que el redactor del proyecto fue beneficiario de múltiples contratos durante los mandatos 2007-2011 y 2011- 2015, teniendo una relación de parentesco con los concejales. </w:t>
      </w:r>
    </w:p>
    <w:p w14:paraId="03DF2938"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evidenció lo siguiente:</w:t>
      </w:r>
    </w:p>
    <w:p w14:paraId="233CEE23" w14:textId="77777777" w:rsidR="00E729AA" w:rsidRPr="00E729AA" w:rsidRDefault="00E729AA" w:rsidP="002505A5">
      <w:pPr>
        <w:numPr>
          <w:ilvl w:val="0"/>
          <w:numId w:val="119"/>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Durante el periodo 2006-2011, el Ayuntamiento abonó al redactor del proyecto denunciado, por la prestación de diferentes servicios, un total de 341.364,01 €.</w:t>
      </w:r>
    </w:p>
    <w:p w14:paraId="73886F4E" w14:textId="77777777" w:rsidR="00E729AA" w:rsidRPr="00E729AA" w:rsidRDefault="00E729AA" w:rsidP="002505A5">
      <w:pPr>
        <w:numPr>
          <w:ilvl w:val="0"/>
          <w:numId w:val="119"/>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Los expedientes de contratación tramitados mediante el procedimiento negociado sin publicidad no cumplen con lo establecido en la normativa de contratación, al no constar en los expedientes el trámite esencial del mismo: la negociación. </w:t>
      </w:r>
    </w:p>
    <w:p w14:paraId="54230530" w14:textId="77777777" w:rsidR="00E729AA" w:rsidRPr="00E729AA" w:rsidRDefault="00E729AA" w:rsidP="002505A5">
      <w:pPr>
        <w:numPr>
          <w:ilvl w:val="0"/>
          <w:numId w:val="119"/>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La ausencia de negociación implica la concurrencia de un vicio de nulidad por haberse prescindido total y absolutamente del procedimiento contractual legalmente establecido. </w:t>
      </w:r>
    </w:p>
    <w:p w14:paraId="5E8AD408" w14:textId="77777777" w:rsidR="00E729AA" w:rsidRPr="00E729AA" w:rsidRDefault="00E729AA" w:rsidP="00E729AA">
      <w:pPr>
        <w:numPr>
          <w:ilvl w:val="0"/>
          <w:numId w:val="119"/>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generado un conflicto de intereses. Existe una causa de abstención por parentesco.</w:t>
      </w:r>
    </w:p>
    <w:p w14:paraId="0EF52FB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 recomendación al Ayuntamiento de Torrevieja para que proceda a iniciar los expedientes de revisión de oficio de los actos administrativos incursos en causa de nulidad de pleno derecho, regulada en el artículo 106 de la Ley 39/2015, de 1 de octubre, del Procedimiento Administrativo Común de las Administraciones Públicas, o que indiquen las razones que impiden adoptar las medidas propuestas.</w:t>
      </w:r>
    </w:p>
    <w:p w14:paraId="6F336BA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En trámite. </w:t>
      </w:r>
    </w:p>
    <w:p w14:paraId="22B58AAF"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75" w:name="_Toc95209113"/>
      <w:bookmarkStart w:id="376" w:name="_Toc95913905"/>
      <w:bookmarkStart w:id="377" w:name="_Toc99107081"/>
      <w:r w:rsidRPr="00E729AA">
        <w:rPr>
          <w:rFonts w:ascii="Arial" w:eastAsia="Times New Roman" w:hAnsi="Arial" w:cs="Arial"/>
          <w:b/>
          <w:bCs/>
          <w:color w:val="9D2235" w:themeColor="accent1"/>
          <w:sz w:val="28"/>
          <w:szCs w:val="28"/>
          <w:lang w:eastAsia="es-ES"/>
        </w:rPr>
        <w:t>Denominación: Ayuntamiento de Tous. Incompatibilidades arquitecto municipal</w:t>
      </w:r>
      <w:bookmarkEnd w:id="375"/>
      <w:bookmarkEnd w:id="376"/>
      <w:bookmarkEnd w:id="377"/>
    </w:p>
    <w:p w14:paraId="29962B3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Expediente: </w:t>
      </w:r>
      <w:r w:rsidRPr="00E729AA">
        <w:rPr>
          <w:rFonts w:ascii="Arial" w:eastAsia="Times New Roman" w:hAnsi="Arial" w:cs="Arial"/>
          <w:sz w:val="21"/>
          <w:szCs w:val="21"/>
          <w:lang w:eastAsia="es-ES"/>
        </w:rPr>
        <w:t>2020/G01_01/000167 [84/2019]</w:t>
      </w:r>
    </w:p>
    <w:p w14:paraId="010506C6"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75" w:history="1">
        <w:r w:rsidRPr="00E729AA">
          <w:rPr>
            <w:rFonts w:ascii="Arial" w:eastAsia="Times New Roman" w:hAnsi="Arial" w:cs="Arial"/>
            <w:color w:val="000080"/>
            <w:sz w:val="18"/>
            <w:szCs w:val="18"/>
            <w:u w:val="single"/>
            <w:lang w:eastAsia="es-ES"/>
          </w:rPr>
          <w:t>https://www.antifraucv.es/wp-content/uploads/2022/01/20211213_AYUNTAMIENTO-DE-TOUS.pdf</w:t>
        </w:r>
      </w:hyperlink>
    </w:p>
    <w:p w14:paraId="38E17DF9"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analiza la comisión de presuntas irregularidades en las obras municipales a través del despacho de arquitectura que dirige el propio arquitecto municipal. De su estudio se concluye:</w:t>
      </w:r>
    </w:p>
    <w:p w14:paraId="3DAA7B19" w14:textId="77777777" w:rsidR="00E729AA" w:rsidRPr="00E729AA" w:rsidRDefault="00E729AA" w:rsidP="002505A5">
      <w:pPr>
        <w:numPr>
          <w:ilvl w:val="0"/>
          <w:numId w:val="120"/>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Que la vinculación laboral de la persona que ejercía tareas de arquitecto municipal se produce a través de diferentes contratos de prestación de servicios en las anualidades 2016 a 2018, si bien posteriormente continúa facturando sus servicios aportando únicamente la presentación de factura para su cobro. </w:t>
      </w:r>
    </w:p>
    <w:p w14:paraId="50413184" w14:textId="77777777" w:rsidR="00E729AA" w:rsidRPr="00E729AA" w:rsidRDefault="00E729AA" w:rsidP="002505A5">
      <w:pPr>
        <w:numPr>
          <w:ilvl w:val="0"/>
          <w:numId w:val="120"/>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Igualmente, la persona que realizaba las tareas de arquitecto municipal facturó a la entidad local, simultáneamente a la realización de servicios como empleado público y durante ese periodo, por la redacción de proyectos, sin que para ninguno de estos pagos se aporte expediente o documento administrativo que sustente su contratación. </w:t>
      </w:r>
    </w:p>
    <w:p w14:paraId="70158112" w14:textId="77777777" w:rsidR="00E729AA" w:rsidRPr="00E729AA" w:rsidRDefault="00E729AA" w:rsidP="00E729AA">
      <w:pPr>
        <w:numPr>
          <w:ilvl w:val="0"/>
          <w:numId w:val="120"/>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Corresponde exclusivamente a los funcionarios de carrera al servicio de la Administración local, el ejercicio de las funciones que impliquen la participación directa o indirecta en el ejercicio de las potestades públicas o en la salvaguardia de los intereses generales, tratándose de funciones públicas.</w:t>
      </w:r>
    </w:p>
    <w:p w14:paraId="040593DE" w14:textId="77777777" w:rsidR="00E729AA" w:rsidRPr="00E729AA" w:rsidRDefault="00E729AA" w:rsidP="002505A5">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las siguientes recomendaciones:</w:t>
      </w:r>
    </w:p>
    <w:p w14:paraId="650656BB" w14:textId="77777777" w:rsidR="00E729AA" w:rsidRPr="00E729AA" w:rsidRDefault="00E729AA" w:rsidP="002505A5">
      <w:pPr>
        <w:numPr>
          <w:ilvl w:val="0"/>
          <w:numId w:val="121"/>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Se recomienda el inicio de la revisión de oficio de aquellas actuaciones que incurren en causa de nulidad de pleno derecho. El importe de los pagos realizados sin cobertura contractual, objeto de revisión de oficio, asciende a 34.912,07 € en las anualidades 2016 a 2020. </w:t>
      </w:r>
    </w:p>
    <w:p w14:paraId="3F3A2EC8" w14:textId="77777777" w:rsidR="00E729AA" w:rsidRPr="00E729AA" w:rsidRDefault="00E729AA" w:rsidP="002505A5">
      <w:pPr>
        <w:numPr>
          <w:ilvl w:val="0"/>
          <w:numId w:val="121"/>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Se implementen medidas en orden a asegurar el cumplimiento del procedimiento administrativo en materia de contratación pública y su adecuada planificación; se dicten instrucciones internas en aras a garantizar que toda actividad sujeta a potestades públicas no pueda prestarse por medios externos, como son las funciones propias de arquitecto municipal, que deben ser prestadas por personal funcionario y que se inicien los expedientes administrativos que procedan para depurar las responsabilidades que puedan exigirse en relación con la contratación verbal. </w:t>
      </w:r>
    </w:p>
    <w:p w14:paraId="3621893F" w14:textId="77777777" w:rsidR="00E729AA" w:rsidRPr="00E729AA" w:rsidRDefault="00E729AA" w:rsidP="00E729AA">
      <w:pPr>
        <w:numPr>
          <w:ilvl w:val="0"/>
          <w:numId w:val="121"/>
        </w:numPr>
        <w:spacing w:after="24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resuelve dar traslado de resolución de conclusión de actuaciones</w:t>
      </w:r>
      <w:r w:rsidRPr="00E729AA">
        <w:rPr>
          <w:rFonts w:ascii="Arial" w:eastAsia="Times New Roman" w:hAnsi="Arial" w:cs="Arial"/>
          <w:b/>
          <w:bCs/>
          <w:sz w:val="21"/>
          <w:szCs w:val="21"/>
          <w:lang w:eastAsia="es-ES"/>
        </w:rPr>
        <w:t xml:space="preserve"> </w:t>
      </w:r>
      <w:r w:rsidRPr="00E729AA">
        <w:rPr>
          <w:rFonts w:ascii="Arial" w:eastAsia="Times New Roman" w:hAnsi="Arial" w:cs="Arial"/>
          <w:sz w:val="21"/>
          <w:szCs w:val="21"/>
          <w:lang w:eastAsia="es-ES"/>
        </w:rPr>
        <w:t>a la Inspección Provincial de Trabajo y Seguridad Social de Valencia.</w:t>
      </w:r>
    </w:p>
    <w:p w14:paraId="3F9B008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386F9E7F"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78" w:name="_Toc95209114"/>
      <w:bookmarkStart w:id="379" w:name="_Toc95913906"/>
      <w:bookmarkStart w:id="380" w:name="_Toc99107082"/>
      <w:r w:rsidRPr="00E729AA">
        <w:rPr>
          <w:rFonts w:ascii="Arial" w:eastAsia="Times New Roman" w:hAnsi="Arial" w:cs="Arial"/>
          <w:b/>
          <w:bCs/>
          <w:color w:val="9D2235" w:themeColor="accent1"/>
          <w:sz w:val="28"/>
          <w:szCs w:val="28"/>
          <w:lang w:eastAsia="es-ES"/>
        </w:rPr>
        <w:t>Denominación: Ayuntamiento de Tous. Incompatibilidades ingeniero municipal</w:t>
      </w:r>
      <w:bookmarkEnd w:id="378"/>
      <w:bookmarkEnd w:id="379"/>
      <w:bookmarkEnd w:id="380"/>
    </w:p>
    <w:p w14:paraId="2D20401C"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2020/G01_01/000235</w:t>
      </w:r>
    </w:p>
    <w:p w14:paraId="49484112"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76" w:history="1">
        <w:r w:rsidRPr="00E729AA">
          <w:rPr>
            <w:rFonts w:ascii="Arial" w:eastAsia="Times New Roman" w:hAnsi="Arial" w:cs="Arial"/>
            <w:color w:val="000080"/>
            <w:sz w:val="18"/>
            <w:szCs w:val="18"/>
            <w:u w:val="single"/>
            <w:lang w:eastAsia="es-ES"/>
          </w:rPr>
          <w:t>https://www.antifraucv.es/wp-content/uploads/2022/01/20211214_AYUNTAMIENTO-DE-TOUS.pdf</w:t>
        </w:r>
      </w:hyperlink>
    </w:p>
    <w:p w14:paraId="73F533A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analiza la prestación de servicios por la persona que ejercía las tareas de ingeniero agrónomo municipal, adjudicaciones de obras y abono de honorarios por redacción de proyectos sin seguir el procedimiento de contratación administrativa.</w:t>
      </w:r>
    </w:p>
    <w:p w14:paraId="20CB0E3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De los datos aportados se desprende que las tareas que ejercía el ingeniero agrónomo municipal correspondían exclusivamente a funcionarios de carrera al servicio de la Administración local, por tratarse del ejercicio de funciones que implican la participación directa o indirecta en el ejercicio de las potestades públicas o en la salvaguardia de los intereses generales. Igualmente, el citado ingeniero municipal facturó a la entidad local, simultáneamente a la realización de servicios como empleado público y durante ese periodo, por la prestación de servicios en diferentes conceptos. </w:t>
      </w:r>
    </w:p>
    <w:p w14:paraId="28EC522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Por otra parte, consta el pago a diferentes mercantiles sin cumplir la normativa contractual.</w:t>
      </w:r>
    </w:p>
    <w:p w14:paraId="0D179E26" w14:textId="77777777" w:rsidR="00E729AA" w:rsidRPr="00E729AA" w:rsidRDefault="00E729AA" w:rsidP="00B6585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las siguientes recomendaciones:</w:t>
      </w:r>
    </w:p>
    <w:p w14:paraId="5E1AC955" w14:textId="77777777" w:rsidR="00E729AA" w:rsidRPr="00E729AA" w:rsidRDefault="00E729AA" w:rsidP="00B65854">
      <w:pPr>
        <w:numPr>
          <w:ilvl w:val="0"/>
          <w:numId w:val="122"/>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inicio de la revisión de oficio de las actuaciones que incurren en causa de nulidad de pleno derecho realizados sin cobertura contractual:</w:t>
      </w:r>
    </w:p>
    <w:p w14:paraId="44AA9E31" w14:textId="77777777" w:rsidR="00E729AA" w:rsidRPr="00E729AA" w:rsidRDefault="00E729AA" w:rsidP="00F41913">
      <w:pPr>
        <w:numPr>
          <w:ilvl w:val="0"/>
          <w:numId w:val="35"/>
        </w:numPr>
        <w:spacing w:after="120" w:line="276" w:lineRule="auto"/>
        <w:ind w:left="1276"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importe de los pagos en concepto de honorarios por redacción de proyectos del ingeniero municipal asciende a 69.209,09 € en las anualidades 2017 a 2020.</w:t>
      </w:r>
    </w:p>
    <w:p w14:paraId="60838F3F" w14:textId="77777777" w:rsidR="00E729AA" w:rsidRPr="00E729AA" w:rsidRDefault="00E729AA" w:rsidP="00F41913">
      <w:pPr>
        <w:numPr>
          <w:ilvl w:val="0"/>
          <w:numId w:val="35"/>
        </w:numPr>
        <w:spacing w:after="120" w:line="276" w:lineRule="auto"/>
        <w:ind w:left="1276"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importe de los pagos realizados a una primera mercantil por trabajos vinculados, asciende a 26.896,05 € en las anualidades 2018 y 2020.</w:t>
      </w:r>
    </w:p>
    <w:p w14:paraId="321B4EBC" w14:textId="77777777" w:rsidR="00E729AA" w:rsidRPr="00E729AA" w:rsidRDefault="00E729AA" w:rsidP="00F41913">
      <w:pPr>
        <w:numPr>
          <w:ilvl w:val="0"/>
          <w:numId w:val="35"/>
        </w:numPr>
        <w:spacing w:after="120" w:line="276" w:lineRule="auto"/>
        <w:ind w:left="1276"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importe de los pagos realizados a una segunda mercantil por trabajos vinculados, asciende a 52.198,52 € en la anualidad 2020.</w:t>
      </w:r>
    </w:p>
    <w:p w14:paraId="5CA85CE2" w14:textId="77777777" w:rsidR="00E729AA" w:rsidRPr="00E729AA" w:rsidRDefault="00E729AA" w:rsidP="00B65854">
      <w:pPr>
        <w:numPr>
          <w:ilvl w:val="0"/>
          <w:numId w:val="122"/>
        </w:numPr>
        <w:spacing w:after="120" w:line="276" w:lineRule="auto"/>
        <w:ind w:left="709" w:hanging="357"/>
        <w:jc w:val="both"/>
        <w:rPr>
          <w:rFonts w:ascii="Arial" w:eastAsia="Times New Roman" w:hAnsi="Arial" w:cs="Arial"/>
          <w:sz w:val="21"/>
          <w:szCs w:val="21"/>
          <w:lang w:eastAsia="es-ES"/>
        </w:rPr>
      </w:pPr>
      <w:bookmarkStart w:id="381" w:name="_Hlk92790755"/>
      <w:r w:rsidRPr="00E729AA">
        <w:rPr>
          <w:rFonts w:ascii="Arial" w:eastAsia="Times New Roman" w:hAnsi="Arial" w:cs="Arial"/>
          <w:sz w:val="21"/>
          <w:szCs w:val="21"/>
          <w:lang w:eastAsia="es-ES"/>
        </w:rPr>
        <w:t>La implementación de medidas para asegurar el cumplimiento del procedimiento administrativo en materia de contratación pública con una adecuada planificación, dictando instrucciones internas en aras a garantizar que la actividad sujeta a potestades públicas no pueda prestarse por medios externos, sino por personal funcionario aplicando el régimen de incompatibilidades. Se inicien los expedientes que procedan para depurar las responsabilidades que puedan exigirse en relación con la contratación verbal.</w:t>
      </w:r>
      <w:bookmarkEnd w:id="381"/>
    </w:p>
    <w:p w14:paraId="42003B18" w14:textId="77777777" w:rsidR="00E729AA" w:rsidRPr="00E729AA" w:rsidRDefault="00E729AA" w:rsidP="00E729AA">
      <w:pPr>
        <w:numPr>
          <w:ilvl w:val="0"/>
          <w:numId w:val="122"/>
        </w:numPr>
        <w:spacing w:after="240" w:line="276" w:lineRule="auto"/>
        <w:ind w:left="709" w:hanging="357"/>
        <w:jc w:val="both"/>
        <w:rPr>
          <w:rFonts w:ascii="Arial" w:eastAsia="Times New Roman" w:hAnsi="Arial" w:cs="Arial"/>
          <w:sz w:val="21"/>
          <w:szCs w:val="21"/>
          <w:lang w:eastAsia="es-ES"/>
        </w:rPr>
      </w:pPr>
      <w:bookmarkStart w:id="382" w:name="_Hlk92789410"/>
      <w:r w:rsidRPr="00E729AA">
        <w:rPr>
          <w:rFonts w:ascii="Arial" w:eastAsia="Times New Roman" w:hAnsi="Arial" w:cs="Arial"/>
          <w:sz w:val="21"/>
          <w:szCs w:val="21"/>
          <w:lang w:eastAsia="es-ES"/>
        </w:rPr>
        <w:t>Se resuelve dar traslado de resolución de conclusión de actuaciones</w:t>
      </w:r>
      <w:r w:rsidRPr="00E729AA">
        <w:rPr>
          <w:rFonts w:ascii="Arial" w:eastAsia="Times New Roman" w:hAnsi="Arial" w:cs="Arial"/>
          <w:b/>
          <w:bCs/>
          <w:sz w:val="21"/>
          <w:szCs w:val="21"/>
          <w:lang w:eastAsia="es-ES"/>
        </w:rPr>
        <w:t xml:space="preserve"> </w:t>
      </w:r>
      <w:r w:rsidRPr="00E729AA">
        <w:rPr>
          <w:rFonts w:ascii="Arial" w:eastAsia="Times New Roman" w:hAnsi="Arial" w:cs="Arial"/>
          <w:sz w:val="21"/>
          <w:szCs w:val="21"/>
          <w:lang w:eastAsia="es-ES"/>
        </w:rPr>
        <w:t>a la Inspección Provincial de Trabajo y Seguridad Social de Valencia.</w:t>
      </w:r>
    </w:p>
    <w:bookmarkEnd w:id="382"/>
    <w:p w14:paraId="1DE7DE43"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6346824F"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83" w:name="_Toc95209115"/>
      <w:bookmarkStart w:id="384" w:name="_Toc95913907"/>
      <w:bookmarkStart w:id="385" w:name="_Toc99107083"/>
      <w:r w:rsidRPr="00E729AA">
        <w:rPr>
          <w:rFonts w:ascii="Arial" w:eastAsia="Times New Roman" w:hAnsi="Arial" w:cs="Arial"/>
          <w:b/>
          <w:bCs/>
          <w:color w:val="9D2235" w:themeColor="accent1"/>
          <w:sz w:val="28"/>
          <w:szCs w:val="28"/>
          <w:lang w:eastAsia="es-ES"/>
        </w:rPr>
        <w:t>Denominación: Ayuntamiento de Albaida. Irregularidades en materia de acceso al empleo público</w:t>
      </w:r>
      <w:bookmarkEnd w:id="383"/>
      <w:bookmarkEnd w:id="384"/>
      <w:bookmarkEnd w:id="385"/>
    </w:p>
    <w:p w14:paraId="230205F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2020/G01_01/000169 [35/2019]</w:t>
      </w:r>
    </w:p>
    <w:p w14:paraId="1FAB9279"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77" w:history="1">
        <w:r w:rsidRPr="00E729AA">
          <w:rPr>
            <w:rFonts w:ascii="Arial" w:eastAsia="Times New Roman" w:hAnsi="Arial" w:cs="Arial"/>
            <w:color w:val="000080"/>
            <w:sz w:val="18"/>
            <w:szCs w:val="18"/>
            <w:u w:val="single"/>
            <w:lang w:eastAsia="es-ES"/>
          </w:rPr>
          <w:t>https://www.antifraucv.es/wp-content/uploads/2022/01/20211214_AYUNTAMIENTO-DE-ALBAIDA.pdf</w:t>
        </w:r>
      </w:hyperlink>
    </w:p>
    <w:p w14:paraId="141EF936"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denuncia la presunta existencia de irregularidades cometidas en los procesos selectivos de los puestos Arquitecto Técnico y Auxiliar Informático.</w:t>
      </w:r>
    </w:p>
    <w:p w14:paraId="034B4A83"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En concreto, se denuncia, que en el proceso selectivo de la plaza de Arquitecto técnico fue adjudicada a la pareja del jefe de personal y secretario del tribunal de selección del proceso selectivo. Y en el proceso del auxiliar informático, fue seleccionado la pareja de la administrativa del jefe de personal. </w:t>
      </w:r>
    </w:p>
    <w:p w14:paraId="7A763869"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denuncian presuntos tratos de favor y conflictos de interés por el vínculo matrimonial o situación de hecho asimilable.</w:t>
      </w:r>
    </w:p>
    <w:p w14:paraId="245F1686"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en el que se efectuó el preceptivo trámite de audiencia a la administración denunciada, se concluye que no se ha acreditado la existencia de irregularidades en el desarrollo de los procesos selectivos, sin perjuicio de que, a la vista de la tramitación del mismo, se puedan realizar recomendaciones de mejora en relación con ciertos aspectos de la tramitación del procedimiento.</w:t>
      </w:r>
    </w:p>
    <w:p w14:paraId="6EEFDF5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 recomendación al Ayuntamiento de Albaida de elaborar una instrucción de buenas prácticas aplicable a sus procesos selectivos en la que se incluya, entre otros asuntos, la subsanación de las anomalías detectadas por esta Agencia (anonimización de los exámenes, composición del tribunal, custodia de los exámenes, etc.), con la finalidad de evitar disfunciones y establecer prácticas administrativas susceptibles de mejora.</w:t>
      </w:r>
    </w:p>
    <w:p w14:paraId="035792C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En trámite.</w:t>
      </w:r>
    </w:p>
    <w:p w14:paraId="51A5A5B1"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86" w:name="_Toc95209116"/>
      <w:bookmarkStart w:id="387" w:name="_Toc95913908"/>
      <w:bookmarkStart w:id="388" w:name="_Toc99107084"/>
      <w:r w:rsidRPr="00E729AA">
        <w:rPr>
          <w:rFonts w:ascii="Arial" w:eastAsia="Times New Roman" w:hAnsi="Arial" w:cs="Arial"/>
          <w:b/>
          <w:bCs/>
          <w:color w:val="9D2235" w:themeColor="accent1"/>
          <w:sz w:val="28"/>
          <w:szCs w:val="28"/>
          <w:lang w:eastAsia="es-ES"/>
        </w:rPr>
        <w:t>Denominación: Diputación Provincial de Valencia. Modificación de la forma de provisión de funcionarios de administración local con habilitación de carácter nacional  (FHCN</w:t>
      </w:r>
      <w:bookmarkEnd w:id="386"/>
      <w:bookmarkEnd w:id="387"/>
      <w:r w:rsidRPr="00E729AA">
        <w:rPr>
          <w:rFonts w:ascii="Arial" w:eastAsia="Times New Roman" w:hAnsi="Arial" w:cs="Arial"/>
          <w:b/>
          <w:bCs/>
          <w:color w:val="9D2235" w:themeColor="accent1"/>
          <w:sz w:val="28"/>
          <w:szCs w:val="28"/>
          <w:lang w:eastAsia="es-ES"/>
        </w:rPr>
        <w:t>)</w:t>
      </w:r>
      <w:bookmarkEnd w:id="388"/>
    </w:p>
    <w:p w14:paraId="5AD25E4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2020/G01_01/000069 [146/2019]</w:t>
      </w:r>
    </w:p>
    <w:p w14:paraId="5376AD1E"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78" w:history="1">
        <w:r w:rsidRPr="00E729AA">
          <w:rPr>
            <w:rFonts w:ascii="Arial" w:eastAsia="Times New Roman" w:hAnsi="Arial" w:cs="Arial"/>
            <w:color w:val="000080"/>
            <w:sz w:val="18"/>
            <w:szCs w:val="18"/>
            <w:u w:val="single"/>
            <w:lang w:eastAsia="es-ES"/>
          </w:rPr>
          <w:t>https://www.antifraucv.es/wp-content/uploads/2022/01/20211215-DIPUTACION-DE-VALENCIA.pdf</w:t>
        </w:r>
      </w:hyperlink>
    </w:p>
    <w:p w14:paraId="0ADC390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la posible existencia de conductas contrarias a los principios y normas regulatorias de la provisión de puestos de los FHCN acontecidas en la Diputación Provincial de Valencia.</w:t>
      </w:r>
    </w:p>
    <w:p w14:paraId="3D83C4CA" w14:textId="77777777" w:rsidR="00E729AA" w:rsidRPr="00E729AA" w:rsidRDefault="00E729AA" w:rsidP="00B6585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verificado en la fase de investigación que:</w:t>
      </w:r>
    </w:p>
    <w:p w14:paraId="032142AB" w14:textId="77777777" w:rsidR="00E729AA" w:rsidRPr="00E729AA" w:rsidRDefault="00E729AA" w:rsidP="00B65854">
      <w:pPr>
        <w:numPr>
          <w:ilvl w:val="0"/>
          <w:numId w:val="12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Mediante acuerdo del Pleno de la Diputación de fecha 22/10/2019, se acuerda solicitar del Ministerio de Hacienda la autorización previa para el cambio del sistema de provisión de los puestos de Interventor/a (RPT 36348), viceinterventor/a (RPT 51867), viceinterventor/a segundo/a (RPT 23423) y tesorero/a (RPT 72142), en los términos propuestos, de conformidad con lo establecido en el arto 45 del Real Decreto 128/2018, de 16 de marzo.</w:t>
      </w:r>
    </w:p>
    <w:p w14:paraId="2E073FF6" w14:textId="77777777" w:rsidR="00E729AA" w:rsidRPr="00E729AA" w:rsidRDefault="00E729AA" w:rsidP="00B65854">
      <w:pPr>
        <w:numPr>
          <w:ilvl w:val="0"/>
          <w:numId w:val="12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secretaria general de Financiación Autonómica y Local del Ministerio de Hacienda autorizó la modificación de la RPT, para recoger como futura forma de provisión del puesto de trabajo de Intervención General el sistema de libre designación. No obstante, se resuelve no autorizar la provisión de los puestos de trabajo de viceinterventor/a, viceinterventor/a segundo/a y tesorero/a por el sistema de libre designación.</w:t>
      </w:r>
    </w:p>
    <w:p w14:paraId="672D8FCB" w14:textId="77777777" w:rsidR="00E729AA" w:rsidRPr="00E729AA" w:rsidRDefault="00E729AA" w:rsidP="00B65854">
      <w:pPr>
        <w:numPr>
          <w:ilvl w:val="0"/>
          <w:numId w:val="12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Mediante Resolución de la Presidencia de la Diputación de Valencia de fecha 12/02/2020, se acordó interponer recurso contencioso-administrativo contra la anterior resolución de la secretaria general de Financiación Autonómica y Local del Ministerio.</w:t>
      </w:r>
    </w:p>
    <w:p w14:paraId="59F23DE7" w14:textId="401F6A82" w:rsidR="00E729AA" w:rsidRPr="00E729AA" w:rsidRDefault="00E729AA" w:rsidP="00B65854">
      <w:pPr>
        <w:numPr>
          <w:ilvl w:val="0"/>
          <w:numId w:val="123"/>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anterior recurso finalizó por Sentencia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395/2020, de 16/12/2020, y dictada por la Sección 4ª del Tribunal Superior de Justicia de Madrid, en el Procedimiento Ordinario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192/2020, desestimatoria del recurso y que ha adquirido firmeza por Providencia de 15/07/2021, de la Sala de lo Contencioso-Administrativo del Tribunal Supremo, se inadmite a trámite el recurso de casación núm. 1334/2021, interpuesto por la Diputación frente a la Sentencia antes citada. Se indica que no se ha modificado la forma de provisión de los puestos de trabajo reservados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51.868 (viceinterventor/a),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23.423 (viceinterventor/a segundo/a) y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72.142 (Tesorero/a) y que los mismos se encuentran en la actualidad provistos con carácter definitivo mediante concurso.</w:t>
      </w:r>
    </w:p>
    <w:p w14:paraId="3D3DBAFB" w14:textId="3AE13871" w:rsidR="00E729AA" w:rsidRPr="00E729AA" w:rsidRDefault="00E729AA" w:rsidP="00E729AA">
      <w:pPr>
        <w:numPr>
          <w:ilvl w:val="0"/>
          <w:numId w:val="123"/>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resolución del concurso, por el que se adjudican los puestos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51.868 (viceinterventor/a) y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23.423 (viceinterventor/a segundo/a), se produjo mediante Resolución de fecha 5/03/21, de la Dirección General de la Función Pública (BOE núm</w:t>
      </w:r>
      <w:r w:rsidR="00D53DAD">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63 de fecha 15/03/21); y la resolución del concurso, por el que se adjudica el puesto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72.142 (Tesorero/a), se produjo mediante Resolución de fecha 13/09/2018, de la Dirección General de la Función Pública (BOE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232 de fecha 25/09/2018).</w:t>
      </w:r>
    </w:p>
    <w:p w14:paraId="043B16E3"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Conclusión y archivo del expediente.</w:t>
      </w:r>
    </w:p>
    <w:p w14:paraId="69E9C4E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No procede.</w:t>
      </w:r>
    </w:p>
    <w:p w14:paraId="4834965B"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89" w:name="_Toc95209117"/>
      <w:bookmarkStart w:id="390" w:name="_Toc95913909"/>
      <w:bookmarkStart w:id="391" w:name="_Toc99107085"/>
      <w:r w:rsidRPr="00E729AA">
        <w:rPr>
          <w:rFonts w:ascii="Arial" w:eastAsia="Times New Roman" w:hAnsi="Arial" w:cs="Arial"/>
          <w:b/>
          <w:bCs/>
          <w:color w:val="9D2235" w:themeColor="accent1"/>
          <w:sz w:val="28"/>
          <w:szCs w:val="28"/>
          <w:lang w:eastAsia="es-ES"/>
        </w:rPr>
        <w:t>Denominación: Ayuntamiento de Tous. Adquisición de la báscula municipal</w:t>
      </w:r>
      <w:bookmarkEnd w:id="389"/>
      <w:bookmarkEnd w:id="390"/>
      <w:bookmarkEnd w:id="391"/>
      <w:r w:rsidRPr="00E729AA">
        <w:rPr>
          <w:rFonts w:ascii="Arial" w:eastAsia="Times New Roman" w:hAnsi="Arial" w:cs="Arial"/>
          <w:b/>
          <w:bCs/>
          <w:color w:val="9D2235" w:themeColor="accent1"/>
          <w:sz w:val="28"/>
          <w:szCs w:val="28"/>
          <w:lang w:eastAsia="es-ES"/>
        </w:rPr>
        <w:t xml:space="preserve"> </w:t>
      </w:r>
    </w:p>
    <w:p w14:paraId="24790E3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2020/G01_01/000234 </w:t>
      </w:r>
    </w:p>
    <w:p w14:paraId="5323B9DC"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79" w:history="1">
        <w:r w:rsidRPr="00E729AA">
          <w:rPr>
            <w:rFonts w:ascii="Arial" w:eastAsia="Times New Roman" w:hAnsi="Arial" w:cs="Arial"/>
            <w:color w:val="000080"/>
            <w:sz w:val="18"/>
            <w:szCs w:val="18"/>
            <w:u w:val="single"/>
            <w:lang w:eastAsia="es-ES"/>
          </w:rPr>
          <w:t>https://www.antifraucv.es/wp-content/uploads/2022/01/20211216-_AYUNTAMIENTO-DE-TOUS.pdf</w:t>
        </w:r>
      </w:hyperlink>
    </w:p>
    <w:p w14:paraId="1C9E1141"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analiza el suministro e instalación de la báscula municipal sin tramitar procedimiento de contratación administrativa (por importe de 42.269,74 €), así como la realización del proyecto técnico por parte del ingeniero agrónomo municipal. </w:t>
      </w:r>
    </w:p>
    <w:p w14:paraId="7708A667"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De los datos aportados, se concluye que el proyecto constructivo de la báscula municipal fue encargado al ingeniero agrónomo municipal. El citado ingeniero facturó simultáneamente a la realización de servicios como empleado público y durante el periodo indicado a la entidad local, por la prestación de servicios en concepto de honorarios por redacción de proyectos.</w:t>
      </w:r>
    </w:p>
    <w:p w14:paraId="21E4BBA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Por otra parte, no se aporta expediente de contratación, ni resolución que justifique la adjudicación para la realización de los trabajos de suministro e instalación de la báscula.</w:t>
      </w:r>
    </w:p>
    <w:p w14:paraId="5F0091DF" w14:textId="77777777" w:rsidR="00E729AA" w:rsidRPr="00E729AA" w:rsidRDefault="00E729AA" w:rsidP="00B6585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xml:space="preserve"> Se finaliza el expediente con las siguientes recomendaciones:</w:t>
      </w:r>
    </w:p>
    <w:p w14:paraId="33E8F06E" w14:textId="77777777" w:rsidR="00E729AA" w:rsidRPr="00E729AA" w:rsidRDefault="00E729AA" w:rsidP="00B65854">
      <w:pPr>
        <w:numPr>
          <w:ilvl w:val="0"/>
          <w:numId w:val="124"/>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El inicio de la revisión de oficio de los pagos realizados por el suministro e instalación de la báscula municipal y el cobro de honorarios por el ingeniero agrónomo municipal por facturación de servicios. </w:t>
      </w:r>
    </w:p>
    <w:p w14:paraId="0A5C6C54" w14:textId="77777777" w:rsidR="00E729AA" w:rsidRPr="00E729AA" w:rsidRDefault="00E729AA" w:rsidP="00E729AA">
      <w:pPr>
        <w:numPr>
          <w:ilvl w:val="0"/>
          <w:numId w:val="124"/>
        </w:numPr>
        <w:spacing w:after="24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La implementación de medidas para asegurar el cumplimiento del procedimiento administrativo en materia de contratación pública con una adecuada planificación, dictando instrucciones internas en aras a garantizar que la actividad sujeta a potestades públicas no pueda prestarse por medios externos, sino por personal funcionario aplicando el régimen de incompatibilidades. Se inicien los expedientes que procedan para depurar las responsabilidades que puedan exigirse en relación con la contratación verbal. </w:t>
      </w:r>
    </w:p>
    <w:p w14:paraId="16B4871E"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 xml:space="preserve">Fase de seguimiento: </w:t>
      </w:r>
      <w:r w:rsidRPr="00E729AA">
        <w:rPr>
          <w:rFonts w:ascii="Arial" w:eastAsia="Times New Roman" w:hAnsi="Arial" w:cs="Arial"/>
          <w:sz w:val="21"/>
          <w:szCs w:val="21"/>
          <w:lang w:eastAsia="es-ES"/>
        </w:rPr>
        <w:t>En trámite.</w:t>
      </w:r>
    </w:p>
    <w:p w14:paraId="26B05102"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92" w:name="_Toc95209118"/>
      <w:bookmarkStart w:id="393" w:name="_Toc95913910"/>
      <w:bookmarkStart w:id="394" w:name="_Toc99107086"/>
      <w:r w:rsidRPr="00E729AA">
        <w:rPr>
          <w:rFonts w:ascii="Arial" w:eastAsia="Times New Roman" w:hAnsi="Arial" w:cs="Arial"/>
          <w:b/>
          <w:bCs/>
          <w:color w:val="9D2235" w:themeColor="accent1"/>
          <w:sz w:val="28"/>
          <w:szCs w:val="28"/>
          <w:lang w:eastAsia="es-ES"/>
        </w:rPr>
        <w:t>Denominación: Ayuntamiento de Orihuela. Cesión del derecho de superficie</w:t>
      </w:r>
      <w:bookmarkEnd w:id="392"/>
      <w:bookmarkEnd w:id="393"/>
      <w:bookmarkEnd w:id="394"/>
    </w:p>
    <w:p w14:paraId="55207BA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xml:space="preserve"> 2020/G01_01/000149 [37/2019] - Acumulado 2020/G01_01/000150 [38/2019]</w:t>
      </w:r>
    </w:p>
    <w:p w14:paraId="5A34FC9A"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80" w:history="1">
        <w:r w:rsidRPr="00E729AA">
          <w:rPr>
            <w:rFonts w:ascii="Arial" w:eastAsia="Times New Roman" w:hAnsi="Arial" w:cs="Arial"/>
            <w:color w:val="000080"/>
            <w:sz w:val="18"/>
            <w:szCs w:val="18"/>
            <w:u w:val="single"/>
            <w:lang w:eastAsia="es-ES"/>
          </w:rPr>
          <w:t>https://www.antifraucv.es/wp-content/uploads/2022/01/20211231_AYUNTAMIENTO-DE-ORIHUELA.pdf</w:t>
        </w:r>
      </w:hyperlink>
    </w:p>
    <w:p w14:paraId="3DCB839A" w14:textId="77777777" w:rsidR="00E729AA" w:rsidRPr="00E729AA" w:rsidRDefault="00E729AA" w:rsidP="00B6585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xml:space="preserve"> Se denuncia:</w:t>
      </w:r>
    </w:p>
    <w:p w14:paraId="438474C0" w14:textId="77777777" w:rsidR="00E729AA" w:rsidRPr="00E729AA" w:rsidRDefault="00E729AA" w:rsidP="00B65854">
      <w:pPr>
        <w:numPr>
          <w:ilvl w:val="0"/>
          <w:numId w:val="125"/>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El incumplimiento de las condiciones estipuladas en el acuerdo de cesión del derecho de superficie de los solares ubicados en la Avda. Doctor García Rogel, núm. 3 de Orihuela. </w:t>
      </w:r>
    </w:p>
    <w:p w14:paraId="4B7FC05E" w14:textId="77777777" w:rsidR="00E729AA" w:rsidRPr="00E729AA" w:rsidRDefault="00E729AA" w:rsidP="00E729AA">
      <w:pPr>
        <w:numPr>
          <w:ilvl w:val="0"/>
          <w:numId w:val="125"/>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permuta entre el Ayuntamiento de Orihuela y el Obispado de determinados bienes inmuebles.</w:t>
      </w:r>
    </w:p>
    <w:p w14:paraId="7F03AF16" w14:textId="77777777" w:rsidR="00E729AA" w:rsidRPr="00E729AA" w:rsidRDefault="00E729AA" w:rsidP="00B6585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se concluye:</w:t>
      </w:r>
    </w:p>
    <w:p w14:paraId="4B60D022" w14:textId="77777777" w:rsidR="00E729AA" w:rsidRPr="00E729AA" w:rsidRDefault="00E729AA" w:rsidP="00B65854">
      <w:pPr>
        <w:numPr>
          <w:ilvl w:val="0"/>
          <w:numId w:val="126"/>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Falta de formalización de acuerdo en escritura pública e inscripción en el Registro de la Propiedad.</w:t>
      </w:r>
    </w:p>
    <w:p w14:paraId="5C1D8CFB" w14:textId="77777777" w:rsidR="00E729AA" w:rsidRPr="00E729AA" w:rsidRDefault="00E729AA" w:rsidP="00B65854">
      <w:pPr>
        <w:numPr>
          <w:ilvl w:val="0"/>
          <w:numId w:val="126"/>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Incumplimiento de la condición prevista en el acuerdo e inactividad de la administración. </w:t>
      </w:r>
    </w:p>
    <w:p w14:paraId="74B650D9" w14:textId="77777777" w:rsidR="00E729AA" w:rsidRPr="00E729AA" w:rsidRDefault="00E729AA" w:rsidP="00B65854">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Queda acreditado el incumplimiento de los plazos para ejecutar las obras de construcción de aulas y dependencias del Colegio Sto. Domingo, para posibilitar la disponibilidad de espacios para actividades de extensión universitaria.</w:t>
      </w:r>
    </w:p>
    <w:p w14:paraId="1148829B" w14:textId="77777777" w:rsidR="00E729AA" w:rsidRPr="00E729AA" w:rsidRDefault="00E729AA" w:rsidP="00E729AA">
      <w:pPr>
        <w:spacing w:after="24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El Colegio Diocesano Santo Domingo está utilizando, desde más de 16 años, los solares municipales sin haber cumplido la condición prevista en el acuerdo de cesión. </w:t>
      </w:r>
    </w:p>
    <w:p w14:paraId="25C72BD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xml:space="preserve">: Se finaliza el expediente con la recomendación al Ayuntamiento de Orihuela </w:t>
      </w:r>
      <w:r w:rsidRPr="00E729AA">
        <w:rPr>
          <w:rFonts w:ascii="Arial" w:eastAsia="NSimSun" w:hAnsi="Arial" w:cs="Arial"/>
          <w:kern w:val="2"/>
          <w:sz w:val="21"/>
          <w:szCs w:val="21"/>
          <w:lang w:eastAsia="zh-CN" w:bidi="hi-IN"/>
        </w:rPr>
        <w:t>de que realicen las actuaciones que sean necesarias conforme a la normativa vigente</w:t>
      </w:r>
      <w:r w:rsidRPr="00E729AA">
        <w:rPr>
          <w:rFonts w:ascii="Arial" w:eastAsia="Times New Roman" w:hAnsi="Arial" w:cs="Arial"/>
          <w:sz w:val="21"/>
          <w:szCs w:val="21"/>
          <w:lang w:eastAsia="es-ES"/>
        </w:rPr>
        <w:t xml:space="preserve"> para proceder a la recuperación de la posesión de los bienes municipales ubicados en la Avda. Doctor García Rogel, núm. 3.</w:t>
      </w:r>
    </w:p>
    <w:p w14:paraId="64E954B5"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 xml:space="preserve"> </w:t>
      </w:r>
      <w:bookmarkStart w:id="395" w:name="_Hlk94776974"/>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En trámite. </w:t>
      </w:r>
    </w:p>
    <w:p w14:paraId="666384C9"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96" w:name="_Toc95209119"/>
      <w:bookmarkStart w:id="397" w:name="_Toc95913911"/>
      <w:bookmarkStart w:id="398" w:name="_Toc99107087"/>
      <w:bookmarkEnd w:id="395"/>
      <w:r w:rsidRPr="00E729AA">
        <w:rPr>
          <w:rFonts w:ascii="Arial" w:eastAsia="Times New Roman" w:hAnsi="Arial" w:cs="Arial"/>
          <w:b/>
          <w:bCs/>
          <w:color w:val="9D2235" w:themeColor="accent1"/>
          <w:sz w:val="28"/>
          <w:szCs w:val="28"/>
          <w:lang w:eastAsia="es-ES"/>
        </w:rPr>
        <w:t>Denominación: Ayuntamiento de Chiva. Utilización sin título del teatro municipal Astoria.</w:t>
      </w:r>
      <w:bookmarkEnd w:id="396"/>
      <w:bookmarkEnd w:id="397"/>
      <w:bookmarkEnd w:id="398"/>
    </w:p>
    <w:p w14:paraId="12E9F57A"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2020/G01_01/000070</w:t>
      </w:r>
    </w:p>
    <w:p w14:paraId="347B16B9"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81" w:history="1">
        <w:r w:rsidRPr="00E729AA">
          <w:rPr>
            <w:rFonts w:ascii="Arial" w:eastAsia="Times New Roman" w:hAnsi="Arial" w:cs="Arial"/>
            <w:color w:val="000080"/>
            <w:sz w:val="18"/>
            <w:szCs w:val="18"/>
            <w:u w:val="single"/>
            <w:lang w:eastAsia="es-ES"/>
          </w:rPr>
          <w:t>https://www.antifraucv.es/wp-content/uploads/2022/01/20211229-AYUNTAMIENTO-DE-CHIVA.pdf</w:t>
        </w:r>
      </w:hyperlink>
    </w:p>
    <w:p w14:paraId="71238308"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en particular, que una mercantil está utilizando el cine teatro municipal Astoria de Chiva , sin que exista un título habilitante, ni un procedimiento administrativo de cesión de uso mediante una autorización o concesión de bienes de dominio público, o contrato administrativo formalizado.</w:t>
      </w:r>
    </w:p>
    <w:p w14:paraId="7A66C336" w14:textId="77777777" w:rsidR="00E729AA" w:rsidRPr="00E729AA" w:rsidRDefault="00E729AA" w:rsidP="00B6585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Del estudio detallado de la documentación que consta en el expediente y la obtenida en fuentes abiertas se constató que:</w:t>
      </w:r>
    </w:p>
    <w:p w14:paraId="535BF1D1" w14:textId="77777777" w:rsidR="00E729AA" w:rsidRPr="00E729AA" w:rsidRDefault="00E729AA" w:rsidP="00B65854">
      <w:pPr>
        <w:numPr>
          <w:ilvl w:val="0"/>
          <w:numId w:val="12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desde 2014 la empresa presta el servicio de proyección cinematográfica en el cine-teatro Astoria, un edificio de titularidad municipal, sin cobertura jurídica formalizada para ello.</w:t>
      </w:r>
    </w:p>
    <w:p w14:paraId="0958BADE" w14:textId="77777777" w:rsidR="00E729AA" w:rsidRPr="00E729AA" w:rsidRDefault="00E729AA" w:rsidP="00B65854">
      <w:pPr>
        <w:numPr>
          <w:ilvl w:val="0"/>
          <w:numId w:val="12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por dicho servicio la empresa no abona ningún tipo de contraprestación al Ayuntamiento. Por otra parte, los usuarios del servicio abonan a la empresa las tarifas correspondientes por la utilización del servicio.</w:t>
      </w:r>
    </w:p>
    <w:p w14:paraId="2C058541" w14:textId="77777777" w:rsidR="00E729AA" w:rsidRPr="00E729AA" w:rsidRDefault="00E729AA" w:rsidP="00B65854">
      <w:pPr>
        <w:numPr>
          <w:ilvl w:val="0"/>
          <w:numId w:val="12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La prestación del servicio en un edificio de titularidad municipal no está soportada en ningún procedimiento administrativo, ya sea de contratación, ya sea de carácter patrimonial.</w:t>
      </w:r>
    </w:p>
    <w:p w14:paraId="6AD5E7B3" w14:textId="77777777" w:rsidR="00E729AA" w:rsidRPr="00E729AA" w:rsidRDefault="00E729AA" w:rsidP="00B65854">
      <w:pPr>
        <w:numPr>
          <w:ilvl w:val="0"/>
          <w:numId w:val="12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Si bien la mercantil asume el riesgo operacional, no lo asume en su integridad, al costear el Ayuntamiento los gastos de limpieza, mantenimiento y conservación.</w:t>
      </w:r>
    </w:p>
    <w:p w14:paraId="2B26BD1B" w14:textId="77777777" w:rsidR="00E729AA" w:rsidRPr="00E729AA" w:rsidRDefault="00E729AA" w:rsidP="00B65854">
      <w:pPr>
        <w:numPr>
          <w:ilvl w:val="0"/>
          <w:numId w:val="127"/>
        </w:numPr>
        <w:spacing w:after="120" w:line="276" w:lineRule="auto"/>
        <w:ind w:left="714"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los hechos investigados se dan todos los caracteres necesarios para considerar que se está realizando de facto una concesión de servicios.</w:t>
      </w:r>
    </w:p>
    <w:p w14:paraId="0831910D" w14:textId="77777777" w:rsidR="00E729AA" w:rsidRPr="00E729AA" w:rsidRDefault="00E729AA" w:rsidP="00E729AA">
      <w:pPr>
        <w:numPr>
          <w:ilvl w:val="0"/>
          <w:numId w:val="127"/>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No obstante, lo anterior, el Ayuntamiento ha iniciado trámites para poder adjudicar el servicio de proyecciones cinematográficas a realizar en el cine-teatro municipal Astoria, encuadrándolo como contrato de servicios y no de concesión de servicio, sin que conste que el citado contrato haya sido adjudicado a fecha actual.</w:t>
      </w:r>
    </w:p>
    <w:p w14:paraId="709643D6" w14:textId="77777777" w:rsidR="00E729AA" w:rsidRPr="00E729AA" w:rsidRDefault="00E729AA" w:rsidP="00B6585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con las siguientes recomendaciones:</w:t>
      </w:r>
    </w:p>
    <w:p w14:paraId="4FB557B6" w14:textId="77777777" w:rsidR="00E729AA" w:rsidRPr="00E729AA" w:rsidRDefault="00E729AA" w:rsidP="00B65854">
      <w:pPr>
        <w:numPr>
          <w:ilvl w:val="0"/>
          <w:numId w:val="128"/>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proceda a adoptar la medidas necesarias para regularizar la situación jurídica de la prestación del servicio de cine municipal en el cine-teatro Astoria de Chiva por parte de una empresa, que se encuentra sin título habilitante que dé cobertura jurídica a la prestación, ya sea realizando y finalizando la licitación pública con la adjudicación a la oferta más ventajosa, ya sea adoptando la decisiones de gestión que garanticen la terminación de la actual situación de prestación del servicio sin cobertura contractual.</w:t>
      </w:r>
    </w:p>
    <w:p w14:paraId="7AF2BB67" w14:textId="77777777" w:rsidR="00E729AA" w:rsidRPr="00E729AA" w:rsidRDefault="00E729AA" w:rsidP="00E729AA">
      <w:pPr>
        <w:numPr>
          <w:ilvl w:val="0"/>
          <w:numId w:val="128"/>
        </w:numPr>
        <w:spacing w:after="24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realicen las actuaciones administrativas que resulten procedentes, en orden a valorar la existencia de posibles responsabilidades administrativas, por parte de cargos electos y/o empleados municipales, derivadas de la utilización continuada del cine-teatro Astoria de Chiva por parte de una empresa sin título habilitante desde 2014.</w:t>
      </w:r>
    </w:p>
    <w:p w14:paraId="4D0C59E6"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En trámite. </w:t>
      </w:r>
    </w:p>
    <w:p w14:paraId="6DE1B394"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399" w:name="_Toc95209120"/>
      <w:bookmarkStart w:id="400" w:name="_Toc95913912"/>
      <w:bookmarkStart w:id="401" w:name="_Toc99107088"/>
      <w:r w:rsidRPr="00E729AA">
        <w:rPr>
          <w:rFonts w:ascii="Arial" w:eastAsia="Times New Roman" w:hAnsi="Arial" w:cs="Arial"/>
          <w:b/>
          <w:bCs/>
          <w:color w:val="9D2235" w:themeColor="accent1"/>
          <w:sz w:val="28"/>
          <w:szCs w:val="28"/>
          <w:lang w:eastAsia="es-ES"/>
        </w:rPr>
        <w:t>Denominación: Ayuntamiento de Turís. Irregularidades acceso empleo público</w:t>
      </w:r>
      <w:bookmarkEnd w:id="399"/>
      <w:bookmarkEnd w:id="400"/>
      <w:bookmarkEnd w:id="401"/>
      <w:r w:rsidRPr="00E729AA">
        <w:rPr>
          <w:rFonts w:ascii="Arial" w:eastAsia="Times New Roman" w:hAnsi="Arial" w:cs="Arial"/>
          <w:b/>
          <w:bCs/>
          <w:color w:val="9D2235" w:themeColor="accent1"/>
          <w:sz w:val="28"/>
          <w:szCs w:val="28"/>
          <w:lang w:eastAsia="es-ES"/>
        </w:rPr>
        <w:t xml:space="preserve"> </w:t>
      </w:r>
    </w:p>
    <w:p w14:paraId="06B32B9B"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2020/G01_02/000017</w:t>
      </w:r>
    </w:p>
    <w:p w14:paraId="229C9015"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82" w:history="1">
        <w:r w:rsidRPr="00E729AA">
          <w:rPr>
            <w:rFonts w:ascii="Arial" w:eastAsia="Times New Roman" w:hAnsi="Arial" w:cs="Arial"/>
            <w:color w:val="000080"/>
            <w:sz w:val="18"/>
            <w:szCs w:val="18"/>
            <w:u w:val="single"/>
            <w:lang w:eastAsia="es-ES"/>
          </w:rPr>
          <w:t>https://www.antifraucv.es/wp-content/uploads/2022/01/20211231-AYUNTAMIENTO-DE-TURIS.pdf</w:t>
        </w:r>
      </w:hyperlink>
    </w:p>
    <w:p w14:paraId="6B504700"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denuncia la posible existencia de conductas contrarias a la normativa vigente en materia de acceso al empleo público, acontecidas en el Ayuntamiento de Turís.</w:t>
      </w:r>
    </w:p>
    <w:p w14:paraId="01C0AEE2" w14:textId="77777777" w:rsidR="00E729AA" w:rsidRPr="00E729AA" w:rsidRDefault="00E729AA" w:rsidP="00B65854">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verificado en la fase de investigación que:</w:t>
      </w:r>
    </w:p>
    <w:p w14:paraId="5801CC85" w14:textId="77777777" w:rsidR="00E729AA" w:rsidRPr="00E729AA" w:rsidRDefault="00E729AA" w:rsidP="00B65854">
      <w:pPr>
        <w:numPr>
          <w:ilvl w:val="0"/>
          <w:numId w:val="129"/>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Mediante resolución de la alcaldía de 4/01/10, se procedió a contratar a un abogado para el puesto de Asesor jurídico-urbanístico, mediante contrato laboral, por el servicio determinado de tramitación del expediente del PGOU hasta la aprobación definitiva, a jornada completa (35 horas) de lunes a viernes, en horario de 8 a 15 horas.</w:t>
      </w:r>
    </w:p>
    <w:p w14:paraId="581001E7" w14:textId="77777777" w:rsidR="00E729AA" w:rsidRPr="00E729AA" w:rsidRDefault="00E729AA" w:rsidP="00B65854">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dicha resolución, se indica que, además, realizará funciones de asesoramiento en materias jurídico-urbanísticas y asistencia en juicios en defensa, recibiendo las retribuciones asignadas a dicho puesto de trabajo en el capítulo 1 del Presupuesto General municipal. Según la citada resolución, el contrato quedaría extinguido en el momento en que se hubiera finalizado el servicio para el que fue contratado, es decir, con la aprobación definitiva del PGOU de Turís. No consta que dicho PGOU esté aprobado.</w:t>
      </w:r>
    </w:p>
    <w:p w14:paraId="7925E7DC" w14:textId="77777777" w:rsidR="00E729AA" w:rsidRPr="00E729AA" w:rsidRDefault="00E729AA" w:rsidP="00B65854">
      <w:pPr>
        <w:spacing w:after="12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la resolución no se contemplan las retribuciones que va a percibir el trabajador, estableciéndose en el contrato de trabajo que percibirá una retribución total “según acuerdo con el Ayuntamiento”, en concepto de salario base y pagas extraordinarias. No se indica el importe ni el convenio aplicable para fijar la retribución. En la resolución, no consta el puesto de la RPT que se va a ocupar o la plaza correspondiente de la plantilla municipal.</w:t>
      </w:r>
    </w:p>
    <w:p w14:paraId="3E3CE72C" w14:textId="77777777" w:rsidR="00E729AA" w:rsidRPr="00E729AA" w:rsidRDefault="00E729AA" w:rsidP="00B65854">
      <w:pPr>
        <w:numPr>
          <w:ilvl w:val="0"/>
          <w:numId w:val="129"/>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En el expediente remitido, no consta que previamente a dictar dicha resolución se haya tramitado proceso selectivo alguno, que garantice que se haya accedido al puesto respetando los principios de igualdad, mérito y capacidad, y en la RPT publicada en el portal de transparencia del Ayuntamiento, no aparece un puesto de asesor jurídico urbanístico de carácter laboral.</w:t>
      </w:r>
    </w:p>
    <w:p w14:paraId="417D4D63" w14:textId="77777777" w:rsidR="00E729AA" w:rsidRPr="00E729AA" w:rsidRDefault="00E729AA" w:rsidP="00B65854">
      <w:pPr>
        <w:numPr>
          <w:ilvl w:val="0"/>
          <w:numId w:val="129"/>
        </w:numPr>
        <w:spacing w:after="12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El Ayuntamiento de Turís, ha presentado un escrito en periodo de alegaciones al informe provisional de investigación, en el que se manifiesta la voluntad de regularizar la situación del puesto de Asesor jurídico-urbanístico, habiendo realizado al día de la fecha las siguientes actuaciones:</w:t>
      </w:r>
    </w:p>
    <w:p w14:paraId="7F0EB6F6" w14:textId="16AA17D6" w:rsidR="00E729AA" w:rsidRPr="00E729AA" w:rsidRDefault="00E729AA" w:rsidP="00B65854">
      <w:pPr>
        <w:numPr>
          <w:ilvl w:val="0"/>
          <w:numId w:val="35"/>
        </w:numPr>
        <w:spacing w:after="120" w:line="276" w:lineRule="auto"/>
        <w:ind w:left="1560"/>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Inicio del expediente de modificación de la plantilla de personal funcionario y la consiguiente modificación de la RPT, con la intención de crear el puesto que está ocupando actualmente E.T.A, como asesor jurídico-urbanístico, código PF/41 (expediente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2935/2021).</w:t>
      </w:r>
    </w:p>
    <w:p w14:paraId="728E0010" w14:textId="377ED373" w:rsidR="00E729AA" w:rsidRPr="00E729AA" w:rsidRDefault="00E729AA" w:rsidP="00B65854">
      <w:pPr>
        <w:numPr>
          <w:ilvl w:val="0"/>
          <w:numId w:val="35"/>
        </w:numPr>
        <w:spacing w:after="120" w:line="276" w:lineRule="auto"/>
        <w:ind w:left="1560"/>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Inicio del expediente de aprobación de una OEP para Consolidación de Empleo Temporal incluyendo el puesto anterior (expediente con núm</w:t>
      </w:r>
      <w:r w:rsidR="00005E44">
        <w:rPr>
          <w:rFonts w:ascii="Arial" w:eastAsia="Times New Roman" w:hAnsi="Arial" w:cs="Arial"/>
          <w:sz w:val="21"/>
          <w:szCs w:val="21"/>
          <w:lang w:eastAsia="es-ES"/>
        </w:rPr>
        <w:t>.</w:t>
      </w:r>
      <w:r w:rsidRPr="00E729AA">
        <w:rPr>
          <w:rFonts w:ascii="Arial" w:eastAsia="Times New Roman" w:hAnsi="Arial" w:cs="Arial"/>
          <w:sz w:val="21"/>
          <w:szCs w:val="21"/>
          <w:lang w:eastAsia="es-ES"/>
        </w:rPr>
        <w:t xml:space="preserve"> 2661/2021).</w:t>
      </w:r>
    </w:p>
    <w:p w14:paraId="4CA55A07" w14:textId="77777777" w:rsidR="00E729AA" w:rsidRPr="00E729AA" w:rsidRDefault="00E729AA" w:rsidP="00E729AA">
      <w:pPr>
        <w:numPr>
          <w:ilvl w:val="0"/>
          <w:numId w:val="129"/>
        </w:num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Se ha indicado por el Ayuntamiento, que se van a iniciar los procesos de estabilización del empleo público correspondientes, de conformidad con el artículo 2.2 del Real Decreto Ley 14/2021.</w:t>
      </w:r>
    </w:p>
    <w:p w14:paraId="7E7B8DE3" w14:textId="77777777" w:rsidR="00E729AA" w:rsidRPr="00E729AA" w:rsidRDefault="00E729AA" w:rsidP="00B65854">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han efectuado las siguientes recomendaciones:</w:t>
      </w:r>
    </w:p>
    <w:p w14:paraId="64FF4B61" w14:textId="77777777" w:rsidR="00E729AA" w:rsidRPr="00E729AA" w:rsidRDefault="00E729AA" w:rsidP="00B65854">
      <w:pPr>
        <w:numPr>
          <w:ilvl w:val="0"/>
          <w:numId w:val="130"/>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proceda a remitir el certificado del acuerdo plenario de aprobación de la modificación de la plantilla de funcionarios y de la Relación de Puestos de Trabajo municipal, mediante el que se crea el puesto de asesor jurídico-urbanístico,  recogiendo las funciones y las retribuciones correspondientes al mismo.</w:t>
      </w:r>
    </w:p>
    <w:p w14:paraId="30FBA347" w14:textId="77777777" w:rsidR="00E729AA" w:rsidRPr="00E729AA" w:rsidRDefault="00E729AA" w:rsidP="00B65854">
      <w:pPr>
        <w:numPr>
          <w:ilvl w:val="0"/>
          <w:numId w:val="130"/>
        </w:numPr>
        <w:spacing w:after="120" w:line="276" w:lineRule="auto"/>
        <w:ind w:left="709" w:hanging="357"/>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se proceda a remitir el certificado del acuerdo plenario de aprobación de la oferta de empleo público</w:t>
      </w:r>
      <w:r w:rsidRPr="00E729AA">
        <w:rPr>
          <w:rFonts w:ascii="Arial" w:eastAsia="Times New Roman" w:hAnsi="Arial" w:cs="Arial"/>
          <w:b/>
          <w:bCs/>
          <w:sz w:val="21"/>
          <w:szCs w:val="21"/>
          <w:lang w:eastAsia="es-ES"/>
        </w:rPr>
        <w:t xml:space="preserve"> </w:t>
      </w:r>
      <w:r w:rsidRPr="00E729AA">
        <w:rPr>
          <w:rFonts w:ascii="Arial" w:eastAsia="Times New Roman" w:hAnsi="Arial" w:cs="Arial"/>
          <w:sz w:val="21"/>
          <w:szCs w:val="21"/>
          <w:lang w:eastAsia="es-ES"/>
        </w:rPr>
        <w:t>para Consolidación de Empleo Temporal, en la que se incluya el puesto anterior.</w:t>
      </w:r>
    </w:p>
    <w:p w14:paraId="40B3A8DE" w14:textId="77777777" w:rsidR="00E729AA" w:rsidRPr="00E729AA" w:rsidRDefault="00E729AA" w:rsidP="00E729AA">
      <w:pPr>
        <w:numPr>
          <w:ilvl w:val="0"/>
          <w:numId w:val="130"/>
        </w:numPr>
        <w:spacing w:after="240" w:line="276" w:lineRule="auto"/>
        <w:ind w:left="709"/>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Que una vez adoptados los acuerdos anteriores se proceda a iniciar el procedimiento selectivo para la cobertura del citado puesto de trabajo de manera definitiva, cumpliendo los principios constitucionales de publicidad, capacidad y mérito.</w:t>
      </w:r>
    </w:p>
    <w:p w14:paraId="476230D4"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En trámite. </w:t>
      </w:r>
    </w:p>
    <w:p w14:paraId="1CF8093D" w14:textId="77777777" w:rsidR="00E729AA" w:rsidRPr="00E729AA" w:rsidRDefault="00E729AA" w:rsidP="0061695D">
      <w:pPr>
        <w:keepNext/>
        <w:numPr>
          <w:ilvl w:val="2"/>
          <w:numId w:val="17"/>
        </w:numPr>
        <w:tabs>
          <w:tab w:val="clear" w:pos="794"/>
          <w:tab w:val="num" w:pos="1134"/>
        </w:tabs>
        <w:spacing w:before="360" w:after="240" w:line="276" w:lineRule="auto"/>
        <w:ind w:left="1134" w:hanging="1213"/>
        <w:jc w:val="both"/>
        <w:outlineLvl w:val="2"/>
        <w:rPr>
          <w:rFonts w:ascii="Arial" w:eastAsia="Times New Roman" w:hAnsi="Arial" w:cs="Arial"/>
          <w:b/>
          <w:bCs/>
          <w:color w:val="9D2235" w:themeColor="accent1"/>
          <w:sz w:val="28"/>
          <w:szCs w:val="28"/>
          <w:lang w:eastAsia="es-ES"/>
        </w:rPr>
      </w:pPr>
      <w:bookmarkStart w:id="402" w:name="_Toc95209121"/>
      <w:bookmarkStart w:id="403" w:name="_Toc95913913"/>
      <w:bookmarkStart w:id="404" w:name="_Toc99107089"/>
      <w:r w:rsidRPr="00E729AA">
        <w:rPr>
          <w:rFonts w:ascii="Arial" w:eastAsia="Times New Roman" w:hAnsi="Arial" w:cs="Arial"/>
          <w:b/>
          <w:bCs/>
          <w:color w:val="9D2235" w:themeColor="accent1"/>
          <w:sz w:val="28"/>
          <w:szCs w:val="28"/>
          <w:lang w:eastAsia="es-ES"/>
        </w:rPr>
        <w:t>Denominación: Ayuntamiento de Benidorm. Hoteles abiertos al público sin licencia</w:t>
      </w:r>
      <w:bookmarkEnd w:id="402"/>
      <w:bookmarkEnd w:id="403"/>
      <w:bookmarkEnd w:id="404"/>
      <w:r w:rsidRPr="00E729AA">
        <w:rPr>
          <w:rFonts w:ascii="Arial" w:eastAsia="Times New Roman" w:hAnsi="Arial" w:cs="Arial"/>
          <w:b/>
          <w:bCs/>
          <w:color w:val="9D2235" w:themeColor="accent1"/>
          <w:sz w:val="28"/>
          <w:szCs w:val="28"/>
          <w:lang w:eastAsia="es-ES"/>
        </w:rPr>
        <w:t xml:space="preserve"> </w:t>
      </w:r>
    </w:p>
    <w:p w14:paraId="728722E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Expediente</w:t>
      </w:r>
      <w:r w:rsidRPr="00E729AA">
        <w:rPr>
          <w:rFonts w:ascii="Arial" w:eastAsia="Times New Roman" w:hAnsi="Arial" w:cs="Arial"/>
          <w:sz w:val="21"/>
          <w:szCs w:val="21"/>
          <w:lang w:eastAsia="es-ES"/>
        </w:rPr>
        <w:t>: 2020/G01_01/000269 [23/2019]</w:t>
      </w:r>
    </w:p>
    <w:p w14:paraId="4553E006" w14:textId="77777777" w:rsidR="00E729AA" w:rsidRPr="00E729AA" w:rsidRDefault="00E729AA" w:rsidP="00E729AA">
      <w:pPr>
        <w:spacing w:after="240" w:line="276" w:lineRule="auto"/>
        <w:rPr>
          <w:rFonts w:ascii="Arial" w:eastAsia="Times New Roman" w:hAnsi="Arial" w:cs="Arial"/>
          <w:sz w:val="21"/>
          <w:szCs w:val="21"/>
          <w:lang w:eastAsia="es-ES"/>
        </w:rPr>
      </w:pPr>
      <w:r w:rsidRPr="00E729AA">
        <w:rPr>
          <w:rFonts w:ascii="Arial" w:eastAsia="Times New Roman" w:hAnsi="Arial" w:cs="Arial"/>
          <w:b/>
          <w:bCs/>
          <w:sz w:val="21"/>
          <w:szCs w:val="21"/>
        </w:rPr>
        <w:t>Enlace a la publicación:</w:t>
      </w:r>
      <w:r w:rsidRPr="00E729AA">
        <w:rPr>
          <w:rFonts w:ascii="Arial" w:eastAsia="Times New Roman" w:hAnsi="Arial" w:cs="Arial"/>
          <w:b/>
          <w:bCs/>
          <w:sz w:val="21"/>
          <w:szCs w:val="21"/>
        </w:rPr>
        <w:br/>
      </w:r>
      <w:hyperlink r:id="rId483" w:history="1">
        <w:r w:rsidRPr="00E729AA">
          <w:rPr>
            <w:rFonts w:ascii="Arial" w:eastAsia="Times New Roman" w:hAnsi="Arial" w:cs="Arial"/>
            <w:color w:val="000080"/>
            <w:sz w:val="18"/>
            <w:szCs w:val="18"/>
            <w:u w:val="single"/>
            <w:lang w:eastAsia="es-ES"/>
          </w:rPr>
          <w:t>https://www.antifraucv.es/wp-content/uploads/2022/01/20211230_AYUNTAMIENTO-DE-BENIDORM.pdf</w:t>
        </w:r>
      </w:hyperlink>
    </w:p>
    <w:p w14:paraId="3DC61ED2"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Descripción</w:t>
      </w:r>
      <w:r w:rsidRPr="00E729AA">
        <w:rPr>
          <w:rFonts w:ascii="Arial" w:eastAsia="Times New Roman" w:hAnsi="Arial" w:cs="Arial"/>
          <w:sz w:val="21"/>
          <w:szCs w:val="21"/>
          <w:lang w:eastAsia="es-ES"/>
        </w:rPr>
        <w:t>: Se ponen en conocimiento de la Agencia presuntas irregularidades en relación con las licencias de apertura de ciertos hoteles en el municipio de Benidorm.</w:t>
      </w:r>
    </w:p>
    <w:p w14:paraId="7499338E"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sz w:val="21"/>
          <w:szCs w:val="21"/>
          <w:lang w:eastAsia="es-ES"/>
        </w:rPr>
        <w:t>Tras la instrucción del oportuno procedimiento de investigación, en el que se efectuó el preceptivo trámite de audiencia a la administración denunciada, se evidenció que en el municipio de Benidorm existen instalaciones hoteleras que están desarrollando su actividad sin disponer de las preceptivas licencias.</w:t>
      </w:r>
    </w:p>
    <w:p w14:paraId="345BC38D" w14:textId="77777777" w:rsidR="00E729AA" w:rsidRPr="00E729AA" w:rsidRDefault="00E729AA" w:rsidP="00E729AA">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Resultado</w:t>
      </w:r>
      <w:r w:rsidRPr="00E729AA">
        <w:rPr>
          <w:rFonts w:ascii="Arial" w:eastAsia="Times New Roman" w:hAnsi="Arial" w:cs="Arial"/>
          <w:sz w:val="21"/>
          <w:szCs w:val="21"/>
          <w:lang w:eastAsia="es-ES"/>
        </w:rPr>
        <w:t>: Se finaliza el expediente recomendando que se adopten las medidas que proceda ante las situaciones irregulares de los establecimientos públicos en los que, según constata en los informes y listados municipales, se ejercen actividades hoteleras sin contar con la preceptiva autorización administrativa o sin ajustarse a las condiciones para las que se dispone de la oportuna autorización administrativa.</w:t>
      </w:r>
    </w:p>
    <w:p w14:paraId="25CA2B0C" w14:textId="4BC11329" w:rsidR="00E729AA" w:rsidRDefault="00E729AA" w:rsidP="000D5E0B">
      <w:pPr>
        <w:spacing w:after="240" w:line="276" w:lineRule="auto"/>
        <w:jc w:val="both"/>
        <w:rPr>
          <w:rFonts w:ascii="Arial" w:eastAsia="Times New Roman" w:hAnsi="Arial" w:cs="Arial"/>
          <w:sz w:val="21"/>
          <w:szCs w:val="21"/>
          <w:lang w:eastAsia="es-ES"/>
        </w:rPr>
      </w:pPr>
      <w:r w:rsidRPr="00E729AA">
        <w:rPr>
          <w:rFonts w:ascii="Arial" w:eastAsia="Times New Roman" w:hAnsi="Arial" w:cs="Arial"/>
          <w:b/>
          <w:bCs/>
          <w:sz w:val="21"/>
          <w:szCs w:val="21"/>
          <w:lang w:eastAsia="es-ES"/>
        </w:rPr>
        <w:t>Fase de seguimiento:</w:t>
      </w:r>
      <w:r w:rsidRPr="00E729AA">
        <w:rPr>
          <w:rFonts w:ascii="Arial" w:eastAsia="Times New Roman" w:hAnsi="Arial" w:cs="Arial"/>
          <w:sz w:val="21"/>
          <w:szCs w:val="21"/>
          <w:lang w:eastAsia="es-ES"/>
        </w:rPr>
        <w:t xml:space="preserve"> En trámite.</w:t>
      </w:r>
    </w:p>
    <w:p w14:paraId="317A59CA" w14:textId="6865D5DB" w:rsidR="00923884" w:rsidRDefault="00923884" w:rsidP="000D5E0B">
      <w:pPr>
        <w:spacing w:after="240" w:line="276" w:lineRule="auto"/>
        <w:jc w:val="both"/>
        <w:rPr>
          <w:rFonts w:ascii="Arial" w:eastAsia="Times New Roman" w:hAnsi="Arial" w:cs="Arial"/>
          <w:sz w:val="21"/>
          <w:szCs w:val="21"/>
          <w:lang w:eastAsia="es-ES"/>
        </w:rPr>
        <w:sectPr w:rsidR="00923884" w:rsidSect="00DD0CB6">
          <w:headerReference w:type="default" r:id="rId484"/>
          <w:footerReference w:type="default" r:id="rId485"/>
          <w:pgSz w:w="11906" w:h="16838"/>
          <w:pgMar w:top="1134" w:right="1701" w:bottom="1985" w:left="1701" w:header="567" w:footer="567" w:gutter="0"/>
          <w:cols w:space="720"/>
        </w:sectPr>
      </w:pPr>
    </w:p>
    <w:p w14:paraId="7167486B" w14:textId="4B682879" w:rsidR="00DD5D78" w:rsidRPr="00DD5D78" w:rsidRDefault="00DD5D78" w:rsidP="00DD5D78">
      <w:pPr>
        <w:pStyle w:val="Descripcin"/>
        <w:keepNext/>
        <w:rPr>
          <w:rFonts w:ascii="Arial" w:hAnsi="Arial" w:cs="Arial"/>
          <w:smallCaps w:val="0"/>
          <w:sz w:val="18"/>
          <w:szCs w:val="18"/>
        </w:rPr>
      </w:pPr>
      <w:bookmarkStart w:id="405" w:name="_Toc99107155"/>
      <w:r w:rsidRPr="00CC6B7D">
        <w:rPr>
          <w:rFonts w:ascii="Arial" w:hAnsi="Arial" w:cs="Arial"/>
          <w:smallCaps w:val="0"/>
          <w:color w:val="9D2235" w:themeColor="accent1"/>
          <w:sz w:val="18"/>
          <w:szCs w:val="18"/>
        </w:rPr>
        <w:t xml:space="preserve">Tabla </w:t>
      </w:r>
      <w:r w:rsidRPr="00CC6B7D">
        <w:rPr>
          <w:rFonts w:ascii="Arial" w:hAnsi="Arial" w:cs="Arial"/>
          <w:smallCaps w:val="0"/>
          <w:color w:val="9D2235" w:themeColor="accent1"/>
          <w:sz w:val="18"/>
          <w:szCs w:val="18"/>
        </w:rPr>
        <w:fldChar w:fldCharType="begin" w:fldLock="1"/>
      </w:r>
      <w:r w:rsidRPr="00CC6B7D">
        <w:rPr>
          <w:rFonts w:ascii="Arial" w:hAnsi="Arial" w:cs="Arial"/>
          <w:smallCaps w:val="0"/>
          <w:color w:val="9D2235" w:themeColor="accent1"/>
          <w:sz w:val="18"/>
          <w:szCs w:val="18"/>
        </w:rPr>
        <w:instrText xml:space="preserve"> SEQ Tabla \* ARABIC </w:instrText>
      </w:r>
      <w:r w:rsidRPr="00CC6B7D">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17</w:t>
      </w:r>
      <w:r w:rsidRPr="00CC6B7D">
        <w:rPr>
          <w:rFonts w:ascii="Arial" w:hAnsi="Arial" w:cs="Arial"/>
          <w:smallCaps w:val="0"/>
          <w:color w:val="9D2235" w:themeColor="accent1"/>
          <w:sz w:val="18"/>
          <w:szCs w:val="18"/>
        </w:rPr>
        <w:fldChar w:fldCharType="end"/>
      </w:r>
      <w:r w:rsidRPr="00CC6B7D">
        <w:rPr>
          <w:rFonts w:ascii="Arial" w:hAnsi="Arial" w:cs="Arial"/>
          <w:smallCaps w:val="0"/>
          <w:color w:val="9D2235" w:themeColor="accent1"/>
          <w:sz w:val="18"/>
          <w:szCs w:val="18"/>
        </w:rPr>
        <w:t xml:space="preserve">. </w:t>
      </w:r>
      <w:r w:rsidRPr="00DD5D78">
        <w:rPr>
          <w:rFonts w:ascii="Arial" w:hAnsi="Arial" w:cs="Arial"/>
          <w:smallCaps w:val="0"/>
          <w:sz w:val="18"/>
          <w:szCs w:val="18"/>
        </w:rPr>
        <w:t>Cuadro resumen investigaciones finalizadas en 2021</w:t>
      </w:r>
      <w:bookmarkEnd w:id="405"/>
    </w:p>
    <w:tbl>
      <w:tblPr>
        <w:tblW w:w="14123" w:type="dxa"/>
        <w:tblLayout w:type="fixed"/>
        <w:tblCellMar>
          <w:left w:w="70" w:type="dxa"/>
          <w:right w:w="70" w:type="dxa"/>
        </w:tblCellMar>
        <w:tblLook w:val="04A0" w:firstRow="1" w:lastRow="0" w:firstColumn="1" w:lastColumn="0" w:noHBand="0" w:noVBand="1"/>
      </w:tblPr>
      <w:tblGrid>
        <w:gridCol w:w="296"/>
        <w:gridCol w:w="1495"/>
        <w:gridCol w:w="2532"/>
        <w:gridCol w:w="2760"/>
        <w:gridCol w:w="926"/>
        <w:gridCol w:w="1559"/>
        <w:gridCol w:w="1134"/>
        <w:gridCol w:w="992"/>
        <w:gridCol w:w="1183"/>
        <w:gridCol w:w="1246"/>
      </w:tblGrid>
      <w:tr w:rsidR="00DD5D78" w:rsidRPr="00DD5D78" w14:paraId="044E8BEE" w14:textId="77777777" w:rsidTr="00CB79E1">
        <w:trPr>
          <w:cantSplit/>
          <w:trHeight w:val="20"/>
          <w:tblHeader/>
        </w:trPr>
        <w:tc>
          <w:tcPr>
            <w:tcW w:w="296" w:type="dxa"/>
            <w:tcBorders>
              <w:top w:val="single" w:sz="4" w:space="0" w:color="auto"/>
              <w:left w:val="single" w:sz="4" w:space="0" w:color="auto"/>
              <w:bottom w:val="single" w:sz="4" w:space="0" w:color="auto"/>
              <w:right w:val="single" w:sz="4" w:space="0" w:color="auto"/>
            </w:tcBorders>
            <w:shd w:val="clear" w:color="000000" w:fill="D1C6C0"/>
            <w:vAlign w:val="center"/>
            <w:hideMark/>
          </w:tcPr>
          <w:p w14:paraId="72933B70" w14:textId="77777777" w:rsidR="00DD5D78" w:rsidRPr="00DD5D78" w:rsidRDefault="00DD5D78" w:rsidP="00DD5D78">
            <w:pPr>
              <w:spacing w:before="60" w:after="60"/>
              <w:jc w:val="center"/>
              <w:rPr>
                <w:rFonts w:ascii="Arial" w:eastAsia="Times New Roman" w:hAnsi="Arial"/>
                <w:b/>
                <w:bCs/>
                <w:color w:val="000000"/>
                <w:sz w:val="14"/>
                <w:szCs w:val="14"/>
                <w:lang w:eastAsia="es-ES"/>
              </w:rPr>
            </w:pPr>
            <w:r w:rsidRPr="00DD5D78">
              <w:rPr>
                <w:rFonts w:ascii="Arial" w:eastAsia="Times New Roman" w:hAnsi="Arial"/>
                <w:b/>
                <w:bCs/>
                <w:color w:val="000000"/>
                <w:sz w:val="14"/>
                <w:szCs w:val="14"/>
                <w:lang w:eastAsia="es-ES"/>
              </w:rPr>
              <w:t>Nº</w:t>
            </w:r>
          </w:p>
        </w:tc>
        <w:tc>
          <w:tcPr>
            <w:tcW w:w="1495" w:type="dxa"/>
            <w:tcBorders>
              <w:top w:val="single" w:sz="4" w:space="0" w:color="auto"/>
              <w:left w:val="nil"/>
              <w:bottom w:val="single" w:sz="4" w:space="0" w:color="auto"/>
              <w:right w:val="single" w:sz="4" w:space="0" w:color="auto"/>
            </w:tcBorders>
            <w:shd w:val="clear" w:color="000000" w:fill="D1C6C0"/>
            <w:vAlign w:val="center"/>
            <w:hideMark/>
          </w:tcPr>
          <w:p w14:paraId="155C2190" w14:textId="77777777" w:rsidR="00DD5D78" w:rsidRPr="00DD5D78" w:rsidRDefault="00DD5D78" w:rsidP="00DD5D78">
            <w:pPr>
              <w:spacing w:before="60" w:after="60"/>
              <w:jc w:val="center"/>
              <w:rPr>
                <w:rFonts w:ascii="Arial" w:eastAsia="Times New Roman" w:hAnsi="Arial"/>
                <w:b/>
                <w:bCs/>
                <w:color w:val="000000"/>
                <w:sz w:val="14"/>
                <w:szCs w:val="14"/>
                <w:lang w:eastAsia="es-ES"/>
              </w:rPr>
            </w:pPr>
            <w:r w:rsidRPr="00DD5D78">
              <w:rPr>
                <w:rFonts w:ascii="Arial" w:eastAsia="Times New Roman" w:hAnsi="Arial"/>
                <w:b/>
                <w:bCs/>
                <w:color w:val="000000"/>
                <w:sz w:val="14"/>
                <w:szCs w:val="14"/>
                <w:lang w:eastAsia="es-ES"/>
              </w:rPr>
              <w:t>Expediente</w:t>
            </w:r>
          </w:p>
        </w:tc>
        <w:tc>
          <w:tcPr>
            <w:tcW w:w="2532" w:type="dxa"/>
            <w:tcBorders>
              <w:top w:val="single" w:sz="4" w:space="0" w:color="auto"/>
              <w:left w:val="nil"/>
              <w:bottom w:val="single" w:sz="4" w:space="0" w:color="auto"/>
              <w:right w:val="single" w:sz="4" w:space="0" w:color="auto"/>
            </w:tcBorders>
            <w:shd w:val="clear" w:color="000000" w:fill="D1C6C0"/>
            <w:vAlign w:val="center"/>
            <w:hideMark/>
          </w:tcPr>
          <w:p w14:paraId="0A805E1E" w14:textId="77777777" w:rsidR="00DD5D78" w:rsidRPr="00DD5D78" w:rsidRDefault="00DD5D78" w:rsidP="00DD5D78">
            <w:pPr>
              <w:spacing w:before="60" w:after="60"/>
              <w:jc w:val="center"/>
              <w:rPr>
                <w:rFonts w:ascii="Arial" w:eastAsia="Times New Roman" w:hAnsi="Arial"/>
                <w:b/>
                <w:bCs/>
                <w:color w:val="000000"/>
                <w:sz w:val="14"/>
                <w:szCs w:val="14"/>
                <w:lang w:eastAsia="es-ES"/>
              </w:rPr>
            </w:pPr>
            <w:r w:rsidRPr="00DD5D78">
              <w:rPr>
                <w:rFonts w:ascii="Arial" w:eastAsia="Times New Roman" w:hAnsi="Arial"/>
                <w:b/>
                <w:bCs/>
                <w:color w:val="000000"/>
                <w:sz w:val="14"/>
                <w:szCs w:val="14"/>
                <w:lang w:eastAsia="es-ES"/>
              </w:rPr>
              <w:t>Entidad afectada</w:t>
            </w:r>
          </w:p>
        </w:tc>
        <w:tc>
          <w:tcPr>
            <w:tcW w:w="2760" w:type="dxa"/>
            <w:tcBorders>
              <w:top w:val="single" w:sz="4" w:space="0" w:color="auto"/>
              <w:left w:val="nil"/>
              <w:bottom w:val="single" w:sz="4" w:space="0" w:color="auto"/>
              <w:right w:val="single" w:sz="4" w:space="0" w:color="auto"/>
            </w:tcBorders>
            <w:shd w:val="clear" w:color="000000" w:fill="D1C6C0"/>
            <w:vAlign w:val="center"/>
            <w:hideMark/>
          </w:tcPr>
          <w:p w14:paraId="79A75F57" w14:textId="77777777" w:rsidR="00DD5D78" w:rsidRPr="00DD5D78" w:rsidRDefault="00DD5D78" w:rsidP="00DD5D78">
            <w:pPr>
              <w:spacing w:before="60" w:after="60"/>
              <w:jc w:val="center"/>
              <w:rPr>
                <w:rFonts w:ascii="Arial" w:eastAsia="Times New Roman" w:hAnsi="Arial"/>
                <w:b/>
                <w:bCs/>
                <w:color w:val="000000"/>
                <w:sz w:val="14"/>
                <w:szCs w:val="14"/>
                <w:lang w:eastAsia="es-ES"/>
              </w:rPr>
            </w:pPr>
            <w:r w:rsidRPr="00DD5D78">
              <w:rPr>
                <w:rFonts w:ascii="Arial" w:eastAsia="Times New Roman" w:hAnsi="Arial"/>
                <w:b/>
                <w:bCs/>
                <w:color w:val="000000"/>
                <w:sz w:val="14"/>
                <w:szCs w:val="14"/>
                <w:lang w:eastAsia="es-ES"/>
              </w:rPr>
              <w:t>Materia</w:t>
            </w:r>
          </w:p>
        </w:tc>
        <w:tc>
          <w:tcPr>
            <w:tcW w:w="926" w:type="dxa"/>
            <w:tcBorders>
              <w:top w:val="single" w:sz="4" w:space="0" w:color="auto"/>
              <w:left w:val="nil"/>
              <w:bottom w:val="single" w:sz="4" w:space="0" w:color="auto"/>
              <w:right w:val="single" w:sz="4" w:space="0" w:color="auto"/>
            </w:tcBorders>
            <w:shd w:val="clear" w:color="000000" w:fill="D1C6C0"/>
            <w:vAlign w:val="center"/>
            <w:hideMark/>
          </w:tcPr>
          <w:p w14:paraId="25018086" w14:textId="77777777" w:rsidR="00DD5D78" w:rsidRPr="00DD5D78" w:rsidRDefault="00DD5D78" w:rsidP="00DD5D78">
            <w:pPr>
              <w:spacing w:before="60" w:after="60"/>
              <w:jc w:val="center"/>
              <w:rPr>
                <w:rFonts w:ascii="Arial" w:eastAsia="Times New Roman" w:hAnsi="Arial"/>
                <w:b/>
                <w:bCs/>
                <w:color w:val="000000"/>
                <w:sz w:val="14"/>
                <w:szCs w:val="14"/>
                <w:lang w:eastAsia="es-ES"/>
              </w:rPr>
            </w:pPr>
            <w:r w:rsidRPr="00DD5D78">
              <w:rPr>
                <w:rFonts w:ascii="Arial" w:eastAsia="Times New Roman" w:hAnsi="Arial"/>
                <w:b/>
                <w:bCs/>
                <w:color w:val="000000"/>
                <w:sz w:val="14"/>
                <w:szCs w:val="14"/>
                <w:lang w:eastAsia="es-ES"/>
              </w:rPr>
              <w:t>Fecha RFI</w:t>
            </w:r>
          </w:p>
        </w:tc>
        <w:tc>
          <w:tcPr>
            <w:tcW w:w="1559" w:type="dxa"/>
            <w:tcBorders>
              <w:top w:val="single" w:sz="4" w:space="0" w:color="auto"/>
              <w:left w:val="nil"/>
              <w:bottom w:val="single" w:sz="4" w:space="0" w:color="auto"/>
              <w:right w:val="single" w:sz="4" w:space="0" w:color="auto"/>
            </w:tcBorders>
            <w:shd w:val="clear" w:color="000000" w:fill="D1C6C0"/>
            <w:vAlign w:val="center"/>
            <w:hideMark/>
          </w:tcPr>
          <w:p w14:paraId="45AC4828" w14:textId="77777777" w:rsidR="00DD5D78" w:rsidRPr="00DD5D78" w:rsidRDefault="00DD5D78" w:rsidP="00DD5D78">
            <w:pPr>
              <w:spacing w:before="60" w:after="60"/>
              <w:jc w:val="center"/>
              <w:rPr>
                <w:rFonts w:ascii="Arial" w:eastAsia="Times New Roman" w:hAnsi="Arial"/>
                <w:b/>
                <w:bCs/>
                <w:color w:val="000000"/>
                <w:sz w:val="14"/>
                <w:szCs w:val="14"/>
                <w:lang w:eastAsia="es-ES"/>
              </w:rPr>
            </w:pPr>
            <w:r w:rsidRPr="00DD5D78">
              <w:rPr>
                <w:rFonts w:ascii="Arial" w:eastAsia="Times New Roman" w:hAnsi="Arial"/>
                <w:b/>
                <w:bCs/>
                <w:color w:val="000000"/>
                <w:sz w:val="14"/>
                <w:szCs w:val="14"/>
                <w:lang w:eastAsia="es-ES"/>
              </w:rPr>
              <w:t>Sentido</w:t>
            </w:r>
          </w:p>
        </w:tc>
        <w:tc>
          <w:tcPr>
            <w:tcW w:w="1134" w:type="dxa"/>
            <w:tcBorders>
              <w:top w:val="single" w:sz="4" w:space="0" w:color="auto"/>
              <w:left w:val="nil"/>
              <w:bottom w:val="single" w:sz="4" w:space="0" w:color="auto"/>
              <w:right w:val="single" w:sz="4" w:space="0" w:color="auto"/>
            </w:tcBorders>
            <w:shd w:val="clear" w:color="000000" w:fill="D1C6C0"/>
            <w:vAlign w:val="center"/>
            <w:hideMark/>
          </w:tcPr>
          <w:p w14:paraId="7D58F833" w14:textId="77777777" w:rsidR="00DD5D78" w:rsidRPr="00DD5D78" w:rsidRDefault="00DD5D78" w:rsidP="00DD5D78">
            <w:pPr>
              <w:spacing w:before="60" w:after="60"/>
              <w:jc w:val="center"/>
              <w:rPr>
                <w:rFonts w:ascii="Arial" w:eastAsia="Times New Roman" w:hAnsi="Arial"/>
                <w:b/>
                <w:bCs/>
                <w:color w:val="000000"/>
                <w:sz w:val="14"/>
                <w:szCs w:val="14"/>
                <w:lang w:eastAsia="es-ES"/>
              </w:rPr>
            </w:pPr>
            <w:r w:rsidRPr="00DD5D78">
              <w:rPr>
                <w:rFonts w:ascii="Arial" w:eastAsia="Times New Roman" w:hAnsi="Arial"/>
                <w:b/>
                <w:bCs/>
                <w:color w:val="000000"/>
                <w:sz w:val="14"/>
                <w:szCs w:val="14"/>
                <w:lang w:eastAsia="es-ES"/>
              </w:rPr>
              <w:t>Importe recuperable (€)*</w:t>
            </w:r>
          </w:p>
        </w:tc>
        <w:tc>
          <w:tcPr>
            <w:tcW w:w="992" w:type="dxa"/>
            <w:tcBorders>
              <w:top w:val="single" w:sz="4" w:space="0" w:color="auto"/>
              <w:left w:val="nil"/>
              <w:bottom w:val="single" w:sz="4" w:space="0" w:color="auto"/>
              <w:right w:val="single" w:sz="4" w:space="0" w:color="auto"/>
            </w:tcBorders>
            <w:shd w:val="clear" w:color="000000" w:fill="D1C6C0"/>
            <w:vAlign w:val="center"/>
            <w:hideMark/>
          </w:tcPr>
          <w:p w14:paraId="5936BC47" w14:textId="77777777" w:rsidR="00DD5D78" w:rsidRPr="00DD5D78" w:rsidRDefault="00DD5D78" w:rsidP="00DD5D78">
            <w:pPr>
              <w:spacing w:before="60" w:after="60"/>
              <w:jc w:val="center"/>
              <w:rPr>
                <w:rFonts w:ascii="Arial" w:eastAsia="Times New Roman" w:hAnsi="Arial"/>
                <w:b/>
                <w:bCs/>
                <w:color w:val="000000"/>
                <w:sz w:val="14"/>
                <w:szCs w:val="14"/>
                <w:lang w:eastAsia="es-ES"/>
              </w:rPr>
            </w:pPr>
            <w:r w:rsidRPr="00DD5D78">
              <w:rPr>
                <w:rFonts w:ascii="Arial" w:eastAsia="Times New Roman" w:hAnsi="Arial"/>
                <w:b/>
                <w:bCs/>
                <w:color w:val="000000"/>
                <w:sz w:val="14"/>
                <w:szCs w:val="14"/>
                <w:lang w:eastAsia="es-ES"/>
              </w:rPr>
              <w:t>Importe recuperado (€)</w:t>
            </w:r>
          </w:p>
        </w:tc>
        <w:tc>
          <w:tcPr>
            <w:tcW w:w="1183" w:type="dxa"/>
            <w:tcBorders>
              <w:top w:val="single" w:sz="4" w:space="0" w:color="auto"/>
              <w:left w:val="nil"/>
              <w:bottom w:val="single" w:sz="4" w:space="0" w:color="auto"/>
              <w:right w:val="single" w:sz="4" w:space="0" w:color="auto"/>
            </w:tcBorders>
            <w:shd w:val="clear" w:color="000000" w:fill="D1C6C0"/>
            <w:vAlign w:val="center"/>
            <w:hideMark/>
          </w:tcPr>
          <w:p w14:paraId="23E1E475" w14:textId="77777777" w:rsidR="00DD5D78" w:rsidRPr="00DD5D78" w:rsidRDefault="00DD5D78" w:rsidP="00DD5D78">
            <w:pPr>
              <w:spacing w:before="60" w:after="60"/>
              <w:jc w:val="center"/>
              <w:rPr>
                <w:rFonts w:ascii="Arial" w:eastAsia="Times New Roman" w:hAnsi="Arial"/>
                <w:b/>
                <w:bCs/>
                <w:color w:val="000000"/>
                <w:sz w:val="14"/>
                <w:szCs w:val="14"/>
                <w:lang w:eastAsia="es-ES"/>
              </w:rPr>
            </w:pPr>
            <w:r w:rsidRPr="00DD5D78">
              <w:rPr>
                <w:rFonts w:ascii="Arial" w:eastAsia="Times New Roman" w:hAnsi="Arial"/>
                <w:b/>
                <w:bCs/>
                <w:color w:val="000000"/>
                <w:sz w:val="14"/>
                <w:szCs w:val="14"/>
                <w:lang w:eastAsia="es-ES"/>
              </w:rPr>
              <w:t>Regularización no cuantificable</w:t>
            </w:r>
          </w:p>
        </w:tc>
        <w:tc>
          <w:tcPr>
            <w:tcW w:w="1246" w:type="dxa"/>
            <w:tcBorders>
              <w:top w:val="single" w:sz="4" w:space="0" w:color="auto"/>
              <w:left w:val="nil"/>
              <w:bottom w:val="single" w:sz="4" w:space="0" w:color="auto"/>
              <w:right w:val="single" w:sz="4" w:space="0" w:color="auto"/>
            </w:tcBorders>
            <w:shd w:val="clear" w:color="000000" w:fill="D1C6C0"/>
            <w:vAlign w:val="center"/>
            <w:hideMark/>
          </w:tcPr>
          <w:p w14:paraId="2C062F3A" w14:textId="77777777" w:rsidR="00DD5D78" w:rsidRPr="00DD5D78" w:rsidRDefault="00DD5D78" w:rsidP="00DD5D78">
            <w:pPr>
              <w:spacing w:before="60" w:after="60"/>
              <w:jc w:val="center"/>
              <w:rPr>
                <w:rFonts w:ascii="Arial" w:eastAsia="Times New Roman" w:hAnsi="Arial"/>
                <w:b/>
                <w:bCs/>
                <w:color w:val="000000"/>
                <w:sz w:val="14"/>
                <w:szCs w:val="14"/>
                <w:lang w:eastAsia="es-ES"/>
              </w:rPr>
            </w:pPr>
            <w:r w:rsidRPr="00DD5D78">
              <w:rPr>
                <w:rFonts w:ascii="Arial" w:eastAsia="Times New Roman" w:hAnsi="Arial"/>
                <w:b/>
                <w:bCs/>
                <w:color w:val="000000"/>
                <w:sz w:val="14"/>
                <w:szCs w:val="14"/>
                <w:lang w:eastAsia="es-ES"/>
              </w:rPr>
              <w:t>Otras consideraciones</w:t>
            </w:r>
          </w:p>
        </w:tc>
      </w:tr>
      <w:tr w:rsidR="00DD5D78" w:rsidRPr="00DD5D78" w14:paraId="1CFB24F6"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45AE45B"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w:t>
            </w:r>
          </w:p>
        </w:tc>
        <w:tc>
          <w:tcPr>
            <w:tcW w:w="1495" w:type="dxa"/>
            <w:tcBorders>
              <w:top w:val="nil"/>
              <w:left w:val="nil"/>
              <w:bottom w:val="single" w:sz="4" w:space="0" w:color="auto"/>
              <w:right w:val="single" w:sz="4" w:space="0" w:color="auto"/>
            </w:tcBorders>
            <w:shd w:val="clear" w:color="auto" w:fill="auto"/>
            <w:noWrap/>
            <w:vAlign w:val="center"/>
            <w:hideMark/>
          </w:tcPr>
          <w:p w14:paraId="3DF7480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2020/G01-01/000276 </w:t>
            </w:r>
          </w:p>
        </w:tc>
        <w:tc>
          <w:tcPr>
            <w:tcW w:w="2532" w:type="dxa"/>
            <w:tcBorders>
              <w:top w:val="nil"/>
              <w:left w:val="nil"/>
              <w:bottom w:val="single" w:sz="4" w:space="0" w:color="auto"/>
              <w:right w:val="single" w:sz="4" w:space="0" w:color="auto"/>
            </w:tcBorders>
            <w:shd w:val="clear" w:color="auto" w:fill="auto"/>
            <w:noWrap/>
            <w:vAlign w:val="center"/>
            <w:hideMark/>
          </w:tcPr>
          <w:p w14:paraId="5294287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18E2105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Contratación-fraccionamiento</w:t>
            </w:r>
          </w:p>
        </w:tc>
        <w:tc>
          <w:tcPr>
            <w:tcW w:w="926" w:type="dxa"/>
            <w:tcBorders>
              <w:top w:val="nil"/>
              <w:left w:val="nil"/>
              <w:bottom w:val="single" w:sz="4" w:space="0" w:color="auto"/>
              <w:right w:val="single" w:sz="4" w:space="0" w:color="auto"/>
            </w:tcBorders>
            <w:shd w:val="clear" w:color="auto" w:fill="auto"/>
            <w:noWrap/>
            <w:vAlign w:val="center"/>
            <w:hideMark/>
          </w:tcPr>
          <w:p w14:paraId="339A882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21/01/2021</w:t>
            </w:r>
          </w:p>
        </w:tc>
        <w:tc>
          <w:tcPr>
            <w:tcW w:w="1559" w:type="dxa"/>
            <w:tcBorders>
              <w:top w:val="nil"/>
              <w:left w:val="nil"/>
              <w:bottom w:val="single" w:sz="4" w:space="0" w:color="auto"/>
              <w:right w:val="single" w:sz="4" w:space="0" w:color="auto"/>
            </w:tcBorders>
            <w:shd w:val="clear" w:color="auto" w:fill="auto"/>
            <w:noWrap/>
            <w:vAlign w:val="center"/>
            <w:hideMark/>
          </w:tcPr>
          <w:p w14:paraId="4A669EE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5DEBEAF9"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992" w:type="dxa"/>
            <w:tcBorders>
              <w:top w:val="nil"/>
              <w:left w:val="nil"/>
              <w:bottom w:val="single" w:sz="4" w:space="0" w:color="auto"/>
              <w:right w:val="single" w:sz="4" w:space="0" w:color="auto"/>
            </w:tcBorders>
            <w:shd w:val="clear" w:color="auto" w:fill="auto"/>
            <w:noWrap/>
            <w:vAlign w:val="center"/>
            <w:hideMark/>
          </w:tcPr>
          <w:p w14:paraId="3EA23C7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w:t>
            </w:r>
          </w:p>
        </w:tc>
        <w:tc>
          <w:tcPr>
            <w:tcW w:w="1183" w:type="dxa"/>
            <w:tcBorders>
              <w:top w:val="nil"/>
              <w:left w:val="nil"/>
              <w:bottom w:val="single" w:sz="4" w:space="0" w:color="auto"/>
              <w:right w:val="single" w:sz="4" w:space="0" w:color="auto"/>
            </w:tcBorders>
            <w:shd w:val="clear" w:color="auto" w:fill="auto"/>
            <w:vAlign w:val="center"/>
            <w:hideMark/>
          </w:tcPr>
          <w:p w14:paraId="70F7155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Instrucciones internas</w:t>
            </w:r>
          </w:p>
        </w:tc>
        <w:tc>
          <w:tcPr>
            <w:tcW w:w="1246" w:type="dxa"/>
            <w:tcBorders>
              <w:top w:val="nil"/>
              <w:left w:val="nil"/>
              <w:bottom w:val="single" w:sz="4" w:space="0" w:color="auto"/>
              <w:right w:val="single" w:sz="4" w:space="0" w:color="auto"/>
            </w:tcBorders>
            <w:shd w:val="clear" w:color="auto" w:fill="auto"/>
            <w:vAlign w:val="center"/>
            <w:hideMark/>
          </w:tcPr>
          <w:p w14:paraId="51FAC8E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67A9F431"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9C5A451"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w:t>
            </w:r>
          </w:p>
        </w:tc>
        <w:tc>
          <w:tcPr>
            <w:tcW w:w="1495" w:type="dxa"/>
            <w:tcBorders>
              <w:top w:val="nil"/>
              <w:left w:val="nil"/>
              <w:bottom w:val="single" w:sz="4" w:space="0" w:color="auto"/>
              <w:right w:val="single" w:sz="4" w:space="0" w:color="auto"/>
            </w:tcBorders>
            <w:shd w:val="clear" w:color="auto" w:fill="auto"/>
            <w:noWrap/>
            <w:vAlign w:val="center"/>
            <w:hideMark/>
          </w:tcPr>
          <w:p w14:paraId="5E3DA50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2020/G01_01/000255</w:t>
            </w:r>
          </w:p>
        </w:tc>
        <w:tc>
          <w:tcPr>
            <w:tcW w:w="2532" w:type="dxa"/>
            <w:tcBorders>
              <w:top w:val="nil"/>
              <w:left w:val="nil"/>
              <w:bottom w:val="single" w:sz="4" w:space="0" w:color="auto"/>
              <w:right w:val="single" w:sz="4" w:space="0" w:color="auto"/>
            </w:tcBorders>
            <w:shd w:val="clear" w:color="auto" w:fill="auto"/>
            <w:noWrap/>
            <w:vAlign w:val="center"/>
            <w:hideMark/>
          </w:tcPr>
          <w:p w14:paraId="7DF18D3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Diputación Valencia-DGAL</w:t>
            </w:r>
          </w:p>
        </w:tc>
        <w:tc>
          <w:tcPr>
            <w:tcW w:w="2760" w:type="dxa"/>
            <w:tcBorders>
              <w:top w:val="nil"/>
              <w:left w:val="nil"/>
              <w:bottom w:val="single" w:sz="4" w:space="0" w:color="auto"/>
              <w:right w:val="single" w:sz="4" w:space="0" w:color="auto"/>
            </w:tcBorders>
            <w:shd w:val="clear" w:color="auto" w:fill="auto"/>
            <w:noWrap/>
            <w:vAlign w:val="center"/>
            <w:hideMark/>
          </w:tcPr>
          <w:p w14:paraId="36C4026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humanos_provisión</w:t>
            </w:r>
          </w:p>
        </w:tc>
        <w:tc>
          <w:tcPr>
            <w:tcW w:w="926" w:type="dxa"/>
            <w:tcBorders>
              <w:top w:val="nil"/>
              <w:left w:val="nil"/>
              <w:bottom w:val="single" w:sz="4" w:space="0" w:color="auto"/>
              <w:right w:val="single" w:sz="4" w:space="0" w:color="auto"/>
            </w:tcBorders>
            <w:shd w:val="clear" w:color="auto" w:fill="auto"/>
            <w:noWrap/>
            <w:vAlign w:val="center"/>
            <w:hideMark/>
          </w:tcPr>
          <w:p w14:paraId="189CE789"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21/01/2021</w:t>
            </w:r>
          </w:p>
        </w:tc>
        <w:tc>
          <w:tcPr>
            <w:tcW w:w="1559" w:type="dxa"/>
            <w:tcBorders>
              <w:top w:val="nil"/>
              <w:left w:val="nil"/>
              <w:bottom w:val="single" w:sz="4" w:space="0" w:color="auto"/>
              <w:right w:val="single" w:sz="4" w:space="0" w:color="auto"/>
            </w:tcBorders>
            <w:shd w:val="clear" w:color="auto" w:fill="auto"/>
            <w:noWrap/>
            <w:vAlign w:val="center"/>
            <w:hideMark/>
          </w:tcPr>
          <w:p w14:paraId="566B3C7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6AFCCA25"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EE3F0D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99C3F3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Circular informativa</w:t>
            </w:r>
          </w:p>
        </w:tc>
        <w:tc>
          <w:tcPr>
            <w:tcW w:w="1246" w:type="dxa"/>
            <w:tcBorders>
              <w:top w:val="nil"/>
              <w:left w:val="nil"/>
              <w:bottom w:val="single" w:sz="4" w:space="0" w:color="auto"/>
              <w:right w:val="single" w:sz="4" w:space="0" w:color="auto"/>
            </w:tcBorders>
            <w:shd w:val="clear" w:color="auto" w:fill="auto"/>
            <w:vAlign w:val="center"/>
            <w:hideMark/>
          </w:tcPr>
          <w:p w14:paraId="4A317D8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4B607B4A"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E09EC90"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w:t>
            </w:r>
          </w:p>
        </w:tc>
        <w:tc>
          <w:tcPr>
            <w:tcW w:w="1495" w:type="dxa"/>
            <w:tcBorders>
              <w:top w:val="nil"/>
              <w:left w:val="nil"/>
              <w:bottom w:val="single" w:sz="4" w:space="0" w:color="auto"/>
              <w:right w:val="single" w:sz="4" w:space="0" w:color="auto"/>
            </w:tcBorders>
            <w:shd w:val="clear" w:color="auto" w:fill="auto"/>
            <w:noWrap/>
            <w:vAlign w:val="center"/>
            <w:hideMark/>
          </w:tcPr>
          <w:p w14:paraId="5DC55EA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2020/G01_01/000117</w:t>
            </w:r>
          </w:p>
        </w:tc>
        <w:tc>
          <w:tcPr>
            <w:tcW w:w="2532" w:type="dxa"/>
            <w:tcBorders>
              <w:top w:val="nil"/>
              <w:left w:val="nil"/>
              <w:bottom w:val="single" w:sz="4" w:space="0" w:color="auto"/>
              <w:right w:val="single" w:sz="4" w:space="0" w:color="auto"/>
            </w:tcBorders>
            <w:shd w:val="clear" w:color="auto" w:fill="auto"/>
            <w:noWrap/>
            <w:vAlign w:val="center"/>
            <w:hideMark/>
          </w:tcPr>
          <w:p w14:paraId="77CDF12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Institut Valencià de Cultura</w:t>
            </w:r>
          </w:p>
        </w:tc>
        <w:tc>
          <w:tcPr>
            <w:tcW w:w="2760" w:type="dxa"/>
            <w:tcBorders>
              <w:top w:val="nil"/>
              <w:left w:val="nil"/>
              <w:bottom w:val="single" w:sz="4" w:space="0" w:color="auto"/>
              <w:right w:val="single" w:sz="4" w:space="0" w:color="auto"/>
            </w:tcBorders>
            <w:shd w:val="clear" w:color="auto" w:fill="auto"/>
            <w:noWrap/>
            <w:vAlign w:val="center"/>
            <w:hideMark/>
          </w:tcPr>
          <w:p w14:paraId="32AA65D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humanos_provisión</w:t>
            </w:r>
          </w:p>
        </w:tc>
        <w:tc>
          <w:tcPr>
            <w:tcW w:w="926" w:type="dxa"/>
            <w:tcBorders>
              <w:top w:val="nil"/>
              <w:left w:val="nil"/>
              <w:bottom w:val="single" w:sz="4" w:space="0" w:color="auto"/>
              <w:right w:val="single" w:sz="4" w:space="0" w:color="auto"/>
            </w:tcBorders>
            <w:shd w:val="clear" w:color="auto" w:fill="auto"/>
            <w:noWrap/>
            <w:vAlign w:val="center"/>
            <w:hideMark/>
          </w:tcPr>
          <w:p w14:paraId="4E1224A7"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26/01/2021</w:t>
            </w:r>
          </w:p>
        </w:tc>
        <w:tc>
          <w:tcPr>
            <w:tcW w:w="1559" w:type="dxa"/>
            <w:tcBorders>
              <w:top w:val="nil"/>
              <w:left w:val="nil"/>
              <w:bottom w:val="single" w:sz="4" w:space="0" w:color="auto"/>
              <w:right w:val="single" w:sz="4" w:space="0" w:color="auto"/>
            </w:tcBorders>
            <w:shd w:val="clear" w:color="auto" w:fill="auto"/>
            <w:noWrap/>
            <w:vAlign w:val="center"/>
            <w:hideMark/>
          </w:tcPr>
          <w:p w14:paraId="2914E6F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21ECA84F"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0F01A2B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CCCDD7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aceptadas</w:t>
            </w:r>
          </w:p>
        </w:tc>
        <w:tc>
          <w:tcPr>
            <w:tcW w:w="1246" w:type="dxa"/>
            <w:tcBorders>
              <w:top w:val="nil"/>
              <w:left w:val="nil"/>
              <w:bottom w:val="single" w:sz="4" w:space="0" w:color="auto"/>
              <w:right w:val="single" w:sz="4" w:space="0" w:color="auto"/>
            </w:tcBorders>
            <w:shd w:val="clear" w:color="auto" w:fill="auto"/>
            <w:vAlign w:val="center"/>
            <w:hideMark/>
          </w:tcPr>
          <w:p w14:paraId="6A57F50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Incumplimiento recomendaciones</w:t>
            </w:r>
          </w:p>
        </w:tc>
      </w:tr>
      <w:tr w:rsidR="00DD5D78" w:rsidRPr="00DD5D78" w14:paraId="01C792D5"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F66ACFC"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4</w:t>
            </w:r>
          </w:p>
        </w:tc>
        <w:tc>
          <w:tcPr>
            <w:tcW w:w="1495" w:type="dxa"/>
            <w:tcBorders>
              <w:top w:val="nil"/>
              <w:left w:val="nil"/>
              <w:bottom w:val="single" w:sz="4" w:space="0" w:color="auto"/>
              <w:right w:val="single" w:sz="4" w:space="0" w:color="auto"/>
            </w:tcBorders>
            <w:shd w:val="clear" w:color="auto" w:fill="auto"/>
            <w:noWrap/>
            <w:vAlign w:val="center"/>
            <w:hideMark/>
          </w:tcPr>
          <w:p w14:paraId="310716F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2020/G01_01/000216</w:t>
            </w:r>
          </w:p>
        </w:tc>
        <w:tc>
          <w:tcPr>
            <w:tcW w:w="2532" w:type="dxa"/>
            <w:tcBorders>
              <w:top w:val="nil"/>
              <w:left w:val="nil"/>
              <w:bottom w:val="single" w:sz="4" w:space="0" w:color="auto"/>
              <w:right w:val="single" w:sz="4" w:space="0" w:color="auto"/>
            </w:tcBorders>
            <w:shd w:val="clear" w:color="auto" w:fill="auto"/>
            <w:noWrap/>
            <w:vAlign w:val="center"/>
            <w:hideMark/>
          </w:tcPr>
          <w:p w14:paraId="7809C0C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Cofrentes</w:t>
            </w:r>
          </w:p>
        </w:tc>
        <w:tc>
          <w:tcPr>
            <w:tcW w:w="2760" w:type="dxa"/>
            <w:tcBorders>
              <w:top w:val="nil"/>
              <w:left w:val="nil"/>
              <w:bottom w:val="single" w:sz="4" w:space="0" w:color="auto"/>
              <w:right w:val="single" w:sz="4" w:space="0" w:color="auto"/>
            </w:tcBorders>
            <w:shd w:val="clear" w:color="auto" w:fill="auto"/>
            <w:noWrap/>
            <w:vAlign w:val="center"/>
            <w:hideMark/>
          </w:tcPr>
          <w:p w14:paraId="2935561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Contratación-fraccionamiento</w:t>
            </w:r>
          </w:p>
        </w:tc>
        <w:tc>
          <w:tcPr>
            <w:tcW w:w="926" w:type="dxa"/>
            <w:tcBorders>
              <w:top w:val="nil"/>
              <w:left w:val="nil"/>
              <w:bottom w:val="single" w:sz="4" w:space="0" w:color="auto"/>
              <w:right w:val="single" w:sz="4" w:space="0" w:color="auto"/>
            </w:tcBorders>
            <w:shd w:val="clear" w:color="auto" w:fill="auto"/>
            <w:noWrap/>
            <w:vAlign w:val="center"/>
            <w:hideMark/>
          </w:tcPr>
          <w:p w14:paraId="7E350C1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27/01/2021</w:t>
            </w:r>
          </w:p>
        </w:tc>
        <w:tc>
          <w:tcPr>
            <w:tcW w:w="1559" w:type="dxa"/>
            <w:tcBorders>
              <w:top w:val="nil"/>
              <w:left w:val="nil"/>
              <w:bottom w:val="single" w:sz="4" w:space="0" w:color="auto"/>
              <w:right w:val="single" w:sz="4" w:space="0" w:color="auto"/>
            </w:tcBorders>
            <w:shd w:val="clear" w:color="auto" w:fill="auto"/>
            <w:noWrap/>
            <w:vAlign w:val="center"/>
            <w:hideMark/>
          </w:tcPr>
          <w:p w14:paraId="541ED19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3D5B368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F483E2C"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186095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aceptadas</w:t>
            </w:r>
          </w:p>
        </w:tc>
        <w:tc>
          <w:tcPr>
            <w:tcW w:w="1246" w:type="dxa"/>
            <w:tcBorders>
              <w:top w:val="nil"/>
              <w:left w:val="nil"/>
              <w:bottom w:val="single" w:sz="4" w:space="0" w:color="auto"/>
              <w:right w:val="single" w:sz="4" w:space="0" w:color="auto"/>
            </w:tcBorders>
            <w:shd w:val="clear" w:color="auto" w:fill="auto"/>
            <w:vAlign w:val="center"/>
            <w:hideMark/>
          </w:tcPr>
          <w:p w14:paraId="4E21CD2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Incumplimiento recomendaciones</w:t>
            </w:r>
          </w:p>
        </w:tc>
      </w:tr>
      <w:tr w:rsidR="00DD5D78" w:rsidRPr="00DD5D78" w14:paraId="42E1C134"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058A40F"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5</w:t>
            </w:r>
          </w:p>
        </w:tc>
        <w:tc>
          <w:tcPr>
            <w:tcW w:w="1495" w:type="dxa"/>
            <w:tcBorders>
              <w:top w:val="nil"/>
              <w:left w:val="nil"/>
              <w:bottom w:val="single" w:sz="4" w:space="0" w:color="auto"/>
              <w:right w:val="single" w:sz="4" w:space="0" w:color="auto"/>
            </w:tcBorders>
            <w:shd w:val="clear" w:color="auto" w:fill="auto"/>
            <w:noWrap/>
            <w:vAlign w:val="center"/>
            <w:hideMark/>
          </w:tcPr>
          <w:p w14:paraId="439AB38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2020/G01_01/000239</w:t>
            </w:r>
          </w:p>
        </w:tc>
        <w:tc>
          <w:tcPr>
            <w:tcW w:w="2532" w:type="dxa"/>
            <w:tcBorders>
              <w:top w:val="nil"/>
              <w:left w:val="nil"/>
              <w:bottom w:val="single" w:sz="4" w:space="0" w:color="auto"/>
              <w:right w:val="single" w:sz="4" w:space="0" w:color="auto"/>
            </w:tcBorders>
            <w:shd w:val="clear" w:color="auto" w:fill="auto"/>
            <w:noWrap/>
            <w:vAlign w:val="center"/>
            <w:hideMark/>
          </w:tcPr>
          <w:p w14:paraId="20E56DD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1CB30B3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Contratación-encargo directo</w:t>
            </w:r>
          </w:p>
        </w:tc>
        <w:tc>
          <w:tcPr>
            <w:tcW w:w="926" w:type="dxa"/>
            <w:tcBorders>
              <w:top w:val="nil"/>
              <w:left w:val="nil"/>
              <w:bottom w:val="single" w:sz="4" w:space="0" w:color="auto"/>
              <w:right w:val="single" w:sz="4" w:space="0" w:color="auto"/>
            </w:tcBorders>
            <w:shd w:val="clear" w:color="auto" w:fill="auto"/>
            <w:noWrap/>
            <w:vAlign w:val="center"/>
            <w:hideMark/>
          </w:tcPr>
          <w:p w14:paraId="1BC16B50"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27/01/2021</w:t>
            </w:r>
          </w:p>
        </w:tc>
        <w:tc>
          <w:tcPr>
            <w:tcW w:w="1559" w:type="dxa"/>
            <w:tcBorders>
              <w:top w:val="nil"/>
              <w:left w:val="nil"/>
              <w:bottom w:val="single" w:sz="4" w:space="0" w:color="auto"/>
              <w:right w:val="single" w:sz="4" w:space="0" w:color="auto"/>
            </w:tcBorders>
            <w:shd w:val="clear" w:color="auto" w:fill="auto"/>
            <w:noWrap/>
            <w:vAlign w:val="center"/>
            <w:hideMark/>
          </w:tcPr>
          <w:p w14:paraId="663E8FF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0926B208"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524.905,59</w:t>
            </w:r>
          </w:p>
        </w:tc>
        <w:tc>
          <w:tcPr>
            <w:tcW w:w="992" w:type="dxa"/>
            <w:tcBorders>
              <w:top w:val="nil"/>
              <w:left w:val="nil"/>
              <w:bottom w:val="single" w:sz="4" w:space="0" w:color="auto"/>
              <w:right w:val="single" w:sz="4" w:space="0" w:color="auto"/>
            </w:tcBorders>
            <w:shd w:val="clear" w:color="auto" w:fill="auto"/>
            <w:noWrap/>
            <w:vAlign w:val="center"/>
            <w:hideMark/>
          </w:tcPr>
          <w:p w14:paraId="2C889D9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524.905,59</w:t>
            </w:r>
          </w:p>
        </w:tc>
        <w:tc>
          <w:tcPr>
            <w:tcW w:w="1183" w:type="dxa"/>
            <w:tcBorders>
              <w:top w:val="nil"/>
              <w:left w:val="nil"/>
              <w:bottom w:val="single" w:sz="4" w:space="0" w:color="auto"/>
              <w:right w:val="single" w:sz="4" w:space="0" w:color="auto"/>
            </w:tcBorders>
            <w:shd w:val="clear" w:color="auto" w:fill="auto"/>
            <w:vAlign w:val="center"/>
            <w:hideMark/>
          </w:tcPr>
          <w:p w14:paraId="1011BA8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Instrucciones internas</w:t>
            </w:r>
          </w:p>
        </w:tc>
        <w:tc>
          <w:tcPr>
            <w:tcW w:w="1246" w:type="dxa"/>
            <w:tcBorders>
              <w:top w:val="nil"/>
              <w:left w:val="nil"/>
              <w:bottom w:val="single" w:sz="4" w:space="0" w:color="auto"/>
              <w:right w:val="single" w:sz="4" w:space="0" w:color="auto"/>
            </w:tcBorders>
            <w:shd w:val="clear" w:color="auto" w:fill="auto"/>
            <w:vAlign w:val="center"/>
            <w:hideMark/>
          </w:tcPr>
          <w:p w14:paraId="132D109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parcialmente recomendaciones</w:t>
            </w:r>
          </w:p>
        </w:tc>
      </w:tr>
      <w:tr w:rsidR="00DD5D78" w:rsidRPr="00DD5D78" w14:paraId="03777CBA"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9BDADA6"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6</w:t>
            </w:r>
          </w:p>
        </w:tc>
        <w:tc>
          <w:tcPr>
            <w:tcW w:w="1495" w:type="dxa"/>
            <w:tcBorders>
              <w:top w:val="nil"/>
              <w:left w:val="nil"/>
              <w:bottom w:val="single" w:sz="4" w:space="0" w:color="auto"/>
              <w:right w:val="single" w:sz="4" w:space="0" w:color="auto"/>
            </w:tcBorders>
            <w:shd w:val="clear" w:color="auto" w:fill="auto"/>
            <w:noWrap/>
            <w:vAlign w:val="center"/>
            <w:hideMark/>
          </w:tcPr>
          <w:p w14:paraId="2CBB974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2020/G01_01/000006</w:t>
            </w:r>
          </w:p>
        </w:tc>
        <w:tc>
          <w:tcPr>
            <w:tcW w:w="2532" w:type="dxa"/>
            <w:tcBorders>
              <w:top w:val="nil"/>
              <w:left w:val="nil"/>
              <w:bottom w:val="single" w:sz="4" w:space="0" w:color="auto"/>
              <w:right w:val="single" w:sz="4" w:space="0" w:color="auto"/>
            </w:tcBorders>
            <w:shd w:val="clear" w:color="auto" w:fill="auto"/>
            <w:noWrap/>
            <w:vAlign w:val="center"/>
            <w:hideMark/>
          </w:tcPr>
          <w:p w14:paraId="33A6DD0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Cullera</w:t>
            </w:r>
          </w:p>
        </w:tc>
        <w:tc>
          <w:tcPr>
            <w:tcW w:w="2760" w:type="dxa"/>
            <w:tcBorders>
              <w:top w:val="nil"/>
              <w:left w:val="nil"/>
              <w:bottom w:val="single" w:sz="4" w:space="0" w:color="auto"/>
              <w:right w:val="single" w:sz="4" w:space="0" w:color="auto"/>
            </w:tcBorders>
            <w:shd w:val="clear" w:color="auto" w:fill="auto"/>
            <w:noWrap/>
            <w:vAlign w:val="center"/>
            <w:hideMark/>
          </w:tcPr>
          <w:p w14:paraId="237925E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humanos_selección</w:t>
            </w:r>
          </w:p>
        </w:tc>
        <w:tc>
          <w:tcPr>
            <w:tcW w:w="926" w:type="dxa"/>
            <w:tcBorders>
              <w:top w:val="nil"/>
              <w:left w:val="nil"/>
              <w:bottom w:val="single" w:sz="4" w:space="0" w:color="auto"/>
              <w:right w:val="single" w:sz="4" w:space="0" w:color="auto"/>
            </w:tcBorders>
            <w:shd w:val="clear" w:color="auto" w:fill="auto"/>
            <w:noWrap/>
            <w:vAlign w:val="center"/>
            <w:hideMark/>
          </w:tcPr>
          <w:p w14:paraId="79B03E79"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09/02/2021</w:t>
            </w:r>
          </w:p>
        </w:tc>
        <w:tc>
          <w:tcPr>
            <w:tcW w:w="1559" w:type="dxa"/>
            <w:tcBorders>
              <w:top w:val="nil"/>
              <w:left w:val="nil"/>
              <w:bottom w:val="single" w:sz="4" w:space="0" w:color="auto"/>
              <w:right w:val="single" w:sz="4" w:space="0" w:color="auto"/>
            </w:tcBorders>
            <w:shd w:val="clear" w:color="auto" w:fill="auto"/>
            <w:noWrap/>
            <w:vAlign w:val="center"/>
            <w:hideMark/>
          </w:tcPr>
          <w:p w14:paraId="7959983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7D30BA4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1667F2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642984F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aceptadas</w:t>
            </w:r>
          </w:p>
        </w:tc>
        <w:tc>
          <w:tcPr>
            <w:tcW w:w="1246" w:type="dxa"/>
            <w:tcBorders>
              <w:top w:val="nil"/>
              <w:left w:val="nil"/>
              <w:bottom w:val="single" w:sz="4" w:space="0" w:color="auto"/>
              <w:right w:val="single" w:sz="4" w:space="0" w:color="auto"/>
            </w:tcBorders>
            <w:shd w:val="clear" w:color="auto" w:fill="auto"/>
            <w:vAlign w:val="center"/>
            <w:hideMark/>
          </w:tcPr>
          <w:p w14:paraId="27DDCFB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Incumplimiento recomendaciones</w:t>
            </w:r>
          </w:p>
        </w:tc>
      </w:tr>
      <w:tr w:rsidR="00DD5D78" w:rsidRPr="00DD5D78" w14:paraId="66720400"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19F890BD"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7</w:t>
            </w:r>
          </w:p>
        </w:tc>
        <w:tc>
          <w:tcPr>
            <w:tcW w:w="1495" w:type="dxa"/>
            <w:tcBorders>
              <w:top w:val="nil"/>
              <w:left w:val="nil"/>
              <w:bottom w:val="single" w:sz="4" w:space="0" w:color="auto"/>
              <w:right w:val="single" w:sz="4" w:space="0" w:color="auto"/>
            </w:tcBorders>
            <w:shd w:val="clear" w:color="auto" w:fill="auto"/>
            <w:noWrap/>
            <w:vAlign w:val="center"/>
            <w:hideMark/>
          </w:tcPr>
          <w:p w14:paraId="6FD559B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2020/G01_01/000256</w:t>
            </w:r>
          </w:p>
        </w:tc>
        <w:tc>
          <w:tcPr>
            <w:tcW w:w="2532" w:type="dxa"/>
            <w:tcBorders>
              <w:top w:val="nil"/>
              <w:left w:val="nil"/>
              <w:bottom w:val="single" w:sz="4" w:space="0" w:color="auto"/>
              <w:right w:val="single" w:sz="4" w:space="0" w:color="auto"/>
            </w:tcBorders>
            <w:shd w:val="clear" w:color="auto" w:fill="auto"/>
            <w:noWrap/>
            <w:vAlign w:val="center"/>
            <w:hideMark/>
          </w:tcPr>
          <w:p w14:paraId="66E0482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Rojales</w:t>
            </w:r>
          </w:p>
        </w:tc>
        <w:tc>
          <w:tcPr>
            <w:tcW w:w="2760" w:type="dxa"/>
            <w:tcBorders>
              <w:top w:val="nil"/>
              <w:left w:val="nil"/>
              <w:bottom w:val="single" w:sz="4" w:space="0" w:color="auto"/>
              <w:right w:val="single" w:sz="4" w:space="0" w:color="auto"/>
            </w:tcBorders>
            <w:shd w:val="clear" w:color="auto" w:fill="auto"/>
            <w:noWrap/>
            <w:vAlign w:val="center"/>
            <w:hideMark/>
          </w:tcPr>
          <w:p w14:paraId="453DE04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humanos_retribuciones</w:t>
            </w:r>
          </w:p>
        </w:tc>
        <w:tc>
          <w:tcPr>
            <w:tcW w:w="926" w:type="dxa"/>
            <w:tcBorders>
              <w:top w:val="nil"/>
              <w:left w:val="nil"/>
              <w:bottom w:val="single" w:sz="4" w:space="0" w:color="auto"/>
              <w:right w:val="single" w:sz="4" w:space="0" w:color="auto"/>
            </w:tcBorders>
            <w:shd w:val="clear" w:color="auto" w:fill="auto"/>
            <w:noWrap/>
            <w:vAlign w:val="center"/>
            <w:hideMark/>
          </w:tcPr>
          <w:p w14:paraId="71D10BC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17/02/2021</w:t>
            </w:r>
          </w:p>
        </w:tc>
        <w:tc>
          <w:tcPr>
            <w:tcW w:w="1559" w:type="dxa"/>
            <w:tcBorders>
              <w:top w:val="nil"/>
              <w:left w:val="nil"/>
              <w:bottom w:val="single" w:sz="4" w:space="0" w:color="auto"/>
              <w:right w:val="single" w:sz="4" w:space="0" w:color="auto"/>
            </w:tcBorders>
            <w:shd w:val="clear" w:color="auto" w:fill="auto"/>
            <w:noWrap/>
            <w:vAlign w:val="center"/>
            <w:hideMark/>
          </w:tcPr>
          <w:p w14:paraId="7BBCEBC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19AD936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2FC77C3"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A8B472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RPT</w:t>
            </w:r>
          </w:p>
        </w:tc>
        <w:tc>
          <w:tcPr>
            <w:tcW w:w="1246" w:type="dxa"/>
            <w:tcBorders>
              <w:top w:val="nil"/>
              <w:left w:val="nil"/>
              <w:bottom w:val="single" w:sz="4" w:space="0" w:color="auto"/>
              <w:right w:val="single" w:sz="4" w:space="0" w:color="auto"/>
            </w:tcBorders>
            <w:shd w:val="clear" w:color="auto" w:fill="auto"/>
            <w:vAlign w:val="center"/>
            <w:hideMark/>
          </w:tcPr>
          <w:p w14:paraId="6C35C92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29C2A0FB"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F106E82"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8</w:t>
            </w:r>
          </w:p>
        </w:tc>
        <w:tc>
          <w:tcPr>
            <w:tcW w:w="1495" w:type="dxa"/>
            <w:tcBorders>
              <w:top w:val="nil"/>
              <w:left w:val="nil"/>
              <w:bottom w:val="single" w:sz="4" w:space="0" w:color="auto"/>
              <w:right w:val="single" w:sz="4" w:space="0" w:color="auto"/>
            </w:tcBorders>
            <w:shd w:val="clear" w:color="auto" w:fill="auto"/>
            <w:noWrap/>
            <w:vAlign w:val="center"/>
            <w:hideMark/>
          </w:tcPr>
          <w:p w14:paraId="746C4A6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2020/G01_01/000161</w:t>
            </w:r>
          </w:p>
        </w:tc>
        <w:tc>
          <w:tcPr>
            <w:tcW w:w="2532" w:type="dxa"/>
            <w:tcBorders>
              <w:top w:val="nil"/>
              <w:left w:val="nil"/>
              <w:bottom w:val="single" w:sz="4" w:space="0" w:color="auto"/>
              <w:right w:val="single" w:sz="4" w:space="0" w:color="auto"/>
            </w:tcBorders>
            <w:shd w:val="clear" w:color="auto" w:fill="auto"/>
            <w:noWrap/>
            <w:vAlign w:val="center"/>
            <w:hideMark/>
          </w:tcPr>
          <w:p w14:paraId="796EBE0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Camporrobles</w:t>
            </w:r>
          </w:p>
        </w:tc>
        <w:tc>
          <w:tcPr>
            <w:tcW w:w="2760" w:type="dxa"/>
            <w:tcBorders>
              <w:top w:val="nil"/>
              <w:left w:val="nil"/>
              <w:bottom w:val="single" w:sz="4" w:space="0" w:color="auto"/>
              <w:right w:val="single" w:sz="4" w:space="0" w:color="auto"/>
            </w:tcBorders>
            <w:shd w:val="clear" w:color="auto" w:fill="auto"/>
            <w:noWrap/>
            <w:vAlign w:val="center"/>
            <w:hideMark/>
          </w:tcPr>
          <w:p w14:paraId="287C514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Contratación-fraccionamiento</w:t>
            </w:r>
          </w:p>
        </w:tc>
        <w:tc>
          <w:tcPr>
            <w:tcW w:w="926" w:type="dxa"/>
            <w:tcBorders>
              <w:top w:val="nil"/>
              <w:left w:val="nil"/>
              <w:bottom w:val="single" w:sz="4" w:space="0" w:color="auto"/>
              <w:right w:val="single" w:sz="4" w:space="0" w:color="auto"/>
            </w:tcBorders>
            <w:shd w:val="clear" w:color="auto" w:fill="auto"/>
            <w:noWrap/>
            <w:vAlign w:val="center"/>
            <w:hideMark/>
          </w:tcPr>
          <w:p w14:paraId="4447090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23/02/2021</w:t>
            </w:r>
          </w:p>
        </w:tc>
        <w:tc>
          <w:tcPr>
            <w:tcW w:w="1559" w:type="dxa"/>
            <w:tcBorders>
              <w:top w:val="nil"/>
              <w:left w:val="nil"/>
              <w:bottom w:val="single" w:sz="4" w:space="0" w:color="auto"/>
              <w:right w:val="single" w:sz="4" w:space="0" w:color="auto"/>
            </w:tcBorders>
            <w:shd w:val="clear" w:color="auto" w:fill="auto"/>
            <w:noWrap/>
            <w:vAlign w:val="center"/>
            <w:hideMark/>
          </w:tcPr>
          <w:p w14:paraId="7433260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Archivo</w:t>
            </w:r>
          </w:p>
        </w:tc>
        <w:tc>
          <w:tcPr>
            <w:tcW w:w="1134" w:type="dxa"/>
            <w:tcBorders>
              <w:top w:val="nil"/>
              <w:left w:val="nil"/>
              <w:bottom w:val="single" w:sz="4" w:space="0" w:color="auto"/>
              <w:right w:val="single" w:sz="4" w:space="0" w:color="auto"/>
            </w:tcBorders>
            <w:shd w:val="clear" w:color="auto" w:fill="auto"/>
            <w:noWrap/>
            <w:vAlign w:val="center"/>
            <w:hideMark/>
          </w:tcPr>
          <w:p w14:paraId="69464FA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96B9329"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EF97AA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03E2AAE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procede seguimiento</w:t>
            </w:r>
          </w:p>
        </w:tc>
      </w:tr>
      <w:tr w:rsidR="00DD5D78" w:rsidRPr="00DD5D78" w14:paraId="1E85E45A"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AA680D8"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9</w:t>
            </w:r>
          </w:p>
        </w:tc>
        <w:tc>
          <w:tcPr>
            <w:tcW w:w="1495" w:type="dxa"/>
            <w:tcBorders>
              <w:top w:val="nil"/>
              <w:left w:val="nil"/>
              <w:bottom w:val="single" w:sz="4" w:space="0" w:color="auto"/>
              <w:right w:val="single" w:sz="4" w:space="0" w:color="auto"/>
            </w:tcBorders>
            <w:shd w:val="clear" w:color="auto" w:fill="auto"/>
            <w:noWrap/>
            <w:vAlign w:val="center"/>
            <w:hideMark/>
          </w:tcPr>
          <w:p w14:paraId="50A9B92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2020/G01_01/000013</w:t>
            </w:r>
          </w:p>
        </w:tc>
        <w:tc>
          <w:tcPr>
            <w:tcW w:w="2532" w:type="dxa"/>
            <w:tcBorders>
              <w:top w:val="nil"/>
              <w:left w:val="nil"/>
              <w:bottom w:val="single" w:sz="4" w:space="0" w:color="auto"/>
              <w:right w:val="single" w:sz="4" w:space="0" w:color="auto"/>
            </w:tcBorders>
            <w:shd w:val="clear" w:color="auto" w:fill="auto"/>
            <w:noWrap/>
            <w:vAlign w:val="center"/>
            <w:hideMark/>
          </w:tcPr>
          <w:p w14:paraId="1A301EF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432022B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Subvenciones </w:t>
            </w:r>
          </w:p>
        </w:tc>
        <w:tc>
          <w:tcPr>
            <w:tcW w:w="926" w:type="dxa"/>
            <w:tcBorders>
              <w:top w:val="nil"/>
              <w:left w:val="nil"/>
              <w:bottom w:val="single" w:sz="4" w:space="0" w:color="auto"/>
              <w:right w:val="single" w:sz="4" w:space="0" w:color="auto"/>
            </w:tcBorders>
            <w:shd w:val="clear" w:color="auto" w:fill="auto"/>
            <w:noWrap/>
            <w:vAlign w:val="center"/>
            <w:hideMark/>
          </w:tcPr>
          <w:p w14:paraId="42DFFF60"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24/02/2021</w:t>
            </w:r>
          </w:p>
        </w:tc>
        <w:tc>
          <w:tcPr>
            <w:tcW w:w="1559" w:type="dxa"/>
            <w:tcBorders>
              <w:top w:val="nil"/>
              <w:left w:val="nil"/>
              <w:bottom w:val="single" w:sz="4" w:space="0" w:color="auto"/>
              <w:right w:val="single" w:sz="4" w:space="0" w:color="auto"/>
            </w:tcBorders>
            <w:shd w:val="clear" w:color="auto" w:fill="auto"/>
            <w:noWrap/>
            <w:vAlign w:val="center"/>
            <w:hideMark/>
          </w:tcPr>
          <w:p w14:paraId="2654D14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1EEC7A1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11579A8"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5FE91B0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aceptadas</w:t>
            </w:r>
          </w:p>
        </w:tc>
        <w:tc>
          <w:tcPr>
            <w:tcW w:w="1246" w:type="dxa"/>
            <w:tcBorders>
              <w:top w:val="nil"/>
              <w:left w:val="nil"/>
              <w:bottom w:val="single" w:sz="4" w:space="0" w:color="auto"/>
              <w:right w:val="single" w:sz="4" w:space="0" w:color="auto"/>
            </w:tcBorders>
            <w:shd w:val="clear" w:color="auto" w:fill="auto"/>
            <w:vAlign w:val="center"/>
            <w:hideMark/>
          </w:tcPr>
          <w:p w14:paraId="0CBF35F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Incumplimiento recomendaciones</w:t>
            </w:r>
          </w:p>
        </w:tc>
      </w:tr>
      <w:tr w:rsidR="00DD5D78" w:rsidRPr="00DD5D78" w14:paraId="0C3EE4F0"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11961D33"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10</w:t>
            </w:r>
          </w:p>
        </w:tc>
        <w:tc>
          <w:tcPr>
            <w:tcW w:w="1495" w:type="dxa"/>
            <w:tcBorders>
              <w:top w:val="nil"/>
              <w:left w:val="nil"/>
              <w:bottom w:val="single" w:sz="4" w:space="0" w:color="auto"/>
              <w:right w:val="single" w:sz="4" w:space="0" w:color="auto"/>
            </w:tcBorders>
            <w:shd w:val="clear" w:color="auto" w:fill="auto"/>
            <w:noWrap/>
            <w:vAlign w:val="center"/>
            <w:hideMark/>
          </w:tcPr>
          <w:p w14:paraId="46EAF27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2020/G01_01/000251</w:t>
            </w:r>
          </w:p>
        </w:tc>
        <w:tc>
          <w:tcPr>
            <w:tcW w:w="2532" w:type="dxa"/>
            <w:tcBorders>
              <w:top w:val="nil"/>
              <w:left w:val="nil"/>
              <w:bottom w:val="single" w:sz="4" w:space="0" w:color="auto"/>
              <w:right w:val="single" w:sz="4" w:space="0" w:color="auto"/>
            </w:tcBorders>
            <w:shd w:val="clear" w:color="auto" w:fill="auto"/>
            <w:noWrap/>
            <w:vAlign w:val="center"/>
            <w:hideMark/>
          </w:tcPr>
          <w:p w14:paraId="3E6476E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Rojales</w:t>
            </w:r>
          </w:p>
        </w:tc>
        <w:tc>
          <w:tcPr>
            <w:tcW w:w="2760" w:type="dxa"/>
            <w:tcBorders>
              <w:top w:val="nil"/>
              <w:left w:val="nil"/>
              <w:bottom w:val="single" w:sz="4" w:space="0" w:color="auto"/>
              <w:right w:val="single" w:sz="4" w:space="0" w:color="auto"/>
            </w:tcBorders>
            <w:shd w:val="clear" w:color="auto" w:fill="auto"/>
            <w:noWrap/>
            <w:vAlign w:val="center"/>
            <w:hideMark/>
          </w:tcPr>
          <w:p w14:paraId="2F32542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38D467D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01/03/2021</w:t>
            </w:r>
          </w:p>
        </w:tc>
        <w:tc>
          <w:tcPr>
            <w:tcW w:w="1559" w:type="dxa"/>
            <w:tcBorders>
              <w:top w:val="nil"/>
              <w:left w:val="nil"/>
              <w:bottom w:val="single" w:sz="4" w:space="0" w:color="auto"/>
              <w:right w:val="single" w:sz="4" w:space="0" w:color="auto"/>
            </w:tcBorders>
            <w:shd w:val="clear" w:color="auto" w:fill="auto"/>
            <w:noWrap/>
            <w:vAlign w:val="center"/>
            <w:hideMark/>
          </w:tcPr>
          <w:p w14:paraId="47A16C7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16CBE42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6FBB555"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168549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Planificación contratación</w:t>
            </w:r>
          </w:p>
        </w:tc>
        <w:tc>
          <w:tcPr>
            <w:tcW w:w="1246" w:type="dxa"/>
            <w:tcBorders>
              <w:top w:val="nil"/>
              <w:left w:val="nil"/>
              <w:bottom w:val="single" w:sz="4" w:space="0" w:color="auto"/>
              <w:right w:val="single" w:sz="4" w:space="0" w:color="auto"/>
            </w:tcBorders>
            <w:shd w:val="clear" w:color="auto" w:fill="auto"/>
            <w:vAlign w:val="center"/>
            <w:hideMark/>
          </w:tcPr>
          <w:p w14:paraId="3A8144F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1CC7B878"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3E189AD"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11</w:t>
            </w:r>
          </w:p>
        </w:tc>
        <w:tc>
          <w:tcPr>
            <w:tcW w:w="1495" w:type="dxa"/>
            <w:tcBorders>
              <w:top w:val="nil"/>
              <w:left w:val="nil"/>
              <w:bottom w:val="single" w:sz="4" w:space="0" w:color="auto"/>
              <w:right w:val="single" w:sz="4" w:space="0" w:color="auto"/>
            </w:tcBorders>
            <w:shd w:val="clear" w:color="auto" w:fill="auto"/>
            <w:noWrap/>
            <w:vAlign w:val="center"/>
            <w:hideMark/>
          </w:tcPr>
          <w:p w14:paraId="5E6B9E6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2020/G01_01/000071</w:t>
            </w:r>
          </w:p>
        </w:tc>
        <w:tc>
          <w:tcPr>
            <w:tcW w:w="2532" w:type="dxa"/>
            <w:tcBorders>
              <w:top w:val="nil"/>
              <w:left w:val="nil"/>
              <w:bottom w:val="single" w:sz="4" w:space="0" w:color="auto"/>
              <w:right w:val="single" w:sz="4" w:space="0" w:color="auto"/>
            </w:tcBorders>
            <w:shd w:val="clear" w:color="auto" w:fill="auto"/>
            <w:noWrap/>
            <w:vAlign w:val="center"/>
            <w:hideMark/>
          </w:tcPr>
          <w:p w14:paraId="61A9504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OAM Parques y Jardines Valencia</w:t>
            </w:r>
          </w:p>
        </w:tc>
        <w:tc>
          <w:tcPr>
            <w:tcW w:w="2760" w:type="dxa"/>
            <w:tcBorders>
              <w:top w:val="nil"/>
              <w:left w:val="nil"/>
              <w:bottom w:val="single" w:sz="4" w:space="0" w:color="auto"/>
              <w:right w:val="single" w:sz="4" w:space="0" w:color="auto"/>
            </w:tcBorders>
            <w:shd w:val="clear" w:color="auto" w:fill="auto"/>
            <w:noWrap/>
            <w:vAlign w:val="center"/>
            <w:hideMark/>
          </w:tcPr>
          <w:p w14:paraId="377992B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Contratación-fraccionamiento</w:t>
            </w:r>
          </w:p>
        </w:tc>
        <w:tc>
          <w:tcPr>
            <w:tcW w:w="926" w:type="dxa"/>
            <w:tcBorders>
              <w:top w:val="nil"/>
              <w:left w:val="nil"/>
              <w:bottom w:val="single" w:sz="4" w:space="0" w:color="auto"/>
              <w:right w:val="single" w:sz="4" w:space="0" w:color="auto"/>
            </w:tcBorders>
            <w:shd w:val="clear" w:color="auto" w:fill="auto"/>
            <w:noWrap/>
            <w:vAlign w:val="center"/>
            <w:hideMark/>
          </w:tcPr>
          <w:p w14:paraId="4DFEC8B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04/03/2021</w:t>
            </w:r>
          </w:p>
        </w:tc>
        <w:tc>
          <w:tcPr>
            <w:tcW w:w="1559" w:type="dxa"/>
            <w:tcBorders>
              <w:top w:val="nil"/>
              <w:left w:val="nil"/>
              <w:bottom w:val="single" w:sz="4" w:space="0" w:color="auto"/>
              <w:right w:val="single" w:sz="4" w:space="0" w:color="auto"/>
            </w:tcBorders>
            <w:shd w:val="clear" w:color="auto" w:fill="auto"/>
            <w:noWrap/>
            <w:vAlign w:val="center"/>
            <w:hideMark/>
          </w:tcPr>
          <w:p w14:paraId="42677BA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16FEDD8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A86530C"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E2CD19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Planificación contratación</w:t>
            </w:r>
          </w:p>
        </w:tc>
        <w:tc>
          <w:tcPr>
            <w:tcW w:w="1246" w:type="dxa"/>
            <w:tcBorders>
              <w:top w:val="nil"/>
              <w:left w:val="nil"/>
              <w:bottom w:val="single" w:sz="4" w:space="0" w:color="auto"/>
              <w:right w:val="single" w:sz="4" w:space="0" w:color="auto"/>
            </w:tcBorders>
            <w:shd w:val="clear" w:color="auto" w:fill="auto"/>
            <w:vAlign w:val="center"/>
            <w:hideMark/>
          </w:tcPr>
          <w:p w14:paraId="3872879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4D317414"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4FC918F"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12</w:t>
            </w:r>
          </w:p>
        </w:tc>
        <w:tc>
          <w:tcPr>
            <w:tcW w:w="1495" w:type="dxa"/>
            <w:tcBorders>
              <w:top w:val="nil"/>
              <w:left w:val="nil"/>
              <w:bottom w:val="single" w:sz="4" w:space="0" w:color="auto"/>
              <w:right w:val="single" w:sz="4" w:space="0" w:color="auto"/>
            </w:tcBorders>
            <w:shd w:val="clear" w:color="auto" w:fill="auto"/>
            <w:noWrap/>
            <w:vAlign w:val="center"/>
            <w:hideMark/>
          </w:tcPr>
          <w:p w14:paraId="5868FD1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2020/G01_01/000171</w:t>
            </w:r>
          </w:p>
        </w:tc>
        <w:tc>
          <w:tcPr>
            <w:tcW w:w="2532" w:type="dxa"/>
            <w:tcBorders>
              <w:top w:val="nil"/>
              <w:left w:val="nil"/>
              <w:bottom w:val="single" w:sz="4" w:space="0" w:color="auto"/>
              <w:right w:val="single" w:sz="4" w:space="0" w:color="auto"/>
            </w:tcBorders>
            <w:shd w:val="clear" w:color="auto" w:fill="auto"/>
            <w:noWrap/>
            <w:vAlign w:val="center"/>
            <w:hideMark/>
          </w:tcPr>
          <w:p w14:paraId="4EC2CCB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Callosa de Segura</w:t>
            </w:r>
          </w:p>
        </w:tc>
        <w:tc>
          <w:tcPr>
            <w:tcW w:w="2760" w:type="dxa"/>
            <w:tcBorders>
              <w:top w:val="nil"/>
              <w:left w:val="nil"/>
              <w:bottom w:val="single" w:sz="4" w:space="0" w:color="auto"/>
              <w:right w:val="single" w:sz="4" w:space="0" w:color="auto"/>
            </w:tcBorders>
            <w:shd w:val="clear" w:color="auto" w:fill="auto"/>
            <w:noWrap/>
            <w:vAlign w:val="center"/>
            <w:hideMark/>
          </w:tcPr>
          <w:p w14:paraId="2233CB5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humanos_selección</w:t>
            </w:r>
          </w:p>
        </w:tc>
        <w:tc>
          <w:tcPr>
            <w:tcW w:w="926" w:type="dxa"/>
            <w:tcBorders>
              <w:top w:val="nil"/>
              <w:left w:val="nil"/>
              <w:bottom w:val="single" w:sz="4" w:space="0" w:color="auto"/>
              <w:right w:val="single" w:sz="4" w:space="0" w:color="auto"/>
            </w:tcBorders>
            <w:shd w:val="clear" w:color="auto" w:fill="auto"/>
            <w:noWrap/>
            <w:vAlign w:val="center"/>
            <w:hideMark/>
          </w:tcPr>
          <w:p w14:paraId="380C9A0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04/03/2021</w:t>
            </w:r>
          </w:p>
        </w:tc>
        <w:tc>
          <w:tcPr>
            <w:tcW w:w="1559" w:type="dxa"/>
            <w:tcBorders>
              <w:top w:val="nil"/>
              <w:left w:val="nil"/>
              <w:bottom w:val="single" w:sz="4" w:space="0" w:color="auto"/>
              <w:right w:val="single" w:sz="4" w:space="0" w:color="auto"/>
            </w:tcBorders>
            <w:shd w:val="clear" w:color="auto" w:fill="auto"/>
            <w:noWrap/>
            <w:vAlign w:val="center"/>
            <w:hideMark/>
          </w:tcPr>
          <w:p w14:paraId="567ECF9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59EDEEA0"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7E8611F"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8E2927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3718CB0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7F4CA7B6"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D3F075E"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13</w:t>
            </w:r>
          </w:p>
        </w:tc>
        <w:tc>
          <w:tcPr>
            <w:tcW w:w="1495" w:type="dxa"/>
            <w:tcBorders>
              <w:top w:val="nil"/>
              <w:left w:val="nil"/>
              <w:bottom w:val="single" w:sz="4" w:space="0" w:color="auto"/>
              <w:right w:val="single" w:sz="4" w:space="0" w:color="auto"/>
            </w:tcBorders>
            <w:shd w:val="clear" w:color="auto" w:fill="auto"/>
            <w:noWrap/>
            <w:vAlign w:val="center"/>
            <w:hideMark/>
          </w:tcPr>
          <w:p w14:paraId="760A94C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2020/G01_01/000016</w:t>
            </w:r>
          </w:p>
        </w:tc>
        <w:tc>
          <w:tcPr>
            <w:tcW w:w="2532" w:type="dxa"/>
            <w:tcBorders>
              <w:top w:val="nil"/>
              <w:left w:val="nil"/>
              <w:bottom w:val="single" w:sz="4" w:space="0" w:color="auto"/>
              <w:right w:val="single" w:sz="4" w:space="0" w:color="auto"/>
            </w:tcBorders>
            <w:shd w:val="clear" w:color="auto" w:fill="auto"/>
            <w:noWrap/>
            <w:vAlign w:val="center"/>
            <w:hideMark/>
          </w:tcPr>
          <w:p w14:paraId="0EF9E12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Calpe</w:t>
            </w:r>
          </w:p>
        </w:tc>
        <w:tc>
          <w:tcPr>
            <w:tcW w:w="2760" w:type="dxa"/>
            <w:tcBorders>
              <w:top w:val="nil"/>
              <w:left w:val="nil"/>
              <w:bottom w:val="single" w:sz="4" w:space="0" w:color="auto"/>
              <w:right w:val="single" w:sz="4" w:space="0" w:color="auto"/>
            </w:tcBorders>
            <w:shd w:val="clear" w:color="auto" w:fill="auto"/>
            <w:noWrap/>
            <w:vAlign w:val="center"/>
            <w:hideMark/>
          </w:tcPr>
          <w:p w14:paraId="234010D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Contratación-subvenciones</w:t>
            </w:r>
          </w:p>
        </w:tc>
        <w:tc>
          <w:tcPr>
            <w:tcW w:w="926" w:type="dxa"/>
            <w:tcBorders>
              <w:top w:val="nil"/>
              <w:left w:val="nil"/>
              <w:bottom w:val="single" w:sz="4" w:space="0" w:color="auto"/>
              <w:right w:val="single" w:sz="4" w:space="0" w:color="auto"/>
            </w:tcBorders>
            <w:shd w:val="clear" w:color="auto" w:fill="auto"/>
            <w:noWrap/>
            <w:vAlign w:val="center"/>
            <w:hideMark/>
          </w:tcPr>
          <w:p w14:paraId="6BD35A0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08/03/2021</w:t>
            </w:r>
          </w:p>
        </w:tc>
        <w:tc>
          <w:tcPr>
            <w:tcW w:w="1559" w:type="dxa"/>
            <w:tcBorders>
              <w:top w:val="nil"/>
              <w:left w:val="nil"/>
              <w:bottom w:val="single" w:sz="4" w:space="0" w:color="auto"/>
              <w:right w:val="single" w:sz="4" w:space="0" w:color="auto"/>
            </w:tcBorders>
            <w:shd w:val="clear" w:color="auto" w:fill="auto"/>
            <w:noWrap/>
            <w:vAlign w:val="center"/>
            <w:hideMark/>
          </w:tcPr>
          <w:p w14:paraId="2632A34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7FAEACB0"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B23CA3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571221A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Planificación contratación</w:t>
            </w:r>
          </w:p>
        </w:tc>
        <w:tc>
          <w:tcPr>
            <w:tcW w:w="1246" w:type="dxa"/>
            <w:tcBorders>
              <w:top w:val="nil"/>
              <w:left w:val="nil"/>
              <w:bottom w:val="single" w:sz="4" w:space="0" w:color="auto"/>
              <w:right w:val="single" w:sz="4" w:space="0" w:color="auto"/>
            </w:tcBorders>
            <w:shd w:val="clear" w:color="auto" w:fill="auto"/>
            <w:vAlign w:val="center"/>
            <w:hideMark/>
          </w:tcPr>
          <w:p w14:paraId="6DA21D5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parcialmente recomendaciones</w:t>
            </w:r>
          </w:p>
        </w:tc>
      </w:tr>
      <w:tr w:rsidR="00DD5D78" w:rsidRPr="00DD5D78" w14:paraId="00EE5647"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ACADCF1"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14</w:t>
            </w:r>
          </w:p>
        </w:tc>
        <w:tc>
          <w:tcPr>
            <w:tcW w:w="1495" w:type="dxa"/>
            <w:tcBorders>
              <w:top w:val="nil"/>
              <w:left w:val="nil"/>
              <w:bottom w:val="single" w:sz="4" w:space="0" w:color="auto"/>
              <w:right w:val="single" w:sz="4" w:space="0" w:color="auto"/>
            </w:tcBorders>
            <w:shd w:val="clear" w:color="auto" w:fill="auto"/>
            <w:noWrap/>
            <w:vAlign w:val="center"/>
            <w:hideMark/>
          </w:tcPr>
          <w:p w14:paraId="138ACBB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2020/G01_01/000298</w:t>
            </w:r>
          </w:p>
        </w:tc>
        <w:tc>
          <w:tcPr>
            <w:tcW w:w="2532" w:type="dxa"/>
            <w:tcBorders>
              <w:top w:val="nil"/>
              <w:left w:val="nil"/>
              <w:bottom w:val="single" w:sz="4" w:space="0" w:color="auto"/>
              <w:right w:val="single" w:sz="4" w:space="0" w:color="auto"/>
            </w:tcBorders>
            <w:shd w:val="clear" w:color="auto" w:fill="auto"/>
            <w:noWrap/>
            <w:vAlign w:val="center"/>
            <w:hideMark/>
          </w:tcPr>
          <w:p w14:paraId="4EB5EDD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Cofrentes</w:t>
            </w:r>
          </w:p>
        </w:tc>
        <w:tc>
          <w:tcPr>
            <w:tcW w:w="2760" w:type="dxa"/>
            <w:tcBorders>
              <w:top w:val="nil"/>
              <w:left w:val="nil"/>
              <w:bottom w:val="single" w:sz="4" w:space="0" w:color="auto"/>
              <w:right w:val="single" w:sz="4" w:space="0" w:color="auto"/>
            </w:tcBorders>
            <w:shd w:val="clear" w:color="auto" w:fill="auto"/>
            <w:noWrap/>
            <w:vAlign w:val="center"/>
            <w:hideMark/>
          </w:tcPr>
          <w:p w14:paraId="347334F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Contratación-fraccionamiento</w:t>
            </w:r>
          </w:p>
        </w:tc>
        <w:tc>
          <w:tcPr>
            <w:tcW w:w="926" w:type="dxa"/>
            <w:tcBorders>
              <w:top w:val="nil"/>
              <w:left w:val="nil"/>
              <w:bottom w:val="single" w:sz="4" w:space="0" w:color="auto"/>
              <w:right w:val="single" w:sz="4" w:space="0" w:color="auto"/>
            </w:tcBorders>
            <w:shd w:val="clear" w:color="auto" w:fill="auto"/>
            <w:noWrap/>
            <w:vAlign w:val="center"/>
            <w:hideMark/>
          </w:tcPr>
          <w:p w14:paraId="42C2CC7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16/03/2021</w:t>
            </w:r>
          </w:p>
        </w:tc>
        <w:tc>
          <w:tcPr>
            <w:tcW w:w="1559" w:type="dxa"/>
            <w:tcBorders>
              <w:top w:val="nil"/>
              <w:left w:val="nil"/>
              <w:bottom w:val="single" w:sz="4" w:space="0" w:color="auto"/>
              <w:right w:val="single" w:sz="4" w:space="0" w:color="auto"/>
            </w:tcBorders>
            <w:shd w:val="clear" w:color="auto" w:fill="auto"/>
            <w:noWrap/>
            <w:vAlign w:val="center"/>
            <w:hideMark/>
          </w:tcPr>
          <w:p w14:paraId="462B56B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Archivo</w:t>
            </w:r>
          </w:p>
        </w:tc>
        <w:tc>
          <w:tcPr>
            <w:tcW w:w="1134" w:type="dxa"/>
            <w:tcBorders>
              <w:top w:val="nil"/>
              <w:left w:val="nil"/>
              <w:bottom w:val="single" w:sz="4" w:space="0" w:color="auto"/>
              <w:right w:val="single" w:sz="4" w:space="0" w:color="auto"/>
            </w:tcBorders>
            <w:shd w:val="clear" w:color="auto" w:fill="auto"/>
            <w:noWrap/>
            <w:vAlign w:val="center"/>
            <w:hideMark/>
          </w:tcPr>
          <w:p w14:paraId="07AB5227"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27B4C3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5F273CE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7F587E3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procede seguimiento</w:t>
            </w:r>
          </w:p>
        </w:tc>
      </w:tr>
      <w:tr w:rsidR="00DD5D78" w:rsidRPr="00DD5D78" w14:paraId="7ADA82EA"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2709D0F"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15</w:t>
            </w:r>
          </w:p>
        </w:tc>
        <w:tc>
          <w:tcPr>
            <w:tcW w:w="1495" w:type="dxa"/>
            <w:tcBorders>
              <w:top w:val="nil"/>
              <w:left w:val="nil"/>
              <w:bottom w:val="single" w:sz="4" w:space="0" w:color="auto"/>
              <w:right w:val="single" w:sz="4" w:space="0" w:color="auto"/>
            </w:tcBorders>
            <w:shd w:val="clear" w:color="auto" w:fill="auto"/>
            <w:noWrap/>
            <w:vAlign w:val="center"/>
            <w:hideMark/>
          </w:tcPr>
          <w:p w14:paraId="45463C4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2020/G01_01/000371</w:t>
            </w:r>
          </w:p>
        </w:tc>
        <w:tc>
          <w:tcPr>
            <w:tcW w:w="2532" w:type="dxa"/>
            <w:tcBorders>
              <w:top w:val="nil"/>
              <w:left w:val="nil"/>
              <w:bottom w:val="single" w:sz="4" w:space="0" w:color="auto"/>
              <w:right w:val="single" w:sz="4" w:space="0" w:color="auto"/>
            </w:tcBorders>
            <w:shd w:val="clear" w:color="auto" w:fill="auto"/>
            <w:noWrap/>
            <w:vAlign w:val="center"/>
            <w:hideMark/>
          </w:tcPr>
          <w:p w14:paraId="3283C12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Divalterra</w:t>
            </w:r>
          </w:p>
        </w:tc>
        <w:tc>
          <w:tcPr>
            <w:tcW w:w="2760" w:type="dxa"/>
            <w:tcBorders>
              <w:top w:val="nil"/>
              <w:left w:val="nil"/>
              <w:bottom w:val="single" w:sz="4" w:space="0" w:color="auto"/>
              <w:right w:val="single" w:sz="4" w:space="0" w:color="auto"/>
            </w:tcBorders>
            <w:shd w:val="clear" w:color="auto" w:fill="auto"/>
            <w:noWrap/>
            <w:vAlign w:val="center"/>
            <w:hideMark/>
          </w:tcPr>
          <w:p w14:paraId="03956F4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16D9B6A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16/03/2021</w:t>
            </w:r>
          </w:p>
        </w:tc>
        <w:tc>
          <w:tcPr>
            <w:tcW w:w="1559" w:type="dxa"/>
            <w:tcBorders>
              <w:top w:val="nil"/>
              <w:left w:val="nil"/>
              <w:bottom w:val="single" w:sz="4" w:space="0" w:color="auto"/>
              <w:right w:val="single" w:sz="4" w:space="0" w:color="auto"/>
            </w:tcBorders>
            <w:shd w:val="clear" w:color="auto" w:fill="auto"/>
            <w:noWrap/>
            <w:vAlign w:val="center"/>
            <w:hideMark/>
          </w:tcPr>
          <w:p w14:paraId="3941EF2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Archivo</w:t>
            </w:r>
          </w:p>
        </w:tc>
        <w:tc>
          <w:tcPr>
            <w:tcW w:w="1134" w:type="dxa"/>
            <w:tcBorders>
              <w:top w:val="nil"/>
              <w:left w:val="nil"/>
              <w:bottom w:val="single" w:sz="4" w:space="0" w:color="auto"/>
              <w:right w:val="single" w:sz="4" w:space="0" w:color="auto"/>
            </w:tcBorders>
            <w:shd w:val="clear" w:color="auto" w:fill="auto"/>
            <w:noWrap/>
            <w:vAlign w:val="center"/>
            <w:hideMark/>
          </w:tcPr>
          <w:p w14:paraId="3181738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E38F3C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79EC0F6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70189A0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procede seguimiento</w:t>
            </w:r>
          </w:p>
        </w:tc>
      </w:tr>
      <w:tr w:rsidR="00DD5D78" w:rsidRPr="00DD5D78" w14:paraId="3B935B1A"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BDD5301"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16</w:t>
            </w:r>
          </w:p>
        </w:tc>
        <w:tc>
          <w:tcPr>
            <w:tcW w:w="1495" w:type="dxa"/>
            <w:tcBorders>
              <w:top w:val="nil"/>
              <w:left w:val="nil"/>
              <w:bottom w:val="single" w:sz="4" w:space="0" w:color="auto"/>
              <w:right w:val="single" w:sz="4" w:space="0" w:color="auto"/>
            </w:tcBorders>
            <w:shd w:val="clear" w:color="auto" w:fill="auto"/>
            <w:noWrap/>
            <w:vAlign w:val="center"/>
            <w:hideMark/>
          </w:tcPr>
          <w:p w14:paraId="64C61AE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2020/G01_01/000050</w:t>
            </w:r>
          </w:p>
        </w:tc>
        <w:tc>
          <w:tcPr>
            <w:tcW w:w="2532" w:type="dxa"/>
            <w:tcBorders>
              <w:top w:val="nil"/>
              <w:left w:val="nil"/>
              <w:bottom w:val="single" w:sz="4" w:space="0" w:color="auto"/>
              <w:right w:val="single" w:sz="4" w:space="0" w:color="auto"/>
            </w:tcBorders>
            <w:shd w:val="clear" w:color="auto" w:fill="auto"/>
            <w:noWrap/>
            <w:vAlign w:val="center"/>
            <w:hideMark/>
          </w:tcPr>
          <w:p w14:paraId="1F035CC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Universidad de Valencia</w:t>
            </w:r>
          </w:p>
        </w:tc>
        <w:tc>
          <w:tcPr>
            <w:tcW w:w="2760" w:type="dxa"/>
            <w:tcBorders>
              <w:top w:val="nil"/>
              <w:left w:val="nil"/>
              <w:bottom w:val="single" w:sz="4" w:space="0" w:color="auto"/>
              <w:right w:val="single" w:sz="4" w:space="0" w:color="auto"/>
            </w:tcBorders>
            <w:shd w:val="clear" w:color="auto" w:fill="auto"/>
            <w:noWrap/>
            <w:vAlign w:val="center"/>
            <w:hideMark/>
          </w:tcPr>
          <w:p w14:paraId="5F0AE2A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humanos_incompatibilidades</w:t>
            </w:r>
          </w:p>
        </w:tc>
        <w:tc>
          <w:tcPr>
            <w:tcW w:w="926" w:type="dxa"/>
            <w:tcBorders>
              <w:top w:val="nil"/>
              <w:left w:val="nil"/>
              <w:bottom w:val="single" w:sz="4" w:space="0" w:color="auto"/>
              <w:right w:val="single" w:sz="4" w:space="0" w:color="auto"/>
            </w:tcBorders>
            <w:shd w:val="clear" w:color="auto" w:fill="auto"/>
            <w:noWrap/>
            <w:vAlign w:val="center"/>
            <w:hideMark/>
          </w:tcPr>
          <w:p w14:paraId="3FA53E5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17/03/2021</w:t>
            </w:r>
          </w:p>
        </w:tc>
        <w:tc>
          <w:tcPr>
            <w:tcW w:w="1559" w:type="dxa"/>
            <w:tcBorders>
              <w:top w:val="nil"/>
              <w:left w:val="nil"/>
              <w:bottom w:val="single" w:sz="4" w:space="0" w:color="auto"/>
              <w:right w:val="single" w:sz="4" w:space="0" w:color="auto"/>
            </w:tcBorders>
            <w:shd w:val="clear" w:color="auto" w:fill="auto"/>
            <w:noWrap/>
            <w:vAlign w:val="center"/>
            <w:hideMark/>
          </w:tcPr>
          <w:p w14:paraId="415643A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256D937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7C002F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C3FA94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Revisión compatibilidades personal docente</w:t>
            </w:r>
          </w:p>
        </w:tc>
        <w:tc>
          <w:tcPr>
            <w:tcW w:w="1246" w:type="dxa"/>
            <w:tcBorders>
              <w:top w:val="nil"/>
              <w:left w:val="nil"/>
              <w:bottom w:val="single" w:sz="4" w:space="0" w:color="auto"/>
              <w:right w:val="single" w:sz="4" w:space="0" w:color="auto"/>
            </w:tcBorders>
            <w:shd w:val="clear" w:color="auto" w:fill="auto"/>
            <w:vAlign w:val="center"/>
            <w:hideMark/>
          </w:tcPr>
          <w:p w14:paraId="514E154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6C333DCC"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1F1AB629"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17</w:t>
            </w:r>
          </w:p>
        </w:tc>
        <w:tc>
          <w:tcPr>
            <w:tcW w:w="1495" w:type="dxa"/>
            <w:tcBorders>
              <w:top w:val="nil"/>
              <w:left w:val="nil"/>
              <w:bottom w:val="single" w:sz="4" w:space="0" w:color="auto"/>
              <w:right w:val="single" w:sz="4" w:space="0" w:color="auto"/>
            </w:tcBorders>
            <w:shd w:val="clear" w:color="auto" w:fill="auto"/>
            <w:noWrap/>
            <w:vAlign w:val="center"/>
            <w:hideMark/>
          </w:tcPr>
          <w:p w14:paraId="5ECB01D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2020/G01_01/000051</w:t>
            </w:r>
          </w:p>
        </w:tc>
        <w:tc>
          <w:tcPr>
            <w:tcW w:w="2532" w:type="dxa"/>
            <w:tcBorders>
              <w:top w:val="nil"/>
              <w:left w:val="nil"/>
              <w:bottom w:val="single" w:sz="4" w:space="0" w:color="auto"/>
              <w:right w:val="single" w:sz="4" w:space="0" w:color="auto"/>
            </w:tcBorders>
            <w:shd w:val="clear" w:color="auto" w:fill="auto"/>
            <w:noWrap/>
            <w:vAlign w:val="center"/>
            <w:hideMark/>
          </w:tcPr>
          <w:p w14:paraId="2D12386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FAVIDE</w:t>
            </w:r>
          </w:p>
        </w:tc>
        <w:tc>
          <w:tcPr>
            <w:tcW w:w="2760" w:type="dxa"/>
            <w:tcBorders>
              <w:top w:val="nil"/>
              <w:left w:val="nil"/>
              <w:bottom w:val="single" w:sz="4" w:space="0" w:color="auto"/>
              <w:right w:val="single" w:sz="4" w:space="0" w:color="auto"/>
            </w:tcBorders>
            <w:shd w:val="clear" w:color="auto" w:fill="auto"/>
            <w:noWrap/>
            <w:vAlign w:val="center"/>
            <w:hideMark/>
          </w:tcPr>
          <w:p w14:paraId="2F0A69B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Rendición de cuentas</w:t>
            </w:r>
          </w:p>
        </w:tc>
        <w:tc>
          <w:tcPr>
            <w:tcW w:w="926" w:type="dxa"/>
            <w:tcBorders>
              <w:top w:val="nil"/>
              <w:left w:val="nil"/>
              <w:bottom w:val="single" w:sz="4" w:space="0" w:color="auto"/>
              <w:right w:val="single" w:sz="4" w:space="0" w:color="auto"/>
            </w:tcBorders>
            <w:shd w:val="clear" w:color="auto" w:fill="auto"/>
            <w:noWrap/>
            <w:vAlign w:val="center"/>
            <w:hideMark/>
          </w:tcPr>
          <w:p w14:paraId="3D87327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22/03/2021</w:t>
            </w:r>
          </w:p>
        </w:tc>
        <w:tc>
          <w:tcPr>
            <w:tcW w:w="1559" w:type="dxa"/>
            <w:tcBorders>
              <w:top w:val="nil"/>
              <w:left w:val="nil"/>
              <w:bottom w:val="single" w:sz="4" w:space="0" w:color="auto"/>
              <w:right w:val="single" w:sz="4" w:space="0" w:color="auto"/>
            </w:tcBorders>
            <w:shd w:val="clear" w:color="auto" w:fill="auto"/>
            <w:noWrap/>
            <w:vAlign w:val="center"/>
            <w:hideMark/>
          </w:tcPr>
          <w:p w14:paraId="06A862B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04DFCBA5"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8941F28"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57C0D7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031C353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67D9B311"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4D6B6BF"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18</w:t>
            </w:r>
          </w:p>
        </w:tc>
        <w:tc>
          <w:tcPr>
            <w:tcW w:w="1495" w:type="dxa"/>
            <w:tcBorders>
              <w:top w:val="nil"/>
              <w:left w:val="nil"/>
              <w:bottom w:val="single" w:sz="4" w:space="0" w:color="auto"/>
              <w:right w:val="single" w:sz="4" w:space="0" w:color="auto"/>
            </w:tcBorders>
            <w:shd w:val="clear" w:color="auto" w:fill="auto"/>
            <w:noWrap/>
            <w:vAlign w:val="center"/>
            <w:hideMark/>
          </w:tcPr>
          <w:p w14:paraId="3C2D7CB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2020/G01_01/000026</w:t>
            </w:r>
          </w:p>
        </w:tc>
        <w:tc>
          <w:tcPr>
            <w:tcW w:w="2532" w:type="dxa"/>
            <w:tcBorders>
              <w:top w:val="nil"/>
              <w:left w:val="nil"/>
              <w:bottom w:val="single" w:sz="4" w:space="0" w:color="auto"/>
              <w:right w:val="single" w:sz="4" w:space="0" w:color="auto"/>
            </w:tcBorders>
            <w:shd w:val="clear" w:color="auto" w:fill="auto"/>
            <w:noWrap/>
            <w:vAlign w:val="center"/>
            <w:hideMark/>
          </w:tcPr>
          <w:p w14:paraId="3815CB8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372DAE1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Contratación-encargo directo</w:t>
            </w:r>
          </w:p>
        </w:tc>
        <w:tc>
          <w:tcPr>
            <w:tcW w:w="926" w:type="dxa"/>
            <w:tcBorders>
              <w:top w:val="nil"/>
              <w:left w:val="nil"/>
              <w:bottom w:val="single" w:sz="4" w:space="0" w:color="auto"/>
              <w:right w:val="single" w:sz="4" w:space="0" w:color="auto"/>
            </w:tcBorders>
            <w:shd w:val="clear" w:color="auto" w:fill="auto"/>
            <w:noWrap/>
            <w:vAlign w:val="center"/>
            <w:hideMark/>
          </w:tcPr>
          <w:p w14:paraId="6E7D97F3"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22/03/2021</w:t>
            </w:r>
          </w:p>
        </w:tc>
        <w:tc>
          <w:tcPr>
            <w:tcW w:w="1559" w:type="dxa"/>
            <w:tcBorders>
              <w:top w:val="nil"/>
              <w:left w:val="nil"/>
              <w:bottom w:val="single" w:sz="4" w:space="0" w:color="auto"/>
              <w:right w:val="single" w:sz="4" w:space="0" w:color="auto"/>
            </w:tcBorders>
            <w:shd w:val="clear" w:color="auto" w:fill="auto"/>
            <w:noWrap/>
            <w:vAlign w:val="center"/>
            <w:hideMark/>
          </w:tcPr>
          <w:p w14:paraId="633B4A6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74A308E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D99161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64F1C64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Planificación contratación</w:t>
            </w:r>
          </w:p>
        </w:tc>
        <w:tc>
          <w:tcPr>
            <w:tcW w:w="1246" w:type="dxa"/>
            <w:tcBorders>
              <w:top w:val="nil"/>
              <w:left w:val="nil"/>
              <w:bottom w:val="single" w:sz="4" w:space="0" w:color="auto"/>
              <w:right w:val="single" w:sz="4" w:space="0" w:color="auto"/>
            </w:tcBorders>
            <w:shd w:val="clear" w:color="auto" w:fill="auto"/>
            <w:vAlign w:val="center"/>
            <w:hideMark/>
          </w:tcPr>
          <w:p w14:paraId="2A505BA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parcialmente recomendaciones</w:t>
            </w:r>
          </w:p>
        </w:tc>
      </w:tr>
      <w:tr w:rsidR="00DD5D78" w:rsidRPr="00DD5D78" w14:paraId="2A5C9592"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5B78E5C"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19</w:t>
            </w:r>
          </w:p>
        </w:tc>
        <w:tc>
          <w:tcPr>
            <w:tcW w:w="1495" w:type="dxa"/>
            <w:tcBorders>
              <w:top w:val="nil"/>
              <w:left w:val="nil"/>
              <w:bottom w:val="single" w:sz="4" w:space="0" w:color="auto"/>
              <w:right w:val="single" w:sz="4" w:space="0" w:color="auto"/>
            </w:tcBorders>
            <w:shd w:val="clear" w:color="auto" w:fill="auto"/>
            <w:noWrap/>
            <w:vAlign w:val="center"/>
            <w:hideMark/>
          </w:tcPr>
          <w:p w14:paraId="0DDD2A9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2020/G01_01/000210</w:t>
            </w:r>
          </w:p>
        </w:tc>
        <w:tc>
          <w:tcPr>
            <w:tcW w:w="2532" w:type="dxa"/>
            <w:tcBorders>
              <w:top w:val="nil"/>
              <w:left w:val="nil"/>
              <w:bottom w:val="single" w:sz="4" w:space="0" w:color="auto"/>
              <w:right w:val="single" w:sz="4" w:space="0" w:color="auto"/>
            </w:tcBorders>
            <w:shd w:val="clear" w:color="auto" w:fill="auto"/>
            <w:noWrap/>
            <w:vAlign w:val="center"/>
            <w:hideMark/>
          </w:tcPr>
          <w:p w14:paraId="78B72A5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Fundación Universidad Jaume I Empresa</w:t>
            </w:r>
          </w:p>
        </w:tc>
        <w:tc>
          <w:tcPr>
            <w:tcW w:w="2760" w:type="dxa"/>
            <w:tcBorders>
              <w:top w:val="nil"/>
              <w:left w:val="nil"/>
              <w:bottom w:val="single" w:sz="4" w:space="0" w:color="auto"/>
              <w:right w:val="single" w:sz="4" w:space="0" w:color="auto"/>
            </w:tcBorders>
            <w:shd w:val="clear" w:color="auto" w:fill="auto"/>
            <w:noWrap/>
            <w:vAlign w:val="center"/>
            <w:hideMark/>
          </w:tcPr>
          <w:p w14:paraId="25E0E6E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humanos_contratos alta dirección</w:t>
            </w:r>
          </w:p>
        </w:tc>
        <w:tc>
          <w:tcPr>
            <w:tcW w:w="926" w:type="dxa"/>
            <w:tcBorders>
              <w:top w:val="nil"/>
              <w:left w:val="nil"/>
              <w:bottom w:val="single" w:sz="4" w:space="0" w:color="auto"/>
              <w:right w:val="single" w:sz="4" w:space="0" w:color="auto"/>
            </w:tcBorders>
            <w:shd w:val="clear" w:color="auto" w:fill="auto"/>
            <w:noWrap/>
            <w:vAlign w:val="center"/>
            <w:hideMark/>
          </w:tcPr>
          <w:p w14:paraId="40074A3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23/03/2021</w:t>
            </w:r>
          </w:p>
        </w:tc>
        <w:tc>
          <w:tcPr>
            <w:tcW w:w="1559" w:type="dxa"/>
            <w:tcBorders>
              <w:top w:val="nil"/>
              <w:left w:val="nil"/>
              <w:bottom w:val="single" w:sz="4" w:space="0" w:color="auto"/>
              <w:right w:val="single" w:sz="4" w:space="0" w:color="auto"/>
            </w:tcBorders>
            <w:shd w:val="clear" w:color="auto" w:fill="auto"/>
            <w:noWrap/>
            <w:vAlign w:val="center"/>
            <w:hideMark/>
          </w:tcPr>
          <w:p w14:paraId="72B7FEF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Archivo</w:t>
            </w:r>
          </w:p>
        </w:tc>
        <w:tc>
          <w:tcPr>
            <w:tcW w:w="1134" w:type="dxa"/>
            <w:tcBorders>
              <w:top w:val="nil"/>
              <w:left w:val="nil"/>
              <w:bottom w:val="single" w:sz="4" w:space="0" w:color="auto"/>
              <w:right w:val="single" w:sz="4" w:space="0" w:color="auto"/>
            </w:tcBorders>
            <w:shd w:val="clear" w:color="auto" w:fill="auto"/>
            <w:noWrap/>
            <w:vAlign w:val="center"/>
            <w:hideMark/>
          </w:tcPr>
          <w:p w14:paraId="17BC5C43"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02C41C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CE4DF3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63540BF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procede seguimiento</w:t>
            </w:r>
          </w:p>
        </w:tc>
      </w:tr>
      <w:tr w:rsidR="00DD5D78" w:rsidRPr="00DD5D78" w14:paraId="64123EFD"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CE2BF68"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w:t>
            </w:r>
          </w:p>
        </w:tc>
        <w:tc>
          <w:tcPr>
            <w:tcW w:w="1495" w:type="dxa"/>
            <w:tcBorders>
              <w:top w:val="nil"/>
              <w:left w:val="nil"/>
              <w:bottom w:val="single" w:sz="4" w:space="0" w:color="auto"/>
              <w:right w:val="single" w:sz="4" w:space="0" w:color="auto"/>
            </w:tcBorders>
            <w:shd w:val="clear" w:color="auto" w:fill="auto"/>
            <w:noWrap/>
            <w:vAlign w:val="center"/>
            <w:hideMark/>
          </w:tcPr>
          <w:p w14:paraId="61D5C98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2020/G01_01/000244</w:t>
            </w:r>
          </w:p>
        </w:tc>
        <w:tc>
          <w:tcPr>
            <w:tcW w:w="2532" w:type="dxa"/>
            <w:tcBorders>
              <w:top w:val="nil"/>
              <w:left w:val="nil"/>
              <w:bottom w:val="single" w:sz="4" w:space="0" w:color="auto"/>
              <w:right w:val="single" w:sz="4" w:space="0" w:color="auto"/>
            </w:tcBorders>
            <w:shd w:val="clear" w:color="auto" w:fill="auto"/>
            <w:noWrap/>
            <w:vAlign w:val="center"/>
            <w:hideMark/>
          </w:tcPr>
          <w:p w14:paraId="61A21F1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Sedaví</w:t>
            </w:r>
          </w:p>
        </w:tc>
        <w:tc>
          <w:tcPr>
            <w:tcW w:w="2760" w:type="dxa"/>
            <w:tcBorders>
              <w:top w:val="nil"/>
              <w:left w:val="nil"/>
              <w:bottom w:val="single" w:sz="4" w:space="0" w:color="auto"/>
              <w:right w:val="single" w:sz="4" w:space="0" w:color="auto"/>
            </w:tcBorders>
            <w:shd w:val="clear" w:color="auto" w:fill="auto"/>
            <w:noWrap/>
            <w:vAlign w:val="center"/>
            <w:hideMark/>
          </w:tcPr>
          <w:p w14:paraId="238F41F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humanos_selección</w:t>
            </w:r>
          </w:p>
        </w:tc>
        <w:tc>
          <w:tcPr>
            <w:tcW w:w="926" w:type="dxa"/>
            <w:tcBorders>
              <w:top w:val="nil"/>
              <w:left w:val="nil"/>
              <w:bottom w:val="single" w:sz="4" w:space="0" w:color="auto"/>
              <w:right w:val="single" w:sz="4" w:space="0" w:color="auto"/>
            </w:tcBorders>
            <w:shd w:val="clear" w:color="auto" w:fill="auto"/>
            <w:noWrap/>
            <w:vAlign w:val="center"/>
            <w:hideMark/>
          </w:tcPr>
          <w:p w14:paraId="49E1A82C"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19/04/2021</w:t>
            </w:r>
          </w:p>
        </w:tc>
        <w:tc>
          <w:tcPr>
            <w:tcW w:w="1559" w:type="dxa"/>
            <w:tcBorders>
              <w:top w:val="nil"/>
              <w:left w:val="nil"/>
              <w:bottom w:val="single" w:sz="4" w:space="0" w:color="auto"/>
              <w:right w:val="single" w:sz="4" w:space="0" w:color="auto"/>
            </w:tcBorders>
            <w:shd w:val="clear" w:color="auto" w:fill="auto"/>
            <w:noWrap/>
            <w:vAlign w:val="center"/>
            <w:hideMark/>
          </w:tcPr>
          <w:p w14:paraId="70FD6FD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Archivo</w:t>
            </w:r>
          </w:p>
        </w:tc>
        <w:tc>
          <w:tcPr>
            <w:tcW w:w="1134" w:type="dxa"/>
            <w:tcBorders>
              <w:top w:val="nil"/>
              <w:left w:val="nil"/>
              <w:bottom w:val="single" w:sz="4" w:space="0" w:color="auto"/>
              <w:right w:val="single" w:sz="4" w:space="0" w:color="auto"/>
            </w:tcBorders>
            <w:shd w:val="clear" w:color="auto" w:fill="auto"/>
            <w:noWrap/>
            <w:vAlign w:val="center"/>
            <w:hideMark/>
          </w:tcPr>
          <w:p w14:paraId="45B9168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8A1F728"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893A9A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43DF2EC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procede seguimiento</w:t>
            </w:r>
          </w:p>
        </w:tc>
      </w:tr>
      <w:tr w:rsidR="00DD5D78" w:rsidRPr="00DD5D78" w14:paraId="56543E69"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000000" w:fill="FFFFFF"/>
            <w:noWrap/>
            <w:vAlign w:val="center"/>
          </w:tcPr>
          <w:p w14:paraId="2B0760AE"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21</w:t>
            </w:r>
          </w:p>
        </w:tc>
        <w:tc>
          <w:tcPr>
            <w:tcW w:w="1495" w:type="dxa"/>
            <w:tcBorders>
              <w:top w:val="nil"/>
              <w:left w:val="nil"/>
              <w:bottom w:val="single" w:sz="4" w:space="0" w:color="auto"/>
              <w:right w:val="single" w:sz="4" w:space="0" w:color="auto"/>
            </w:tcBorders>
            <w:shd w:val="clear" w:color="auto" w:fill="auto"/>
            <w:noWrap/>
            <w:vAlign w:val="center"/>
          </w:tcPr>
          <w:p w14:paraId="5514B4D9" w14:textId="77777777" w:rsidR="00DD5D78" w:rsidRPr="00DD5D78" w:rsidRDefault="00DD5D78" w:rsidP="00DD5D78">
            <w:pPr>
              <w:spacing w:before="60" w:after="60"/>
              <w:rPr>
                <w:rFonts w:ascii="Arial" w:eastAsia="Times New Roman" w:hAnsi="Arial"/>
                <w:color w:val="000000"/>
                <w:sz w:val="14"/>
                <w:szCs w:val="14"/>
                <w:lang w:eastAsia="es-ES"/>
              </w:rPr>
            </w:pPr>
          </w:p>
        </w:tc>
        <w:tc>
          <w:tcPr>
            <w:tcW w:w="2532" w:type="dxa"/>
            <w:tcBorders>
              <w:top w:val="nil"/>
              <w:left w:val="nil"/>
              <w:bottom w:val="single" w:sz="4" w:space="0" w:color="auto"/>
              <w:right w:val="single" w:sz="4" w:space="0" w:color="auto"/>
            </w:tcBorders>
            <w:shd w:val="clear" w:color="auto" w:fill="auto"/>
            <w:noWrap/>
            <w:vAlign w:val="center"/>
          </w:tcPr>
          <w:p w14:paraId="166AC72B" w14:textId="77777777" w:rsidR="00DD5D78" w:rsidRPr="00DD5D78" w:rsidRDefault="00DD5D78" w:rsidP="00DD5D78">
            <w:pPr>
              <w:spacing w:before="60" w:after="60"/>
              <w:rPr>
                <w:rFonts w:ascii="Arial" w:eastAsia="Times New Roman" w:hAnsi="Arial"/>
                <w:color w:val="000000"/>
                <w:sz w:val="14"/>
                <w:szCs w:val="14"/>
                <w:lang w:eastAsia="es-ES"/>
              </w:rPr>
            </w:pPr>
          </w:p>
        </w:tc>
        <w:tc>
          <w:tcPr>
            <w:tcW w:w="2760" w:type="dxa"/>
            <w:tcBorders>
              <w:top w:val="nil"/>
              <w:left w:val="nil"/>
              <w:bottom w:val="single" w:sz="4" w:space="0" w:color="auto"/>
              <w:right w:val="single" w:sz="4" w:space="0" w:color="auto"/>
            </w:tcBorders>
            <w:shd w:val="clear" w:color="auto" w:fill="auto"/>
            <w:noWrap/>
            <w:vAlign w:val="center"/>
          </w:tcPr>
          <w:p w14:paraId="19678A66" w14:textId="77777777" w:rsidR="00DD5D78" w:rsidRPr="00DD5D78" w:rsidRDefault="00DD5D78" w:rsidP="00DD5D78">
            <w:pPr>
              <w:spacing w:before="60" w:after="60"/>
              <w:rPr>
                <w:rFonts w:ascii="Arial" w:eastAsia="Times New Roman" w:hAnsi="Arial"/>
                <w:color w:val="000000"/>
                <w:sz w:val="14"/>
                <w:szCs w:val="14"/>
                <w:lang w:eastAsia="es-ES"/>
              </w:rPr>
            </w:pPr>
          </w:p>
        </w:tc>
        <w:tc>
          <w:tcPr>
            <w:tcW w:w="926" w:type="dxa"/>
            <w:tcBorders>
              <w:top w:val="nil"/>
              <w:left w:val="nil"/>
              <w:bottom w:val="single" w:sz="4" w:space="0" w:color="auto"/>
              <w:right w:val="single" w:sz="4" w:space="0" w:color="auto"/>
            </w:tcBorders>
            <w:shd w:val="clear" w:color="auto" w:fill="auto"/>
            <w:noWrap/>
            <w:vAlign w:val="center"/>
          </w:tcPr>
          <w:p w14:paraId="3435335D" w14:textId="77777777" w:rsidR="00DD5D78" w:rsidRPr="00DD5D78" w:rsidRDefault="00DD5D78" w:rsidP="00DD5D78">
            <w:pPr>
              <w:spacing w:before="60" w:after="60"/>
              <w:jc w:val="right"/>
              <w:rPr>
                <w:rFonts w:ascii="Arial" w:eastAsia="Times New Roman" w:hAnsi="Arial"/>
                <w:color w:val="000000"/>
                <w:sz w:val="14"/>
                <w:szCs w:val="14"/>
                <w:lang w:eastAsia="es-ES"/>
              </w:rPr>
            </w:pPr>
          </w:p>
        </w:tc>
        <w:tc>
          <w:tcPr>
            <w:tcW w:w="1559" w:type="dxa"/>
            <w:tcBorders>
              <w:top w:val="nil"/>
              <w:left w:val="nil"/>
              <w:bottom w:val="single" w:sz="4" w:space="0" w:color="auto"/>
              <w:right w:val="single" w:sz="4" w:space="0" w:color="auto"/>
            </w:tcBorders>
            <w:shd w:val="clear" w:color="auto" w:fill="auto"/>
            <w:noWrap/>
          </w:tcPr>
          <w:p w14:paraId="7800351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Traslado al Ministerio Fiscal</w:t>
            </w:r>
          </w:p>
        </w:tc>
        <w:tc>
          <w:tcPr>
            <w:tcW w:w="1134" w:type="dxa"/>
            <w:tcBorders>
              <w:top w:val="nil"/>
              <w:left w:val="nil"/>
              <w:bottom w:val="single" w:sz="4" w:space="0" w:color="auto"/>
              <w:right w:val="single" w:sz="4" w:space="0" w:color="auto"/>
            </w:tcBorders>
            <w:shd w:val="clear" w:color="auto" w:fill="auto"/>
            <w:noWrap/>
          </w:tcPr>
          <w:p w14:paraId="3B02EB43"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30.917,00</w:t>
            </w:r>
          </w:p>
        </w:tc>
        <w:tc>
          <w:tcPr>
            <w:tcW w:w="992" w:type="dxa"/>
            <w:tcBorders>
              <w:top w:val="nil"/>
              <w:left w:val="nil"/>
              <w:bottom w:val="single" w:sz="4" w:space="0" w:color="auto"/>
              <w:right w:val="single" w:sz="4" w:space="0" w:color="auto"/>
            </w:tcBorders>
            <w:shd w:val="clear" w:color="auto" w:fill="auto"/>
            <w:noWrap/>
            <w:vAlign w:val="center"/>
          </w:tcPr>
          <w:p w14:paraId="7A082CB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183" w:type="dxa"/>
            <w:tcBorders>
              <w:top w:val="nil"/>
              <w:left w:val="nil"/>
              <w:bottom w:val="single" w:sz="4" w:space="0" w:color="auto"/>
              <w:right w:val="single" w:sz="4" w:space="0" w:color="auto"/>
            </w:tcBorders>
            <w:shd w:val="clear" w:color="auto" w:fill="auto"/>
            <w:vAlign w:val="center"/>
          </w:tcPr>
          <w:p w14:paraId="26A7B42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tcPr>
          <w:p w14:paraId="0AB82AF2" w14:textId="77777777" w:rsidR="00DD5D78" w:rsidRPr="00DD5D78" w:rsidRDefault="00DD5D78" w:rsidP="00DD5D78">
            <w:pPr>
              <w:spacing w:before="60" w:after="60"/>
              <w:rPr>
                <w:rFonts w:ascii="Arial" w:eastAsia="Times New Roman" w:hAnsi="Arial"/>
                <w:color w:val="000000"/>
                <w:sz w:val="14"/>
                <w:szCs w:val="14"/>
                <w:lang w:eastAsia="es-ES"/>
              </w:rPr>
            </w:pPr>
          </w:p>
        </w:tc>
      </w:tr>
      <w:tr w:rsidR="00DD5D78" w:rsidRPr="00DD5D78" w14:paraId="66555D2A"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000000" w:fill="FFFFFF"/>
            <w:noWrap/>
            <w:vAlign w:val="center"/>
          </w:tcPr>
          <w:p w14:paraId="78EB1A55"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22</w:t>
            </w:r>
          </w:p>
        </w:tc>
        <w:tc>
          <w:tcPr>
            <w:tcW w:w="1495" w:type="dxa"/>
            <w:tcBorders>
              <w:top w:val="nil"/>
              <w:left w:val="nil"/>
              <w:bottom w:val="single" w:sz="4" w:space="0" w:color="auto"/>
              <w:right w:val="single" w:sz="4" w:space="0" w:color="auto"/>
            </w:tcBorders>
            <w:shd w:val="clear" w:color="auto" w:fill="auto"/>
            <w:noWrap/>
            <w:vAlign w:val="center"/>
          </w:tcPr>
          <w:p w14:paraId="6E5E2710" w14:textId="77777777" w:rsidR="00DD5D78" w:rsidRPr="00DD5D78" w:rsidRDefault="00DD5D78" w:rsidP="00DD5D78">
            <w:pPr>
              <w:spacing w:before="60" w:after="60"/>
              <w:rPr>
                <w:rFonts w:ascii="Arial" w:eastAsia="Times New Roman" w:hAnsi="Arial"/>
                <w:color w:val="000000"/>
                <w:sz w:val="14"/>
                <w:szCs w:val="14"/>
                <w:lang w:eastAsia="es-ES"/>
              </w:rPr>
            </w:pPr>
          </w:p>
        </w:tc>
        <w:tc>
          <w:tcPr>
            <w:tcW w:w="2532" w:type="dxa"/>
            <w:tcBorders>
              <w:top w:val="nil"/>
              <w:left w:val="nil"/>
              <w:bottom w:val="single" w:sz="4" w:space="0" w:color="auto"/>
              <w:right w:val="single" w:sz="4" w:space="0" w:color="auto"/>
            </w:tcBorders>
            <w:shd w:val="clear" w:color="auto" w:fill="auto"/>
            <w:noWrap/>
            <w:vAlign w:val="center"/>
          </w:tcPr>
          <w:p w14:paraId="2D0D7824" w14:textId="77777777" w:rsidR="00DD5D78" w:rsidRPr="00DD5D78" w:rsidRDefault="00DD5D78" w:rsidP="00DD5D78">
            <w:pPr>
              <w:spacing w:before="60" w:after="60"/>
              <w:rPr>
                <w:rFonts w:ascii="Arial" w:eastAsia="Times New Roman" w:hAnsi="Arial"/>
                <w:color w:val="000000"/>
                <w:sz w:val="14"/>
                <w:szCs w:val="14"/>
                <w:lang w:eastAsia="es-ES"/>
              </w:rPr>
            </w:pPr>
          </w:p>
        </w:tc>
        <w:tc>
          <w:tcPr>
            <w:tcW w:w="2760" w:type="dxa"/>
            <w:tcBorders>
              <w:top w:val="nil"/>
              <w:left w:val="nil"/>
              <w:bottom w:val="single" w:sz="4" w:space="0" w:color="auto"/>
              <w:right w:val="single" w:sz="4" w:space="0" w:color="auto"/>
            </w:tcBorders>
            <w:shd w:val="clear" w:color="auto" w:fill="auto"/>
            <w:noWrap/>
            <w:vAlign w:val="center"/>
          </w:tcPr>
          <w:p w14:paraId="78C6C322" w14:textId="77777777" w:rsidR="00DD5D78" w:rsidRPr="00DD5D78" w:rsidRDefault="00DD5D78" w:rsidP="00DD5D78">
            <w:pPr>
              <w:spacing w:before="60" w:after="60"/>
              <w:rPr>
                <w:rFonts w:ascii="Arial" w:eastAsia="Times New Roman" w:hAnsi="Arial"/>
                <w:color w:val="000000"/>
                <w:sz w:val="14"/>
                <w:szCs w:val="14"/>
                <w:lang w:eastAsia="es-ES"/>
              </w:rPr>
            </w:pPr>
          </w:p>
        </w:tc>
        <w:tc>
          <w:tcPr>
            <w:tcW w:w="926" w:type="dxa"/>
            <w:tcBorders>
              <w:top w:val="nil"/>
              <w:left w:val="nil"/>
              <w:bottom w:val="single" w:sz="4" w:space="0" w:color="auto"/>
              <w:right w:val="single" w:sz="4" w:space="0" w:color="auto"/>
            </w:tcBorders>
            <w:shd w:val="clear" w:color="auto" w:fill="auto"/>
            <w:noWrap/>
            <w:vAlign w:val="center"/>
          </w:tcPr>
          <w:p w14:paraId="7C38E92E" w14:textId="77777777" w:rsidR="00DD5D78" w:rsidRPr="00DD5D78" w:rsidRDefault="00DD5D78" w:rsidP="00DD5D78">
            <w:pPr>
              <w:spacing w:before="60" w:after="60"/>
              <w:jc w:val="right"/>
              <w:rPr>
                <w:rFonts w:ascii="Arial" w:eastAsia="Times New Roman" w:hAnsi="Arial"/>
                <w:color w:val="000000"/>
                <w:sz w:val="14"/>
                <w:szCs w:val="14"/>
                <w:lang w:eastAsia="es-ES"/>
              </w:rPr>
            </w:pPr>
          </w:p>
        </w:tc>
        <w:tc>
          <w:tcPr>
            <w:tcW w:w="1559" w:type="dxa"/>
            <w:tcBorders>
              <w:top w:val="nil"/>
              <w:left w:val="nil"/>
              <w:bottom w:val="single" w:sz="4" w:space="0" w:color="auto"/>
              <w:right w:val="single" w:sz="4" w:space="0" w:color="auto"/>
            </w:tcBorders>
            <w:shd w:val="clear" w:color="auto" w:fill="auto"/>
            <w:noWrap/>
            <w:vAlign w:val="center"/>
          </w:tcPr>
          <w:p w14:paraId="2E56976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Traslado al Ministerio Fiscal</w:t>
            </w:r>
          </w:p>
        </w:tc>
        <w:tc>
          <w:tcPr>
            <w:tcW w:w="1134" w:type="dxa"/>
            <w:tcBorders>
              <w:top w:val="nil"/>
              <w:left w:val="nil"/>
              <w:bottom w:val="single" w:sz="4" w:space="0" w:color="auto"/>
              <w:right w:val="single" w:sz="4" w:space="0" w:color="auto"/>
            </w:tcBorders>
            <w:shd w:val="clear" w:color="auto" w:fill="auto"/>
            <w:noWrap/>
            <w:vAlign w:val="center"/>
          </w:tcPr>
          <w:p w14:paraId="4AFB107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82.327,09</w:t>
            </w:r>
          </w:p>
        </w:tc>
        <w:tc>
          <w:tcPr>
            <w:tcW w:w="992" w:type="dxa"/>
            <w:tcBorders>
              <w:top w:val="nil"/>
              <w:left w:val="nil"/>
              <w:bottom w:val="single" w:sz="4" w:space="0" w:color="auto"/>
              <w:right w:val="single" w:sz="4" w:space="0" w:color="auto"/>
            </w:tcBorders>
            <w:shd w:val="clear" w:color="auto" w:fill="auto"/>
            <w:noWrap/>
            <w:vAlign w:val="center"/>
          </w:tcPr>
          <w:p w14:paraId="1CB3EBC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183" w:type="dxa"/>
            <w:tcBorders>
              <w:top w:val="nil"/>
              <w:left w:val="nil"/>
              <w:bottom w:val="single" w:sz="4" w:space="0" w:color="auto"/>
              <w:right w:val="single" w:sz="4" w:space="0" w:color="auto"/>
            </w:tcBorders>
            <w:shd w:val="clear" w:color="auto" w:fill="auto"/>
            <w:vAlign w:val="center"/>
          </w:tcPr>
          <w:p w14:paraId="3D698B8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tcPr>
          <w:p w14:paraId="151BCB5D" w14:textId="77777777" w:rsidR="00DD5D78" w:rsidRPr="00DD5D78" w:rsidRDefault="00DD5D78" w:rsidP="00DD5D78">
            <w:pPr>
              <w:spacing w:before="60" w:after="60"/>
              <w:rPr>
                <w:rFonts w:ascii="Arial" w:eastAsia="Times New Roman" w:hAnsi="Arial"/>
                <w:color w:val="000000"/>
                <w:sz w:val="14"/>
                <w:szCs w:val="14"/>
                <w:lang w:eastAsia="es-ES"/>
              </w:rPr>
            </w:pPr>
          </w:p>
        </w:tc>
      </w:tr>
      <w:tr w:rsidR="00DD5D78" w:rsidRPr="00DD5D78" w14:paraId="04775F2B"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73E3FECE"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23</w:t>
            </w:r>
          </w:p>
        </w:tc>
        <w:tc>
          <w:tcPr>
            <w:tcW w:w="1495" w:type="dxa"/>
            <w:tcBorders>
              <w:top w:val="nil"/>
              <w:left w:val="nil"/>
              <w:bottom w:val="single" w:sz="4" w:space="0" w:color="auto"/>
              <w:right w:val="single" w:sz="4" w:space="0" w:color="auto"/>
            </w:tcBorders>
            <w:shd w:val="clear" w:color="auto" w:fill="auto"/>
            <w:noWrap/>
            <w:vAlign w:val="center"/>
            <w:hideMark/>
          </w:tcPr>
          <w:p w14:paraId="0CB309E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2020/G01_01/000056</w:t>
            </w:r>
          </w:p>
        </w:tc>
        <w:tc>
          <w:tcPr>
            <w:tcW w:w="2532" w:type="dxa"/>
            <w:tcBorders>
              <w:top w:val="nil"/>
              <w:left w:val="nil"/>
              <w:bottom w:val="single" w:sz="4" w:space="0" w:color="auto"/>
              <w:right w:val="single" w:sz="4" w:space="0" w:color="auto"/>
            </w:tcBorders>
            <w:shd w:val="clear" w:color="auto" w:fill="auto"/>
            <w:noWrap/>
            <w:vAlign w:val="center"/>
            <w:hideMark/>
          </w:tcPr>
          <w:p w14:paraId="4B90313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Generalitat Valenciana_Consellería de Educación, Cultura y Deporte</w:t>
            </w:r>
          </w:p>
        </w:tc>
        <w:tc>
          <w:tcPr>
            <w:tcW w:w="2760" w:type="dxa"/>
            <w:tcBorders>
              <w:top w:val="nil"/>
              <w:left w:val="nil"/>
              <w:bottom w:val="single" w:sz="4" w:space="0" w:color="auto"/>
              <w:right w:val="single" w:sz="4" w:space="0" w:color="auto"/>
            </w:tcBorders>
            <w:shd w:val="clear" w:color="auto" w:fill="auto"/>
            <w:noWrap/>
            <w:vAlign w:val="center"/>
            <w:hideMark/>
          </w:tcPr>
          <w:p w14:paraId="75BC272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4E37C549"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21/04/2021</w:t>
            </w:r>
          </w:p>
        </w:tc>
        <w:tc>
          <w:tcPr>
            <w:tcW w:w="1559" w:type="dxa"/>
            <w:tcBorders>
              <w:top w:val="nil"/>
              <w:left w:val="nil"/>
              <w:bottom w:val="single" w:sz="4" w:space="0" w:color="auto"/>
              <w:right w:val="single" w:sz="4" w:space="0" w:color="auto"/>
            </w:tcBorders>
            <w:shd w:val="clear" w:color="auto" w:fill="auto"/>
            <w:noWrap/>
            <w:vAlign w:val="center"/>
            <w:hideMark/>
          </w:tcPr>
          <w:p w14:paraId="4C98569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0B3DB260"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8F0BB1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646D76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06C3113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23FFEC9C"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28AAA58"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24</w:t>
            </w:r>
          </w:p>
        </w:tc>
        <w:tc>
          <w:tcPr>
            <w:tcW w:w="1495" w:type="dxa"/>
            <w:tcBorders>
              <w:top w:val="nil"/>
              <w:left w:val="nil"/>
              <w:bottom w:val="single" w:sz="4" w:space="0" w:color="auto"/>
              <w:right w:val="single" w:sz="4" w:space="0" w:color="auto"/>
            </w:tcBorders>
            <w:shd w:val="clear" w:color="auto" w:fill="auto"/>
            <w:noWrap/>
            <w:vAlign w:val="center"/>
            <w:hideMark/>
          </w:tcPr>
          <w:p w14:paraId="4CB5D4E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2020/G01_01/000170</w:t>
            </w:r>
          </w:p>
        </w:tc>
        <w:tc>
          <w:tcPr>
            <w:tcW w:w="2532" w:type="dxa"/>
            <w:tcBorders>
              <w:top w:val="nil"/>
              <w:left w:val="nil"/>
              <w:bottom w:val="single" w:sz="4" w:space="0" w:color="auto"/>
              <w:right w:val="single" w:sz="4" w:space="0" w:color="auto"/>
            </w:tcBorders>
            <w:shd w:val="clear" w:color="auto" w:fill="auto"/>
            <w:noWrap/>
            <w:vAlign w:val="center"/>
            <w:hideMark/>
          </w:tcPr>
          <w:p w14:paraId="76B4663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Los Montesinos</w:t>
            </w:r>
          </w:p>
        </w:tc>
        <w:tc>
          <w:tcPr>
            <w:tcW w:w="2760" w:type="dxa"/>
            <w:tcBorders>
              <w:top w:val="nil"/>
              <w:left w:val="nil"/>
              <w:bottom w:val="single" w:sz="4" w:space="0" w:color="auto"/>
              <w:right w:val="single" w:sz="4" w:space="0" w:color="auto"/>
            </w:tcBorders>
            <w:shd w:val="clear" w:color="auto" w:fill="auto"/>
            <w:noWrap/>
            <w:vAlign w:val="center"/>
            <w:hideMark/>
          </w:tcPr>
          <w:p w14:paraId="01C2722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1BA2D755"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21/04/2021</w:t>
            </w:r>
          </w:p>
        </w:tc>
        <w:tc>
          <w:tcPr>
            <w:tcW w:w="1559" w:type="dxa"/>
            <w:tcBorders>
              <w:top w:val="nil"/>
              <w:left w:val="nil"/>
              <w:bottom w:val="single" w:sz="4" w:space="0" w:color="auto"/>
              <w:right w:val="single" w:sz="4" w:space="0" w:color="auto"/>
            </w:tcBorders>
            <w:shd w:val="clear" w:color="auto" w:fill="auto"/>
            <w:noWrap/>
            <w:vAlign w:val="center"/>
            <w:hideMark/>
          </w:tcPr>
          <w:p w14:paraId="512B871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0DEA321C"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C910AD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35A2D4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Planificación contratación. Prestación funciones reservadas a funcionarios.</w:t>
            </w:r>
          </w:p>
        </w:tc>
        <w:tc>
          <w:tcPr>
            <w:tcW w:w="1246" w:type="dxa"/>
            <w:tcBorders>
              <w:top w:val="nil"/>
              <w:left w:val="nil"/>
              <w:bottom w:val="single" w:sz="4" w:space="0" w:color="auto"/>
              <w:right w:val="single" w:sz="4" w:space="0" w:color="auto"/>
            </w:tcBorders>
            <w:shd w:val="clear" w:color="auto" w:fill="auto"/>
            <w:vAlign w:val="center"/>
            <w:hideMark/>
          </w:tcPr>
          <w:p w14:paraId="0586EB5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7E869711"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C24DB63"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25</w:t>
            </w:r>
          </w:p>
        </w:tc>
        <w:tc>
          <w:tcPr>
            <w:tcW w:w="1495" w:type="dxa"/>
            <w:tcBorders>
              <w:top w:val="nil"/>
              <w:left w:val="nil"/>
              <w:bottom w:val="single" w:sz="4" w:space="0" w:color="auto"/>
              <w:right w:val="single" w:sz="4" w:space="0" w:color="auto"/>
            </w:tcBorders>
            <w:shd w:val="clear" w:color="auto" w:fill="auto"/>
            <w:noWrap/>
            <w:vAlign w:val="center"/>
            <w:hideMark/>
          </w:tcPr>
          <w:p w14:paraId="1D01401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2020/G01_01/000197</w:t>
            </w:r>
          </w:p>
        </w:tc>
        <w:tc>
          <w:tcPr>
            <w:tcW w:w="2532" w:type="dxa"/>
            <w:tcBorders>
              <w:top w:val="nil"/>
              <w:left w:val="nil"/>
              <w:bottom w:val="single" w:sz="4" w:space="0" w:color="auto"/>
              <w:right w:val="single" w:sz="4" w:space="0" w:color="auto"/>
            </w:tcBorders>
            <w:shd w:val="clear" w:color="auto" w:fill="auto"/>
            <w:noWrap/>
            <w:vAlign w:val="center"/>
            <w:hideMark/>
          </w:tcPr>
          <w:p w14:paraId="5404144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Vinaroz</w:t>
            </w:r>
          </w:p>
        </w:tc>
        <w:tc>
          <w:tcPr>
            <w:tcW w:w="2760" w:type="dxa"/>
            <w:tcBorders>
              <w:top w:val="nil"/>
              <w:left w:val="nil"/>
              <w:bottom w:val="single" w:sz="4" w:space="0" w:color="auto"/>
              <w:right w:val="single" w:sz="4" w:space="0" w:color="auto"/>
            </w:tcBorders>
            <w:shd w:val="clear" w:color="auto" w:fill="auto"/>
            <w:noWrap/>
            <w:vAlign w:val="center"/>
            <w:hideMark/>
          </w:tcPr>
          <w:p w14:paraId="3B8BFAC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041FB913"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30/04/2021</w:t>
            </w:r>
          </w:p>
        </w:tc>
        <w:tc>
          <w:tcPr>
            <w:tcW w:w="1559" w:type="dxa"/>
            <w:tcBorders>
              <w:top w:val="nil"/>
              <w:left w:val="nil"/>
              <w:bottom w:val="single" w:sz="4" w:space="0" w:color="auto"/>
              <w:right w:val="single" w:sz="4" w:space="0" w:color="auto"/>
            </w:tcBorders>
            <w:shd w:val="clear" w:color="auto" w:fill="auto"/>
            <w:noWrap/>
            <w:vAlign w:val="center"/>
            <w:hideMark/>
          </w:tcPr>
          <w:p w14:paraId="500BC42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Archivo</w:t>
            </w:r>
          </w:p>
        </w:tc>
        <w:tc>
          <w:tcPr>
            <w:tcW w:w="1134" w:type="dxa"/>
            <w:tcBorders>
              <w:top w:val="nil"/>
              <w:left w:val="nil"/>
              <w:bottom w:val="single" w:sz="4" w:space="0" w:color="auto"/>
              <w:right w:val="single" w:sz="4" w:space="0" w:color="auto"/>
            </w:tcBorders>
            <w:shd w:val="clear" w:color="auto" w:fill="auto"/>
            <w:noWrap/>
            <w:vAlign w:val="center"/>
            <w:hideMark/>
          </w:tcPr>
          <w:p w14:paraId="6E70D31F"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9604CFC"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7E76622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1EA0165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procede seguimiento</w:t>
            </w:r>
          </w:p>
        </w:tc>
      </w:tr>
      <w:tr w:rsidR="00DD5D78" w:rsidRPr="00DD5D78" w14:paraId="47FD1EB0"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C5E6A9A"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26</w:t>
            </w:r>
          </w:p>
        </w:tc>
        <w:tc>
          <w:tcPr>
            <w:tcW w:w="1495" w:type="dxa"/>
            <w:tcBorders>
              <w:top w:val="nil"/>
              <w:left w:val="nil"/>
              <w:bottom w:val="single" w:sz="4" w:space="0" w:color="auto"/>
              <w:right w:val="single" w:sz="4" w:space="0" w:color="auto"/>
            </w:tcBorders>
            <w:shd w:val="clear" w:color="auto" w:fill="auto"/>
            <w:noWrap/>
            <w:vAlign w:val="center"/>
            <w:hideMark/>
          </w:tcPr>
          <w:p w14:paraId="1D2C608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2020/G01_01/000226</w:t>
            </w:r>
          </w:p>
        </w:tc>
        <w:tc>
          <w:tcPr>
            <w:tcW w:w="2532" w:type="dxa"/>
            <w:tcBorders>
              <w:top w:val="nil"/>
              <w:left w:val="nil"/>
              <w:bottom w:val="single" w:sz="4" w:space="0" w:color="auto"/>
              <w:right w:val="single" w:sz="4" w:space="0" w:color="auto"/>
            </w:tcBorders>
            <w:shd w:val="clear" w:color="auto" w:fill="auto"/>
            <w:noWrap/>
            <w:vAlign w:val="center"/>
            <w:hideMark/>
          </w:tcPr>
          <w:p w14:paraId="4A7EDE1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Diputación de Castellón</w:t>
            </w:r>
          </w:p>
        </w:tc>
        <w:tc>
          <w:tcPr>
            <w:tcW w:w="2760" w:type="dxa"/>
            <w:tcBorders>
              <w:top w:val="nil"/>
              <w:left w:val="nil"/>
              <w:bottom w:val="single" w:sz="4" w:space="0" w:color="auto"/>
              <w:right w:val="single" w:sz="4" w:space="0" w:color="auto"/>
            </w:tcBorders>
            <w:shd w:val="clear" w:color="auto" w:fill="auto"/>
            <w:noWrap/>
            <w:vAlign w:val="center"/>
            <w:hideMark/>
          </w:tcPr>
          <w:p w14:paraId="001A550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0D3B892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03/05/2021</w:t>
            </w:r>
          </w:p>
        </w:tc>
        <w:tc>
          <w:tcPr>
            <w:tcW w:w="1559" w:type="dxa"/>
            <w:tcBorders>
              <w:top w:val="nil"/>
              <w:left w:val="nil"/>
              <w:bottom w:val="single" w:sz="4" w:space="0" w:color="auto"/>
              <w:right w:val="single" w:sz="4" w:space="0" w:color="auto"/>
            </w:tcBorders>
            <w:shd w:val="clear" w:color="auto" w:fill="auto"/>
            <w:noWrap/>
            <w:vAlign w:val="center"/>
            <w:hideMark/>
          </w:tcPr>
          <w:p w14:paraId="4009D18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53B7CB8C"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D08AE8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611C1D6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Revisión contrato</w:t>
            </w:r>
          </w:p>
        </w:tc>
        <w:tc>
          <w:tcPr>
            <w:tcW w:w="1246" w:type="dxa"/>
            <w:tcBorders>
              <w:top w:val="nil"/>
              <w:left w:val="nil"/>
              <w:bottom w:val="single" w:sz="4" w:space="0" w:color="auto"/>
              <w:right w:val="single" w:sz="4" w:space="0" w:color="auto"/>
            </w:tcBorders>
            <w:shd w:val="clear" w:color="auto" w:fill="auto"/>
            <w:vAlign w:val="center"/>
            <w:hideMark/>
          </w:tcPr>
          <w:p w14:paraId="0EA0C04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326F2E2B"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48F16EF"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27</w:t>
            </w:r>
          </w:p>
        </w:tc>
        <w:tc>
          <w:tcPr>
            <w:tcW w:w="1495" w:type="dxa"/>
            <w:tcBorders>
              <w:top w:val="nil"/>
              <w:left w:val="nil"/>
              <w:bottom w:val="single" w:sz="4" w:space="0" w:color="auto"/>
              <w:right w:val="single" w:sz="4" w:space="0" w:color="auto"/>
            </w:tcBorders>
            <w:shd w:val="clear" w:color="auto" w:fill="auto"/>
            <w:noWrap/>
            <w:vAlign w:val="center"/>
            <w:hideMark/>
          </w:tcPr>
          <w:p w14:paraId="106FB63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2020/G01_01/000288</w:t>
            </w:r>
          </w:p>
        </w:tc>
        <w:tc>
          <w:tcPr>
            <w:tcW w:w="2532" w:type="dxa"/>
            <w:tcBorders>
              <w:top w:val="nil"/>
              <w:left w:val="nil"/>
              <w:bottom w:val="single" w:sz="4" w:space="0" w:color="auto"/>
              <w:right w:val="single" w:sz="4" w:space="0" w:color="auto"/>
            </w:tcBorders>
            <w:shd w:val="clear" w:color="auto" w:fill="auto"/>
            <w:noWrap/>
            <w:vAlign w:val="center"/>
            <w:hideMark/>
          </w:tcPr>
          <w:p w14:paraId="28AE9C0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IVAJ</w:t>
            </w:r>
          </w:p>
        </w:tc>
        <w:tc>
          <w:tcPr>
            <w:tcW w:w="2760" w:type="dxa"/>
            <w:tcBorders>
              <w:top w:val="nil"/>
              <w:left w:val="nil"/>
              <w:bottom w:val="single" w:sz="4" w:space="0" w:color="auto"/>
              <w:right w:val="single" w:sz="4" w:space="0" w:color="auto"/>
            </w:tcBorders>
            <w:shd w:val="clear" w:color="auto" w:fill="auto"/>
            <w:noWrap/>
            <w:vAlign w:val="center"/>
            <w:hideMark/>
          </w:tcPr>
          <w:p w14:paraId="4DA45A8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humanos_provisión</w:t>
            </w:r>
          </w:p>
        </w:tc>
        <w:tc>
          <w:tcPr>
            <w:tcW w:w="926" w:type="dxa"/>
            <w:tcBorders>
              <w:top w:val="nil"/>
              <w:left w:val="nil"/>
              <w:bottom w:val="single" w:sz="4" w:space="0" w:color="auto"/>
              <w:right w:val="single" w:sz="4" w:space="0" w:color="auto"/>
            </w:tcBorders>
            <w:shd w:val="clear" w:color="auto" w:fill="auto"/>
            <w:noWrap/>
            <w:vAlign w:val="center"/>
            <w:hideMark/>
          </w:tcPr>
          <w:p w14:paraId="35330B9F"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10/05/2021</w:t>
            </w:r>
          </w:p>
        </w:tc>
        <w:tc>
          <w:tcPr>
            <w:tcW w:w="1559" w:type="dxa"/>
            <w:tcBorders>
              <w:top w:val="nil"/>
              <w:left w:val="nil"/>
              <w:bottom w:val="single" w:sz="4" w:space="0" w:color="auto"/>
              <w:right w:val="single" w:sz="4" w:space="0" w:color="auto"/>
            </w:tcBorders>
            <w:shd w:val="clear" w:color="auto" w:fill="auto"/>
            <w:noWrap/>
            <w:vAlign w:val="center"/>
            <w:hideMark/>
          </w:tcPr>
          <w:p w14:paraId="0251AD4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12714075"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DC27CCF"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93AD37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Resolución comisiones de servicio</w:t>
            </w:r>
          </w:p>
        </w:tc>
        <w:tc>
          <w:tcPr>
            <w:tcW w:w="1246" w:type="dxa"/>
            <w:tcBorders>
              <w:top w:val="nil"/>
              <w:left w:val="nil"/>
              <w:bottom w:val="single" w:sz="4" w:space="0" w:color="auto"/>
              <w:right w:val="single" w:sz="4" w:space="0" w:color="auto"/>
            </w:tcBorders>
            <w:shd w:val="clear" w:color="auto" w:fill="auto"/>
            <w:vAlign w:val="center"/>
            <w:hideMark/>
          </w:tcPr>
          <w:p w14:paraId="70CE390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443D50D5"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E4AF312"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28</w:t>
            </w:r>
          </w:p>
        </w:tc>
        <w:tc>
          <w:tcPr>
            <w:tcW w:w="1495" w:type="dxa"/>
            <w:tcBorders>
              <w:top w:val="nil"/>
              <w:left w:val="nil"/>
              <w:bottom w:val="single" w:sz="4" w:space="0" w:color="auto"/>
              <w:right w:val="single" w:sz="4" w:space="0" w:color="auto"/>
            </w:tcBorders>
            <w:shd w:val="clear" w:color="auto" w:fill="auto"/>
            <w:noWrap/>
            <w:vAlign w:val="center"/>
            <w:hideMark/>
          </w:tcPr>
          <w:p w14:paraId="4C5BF65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2020/G01_01/000217</w:t>
            </w:r>
          </w:p>
        </w:tc>
        <w:tc>
          <w:tcPr>
            <w:tcW w:w="2532" w:type="dxa"/>
            <w:tcBorders>
              <w:top w:val="nil"/>
              <w:left w:val="nil"/>
              <w:bottom w:val="single" w:sz="4" w:space="0" w:color="auto"/>
              <w:right w:val="single" w:sz="4" w:space="0" w:color="auto"/>
            </w:tcBorders>
            <w:shd w:val="clear" w:color="auto" w:fill="auto"/>
            <w:noWrap/>
            <w:vAlign w:val="center"/>
            <w:hideMark/>
          </w:tcPr>
          <w:p w14:paraId="7F0765A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59D40BB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36D2471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12/05/2021</w:t>
            </w:r>
          </w:p>
        </w:tc>
        <w:tc>
          <w:tcPr>
            <w:tcW w:w="1559" w:type="dxa"/>
            <w:tcBorders>
              <w:top w:val="nil"/>
              <w:left w:val="nil"/>
              <w:bottom w:val="single" w:sz="4" w:space="0" w:color="auto"/>
              <w:right w:val="single" w:sz="4" w:space="0" w:color="auto"/>
            </w:tcBorders>
            <w:shd w:val="clear" w:color="auto" w:fill="auto"/>
            <w:noWrap/>
            <w:vAlign w:val="center"/>
            <w:hideMark/>
          </w:tcPr>
          <w:p w14:paraId="3BFF295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46E271A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82E2B1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E37158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Instrucciones internas</w:t>
            </w:r>
          </w:p>
        </w:tc>
        <w:tc>
          <w:tcPr>
            <w:tcW w:w="1246" w:type="dxa"/>
            <w:tcBorders>
              <w:top w:val="nil"/>
              <w:left w:val="nil"/>
              <w:bottom w:val="single" w:sz="4" w:space="0" w:color="auto"/>
              <w:right w:val="single" w:sz="4" w:space="0" w:color="auto"/>
            </w:tcBorders>
            <w:shd w:val="clear" w:color="auto" w:fill="auto"/>
            <w:vAlign w:val="center"/>
            <w:hideMark/>
          </w:tcPr>
          <w:p w14:paraId="42409FC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52604FFB"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F52CB2D"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29</w:t>
            </w:r>
          </w:p>
        </w:tc>
        <w:tc>
          <w:tcPr>
            <w:tcW w:w="1495" w:type="dxa"/>
            <w:tcBorders>
              <w:top w:val="nil"/>
              <w:left w:val="nil"/>
              <w:bottom w:val="single" w:sz="4" w:space="0" w:color="auto"/>
              <w:right w:val="single" w:sz="4" w:space="0" w:color="auto"/>
            </w:tcBorders>
            <w:shd w:val="clear" w:color="auto" w:fill="auto"/>
            <w:noWrap/>
            <w:vAlign w:val="center"/>
            <w:hideMark/>
          </w:tcPr>
          <w:p w14:paraId="2649685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2020/G01_01/000009</w:t>
            </w:r>
          </w:p>
        </w:tc>
        <w:tc>
          <w:tcPr>
            <w:tcW w:w="2532" w:type="dxa"/>
            <w:tcBorders>
              <w:top w:val="nil"/>
              <w:left w:val="nil"/>
              <w:bottom w:val="single" w:sz="4" w:space="0" w:color="auto"/>
              <w:right w:val="single" w:sz="4" w:space="0" w:color="auto"/>
            </w:tcBorders>
            <w:shd w:val="clear" w:color="auto" w:fill="auto"/>
            <w:noWrap/>
            <w:vAlign w:val="center"/>
            <w:hideMark/>
          </w:tcPr>
          <w:p w14:paraId="6934E07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Benissa</w:t>
            </w:r>
          </w:p>
        </w:tc>
        <w:tc>
          <w:tcPr>
            <w:tcW w:w="2760" w:type="dxa"/>
            <w:tcBorders>
              <w:top w:val="nil"/>
              <w:left w:val="nil"/>
              <w:bottom w:val="single" w:sz="4" w:space="0" w:color="auto"/>
              <w:right w:val="single" w:sz="4" w:space="0" w:color="auto"/>
            </w:tcBorders>
            <w:shd w:val="clear" w:color="auto" w:fill="auto"/>
            <w:noWrap/>
            <w:vAlign w:val="center"/>
            <w:hideMark/>
          </w:tcPr>
          <w:p w14:paraId="2C952A8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w:t>
            </w:r>
          </w:p>
        </w:tc>
        <w:tc>
          <w:tcPr>
            <w:tcW w:w="926" w:type="dxa"/>
            <w:tcBorders>
              <w:top w:val="nil"/>
              <w:left w:val="nil"/>
              <w:bottom w:val="single" w:sz="4" w:space="0" w:color="auto"/>
              <w:right w:val="single" w:sz="4" w:space="0" w:color="auto"/>
            </w:tcBorders>
            <w:shd w:val="clear" w:color="auto" w:fill="auto"/>
            <w:noWrap/>
            <w:vAlign w:val="center"/>
            <w:hideMark/>
          </w:tcPr>
          <w:p w14:paraId="718D2DF8"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18/05/2021</w:t>
            </w:r>
          </w:p>
        </w:tc>
        <w:tc>
          <w:tcPr>
            <w:tcW w:w="1559" w:type="dxa"/>
            <w:tcBorders>
              <w:top w:val="nil"/>
              <w:left w:val="nil"/>
              <w:bottom w:val="single" w:sz="4" w:space="0" w:color="auto"/>
              <w:right w:val="single" w:sz="4" w:space="0" w:color="auto"/>
            </w:tcBorders>
            <w:shd w:val="clear" w:color="auto" w:fill="auto"/>
            <w:noWrap/>
            <w:vAlign w:val="center"/>
            <w:hideMark/>
          </w:tcPr>
          <w:p w14:paraId="5029746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6162C60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5536F4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CE1D3B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Instrucciones internas</w:t>
            </w:r>
          </w:p>
        </w:tc>
        <w:tc>
          <w:tcPr>
            <w:tcW w:w="1246" w:type="dxa"/>
            <w:tcBorders>
              <w:top w:val="nil"/>
              <w:left w:val="nil"/>
              <w:bottom w:val="single" w:sz="4" w:space="0" w:color="auto"/>
              <w:right w:val="single" w:sz="4" w:space="0" w:color="auto"/>
            </w:tcBorders>
            <w:shd w:val="clear" w:color="auto" w:fill="auto"/>
            <w:vAlign w:val="center"/>
            <w:hideMark/>
          </w:tcPr>
          <w:p w14:paraId="4E84A95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7A967969"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3E93BEE"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30</w:t>
            </w:r>
          </w:p>
        </w:tc>
        <w:tc>
          <w:tcPr>
            <w:tcW w:w="1495" w:type="dxa"/>
            <w:tcBorders>
              <w:top w:val="nil"/>
              <w:left w:val="nil"/>
              <w:bottom w:val="single" w:sz="4" w:space="0" w:color="auto"/>
              <w:right w:val="single" w:sz="4" w:space="0" w:color="auto"/>
            </w:tcBorders>
            <w:shd w:val="clear" w:color="auto" w:fill="auto"/>
            <w:noWrap/>
            <w:vAlign w:val="center"/>
            <w:hideMark/>
          </w:tcPr>
          <w:p w14:paraId="35ACFAF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2020/G01_01/000165</w:t>
            </w:r>
          </w:p>
        </w:tc>
        <w:tc>
          <w:tcPr>
            <w:tcW w:w="2532" w:type="dxa"/>
            <w:tcBorders>
              <w:top w:val="nil"/>
              <w:left w:val="nil"/>
              <w:bottom w:val="single" w:sz="4" w:space="0" w:color="auto"/>
              <w:right w:val="single" w:sz="4" w:space="0" w:color="auto"/>
            </w:tcBorders>
            <w:shd w:val="clear" w:color="auto" w:fill="auto"/>
            <w:noWrap/>
            <w:vAlign w:val="center"/>
            <w:hideMark/>
          </w:tcPr>
          <w:p w14:paraId="4823D57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CAGSA</w:t>
            </w:r>
          </w:p>
        </w:tc>
        <w:tc>
          <w:tcPr>
            <w:tcW w:w="2760" w:type="dxa"/>
            <w:tcBorders>
              <w:top w:val="nil"/>
              <w:left w:val="nil"/>
              <w:bottom w:val="single" w:sz="4" w:space="0" w:color="auto"/>
              <w:right w:val="single" w:sz="4" w:space="0" w:color="auto"/>
            </w:tcBorders>
            <w:shd w:val="clear" w:color="auto" w:fill="auto"/>
            <w:noWrap/>
            <w:vAlign w:val="center"/>
            <w:hideMark/>
          </w:tcPr>
          <w:p w14:paraId="21C09E2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758118C9"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18/05/2021</w:t>
            </w:r>
          </w:p>
        </w:tc>
        <w:tc>
          <w:tcPr>
            <w:tcW w:w="1559" w:type="dxa"/>
            <w:tcBorders>
              <w:top w:val="nil"/>
              <w:left w:val="nil"/>
              <w:bottom w:val="single" w:sz="4" w:space="0" w:color="auto"/>
              <w:right w:val="single" w:sz="4" w:space="0" w:color="auto"/>
            </w:tcBorders>
            <w:shd w:val="clear" w:color="auto" w:fill="auto"/>
            <w:noWrap/>
            <w:vAlign w:val="center"/>
            <w:hideMark/>
          </w:tcPr>
          <w:p w14:paraId="74A0BB3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553A67D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CADCA77"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723D15A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Liquidación contrato</w:t>
            </w:r>
          </w:p>
        </w:tc>
        <w:tc>
          <w:tcPr>
            <w:tcW w:w="1246" w:type="dxa"/>
            <w:tcBorders>
              <w:top w:val="nil"/>
              <w:left w:val="nil"/>
              <w:bottom w:val="single" w:sz="4" w:space="0" w:color="auto"/>
              <w:right w:val="single" w:sz="4" w:space="0" w:color="auto"/>
            </w:tcBorders>
            <w:shd w:val="clear" w:color="auto" w:fill="auto"/>
            <w:vAlign w:val="center"/>
            <w:hideMark/>
          </w:tcPr>
          <w:p w14:paraId="2C74095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02577B71"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9BC9D30"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31</w:t>
            </w:r>
          </w:p>
        </w:tc>
        <w:tc>
          <w:tcPr>
            <w:tcW w:w="1495" w:type="dxa"/>
            <w:tcBorders>
              <w:top w:val="nil"/>
              <w:left w:val="nil"/>
              <w:bottom w:val="single" w:sz="4" w:space="0" w:color="auto"/>
              <w:right w:val="single" w:sz="4" w:space="0" w:color="auto"/>
            </w:tcBorders>
            <w:shd w:val="clear" w:color="auto" w:fill="auto"/>
            <w:noWrap/>
            <w:vAlign w:val="center"/>
            <w:hideMark/>
          </w:tcPr>
          <w:p w14:paraId="53E737F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2020/G01_01/000199</w:t>
            </w:r>
          </w:p>
        </w:tc>
        <w:tc>
          <w:tcPr>
            <w:tcW w:w="2532" w:type="dxa"/>
            <w:tcBorders>
              <w:top w:val="nil"/>
              <w:left w:val="nil"/>
              <w:bottom w:val="single" w:sz="4" w:space="0" w:color="auto"/>
              <w:right w:val="single" w:sz="4" w:space="0" w:color="auto"/>
            </w:tcBorders>
            <w:shd w:val="clear" w:color="auto" w:fill="auto"/>
            <w:noWrap/>
            <w:vAlign w:val="center"/>
            <w:hideMark/>
          </w:tcPr>
          <w:p w14:paraId="6859FBF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Aigües de Sueca</w:t>
            </w:r>
          </w:p>
        </w:tc>
        <w:tc>
          <w:tcPr>
            <w:tcW w:w="2760" w:type="dxa"/>
            <w:tcBorders>
              <w:top w:val="nil"/>
              <w:left w:val="nil"/>
              <w:bottom w:val="single" w:sz="4" w:space="0" w:color="auto"/>
              <w:right w:val="single" w:sz="4" w:space="0" w:color="auto"/>
            </w:tcBorders>
            <w:shd w:val="clear" w:color="auto" w:fill="auto"/>
            <w:noWrap/>
            <w:vAlign w:val="center"/>
            <w:hideMark/>
          </w:tcPr>
          <w:p w14:paraId="5F24A77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humanos_provisión</w:t>
            </w:r>
          </w:p>
        </w:tc>
        <w:tc>
          <w:tcPr>
            <w:tcW w:w="926" w:type="dxa"/>
            <w:tcBorders>
              <w:top w:val="nil"/>
              <w:left w:val="nil"/>
              <w:bottom w:val="single" w:sz="4" w:space="0" w:color="auto"/>
              <w:right w:val="single" w:sz="4" w:space="0" w:color="auto"/>
            </w:tcBorders>
            <w:shd w:val="clear" w:color="auto" w:fill="auto"/>
            <w:noWrap/>
            <w:vAlign w:val="center"/>
            <w:hideMark/>
          </w:tcPr>
          <w:p w14:paraId="1C38A36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10/06/2021</w:t>
            </w:r>
          </w:p>
        </w:tc>
        <w:tc>
          <w:tcPr>
            <w:tcW w:w="1559" w:type="dxa"/>
            <w:tcBorders>
              <w:top w:val="nil"/>
              <w:left w:val="nil"/>
              <w:bottom w:val="single" w:sz="4" w:space="0" w:color="auto"/>
              <w:right w:val="single" w:sz="4" w:space="0" w:color="auto"/>
            </w:tcBorders>
            <w:shd w:val="clear" w:color="auto" w:fill="auto"/>
            <w:noWrap/>
            <w:vAlign w:val="center"/>
            <w:hideMark/>
          </w:tcPr>
          <w:p w14:paraId="43E1318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31351D9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DBC3F9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9E107C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68F461C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1E08F707"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1274C5B"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32</w:t>
            </w:r>
          </w:p>
        </w:tc>
        <w:tc>
          <w:tcPr>
            <w:tcW w:w="1495" w:type="dxa"/>
            <w:tcBorders>
              <w:top w:val="nil"/>
              <w:left w:val="nil"/>
              <w:bottom w:val="single" w:sz="4" w:space="0" w:color="auto"/>
              <w:right w:val="single" w:sz="4" w:space="0" w:color="auto"/>
            </w:tcBorders>
            <w:shd w:val="clear" w:color="auto" w:fill="auto"/>
            <w:noWrap/>
            <w:vAlign w:val="center"/>
            <w:hideMark/>
          </w:tcPr>
          <w:p w14:paraId="0BA922A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2021/G01_02/000114</w:t>
            </w:r>
          </w:p>
        </w:tc>
        <w:tc>
          <w:tcPr>
            <w:tcW w:w="2532" w:type="dxa"/>
            <w:tcBorders>
              <w:top w:val="nil"/>
              <w:left w:val="nil"/>
              <w:bottom w:val="single" w:sz="4" w:space="0" w:color="auto"/>
              <w:right w:val="single" w:sz="4" w:space="0" w:color="auto"/>
            </w:tcBorders>
            <w:shd w:val="clear" w:color="auto" w:fill="auto"/>
            <w:noWrap/>
            <w:vAlign w:val="center"/>
            <w:hideMark/>
          </w:tcPr>
          <w:p w14:paraId="72A2C76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Generalitat Valenciana_Consellería de Justicia</w:t>
            </w:r>
          </w:p>
        </w:tc>
        <w:tc>
          <w:tcPr>
            <w:tcW w:w="2760" w:type="dxa"/>
            <w:tcBorders>
              <w:top w:val="nil"/>
              <w:left w:val="nil"/>
              <w:bottom w:val="single" w:sz="4" w:space="0" w:color="auto"/>
              <w:right w:val="single" w:sz="4" w:space="0" w:color="auto"/>
            </w:tcBorders>
            <w:shd w:val="clear" w:color="auto" w:fill="auto"/>
            <w:noWrap/>
            <w:vAlign w:val="center"/>
            <w:hideMark/>
          </w:tcPr>
          <w:p w14:paraId="69C9258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humanos_selección</w:t>
            </w:r>
          </w:p>
        </w:tc>
        <w:tc>
          <w:tcPr>
            <w:tcW w:w="926" w:type="dxa"/>
            <w:tcBorders>
              <w:top w:val="nil"/>
              <w:left w:val="nil"/>
              <w:bottom w:val="single" w:sz="4" w:space="0" w:color="auto"/>
              <w:right w:val="single" w:sz="4" w:space="0" w:color="auto"/>
            </w:tcBorders>
            <w:shd w:val="clear" w:color="auto" w:fill="auto"/>
            <w:noWrap/>
            <w:vAlign w:val="center"/>
            <w:hideMark/>
          </w:tcPr>
          <w:p w14:paraId="64B21F09"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10/06/2021</w:t>
            </w:r>
          </w:p>
        </w:tc>
        <w:tc>
          <w:tcPr>
            <w:tcW w:w="1559" w:type="dxa"/>
            <w:tcBorders>
              <w:top w:val="nil"/>
              <w:left w:val="nil"/>
              <w:bottom w:val="single" w:sz="4" w:space="0" w:color="auto"/>
              <w:right w:val="single" w:sz="4" w:space="0" w:color="auto"/>
            </w:tcBorders>
            <w:shd w:val="clear" w:color="auto" w:fill="auto"/>
            <w:noWrap/>
            <w:vAlign w:val="center"/>
            <w:hideMark/>
          </w:tcPr>
          <w:p w14:paraId="205D786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3CE1FDD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4D3C778"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B98207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Expediente disciplinario</w:t>
            </w:r>
          </w:p>
        </w:tc>
        <w:tc>
          <w:tcPr>
            <w:tcW w:w="1246" w:type="dxa"/>
            <w:tcBorders>
              <w:top w:val="nil"/>
              <w:left w:val="nil"/>
              <w:bottom w:val="single" w:sz="4" w:space="0" w:color="auto"/>
              <w:right w:val="single" w:sz="4" w:space="0" w:color="auto"/>
            </w:tcBorders>
            <w:shd w:val="clear" w:color="auto" w:fill="auto"/>
            <w:vAlign w:val="center"/>
            <w:hideMark/>
          </w:tcPr>
          <w:p w14:paraId="662113F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096EF7EE"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8F995C4"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33</w:t>
            </w:r>
          </w:p>
        </w:tc>
        <w:tc>
          <w:tcPr>
            <w:tcW w:w="1495" w:type="dxa"/>
            <w:tcBorders>
              <w:top w:val="nil"/>
              <w:left w:val="nil"/>
              <w:bottom w:val="single" w:sz="4" w:space="0" w:color="auto"/>
              <w:right w:val="single" w:sz="4" w:space="0" w:color="auto"/>
            </w:tcBorders>
            <w:shd w:val="clear" w:color="auto" w:fill="auto"/>
            <w:noWrap/>
            <w:vAlign w:val="center"/>
            <w:hideMark/>
          </w:tcPr>
          <w:p w14:paraId="79F3725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2020/G01_01/000261</w:t>
            </w:r>
          </w:p>
        </w:tc>
        <w:tc>
          <w:tcPr>
            <w:tcW w:w="2532" w:type="dxa"/>
            <w:tcBorders>
              <w:top w:val="nil"/>
              <w:left w:val="nil"/>
              <w:bottom w:val="single" w:sz="4" w:space="0" w:color="auto"/>
              <w:right w:val="single" w:sz="4" w:space="0" w:color="auto"/>
            </w:tcBorders>
            <w:shd w:val="clear" w:color="auto" w:fill="auto"/>
            <w:noWrap/>
            <w:vAlign w:val="center"/>
            <w:hideMark/>
          </w:tcPr>
          <w:p w14:paraId="0B757FC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Canet d'en Berenguer</w:t>
            </w:r>
          </w:p>
        </w:tc>
        <w:tc>
          <w:tcPr>
            <w:tcW w:w="2760" w:type="dxa"/>
            <w:tcBorders>
              <w:top w:val="nil"/>
              <w:left w:val="nil"/>
              <w:bottom w:val="single" w:sz="4" w:space="0" w:color="auto"/>
              <w:right w:val="single" w:sz="4" w:space="0" w:color="auto"/>
            </w:tcBorders>
            <w:shd w:val="clear" w:color="auto" w:fill="auto"/>
            <w:noWrap/>
            <w:vAlign w:val="center"/>
            <w:hideMark/>
          </w:tcPr>
          <w:p w14:paraId="35B3633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humanos_selección</w:t>
            </w:r>
          </w:p>
        </w:tc>
        <w:tc>
          <w:tcPr>
            <w:tcW w:w="926" w:type="dxa"/>
            <w:tcBorders>
              <w:top w:val="nil"/>
              <w:left w:val="nil"/>
              <w:bottom w:val="single" w:sz="4" w:space="0" w:color="auto"/>
              <w:right w:val="single" w:sz="4" w:space="0" w:color="auto"/>
            </w:tcBorders>
            <w:shd w:val="clear" w:color="auto" w:fill="auto"/>
            <w:noWrap/>
            <w:vAlign w:val="center"/>
            <w:hideMark/>
          </w:tcPr>
          <w:p w14:paraId="3DF2D74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10/06/2021</w:t>
            </w:r>
          </w:p>
        </w:tc>
        <w:tc>
          <w:tcPr>
            <w:tcW w:w="1559" w:type="dxa"/>
            <w:tcBorders>
              <w:top w:val="nil"/>
              <w:left w:val="nil"/>
              <w:bottom w:val="single" w:sz="4" w:space="0" w:color="auto"/>
              <w:right w:val="single" w:sz="4" w:space="0" w:color="auto"/>
            </w:tcBorders>
            <w:shd w:val="clear" w:color="auto" w:fill="auto"/>
            <w:noWrap/>
            <w:vAlign w:val="center"/>
            <w:hideMark/>
          </w:tcPr>
          <w:p w14:paraId="2838A60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Archivo</w:t>
            </w:r>
          </w:p>
        </w:tc>
        <w:tc>
          <w:tcPr>
            <w:tcW w:w="1134" w:type="dxa"/>
            <w:tcBorders>
              <w:top w:val="nil"/>
              <w:left w:val="nil"/>
              <w:bottom w:val="single" w:sz="4" w:space="0" w:color="auto"/>
              <w:right w:val="single" w:sz="4" w:space="0" w:color="auto"/>
            </w:tcBorders>
            <w:shd w:val="clear" w:color="auto" w:fill="auto"/>
            <w:noWrap/>
            <w:vAlign w:val="center"/>
            <w:hideMark/>
          </w:tcPr>
          <w:p w14:paraId="2045B348"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CFBA41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CD3563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629F042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procede seguimiento</w:t>
            </w:r>
          </w:p>
        </w:tc>
      </w:tr>
      <w:tr w:rsidR="00DD5D78" w:rsidRPr="00DD5D78" w14:paraId="2E10373D"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tcPr>
          <w:p w14:paraId="012A1BF0"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34</w:t>
            </w:r>
          </w:p>
        </w:tc>
        <w:tc>
          <w:tcPr>
            <w:tcW w:w="1495" w:type="dxa"/>
            <w:tcBorders>
              <w:top w:val="nil"/>
              <w:left w:val="nil"/>
              <w:bottom w:val="single" w:sz="4" w:space="0" w:color="auto"/>
              <w:right w:val="single" w:sz="4" w:space="0" w:color="auto"/>
            </w:tcBorders>
            <w:shd w:val="clear" w:color="auto" w:fill="auto"/>
            <w:noWrap/>
            <w:vAlign w:val="center"/>
          </w:tcPr>
          <w:p w14:paraId="477E7BB0" w14:textId="77777777" w:rsidR="00DD5D78" w:rsidRPr="00DD5D78" w:rsidRDefault="00DD5D78" w:rsidP="00DD5D78">
            <w:pPr>
              <w:spacing w:before="60" w:after="60"/>
              <w:rPr>
                <w:rFonts w:ascii="Arial" w:eastAsia="Times New Roman" w:hAnsi="Arial"/>
                <w:color w:val="000000"/>
                <w:sz w:val="14"/>
                <w:szCs w:val="14"/>
                <w:lang w:eastAsia="es-ES"/>
              </w:rPr>
            </w:pPr>
          </w:p>
        </w:tc>
        <w:tc>
          <w:tcPr>
            <w:tcW w:w="2532" w:type="dxa"/>
            <w:tcBorders>
              <w:top w:val="nil"/>
              <w:left w:val="nil"/>
              <w:bottom w:val="single" w:sz="4" w:space="0" w:color="auto"/>
              <w:right w:val="single" w:sz="4" w:space="0" w:color="auto"/>
            </w:tcBorders>
            <w:shd w:val="clear" w:color="auto" w:fill="auto"/>
            <w:noWrap/>
            <w:vAlign w:val="center"/>
          </w:tcPr>
          <w:p w14:paraId="5A5BDCF0" w14:textId="77777777" w:rsidR="00DD5D78" w:rsidRPr="00DD5D78" w:rsidRDefault="00DD5D78" w:rsidP="00DD5D78">
            <w:pPr>
              <w:spacing w:before="60" w:after="60"/>
              <w:rPr>
                <w:rFonts w:ascii="Arial" w:eastAsia="Times New Roman" w:hAnsi="Arial"/>
                <w:color w:val="000000"/>
                <w:sz w:val="14"/>
                <w:szCs w:val="14"/>
                <w:lang w:eastAsia="es-ES"/>
              </w:rPr>
            </w:pPr>
          </w:p>
        </w:tc>
        <w:tc>
          <w:tcPr>
            <w:tcW w:w="2760" w:type="dxa"/>
            <w:tcBorders>
              <w:top w:val="nil"/>
              <w:left w:val="nil"/>
              <w:bottom w:val="single" w:sz="4" w:space="0" w:color="auto"/>
              <w:right w:val="single" w:sz="4" w:space="0" w:color="auto"/>
            </w:tcBorders>
            <w:shd w:val="clear" w:color="auto" w:fill="auto"/>
            <w:noWrap/>
            <w:vAlign w:val="center"/>
          </w:tcPr>
          <w:p w14:paraId="1137CBDE" w14:textId="77777777" w:rsidR="00DD5D78" w:rsidRPr="00DD5D78" w:rsidRDefault="00DD5D78" w:rsidP="00DD5D78">
            <w:pPr>
              <w:spacing w:before="60" w:after="60"/>
              <w:rPr>
                <w:rFonts w:ascii="Arial" w:eastAsia="Times New Roman" w:hAnsi="Arial"/>
                <w:color w:val="000000"/>
                <w:sz w:val="14"/>
                <w:szCs w:val="14"/>
                <w:lang w:eastAsia="es-ES"/>
              </w:rPr>
            </w:pPr>
          </w:p>
        </w:tc>
        <w:tc>
          <w:tcPr>
            <w:tcW w:w="926" w:type="dxa"/>
            <w:tcBorders>
              <w:top w:val="nil"/>
              <w:left w:val="nil"/>
              <w:bottom w:val="single" w:sz="4" w:space="0" w:color="auto"/>
              <w:right w:val="single" w:sz="4" w:space="0" w:color="auto"/>
            </w:tcBorders>
            <w:shd w:val="clear" w:color="auto" w:fill="auto"/>
            <w:noWrap/>
            <w:vAlign w:val="center"/>
          </w:tcPr>
          <w:p w14:paraId="2494AD9C" w14:textId="77777777" w:rsidR="00DD5D78" w:rsidRPr="00DD5D78" w:rsidRDefault="00DD5D78" w:rsidP="00DD5D78">
            <w:pPr>
              <w:spacing w:before="60" w:after="60"/>
              <w:jc w:val="right"/>
              <w:rPr>
                <w:rFonts w:ascii="Arial" w:eastAsia="Times New Roman" w:hAnsi="Arial"/>
                <w:color w:val="000000"/>
                <w:sz w:val="14"/>
                <w:szCs w:val="14"/>
                <w:lang w:eastAsia="es-ES"/>
              </w:rPr>
            </w:pPr>
          </w:p>
        </w:tc>
        <w:tc>
          <w:tcPr>
            <w:tcW w:w="1559" w:type="dxa"/>
            <w:tcBorders>
              <w:top w:val="nil"/>
              <w:left w:val="nil"/>
              <w:bottom w:val="single" w:sz="4" w:space="0" w:color="auto"/>
              <w:right w:val="single" w:sz="4" w:space="0" w:color="auto"/>
            </w:tcBorders>
            <w:shd w:val="clear" w:color="auto" w:fill="auto"/>
            <w:noWrap/>
            <w:vAlign w:val="center"/>
          </w:tcPr>
          <w:p w14:paraId="76D508B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Traslado al Ministerio Fiscal</w:t>
            </w:r>
          </w:p>
        </w:tc>
        <w:tc>
          <w:tcPr>
            <w:tcW w:w="1134" w:type="dxa"/>
            <w:tcBorders>
              <w:top w:val="nil"/>
              <w:left w:val="nil"/>
              <w:bottom w:val="single" w:sz="4" w:space="0" w:color="auto"/>
              <w:right w:val="single" w:sz="4" w:space="0" w:color="auto"/>
            </w:tcBorders>
            <w:shd w:val="clear" w:color="auto" w:fill="auto"/>
            <w:noWrap/>
            <w:vAlign w:val="center"/>
          </w:tcPr>
          <w:p w14:paraId="65BC6CE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tcPr>
          <w:p w14:paraId="08AA05A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tcPr>
          <w:p w14:paraId="7DA697B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tcPr>
          <w:p w14:paraId="7B16A04A" w14:textId="77777777" w:rsidR="00DD5D78" w:rsidRPr="00DD5D78" w:rsidRDefault="00DD5D78" w:rsidP="00DD5D78">
            <w:pPr>
              <w:spacing w:before="60" w:after="60"/>
              <w:rPr>
                <w:rFonts w:ascii="Arial" w:eastAsia="Times New Roman" w:hAnsi="Arial"/>
                <w:color w:val="000000"/>
                <w:sz w:val="14"/>
                <w:szCs w:val="14"/>
                <w:lang w:eastAsia="es-ES"/>
              </w:rPr>
            </w:pPr>
          </w:p>
        </w:tc>
      </w:tr>
      <w:tr w:rsidR="00DD5D78" w:rsidRPr="00DD5D78" w14:paraId="4AB2872C"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F23D87B"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35</w:t>
            </w:r>
          </w:p>
        </w:tc>
        <w:tc>
          <w:tcPr>
            <w:tcW w:w="1495" w:type="dxa"/>
            <w:tcBorders>
              <w:top w:val="nil"/>
              <w:left w:val="nil"/>
              <w:bottom w:val="single" w:sz="4" w:space="0" w:color="auto"/>
              <w:right w:val="single" w:sz="4" w:space="0" w:color="auto"/>
            </w:tcBorders>
            <w:shd w:val="clear" w:color="auto" w:fill="auto"/>
            <w:noWrap/>
            <w:vAlign w:val="center"/>
            <w:hideMark/>
          </w:tcPr>
          <w:p w14:paraId="5D34BEC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2020/G01_01/000334</w:t>
            </w:r>
          </w:p>
        </w:tc>
        <w:tc>
          <w:tcPr>
            <w:tcW w:w="2532" w:type="dxa"/>
            <w:tcBorders>
              <w:top w:val="nil"/>
              <w:left w:val="nil"/>
              <w:bottom w:val="single" w:sz="4" w:space="0" w:color="auto"/>
              <w:right w:val="single" w:sz="4" w:space="0" w:color="auto"/>
            </w:tcBorders>
            <w:shd w:val="clear" w:color="auto" w:fill="auto"/>
            <w:noWrap/>
            <w:vAlign w:val="center"/>
            <w:hideMark/>
          </w:tcPr>
          <w:p w14:paraId="4B88895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Benirredrà</w:t>
            </w:r>
          </w:p>
        </w:tc>
        <w:tc>
          <w:tcPr>
            <w:tcW w:w="2760" w:type="dxa"/>
            <w:tcBorders>
              <w:top w:val="nil"/>
              <w:left w:val="nil"/>
              <w:bottom w:val="single" w:sz="4" w:space="0" w:color="auto"/>
              <w:right w:val="single" w:sz="4" w:space="0" w:color="auto"/>
            </w:tcBorders>
            <w:shd w:val="clear" w:color="auto" w:fill="auto"/>
            <w:noWrap/>
            <w:vAlign w:val="center"/>
            <w:hideMark/>
          </w:tcPr>
          <w:p w14:paraId="5009209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humanos_selección</w:t>
            </w:r>
          </w:p>
        </w:tc>
        <w:tc>
          <w:tcPr>
            <w:tcW w:w="926" w:type="dxa"/>
            <w:tcBorders>
              <w:top w:val="nil"/>
              <w:left w:val="nil"/>
              <w:bottom w:val="single" w:sz="4" w:space="0" w:color="auto"/>
              <w:right w:val="single" w:sz="4" w:space="0" w:color="auto"/>
            </w:tcBorders>
            <w:shd w:val="clear" w:color="auto" w:fill="auto"/>
            <w:noWrap/>
            <w:vAlign w:val="center"/>
            <w:hideMark/>
          </w:tcPr>
          <w:p w14:paraId="0934798F"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14/06/2021</w:t>
            </w:r>
          </w:p>
        </w:tc>
        <w:tc>
          <w:tcPr>
            <w:tcW w:w="1559" w:type="dxa"/>
            <w:tcBorders>
              <w:top w:val="nil"/>
              <w:left w:val="nil"/>
              <w:bottom w:val="single" w:sz="4" w:space="0" w:color="auto"/>
              <w:right w:val="single" w:sz="4" w:space="0" w:color="auto"/>
            </w:tcBorders>
            <w:shd w:val="clear" w:color="auto" w:fill="auto"/>
            <w:noWrap/>
            <w:vAlign w:val="center"/>
            <w:hideMark/>
          </w:tcPr>
          <w:p w14:paraId="3D280C9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4478963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12771C7"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144C92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06E6435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6775E0B5"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DF874A8"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36</w:t>
            </w:r>
          </w:p>
        </w:tc>
        <w:tc>
          <w:tcPr>
            <w:tcW w:w="1495" w:type="dxa"/>
            <w:tcBorders>
              <w:top w:val="nil"/>
              <w:left w:val="nil"/>
              <w:bottom w:val="single" w:sz="4" w:space="0" w:color="auto"/>
              <w:right w:val="single" w:sz="4" w:space="0" w:color="auto"/>
            </w:tcBorders>
            <w:shd w:val="clear" w:color="auto" w:fill="auto"/>
            <w:noWrap/>
            <w:vAlign w:val="center"/>
            <w:hideMark/>
          </w:tcPr>
          <w:p w14:paraId="7FA02A6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2020/G01_01/000324</w:t>
            </w:r>
          </w:p>
        </w:tc>
        <w:tc>
          <w:tcPr>
            <w:tcW w:w="2532" w:type="dxa"/>
            <w:tcBorders>
              <w:top w:val="nil"/>
              <w:left w:val="nil"/>
              <w:bottom w:val="single" w:sz="4" w:space="0" w:color="auto"/>
              <w:right w:val="single" w:sz="4" w:space="0" w:color="auto"/>
            </w:tcBorders>
            <w:shd w:val="clear" w:color="auto" w:fill="auto"/>
            <w:noWrap/>
            <w:vAlign w:val="center"/>
            <w:hideMark/>
          </w:tcPr>
          <w:p w14:paraId="3E883F7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La Yesa</w:t>
            </w:r>
          </w:p>
        </w:tc>
        <w:tc>
          <w:tcPr>
            <w:tcW w:w="2760" w:type="dxa"/>
            <w:tcBorders>
              <w:top w:val="nil"/>
              <w:left w:val="nil"/>
              <w:bottom w:val="single" w:sz="4" w:space="0" w:color="auto"/>
              <w:right w:val="single" w:sz="4" w:space="0" w:color="auto"/>
            </w:tcBorders>
            <w:shd w:val="clear" w:color="auto" w:fill="auto"/>
            <w:noWrap/>
            <w:vAlign w:val="center"/>
            <w:hideMark/>
          </w:tcPr>
          <w:p w14:paraId="0BF75DA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2BCF68B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14/06/2021</w:t>
            </w:r>
          </w:p>
        </w:tc>
        <w:tc>
          <w:tcPr>
            <w:tcW w:w="1559" w:type="dxa"/>
            <w:tcBorders>
              <w:top w:val="nil"/>
              <w:left w:val="nil"/>
              <w:bottom w:val="single" w:sz="4" w:space="0" w:color="auto"/>
              <w:right w:val="single" w:sz="4" w:space="0" w:color="auto"/>
            </w:tcBorders>
            <w:shd w:val="clear" w:color="auto" w:fill="auto"/>
            <w:noWrap/>
            <w:vAlign w:val="center"/>
            <w:hideMark/>
          </w:tcPr>
          <w:p w14:paraId="4EF1FB8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344BD80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CAAE718"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370752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Liquidación contrato</w:t>
            </w:r>
          </w:p>
        </w:tc>
        <w:tc>
          <w:tcPr>
            <w:tcW w:w="1246" w:type="dxa"/>
            <w:tcBorders>
              <w:top w:val="nil"/>
              <w:left w:val="nil"/>
              <w:bottom w:val="single" w:sz="4" w:space="0" w:color="auto"/>
              <w:right w:val="single" w:sz="4" w:space="0" w:color="auto"/>
            </w:tcBorders>
            <w:shd w:val="clear" w:color="auto" w:fill="auto"/>
            <w:vAlign w:val="center"/>
            <w:hideMark/>
          </w:tcPr>
          <w:p w14:paraId="2C4B7FE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5454FAC2"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03A7744"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37</w:t>
            </w:r>
          </w:p>
        </w:tc>
        <w:tc>
          <w:tcPr>
            <w:tcW w:w="1495" w:type="dxa"/>
            <w:tcBorders>
              <w:top w:val="nil"/>
              <w:left w:val="nil"/>
              <w:bottom w:val="single" w:sz="4" w:space="0" w:color="auto"/>
              <w:right w:val="single" w:sz="4" w:space="0" w:color="auto"/>
            </w:tcBorders>
            <w:shd w:val="clear" w:color="auto" w:fill="auto"/>
            <w:noWrap/>
            <w:vAlign w:val="center"/>
            <w:hideMark/>
          </w:tcPr>
          <w:p w14:paraId="4DFE3AA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2020/G01_01/000088</w:t>
            </w:r>
          </w:p>
        </w:tc>
        <w:tc>
          <w:tcPr>
            <w:tcW w:w="2532" w:type="dxa"/>
            <w:tcBorders>
              <w:top w:val="nil"/>
              <w:left w:val="nil"/>
              <w:bottom w:val="single" w:sz="4" w:space="0" w:color="auto"/>
              <w:right w:val="single" w:sz="4" w:space="0" w:color="auto"/>
            </w:tcBorders>
            <w:shd w:val="clear" w:color="auto" w:fill="auto"/>
            <w:noWrap/>
            <w:vAlign w:val="center"/>
            <w:hideMark/>
          </w:tcPr>
          <w:p w14:paraId="2D1DE9E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Generalitat Valenciana_Consellería Agricultura</w:t>
            </w:r>
          </w:p>
        </w:tc>
        <w:tc>
          <w:tcPr>
            <w:tcW w:w="2760" w:type="dxa"/>
            <w:tcBorders>
              <w:top w:val="nil"/>
              <w:left w:val="nil"/>
              <w:bottom w:val="single" w:sz="4" w:space="0" w:color="auto"/>
              <w:right w:val="single" w:sz="4" w:space="0" w:color="auto"/>
            </w:tcBorders>
            <w:shd w:val="clear" w:color="auto" w:fill="auto"/>
            <w:noWrap/>
            <w:vAlign w:val="center"/>
            <w:hideMark/>
          </w:tcPr>
          <w:p w14:paraId="6FA3CBD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Subvenciones </w:t>
            </w:r>
          </w:p>
        </w:tc>
        <w:tc>
          <w:tcPr>
            <w:tcW w:w="926" w:type="dxa"/>
            <w:tcBorders>
              <w:top w:val="nil"/>
              <w:left w:val="nil"/>
              <w:bottom w:val="single" w:sz="4" w:space="0" w:color="auto"/>
              <w:right w:val="single" w:sz="4" w:space="0" w:color="auto"/>
            </w:tcBorders>
            <w:shd w:val="clear" w:color="auto" w:fill="auto"/>
            <w:noWrap/>
            <w:vAlign w:val="center"/>
            <w:hideMark/>
          </w:tcPr>
          <w:p w14:paraId="79D0C1E9"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16/06/2021</w:t>
            </w:r>
          </w:p>
        </w:tc>
        <w:tc>
          <w:tcPr>
            <w:tcW w:w="1559" w:type="dxa"/>
            <w:tcBorders>
              <w:top w:val="nil"/>
              <w:left w:val="nil"/>
              <w:bottom w:val="single" w:sz="4" w:space="0" w:color="auto"/>
              <w:right w:val="single" w:sz="4" w:space="0" w:color="auto"/>
            </w:tcBorders>
            <w:shd w:val="clear" w:color="auto" w:fill="auto"/>
            <w:noWrap/>
            <w:vAlign w:val="center"/>
            <w:hideMark/>
          </w:tcPr>
          <w:p w14:paraId="58AC05B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5A656533"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EE8362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D738F0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4543C7C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52BD11E0"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B24C4E8"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38</w:t>
            </w:r>
          </w:p>
        </w:tc>
        <w:tc>
          <w:tcPr>
            <w:tcW w:w="1495" w:type="dxa"/>
            <w:tcBorders>
              <w:top w:val="nil"/>
              <w:left w:val="nil"/>
              <w:bottom w:val="single" w:sz="4" w:space="0" w:color="auto"/>
              <w:right w:val="single" w:sz="4" w:space="0" w:color="auto"/>
            </w:tcBorders>
            <w:shd w:val="clear" w:color="auto" w:fill="auto"/>
            <w:noWrap/>
            <w:vAlign w:val="center"/>
            <w:hideMark/>
          </w:tcPr>
          <w:p w14:paraId="2CA2EFB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2020/G01_01/000023</w:t>
            </w:r>
          </w:p>
        </w:tc>
        <w:tc>
          <w:tcPr>
            <w:tcW w:w="2532" w:type="dxa"/>
            <w:tcBorders>
              <w:top w:val="nil"/>
              <w:left w:val="nil"/>
              <w:bottom w:val="single" w:sz="4" w:space="0" w:color="auto"/>
              <w:right w:val="single" w:sz="4" w:space="0" w:color="auto"/>
            </w:tcBorders>
            <w:shd w:val="clear" w:color="auto" w:fill="auto"/>
            <w:noWrap/>
            <w:vAlign w:val="center"/>
            <w:hideMark/>
          </w:tcPr>
          <w:p w14:paraId="01D32DD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CIEGSA</w:t>
            </w:r>
          </w:p>
        </w:tc>
        <w:tc>
          <w:tcPr>
            <w:tcW w:w="2760" w:type="dxa"/>
            <w:tcBorders>
              <w:top w:val="nil"/>
              <w:left w:val="nil"/>
              <w:bottom w:val="single" w:sz="4" w:space="0" w:color="auto"/>
              <w:right w:val="single" w:sz="4" w:space="0" w:color="auto"/>
            </w:tcBorders>
            <w:shd w:val="clear" w:color="auto" w:fill="auto"/>
            <w:noWrap/>
            <w:vAlign w:val="center"/>
            <w:hideMark/>
          </w:tcPr>
          <w:p w14:paraId="1D92CD0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23D04E4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23/06/2021</w:t>
            </w:r>
          </w:p>
        </w:tc>
        <w:tc>
          <w:tcPr>
            <w:tcW w:w="1559" w:type="dxa"/>
            <w:tcBorders>
              <w:top w:val="nil"/>
              <w:left w:val="nil"/>
              <w:bottom w:val="single" w:sz="4" w:space="0" w:color="auto"/>
              <w:right w:val="single" w:sz="4" w:space="0" w:color="auto"/>
            </w:tcBorders>
            <w:shd w:val="clear" w:color="auto" w:fill="auto"/>
            <w:noWrap/>
            <w:vAlign w:val="center"/>
            <w:hideMark/>
          </w:tcPr>
          <w:p w14:paraId="0958B8C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2BB4F40C"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80336B7"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E56F9D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Planificación contratación</w:t>
            </w:r>
          </w:p>
        </w:tc>
        <w:tc>
          <w:tcPr>
            <w:tcW w:w="1246" w:type="dxa"/>
            <w:tcBorders>
              <w:top w:val="nil"/>
              <w:left w:val="nil"/>
              <w:bottom w:val="single" w:sz="4" w:space="0" w:color="auto"/>
              <w:right w:val="single" w:sz="4" w:space="0" w:color="auto"/>
            </w:tcBorders>
            <w:shd w:val="clear" w:color="auto" w:fill="auto"/>
            <w:vAlign w:val="center"/>
            <w:hideMark/>
          </w:tcPr>
          <w:p w14:paraId="39BAEA5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3DF9EFF8"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A63AB65"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39</w:t>
            </w:r>
          </w:p>
        </w:tc>
        <w:tc>
          <w:tcPr>
            <w:tcW w:w="1495" w:type="dxa"/>
            <w:tcBorders>
              <w:top w:val="nil"/>
              <w:left w:val="nil"/>
              <w:bottom w:val="single" w:sz="4" w:space="0" w:color="auto"/>
              <w:right w:val="single" w:sz="4" w:space="0" w:color="auto"/>
            </w:tcBorders>
            <w:shd w:val="clear" w:color="auto" w:fill="auto"/>
            <w:noWrap/>
            <w:vAlign w:val="center"/>
            <w:hideMark/>
          </w:tcPr>
          <w:p w14:paraId="1CB3268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2020/G01_01/000236</w:t>
            </w:r>
          </w:p>
        </w:tc>
        <w:tc>
          <w:tcPr>
            <w:tcW w:w="2532" w:type="dxa"/>
            <w:tcBorders>
              <w:top w:val="nil"/>
              <w:left w:val="nil"/>
              <w:bottom w:val="single" w:sz="4" w:space="0" w:color="auto"/>
              <w:right w:val="single" w:sz="4" w:space="0" w:color="auto"/>
            </w:tcBorders>
            <w:shd w:val="clear" w:color="auto" w:fill="auto"/>
            <w:noWrap/>
            <w:vAlign w:val="center"/>
            <w:hideMark/>
          </w:tcPr>
          <w:p w14:paraId="1FDA8F1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Generalitat Valenciana_Consellería de Igualdad y Políticas Inclusivas</w:t>
            </w:r>
          </w:p>
        </w:tc>
        <w:tc>
          <w:tcPr>
            <w:tcW w:w="2760" w:type="dxa"/>
            <w:tcBorders>
              <w:top w:val="nil"/>
              <w:left w:val="nil"/>
              <w:bottom w:val="single" w:sz="4" w:space="0" w:color="auto"/>
              <w:right w:val="single" w:sz="4" w:space="0" w:color="auto"/>
            </w:tcBorders>
            <w:shd w:val="clear" w:color="auto" w:fill="auto"/>
            <w:noWrap/>
            <w:vAlign w:val="center"/>
            <w:hideMark/>
          </w:tcPr>
          <w:p w14:paraId="1EAF609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Contratación_concesiones</w:t>
            </w:r>
          </w:p>
        </w:tc>
        <w:tc>
          <w:tcPr>
            <w:tcW w:w="926" w:type="dxa"/>
            <w:tcBorders>
              <w:top w:val="nil"/>
              <w:left w:val="nil"/>
              <w:bottom w:val="single" w:sz="4" w:space="0" w:color="auto"/>
              <w:right w:val="single" w:sz="4" w:space="0" w:color="auto"/>
            </w:tcBorders>
            <w:shd w:val="clear" w:color="auto" w:fill="auto"/>
            <w:noWrap/>
            <w:vAlign w:val="center"/>
            <w:hideMark/>
          </w:tcPr>
          <w:p w14:paraId="49191310"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30/06/2021</w:t>
            </w:r>
          </w:p>
        </w:tc>
        <w:tc>
          <w:tcPr>
            <w:tcW w:w="1559" w:type="dxa"/>
            <w:tcBorders>
              <w:top w:val="nil"/>
              <w:left w:val="nil"/>
              <w:bottom w:val="single" w:sz="4" w:space="0" w:color="auto"/>
              <w:right w:val="single" w:sz="4" w:space="0" w:color="auto"/>
            </w:tcBorders>
            <w:shd w:val="clear" w:color="auto" w:fill="auto"/>
            <w:noWrap/>
            <w:vAlign w:val="center"/>
            <w:hideMark/>
          </w:tcPr>
          <w:p w14:paraId="61FD2BF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488CBD28"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A418F3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020B34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Planificación inspecciones</w:t>
            </w:r>
          </w:p>
        </w:tc>
        <w:tc>
          <w:tcPr>
            <w:tcW w:w="1246" w:type="dxa"/>
            <w:tcBorders>
              <w:top w:val="nil"/>
              <w:left w:val="nil"/>
              <w:bottom w:val="single" w:sz="4" w:space="0" w:color="auto"/>
              <w:right w:val="single" w:sz="4" w:space="0" w:color="auto"/>
            </w:tcBorders>
            <w:shd w:val="clear" w:color="auto" w:fill="auto"/>
            <w:vAlign w:val="center"/>
            <w:hideMark/>
          </w:tcPr>
          <w:p w14:paraId="2189C93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54D013C3"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877C985"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40</w:t>
            </w:r>
          </w:p>
        </w:tc>
        <w:tc>
          <w:tcPr>
            <w:tcW w:w="1495" w:type="dxa"/>
            <w:tcBorders>
              <w:top w:val="nil"/>
              <w:left w:val="nil"/>
              <w:bottom w:val="single" w:sz="4" w:space="0" w:color="auto"/>
              <w:right w:val="single" w:sz="4" w:space="0" w:color="auto"/>
            </w:tcBorders>
            <w:shd w:val="clear" w:color="auto" w:fill="auto"/>
            <w:noWrap/>
            <w:vAlign w:val="center"/>
            <w:hideMark/>
          </w:tcPr>
          <w:p w14:paraId="667AD7A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2020/G01_01/000225</w:t>
            </w:r>
          </w:p>
        </w:tc>
        <w:tc>
          <w:tcPr>
            <w:tcW w:w="2532" w:type="dxa"/>
            <w:tcBorders>
              <w:top w:val="nil"/>
              <w:left w:val="nil"/>
              <w:bottom w:val="single" w:sz="4" w:space="0" w:color="auto"/>
              <w:right w:val="single" w:sz="4" w:space="0" w:color="auto"/>
            </w:tcBorders>
            <w:shd w:val="clear" w:color="auto" w:fill="auto"/>
            <w:noWrap/>
            <w:vAlign w:val="center"/>
            <w:hideMark/>
          </w:tcPr>
          <w:p w14:paraId="11AFB71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1D1011F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humanos_sueldos cargos electos</w:t>
            </w:r>
          </w:p>
        </w:tc>
        <w:tc>
          <w:tcPr>
            <w:tcW w:w="926" w:type="dxa"/>
            <w:tcBorders>
              <w:top w:val="nil"/>
              <w:left w:val="nil"/>
              <w:bottom w:val="single" w:sz="4" w:space="0" w:color="auto"/>
              <w:right w:val="single" w:sz="4" w:space="0" w:color="auto"/>
            </w:tcBorders>
            <w:shd w:val="clear" w:color="auto" w:fill="auto"/>
            <w:noWrap/>
            <w:vAlign w:val="center"/>
            <w:hideMark/>
          </w:tcPr>
          <w:p w14:paraId="0C8E59C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06/07/2021</w:t>
            </w:r>
          </w:p>
        </w:tc>
        <w:tc>
          <w:tcPr>
            <w:tcW w:w="1559" w:type="dxa"/>
            <w:tcBorders>
              <w:top w:val="nil"/>
              <w:left w:val="nil"/>
              <w:bottom w:val="single" w:sz="4" w:space="0" w:color="auto"/>
              <w:right w:val="single" w:sz="4" w:space="0" w:color="auto"/>
            </w:tcBorders>
            <w:shd w:val="clear" w:color="auto" w:fill="auto"/>
            <w:noWrap/>
            <w:vAlign w:val="center"/>
            <w:hideMark/>
          </w:tcPr>
          <w:p w14:paraId="4C16AC0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1CD1D9F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772.576,36</w:t>
            </w:r>
          </w:p>
        </w:tc>
        <w:tc>
          <w:tcPr>
            <w:tcW w:w="992" w:type="dxa"/>
            <w:tcBorders>
              <w:top w:val="nil"/>
              <w:left w:val="nil"/>
              <w:bottom w:val="single" w:sz="4" w:space="0" w:color="auto"/>
              <w:right w:val="single" w:sz="4" w:space="0" w:color="auto"/>
            </w:tcBorders>
            <w:shd w:val="clear" w:color="auto" w:fill="auto"/>
            <w:noWrap/>
            <w:vAlign w:val="center"/>
            <w:hideMark/>
          </w:tcPr>
          <w:p w14:paraId="39A2A6C7"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w:t>
            </w:r>
          </w:p>
        </w:tc>
        <w:tc>
          <w:tcPr>
            <w:tcW w:w="1183" w:type="dxa"/>
            <w:tcBorders>
              <w:top w:val="nil"/>
              <w:left w:val="nil"/>
              <w:bottom w:val="single" w:sz="4" w:space="0" w:color="auto"/>
              <w:right w:val="single" w:sz="4" w:space="0" w:color="auto"/>
            </w:tcBorders>
            <w:shd w:val="clear" w:color="auto" w:fill="auto"/>
            <w:vAlign w:val="center"/>
            <w:hideMark/>
          </w:tcPr>
          <w:p w14:paraId="2FE4EAE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7C15364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parcialmente recomendaciones</w:t>
            </w:r>
          </w:p>
        </w:tc>
      </w:tr>
      <w:tr w:rsidR="00DD5D78" w:rsidRPr="00DD5D78" w14:paraId="15DA5223"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D931541"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41</w:t>
            </w:r>
          </w:p>
        </w:tc>
        <w:tc>
          <w:tcPr>
            <w:tcW w:w="1495" w:type="dxa"/>
            <w:tcBorders>
              <w:top w:val="nil"/>
              <w:left w:val="nil"/>
              <w:bottom w:val="single" w:sz="4" w:space="0" w:color="auto"/>
              <w:right w:val="single" w:sz="4" w:space="0" w:color="auto"/>
            </w:tcBorders>
            <w:shd w:val="clear" w:color="auto" w:fill="auto"/>
            <w:noWrap/>
            <w:vAlign w:val="center"/>
            <w:hideMark/>
          </w:tcPr>
          <w:p w14:paraId="1EA32A4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2020/G01_01/000096</w:t>
            </w:r>
          </w:p>
        </w:tc>
        <w:tc>
          <w:tcPr>
            <w:tcW w:w="2532" w:type="dxa"/>
            <w:tcBorders>
              <w:top w:val="nil"/>
              <w:left w:val="nil"/>
              <w:bottom w:val="single" w:sz="4" w:space="0" w:color="auto"/>
              <w:right w:val="single" w:sz="4" w:space="0" w:color="auto"/>
            </w:tcBorders>
            <w:shd w:val="clear" w:color="auto" w:fill="auto"/>
            <w:noWrap/>
            <w:vAlign w:val="center"/>
            <w:hideMark/>
          </w:tcPr>
          <w:p w14:paraId="749A444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5D39569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humanos_provisión</w:t>
            </w:r>
          </w:p>
        </w:tc>
        <w:tc>
          <w:tcPr>
            <w:tcW w:w="926" w:type="dxa"/>
            <w:tcBorders>
              <w:top w:val="nil"/>
              <w:left w:val="nil"/>
              <w:bottom w:val="single" w:sz="4" w:space="0" w:color="auto"/>
              <w:right w:val="single" w:sz="4" w:space="0" w:color="auto"/>
            </w:tcBorders>
            <w:shd w:val="clear" w:color="auto" w:fill="auto"/>
            <w:noWrap/>
            <w:vAlign w:val="center"/>
            <w:hideMark/>
          </w:tcPr>
          <w:p w14:paraId="7BBCBF8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11/07/2021</w:t>
            </w:r>
          </w:p>
        </w:tc>
        <w:tc>
          <w:tcPr>
            <w:tcW w:w="1559" w:type="dxa"/>
            <w:tcBorders>
              <w:top w:val="nil"/>
              <w:left w:val="nil"/>
              <w:bottom w:val="single" w:sz="4" w:space="0" w:color="auto"/>
              <w:right w:val="single" w:sz="4" w:space="0" w:color="auto"/>
            </w:tcBorders>
            <w:shd w:val="clear" w:color="auto" w:fill="auto"/>
            <w:noWrap/>
            <w:vAlign w:val="center"/>
            <w:hideMark/>
          </w:tcPr>
          <w:p w14:paraId="130D10A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7745033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D99AE20"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7BB9C46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20AFDDB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3BDA00FE"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38DBE36"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42</w:t>
            </w:r>
          </w:p>
        </w:tc>
        <w:tc>
          <w:tcPr>
            <w:tcW w:w="1495" w:type="dxa"/>
            <w:tcBorders>
              <w:top w:val="nil"/>
              <w:left w:val="nil"/>
              <w:bottom w:val="single" w:sz="4" w:space="0" w:color="auto"/>
              <w:right w:val="single" w:sz="4" w:space="0" w:color="auto"/>
            </w:tcBorders>
            <w:shd w:val="clear" w:color="auto" w:fill="auto"/>
            <w:noWrap/>
            <w:vAlign w:val="center"/>
            <w:hideMark/>
          </w:tcPr>
          <w:p w14:paraId="1FC711F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2020/G01_01/000147</w:t>
            </w:r>
          </w:p>
        </w:tc>
        <w:tc>
          <w:tcPr>
            <w:tcW w:w="2532" w:type="dxa"/>
            <w:tcBorders>
              <w:top w:val="nil"/>
              <w:left w:val="nil"/>
              <w:bottom w:val="single" w:sz="4" w:space="0" w:color="auto"/>
              <w:right w:val="single" w:sz="4" w:space="0" w:color="auto"/>
            </w:tcBorders>
            <w:shd w:val="clear" w:color="auto" w:fill="auto"/>
            <w:noWrap/>
            <w:vAlign w:val="center"/>
            <w:hideMark/>
          </w:tcPr>
          <w:p w14:paraId="3309A77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Benidorm</w:t>
            </w:r>
          </w:p>
        </w:tc>
        <w:tc>
          <w:tcPr>
            <w:tcW w:w="2760" w:type="dxa"/>
            <w:tcBorders>
              <w:top w:val="nil"/>
              <w:left w:val="nil"/>
              <w:bottom w:val="single" w:sz="4" w:space="0" w:color="auto"/>
              <w:right w:val="single" w:sz="4" w:space="0" w:color="auto"/>
            </w:tcBorders>
            <w:shd w:val="clear" w:color="auto" w:fill="auto"/>
            <w:noWrap/>
            <w:vAlign w:val="center"/>
            <w:hideMark/>
          </w:tcPr>
          <w:p w14:paraId="146A85E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Otros_trato de favor</w:t>
            </w:r>
          </w:p>
        </w:tc>
        <w:tc>
          <w:tcPr>
            <w:tcW w:w="926" w:type="dxa"/>
            <w:tcBorders>
              <w:top w:val="nil"/>
              <w:left w:val="nil"/>
              <w:bottom w:val="single" w:sz="4" w:space="0" w:color="auto"/>
              <w:right w:val="single" w:sz="4" w:space="0" w:color="auto"/>
            </w:tcBorders>
            <w:shd w:val="clear" w:color="auto" w:fill="auto"/>
            <w:noWrap/>
            <w:vAlign w:val="center"/>
            <w:hideMark/>
          </w:tcPr>
          <w:p w14:paraId="559FCA8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15/07/2021</w:t>
            </w:r>
          </w:p>
        </w:tc>
        <w:tc>
          <w:tcPr>
            <w:tcW w:w="1559" w:type="dxa"/>
            <w:tcBorders>
              <w:top w:val="nil"/>
              <w:left w:val="nil"/>
              <w:bottom w:val="single" w:sz="4" w:space="0" w:color="auto"/>
              <w:right w:val="single" w:sz="4" w:space="0" w:color="auto"/>
            </w:tcBorders>
            <w:shd w:val="clear" w:color="auto" w:fill="auto"/>
            <w:noWrap/>
            <w:vAlign w:val="center"/>
            <w:hideMark/>
          </w:tcPr>
          <w:p w14:paraId="6E2A890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70D8549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6313C55"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9E453E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Instrucciones internas</w:t>
            </w:r>
          </w:p>
        </w:tc>
        <w:tc>
          <w:tcPr>
            <w:tcW w:w="1246" w:type="dxa"/>
            <w:tcBorders>
              <w:top w:val="nil"/>
              <w:left w:val="nil"/>
              <w:bottom w:val="single" w:sz="4" w:space="0" w:color="auto"/>
              <w:right w:val="single" w:sz="4" w:space="0" w:color="auto"/>
            </w:tcBorders>
            <w:shd w:val="clear" w:color="auto" w:fill="auto"/>
            <w:vAlign w:val="center"/>
            <w:hideMark/>
          </w:tcPr>
          <w:p w14:paraId="6772D81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41499590"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564E10C"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43</w:t>
            </w:r>
          </w:p>
        </w:tc>
        <w:tc>
          <w:tcPr>
            <w:tcW w:w="1495" w:type="dxa"/>
            <w:tcBorders>
              <w:top w:val="nil"/>
              <w:left w:val="nil"/>
              <w:bottom w:val="single" w:sz="4" w:space="0" w:color="auto"/>
              <w:right w:val="single" w:sz="4" w:space="0" w:color="auto"/>
            </w:tcBorders>
            <w:shd w:val="clear" w:color="auto" w:fill="auto"/>
            <w:noWrap/>
            <w:vAlign w:val="center"/>
            <w:hideMark/>
          </w:tcPr>
          <w:p w14:paraId="7A1A5BD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2020/G01_01/000339</w:t>
            </w:r>
          </w:p>
        </w:tc>
        <w:tc>
          <w:tcPr>
            <w:tcW w:w="2532" w:type="dxa"/>
            <w:tcBorders>
              <w:top w:val="nil"/>
              <w:left w:val="nil"/>
              <w:bottom w:val="single" w:sz="4" w:space="0" w:color="auto"/>
              <w:right w:val="single" w:sz="4" w:space="0" w:color="auto"/>
            </w:tcBorders>
            <w:shd w:val="clear" w:color="auto" w:fill="auto"/>
            <w:noWrap/>
            <w:vAlign w:val="center"/>
            <w:hideMark/>
          </w:tcPr>
          <w:p w14:paraId="6042B9D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7AE18DA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Contratación_concesiones</w:t>
            </w:r>
          </w:p>
        </w:tc>
        <w:tc>
          <w:tcPr>
            <w:tcW w:w="926" w:type="dxa"/>
            <w:tcBorders>
              <w:top w:val="nil"/>
              <w:left w:val="nil"/>
              <w:bottom w:val="single" w:sz="4" w:space="0" w:color="auto"/>
              <w:right w:val="single" w:sz="4" w:space="0" w:color="auto"/>
            </w:tcBorders>
            <w:shd w:val="clear" w:color="auto" w:fill="auto"/>
            <w:noWrap/>
            <w:vAlign w:val="center"/>
            <w:hideMark/>
          </w:tcPr>
          <w:p w14:paraId="3A034FB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20/07/2021</w:t>
            </w:r>
          </w:p>
        </w:tc>
        <w:tc>
          <w:tcPr>
            <w:tcW w:w="1559" w:type="dxa"/>
            <w:tcBorders>
              <w:top w:val="nil"/>
              <w:left w:val="nil"/>
              <w:bottom w:val="single" w:sz="4" w:space="0" w:color="auto"/>
              <w:right w:val="single" w:sz="4" w:space="0" w:color="auto"/>
            </w:tcBorders>
            <w:shd w:val="clear" w:color="auto" w:fill="auto"/>
            <w:noWrap/>
            <w:vAlign w:val="center"/>
            <w:hideMark/>
          </w:tcPr>
          <w:p w14:paraId="2C165E5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712D622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51A6CD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1CF7B9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Planificación contratación</w:t>
            </w:r>
          </w:p>
        </w:tc>
        <w:tc>
          <w:tcPr>
            <w:tcW w:w="1246" w:type="dxa"/>
            <w:tcBorders>
              <w:top w:val="nil"/>
              <w:left w:val="nil"/>
              <w:bottom w:val="single" w:sz="4" w:space="0" w:color="auto"/>
              <w:right w:val="single" w:sz="4" w:space="0" w:color="auto"/>
            </w:tcBorders>
            <w:shd w:val="clear" w:color="auto" w:fill="auto"/>
            <w:vAlign w:val="center"/>
            <w:hideMark/>
          </w:tcPr>
          <w:p w14:paraId="5FC5C5F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013A568B"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EFB8B8E"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44</w:t>
            </w:r>
          </w:p>
        </w:tc>
        <w:tc>
          <w:tcPr>
            <w:tcW w:w="1495" w:type="dxa"/>
            <w:tcBorders>
              <w:top w:val="nil"/>
              <w:left w:val="nil"/>
              <w:bottom w:val="single" w:sz="4" w:space="0" w:color="auto"/>
              <w:right w:val="single" w:sz="4" w:space="0" w:color="auto"/>
            </w:tcBorders>
            <w:shd w:val="clear" w:color="auto" w:fill="auto"/>
            <w:noWrap/>
            <w:vAlign w:val="center"/>
            <w:hideMark/>
          </w:tcPr>
          <w:p w14:paraId="5325A30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2020/G01_01/000031</w:t>
            </w:r>
          </w:p>
        </w:tc>
        <w:tc>
          <w:tcPr>
            <w:tcW w:w="2532" w:type="dxa"/>
            <w:tcBorders>
              <w:top w:val="nil"/>
              <w:left w:val="nil"/>
              <w:bottom w:val="single" w:sz="4" w:space="0" w:color="auto"/>
              <w:right w:val="single" w:sz="4" w:space="0" w:color="auto"/>
            </w:tcBorders>
            <w:shd w:val="clear" w:color="auto" w:fill="auto"/>
            <w:noWrap/>
            <w:vAlign w:val="center"/>
            <w:hideMark/>
          </w:tcPr>
          <w:p w14:paraId="65ECE2B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Diputación de Castellón</w:t>
            </w:r>
          </w:p>
        </w:tc>
        <w:tc>
          <w:tcPr>
            <w:tcW w:w="2760" w:type="dxa"/>
            <w:tcBorders>
              <w:top w:val="nil"/>
              <w:left w:val="nil"/>
              <w:bottom w:val="single" w:sz="4" w:space="0" w:color="auto"/>
              <w:right w:val="single" w:sz="4" w:space="0" w:color="auto"/>
            </w:tcBorders>
            <w:shd w:val="clear" w:color="auto" w:fill="auto"/>
            <w:noWrap/>
            <w:vAlign w:val="center"/>
            <w:hideMark/>
          </w:tcPr>
          <w:p w14:paraId="4BC375A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humanos_incompatibilidades</w:t>
            </w:r>
          </w:p>
        </w:tc>
        <w:tc>
          <w:tcPr>
            <w:tcW w:w="926" w:type="dxa"/>
            <w:tcBorders>
              <w:top w:val="nil"/>
              <w:left w:val="nil"/>
              <w:bottom w:val="single" w:sz="4" w:space="0" w:color="auto"/>
              <w:right w:val="single" w:sz="4" w:space="0" w:color="auto"/>
            </w:tcBorders>
            <w:shd w:val="clear" w:color="auto" w:fill="auto"/>
            <w:noWrap/>
            <w:vAlign w:val="center"/>
            <w:hideMark/>
          </w:tcPr>
          <w:p w14:paraId="24847CD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24/08/2021</w:t>
            </w:r>
          </w:p>
        </w:tc>
        <w:tc>
          <w:tcPr>
            <w:tcW w:w="1559" w:type="dxa"/>
            <w:tcBorders>
              <w:top w:val="nil"/>
              <w:left w:val="nil"/>
              <w:bottom w:val="single" w:sz="4" w:space="0" w:color="auto"/>
              <w:right w:val="single" w:sz="4" w:space="0" w:color="auto"/>
            </w:tcBorders>
            <w:shd w:val="clear" w:color="auto" w:fill="auto"/>
            <w:noWrap/>
            <w:vAlign w:val="center"/>
            <w:hideMark/>
          </w:tcPr>
          <w:p w14:paraId="09B5949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1612ABA5"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54F884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72C9DA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45A90BE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0D214740"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616B9C2"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45</w:t>
            </w:r>
          </w:p>
        </w:tc>
        <w:tc>
          <w:tcPr>
            <w:tcW w:w="1495" w:type="dxa"/>
            <w:tcBorders>
              <w:top w:val="nil"/>
              <w:left w:val="nil"/>
              <w:bottom w:val="single" w:sz="4" w:space="0" w:color="auto"/>
              <w:right w:val="single" w:sz="4" w:space="0" w:color="auto"/>
            </w:tcBorders>
            <w:shd w:val="clear" w:color="auto" w:fill="auto"/>
            <w:noWrap/>
            <w:vAlign w:val="center"/>
            <w:hideMark/>
          </w:tcPr>
          <w:p w14:paraId="20E1283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2020/G01_01/000242</w:t>
            </w:r>
          </w:p>
        </w:tc>
        <w:tc>
          <w:tcPr>
            <w:tcW w:w="2532" w:type="dxa"/>
            <w:tcBorders>
              <w:top w:val="nil"/>
              <w:left w:val="nil"/>
              <w:bottom w:val="single" w:sz="4" w:space="0" w:color="auto"/>
              <w:right w:val="single" w:sz="4" w:space="0" w:color="auto"/>
            </w:tcBorders>
            <w:shd w:val="clear" w:color="auto" w:fill="auto"/>
            <w:noWrap/>
            <w:vAlign w:val="center"/>
            <w:hideMark/>
          </w:tcPr>
          <w:p w14:paraId="78D071A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La Serratella</w:t>
            </w:r>
          </w:p>
        </w:tc>
        <w:tc>
          <w:tcPr>
            <w:tcW w:w="2760" w:type="dxa"/>
            <w:tcBorders>
              <w:top w:val="nil"/>
              <w:left w:val="nil"/>
              <w:bottom w:val="single" w:sz="4" w:space="0" w:color="auto"/>
              <w:right w:val="single" w:sz="4" w:space="0" w:color="auto"/>
            </w:tcBorders>
            <w:shd w:val="clear" w:color="auto" w:fill="auto"/>
            <w:noWrap/>
            <w:vAlign w:val="center"/>
            <w:hideMark/>
          </w:tcPr>
          <w:p w14:paraId="6FA55CA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Contratación_empresas públicas</w:t>
            </w:r>
          </w:p>
        </w:tc>
        <w:tc>
          <w:tcPr>
            <w:tcW w:w="926" w:type="dxa"/>
            <w:tcBorders>
              <w:top w:val="nil"/>
              <w:left w:val="nil"/>
              <w:bottom w:val="single" w:sz="4" w:space="0" w:color="auto"/>
              <w:right w:val="single" w:sz="4" w:space="0" w:color="auto"/>
            </w:tcBorders>
            <w:shd w:val="clear" w:color="auto" w:fill="auto"/>
            <w:noWrap/>
            <w:vAlign w:val="center"/>
            <w:hideMark/>
          </w:tcPr>
          <w:p w14:paraId="35DF464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24/08/2021</w:t>
            </w:r>
          </w:p>
        </w:tc>
        <w:tc>
          <w:tcPr>
            <w:tcW w:w="1559" w:type="dxa"/>
            <w:tcBorders>
              <w:top w:val="nil"/>
              <w:left w:val="nil"/>
              <w:bottom w:val="single" w:sz="4" w:space="0" w:color="auto"/>
              <w:right w:val="single" w:sz="4" w:space="0" w:color="auto"/>
            </w:tcBorders>
            <w:shd w:val="clear" w:color="auto" w:fill="auto"/>
            <w:noWrap/>
            <w:vAlign w:val="center"/>
            <w:hideMark/>
          </w:tcPr>
          <w:p w14:paraId="51972D9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2FBDBF7F"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D682E5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0C6E38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29145C2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03262875"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0B7235D"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46</w:t>
            </w:r>
          </w:p>
        </w:tc>
        <w:tc>
          <w:tcPr>
            <w:tcW w:w="1495" w:type="dxa"/>
            <w:tcBorders>
              <w:top w:val="nil"/>
              <w:left w:val="nil"/>
              <w:bottom w:val="single" w:sz="4" w:space="0" w:color="auto"/>
              <w:right w:val="single" w:sz="4" w:space="0" w:color="auto"/>
            </w:tcBorders>
            <w:shd w:val="clear" w:color="auto" w:fill="auto"/>
            <w:noWrap/>
            <w:vAlign w:val="center"/>
            <w:hideMark/>
          </w:tcPr>
          <w:p w14:paraId="1CD47AB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2020/G01_01/000107</w:t>
            </w:r>
          </w:p>
        </w:tc>
        <w:tc>
          <w:tcPr>
            <w:tcW w:w="2532" w:type="dxa"/>
            <w:tcBorders>
              <w:top w:val="nil"/>
              <w:left w:val="nil"/>
              <w:bottom w:val="single" w:sz="4" w:space="0" w:color="auto"/>
              <w:right w:val="single" w:sz="4" w:space="0" w:color="auto"/>
            </w:tcBorders>
            <w:shd w:val="clear" w:color="auto" w:fill="auto"/>
            <w:noWrap/>
            <w:vAlign w:val="center"/>
            <w:hideMark/>
          </w:tcPr>
          <w:p w14:paraId="1E74360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València_Junta Central Fallera</w:t>
            </w:r>
          </w:p>
        </w:tc>
        <w:tc>
          <w:tcPr>
            <w:tcW w:w="2760" w:type="dxa"/>
            <w:tcBorders>
              <w:top w:val="nil"/>
              <w:left w:val="nil"/>
              <w:bottom w:val="single" w:sz="4" w:space="0" w:color="auto"/>
              <w:right w:val="single" w:sz="4" w:space="0" w:color="auto"/>
            </w:tcBorders>
            <w:shd w:val="clear" w:color="auto" w:fill="auto"/>
            <w:noWrap/>
            <w:vAlign w:val="center"/>
            <w:hideMark/>
          </w:tcPr>
          <w:p w14:paraId="6B48FD2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Contratación_fraccionamiento</w:t>
            </w:r>
          </w:p>
        </w:tc>
        <w:tc>
          <w:tcPr>
            <w:tcW w:w="926" w:type="dxa"/>
            <w:tcBorders>
              <w:top w:val="nil"/>
              <w:left w:val="nil"/>
              <w:bottom w:val="single" w:sz="4" w:space="0" w:color="auto"/>
              <w:right w:val="single" w:sz="4" w:space="0" w:color="auto"/>
            </w:tcBorders>
            <w:shd w:val="clear" w:color="auto" w:fill="auto"/>
            <w:noWrap/>
            <w:vAlign w:val="center"/>
            <w:hideMark/>
          </w:tcPr>
          <w:p w14:paraId="6A23FEB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07/09/2021</w:t>
            </w:r>
          </w:p>
        </w:tc>
        <w:tc>
          <w:tcPr>
            <w:tcW w:w="1559" w:type="dxa"/>
            <w:tcBorders>
              <w:top w:val="nil"/>
              <w:left w:val="nil"/>
              <w:bottom w:val="single" w:sz="4" w:space="0" w:color="auto"/>
              <w:right w:val="single" w:sz="4" w:space="0" w:color="auto"/>
            </w:tcBorders>
            <w:shd w:val="clear" w:color="auto" w:fill="auto"/>
            <w:noWrap/>
            <w:vAlign w:val="center"/>
            <w:hideMark/>
          </w:tcPr>
          <w:p w14:paraId="01EF3B4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51C0C36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B14B58F"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48624D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793F0EC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procede seguimiento</w:t>
            </w:r>
          </w:p>
        </w:tc>
      </w:tr>
      <w:tr w:rsidR="00DD5D78" w:rsidRPr="00DD5D78" w14:paraId="24439E7C"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9EACD45"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47</w:t>
            </w:r>
          </w:p>
        </w:tc>
        <w:tc>
          <w:tcPr>
            <w:tcW w:w="1495" w:type="dxa"/>
            <w:tcBorders>
              <w:top w:val="nil"/>
              <w:left w:val="nil"/>
              <w:bottom w:val="single" w:sz="4" w:space="0" w:color="auto"/>
              <w:right w:val="single" w:sz="4" w:space="0" w:color="auto"/>
            </w:tcBorders>
            <w:shd w:val="clear" w:color="auto" w:fill="auto"/>
            <w:noWrap/>
            <w:vAlign w:val="center"/>
            <w:hideMark/>
          </w:tcPr>
          <w:p w14:paraId="6FD1B5D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2020/G01_01/000347</w:t>
            </w:r>
          </w:p>
        </w:tc>
        <w:tc>
          <w:tcPr>
            <w:tcW w:w="2532" w:type="dxa"/>
            <w:tcBorders>
              <w:top w:val="nil"/>
              <w:left w:val="nil"/>
              <w:bottom w:val="single" w:sz="4" w:space="0" w:color="auto"/>
              <w:right w:val="single" w:sz="4" w:space="0" w:color="auto"/>
            </w:tcBorders>
            <w:shd w:val="clear" w:color="auto" w:fill="auto"/>
            <w:noWrap/>
            <w:vAlign w:val="center"/>
            <w:hideMark/>
          </w:tcPr>
          <w:p w14:paraId="5B391D6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Fundación IIES La Fe</w:t>
            </w:r>
          </w:p>
        </w:tc>
        <w:tc>
          <w:tcPr>
            <w:tcW w:w="2760" w:type="dxa"/>
            <w:tcBorders>
              <w:top w:val="nil"/>
              <w:left w:val="nil"/>
              <w:bottom w:val="single" w:sz="4" w:space="0" w:color="auto"/>
              <w:right w:val="single" w:sz="4" w:space="0" w:color="auto"/>
            </w:tcBorders>
            <w:shd w:val="clear" w:color="auto" w:fill="auto"/>
            <w:noWrap/>
            <w:vAlign w:val="center"/>
            <w:hideMark/>
          </w:tcPr>
          <w:p w14:paraId="392978F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humanos_provisión</w:t>
            </w:r>
          </w:p>
        </w:tc>
        <w:tc>
          <w:tcPr>
            <w:tcW w:w="926" w:type="dxa"/>
            <w:tcBorders>
              <w:top w:val="nil"/>
              <w:left w:val="nil"/>
              <w:bottom w:val="single" w:sz="4" w:space="0" w:color="auto"/>
              <w:right w:val="single" w:sz="4" w:space="0" w:color="auto"/>
            </w:tcBorders>
            <w:shd w:val="clear" w:color="auto" w:fill="auto"/>
            <w:noWrap/>
            <w:vAlign w:val="center"/>
            <w:hideMark/>
          </w:tcPr>
          <w:p w14:paraId="071199CF"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07/09/2021</w:t>
            </w:r>
          </w:p>
        </w:tc>
        <w:tc>
          <w:tcPr>
            <w:tcW w:w="1559" w:type="dxa"/>
            <w:tcBorders>
              <w:top w:val="nil"/>
              <w:left w:val="nil"/>
              <w:bottom w:val="single" w:sz="4" w:space="0" w:color="auto"/>
              <w:right w:val="single" w:sz="4" w:space="0" w:color="auto"/>
            </w:tcBorders>
            <w:shd w:val="clear" w:color="auto" w:fill="auto"/>
            <w:noWrap/>
            <w:vAlign w:val="center"/>
            <w:hideMark/>
          </w:tcPr>
          <w:p w14:paraId="49464F0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2952753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B66B4B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E308BA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7769789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52EA31FF"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123B0EB"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48</w:t>
            </w:r>
          </w:p>
        </w:tc>
        <w:tc>
          <w:tcPr>
            <w:tcW w:w="1495" w:type="dxa"/>
            <w:tcBorders>
              <w:top w:val="nil"/>
              <w:left w:val="nil"/>
              <w:bottom w:val="single" w:sz="4" w:space="0" w:color="auto"/>
              <w:right w:val="single" w:sz="4" w:space="0" w:color="auto"/>
            </w:tcBorders>
            <w:shd w:val="clear" w:color="auto" w:fill="auto"/>
            <w:noWrap/>
            <w:vAlign w:val="center"/>
            <w:hideMark/>
          </w:tcPr>
          <w:p w14:paraId="6147183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2020/G01_01/000282</w:t>
            </w:r>
          </w:p>
        </w:tc>
        <w:tc>
          <w:tcPr>
            <w:tcW w:w="2532" w:type="dxa"/>
            <w:tcBorders>
              <w:top w:val="nil"/>
              <w:left w:val="nil"/>
              <w:bottom w:val="single" w:sz="4" w:space="0" w:color="auto"/>
              <w:right w:val="single" w:sz="4" w:space="0" w:color="auto"/>
            </w:tcBorders>
            <w:shd w:val="clear" w:color="auto" w:fill="auto"/>
            <w:noWrap/>
            <w:vAlign w:val="center"/>
            <w:hideMark/>
          </w:tcPr>
          <w:p w14:paraId="7F78BE9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Gavarda</w:t>
            </w:r>
          </w:p>
        </w:tc>
        <w:tc>
          <w:tcPr>
            <w:tcW w:w="2760" w:type="dxa"/>
            <w:tcBorders>
              <w:top w:val="nil"/>
              <w:left w:val="nil"/>
              <w:bottom w:val="single" w:sz="4" w:space="0" w:color="auto"/>
              <w:right w:val="single" w:sz="4" w:space="0" w:color="auto"/>
            </w:tcBorders>
            <w:shd w:val="clear" w:color="auto" w:fill="auto"/>
            <w:noWrap/>
            <w:vAlign w:val="center"/>
            <w:hideMark/>
          </w:tcPr>
          <w:p w14:paraId="56345AB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humanos_sueldos cargos electos</w:t>
            </w:r>
          </w:p>
        </w:tc>
        <w:tc>
          <w:tcPr>
            <w:tcW w:w="926" w:type="dxa"/>
            <w:tcBorders>
              <w:top w:val="nil"/>
              <w:left w:val="nil"/>
              <w:bottom w:val="single" w:sz="4" w:space="0" w:color="auto"/>
              <w:right w:val="single" w:sz="4" w:space="0" w:color="auto"/>
            </w:tcBorders>
            <w:shd w:val="clear" w:color="auto" w:fill="auto"/>
            <w:noWrap/>
            <w:vAlign w:val="center"/>
            <w:hideMark/>
          </w:tcPr>
          <w:p w14:paraId="31889FE8"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08/09/2021</w:t>
            </w:r>
          </w:p>
        </w:tc>
        <w:tc>
          <w:tcPr>
            <w:tcW w:w="1559" w:type="dxa"/>
            <w:tcBorders>
              <w:top w:val="nil"/>
              <w:left w:val="nil"/>
              <w:bottom w:val="single" w:sz="4" w:space="0" w:color="auto"/>
              <w:right w:val="single" w:sz="4" w:space="0" w:color="auto"/>
            </w:tcBorders>
            <w:shd w:val="clear" w:color="auto" w:fill="auto"/>
            <w:noWrap/>
            <w:vAlign w:val="center"/>
            <w:hideMark/>
          </w:tcPr>
          <w:p w14:paraId="616B4C1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6C51F84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196.957,30</w:t>
            </w:r>
          </w:p>
        </w:tc>
        <w:tc>
          <w:tcPr>
            <w:tcW w:w="992" w:type="dxa"/>
            <w:tcBorders>
              <w:top w:val="nil"/>
              <w:left w:val="nil"/>
              <w:bottom w:val="single" w:sz="4" w:space="0" w:color="auto"/>
              <w:right w:val="single" w:sz="4" w:space="0" w:color="auto"/>
            </w:tcBorders>
            <w:shd w:val="clear" w:color="auto" w:fill="auto"/>
            <w:noWrap/>
            <w:vAlign w:val="center"/>
            <w:hideMark/>
          </w:tcPr>
          <w:p w14:paraId="1FAE75F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w:t>
            </w:r>
          </w:p>
        </w:tc>
        <w:tc>
          <w:tcPr>
            <w:tcW w:w="1183" w:type="dxa"/>
            <w:tcBorders>
              <w:top w:val="nil"/>
              <w:left w:val="nil"/>
              <w:bottom w:val="single" w:sz="4" w:space="0" w:color="auto"/>
              <w:right w:val="single" w:sz="4" w:space="0" w:color="auto"/>
            </w:tcBorders>
            <w:shd w:val="clear" w:color="auto" w:fill="auto"/>
            <w:vAlign w:val="center"/>
            <w:hideMark/>
          </w:tcPr>
          <w:p w14:paraId="02EF503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31E5AB5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5F39DBAB"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D8CDFDF"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49</w:t>
            </w:r>
          </w:p>
        </w:tc>
        <w:tc>
          <w:tcPr>
            <w:tcW w:w="1495" w:type="dxa"/>
            <w:tcBorders>
              <w:top w:val="nil"/>
              <w:left w:val="nil"/>
              <w:bottom w:val="single" w:sz="4" w:space="0" w:color="auto"/>
              <w:right w:val="single" w:sz="4" w:space="0" w:color="auto"/>
            </w:tcBorders>
            <w:shd w:val="clear" w:color="auto" w:fill="auto"/>
            <w:noWrap/>
            <w:vAlign w:val="center"/>
            <w:hideMark/>
          </w:tcPr>
          <w:p w14:paraId="20755ED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2020/G01_01/000093</w:t>
            </w:r>
          </w:p>
        </w:tc>
        <w:tc>
          <w:tcPr>
            <w:tcW w:w="2532" w:type="dxa"/>
            <w:tcBorders>
              <w:top w:val="nil"/>
              <w:left w:val="nil"/>
              <w:bottom w:val="single" w:sz="4" w:space="0" w:color="auto"/>
              <w:right w:val="single" w:sz="4" w:space="0" w:color="auto"/>
            </w:tcBorders>
            <w:shd w:val="clear" w:color="auto" w:fill="auto"/>
            <w:noWrap/>
            <w:vAlign w:val="center"/>
            <w:hideMark/>
          </w:tcPr>
          <w:p w14:paraId="51C4C05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Aras de Los Olmos</w:t>
            </w:r>
          </w:p>
        </w:tc>
        <w:tc>
          <w:tcPr>
            <w:tcW w:w="2760" w:type="dxa"/>
            <w:tcBorders>
              <w:top w:val="nil"/>
              <w:left w:val="nil"/>
              <w:bottom w:val="single" w:sz="4" w:space="0" w:color="auto"/>
              <w:right w:val="single" w:sz="4" w:space="0" w:color="auto"/>
            </w:tcBorders>
            <w:shd w:val="clear" w:color="auto" w:fill="auto"/>
            <w:noWrap/>
            <w:vAlign w:val="center"/>
            <w:hideMark/>
          </w:tcPr>
          <w:p w14:paraId="0412A53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humanos_provisión</w:t>
            </w:r>
          </w:p>
        </w:tc>
        <w:tc>
          <w:tcPr>
            <w:tcW w:w="926" w:type="dxa"/>
            <w:tcBorders>
              <w:top w:val="nil"/>
              <w:left w:val="nil"/>
              <w:bottom w:val="single" w:sz="4" w:space="0" w:color="auto"/>
              <w:right w:val="single" w:sz="4" w:space="0" w:color="auto"/>
            </w:tcBorders>
            <w:shd w:val="clear" w:color="auto" w:fill="auto"/>
            <w:noWrap/>
            <w:vAlign w:val="center"/>
            <w:hideMark/>
          </w:tcPr>
          <w:p w14:paraId="5A58F4E3"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14/09/2021</w:t>
            </w:r>
          </w:p>
        </w:tc>
        <w:tc>
          <w:tcPr>
            <w:tcW w:w="1559" w:type="dxa"/>
            <w:tcBorders>
              <w:top w:val="nil"/>
              <w:left w:val="nil"/>
              <w:bottom w:val="single" w:sz="4" w:space="0" w:color="auto"/>
              <w:right w:val="single" w:sz="4" w:space="0" w:color="auto"/>
            </w:tcBorders>
            <w:shd w:val="clear" w:color="auto" w:fill="auto"/>
            <w:noWrap/>
            <w:vAlign w:val="center"/>
            <w:hideMark/>
          </w:tcPr>
          <w:p w14:paraId="21B7945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1AC37CD8"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89921C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5B137F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7ABDD24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609ED053"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9AD0729"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50</w:t>
            </w:r>
          </w:p>
        </w:tc>
        <w:tc>
          <w:tcPr>
            <w:tcW w:w="1495" w:type="dxa"/>
            <w:tcBorders>
              <w:top w:val="nil"/>
              <w:left w:val="nil"/>
              <w:bottom w:val="single" w:sz="4" w:space="0" w:color="auto"/>
              <w:right w:val="single" w:sz="4" w:space="0" w:color="auto"/>
            </w:tcBorders>
            <w:shd w:val="clear" w:color="auto" w:fill="auto"/>
            <w:noWrap/>
            <w:vAlign w:val="center"/>
            <w:hideMark/>
          </w:tcPr>
          <w:p w14:paraId="0DF89A2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2020/G01_01/000314</w:t>
            </w:r>
          </w:p>
        </w:tc>
        <w:tc>
          <w:tcPr>
            <w:tcW w:w="2532" w:type="dxa"/>
            <w:tcBorders>
              <w:top w:val="nil"/>
              <w:left w:val="nil"/>
              <w:bottom w:val="single" w:sz="4" w:space="0" w:color="auto"/>
              <w:right w:val="single" w:sz="4" w:space="0" w:color="auto"/>
            </w:tcBorders>
            <w:shd w:val="clear" w:color="auto" w:fill="auto"/>
            <w:noWrap/>
            <w:vAlign w:val="center"/>
            <w:hideMark/>
          </w:tcPr>
          <w:p w14:paraId="153E46A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Castelló de Rugat</w:t>
            </w:r>
          </w:p>
        </w:tc>
        <w:tc>
          <w:tcPr>
            <w:tcW w:w="2760" w:type="dxa"/>
            <w:tcBorders>
              <w:top w:val="nil"/>
              <w:left w:val="nil"/>
              <w:bottom w:val="single" w:sz="4" w:space="0" w:color="auto"/>
              <w:right w:val="single" w:sz="4" w:space="0" w:color="auto"/>
            </w:tcBorders>
            <w:shd w:val="clear" w:color="auto" w:fill="auto"/>
            <w:noWrap/>
            <w:vAlign w:val="center"/>
            <w:hideMark/>
          </w:tcPr>
          <w:p w14:paraId="1129138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Contratación_fraccionamiento</w:t>
            </w:r>
          </w:p>
        </w:tc>
        <w:tc>
          <w:tcPr>
            <w:tcW w:w="926" w:type="dxa"/>
            <w:tcBorders>
              <w:top w:val="nil"/>
              <w:left w:val="nil"/>
              <w:bottom w:val="single" w:sz="4" w:space="0" w:color="auto"/>
              <w:right w:val="single" w:sz="4" w:space="0" w:color="auto"/>
            </w:tcBorders>
            <w:shd w:val="clear" w:color="auto" w:fill="auto"/>
            <w:noWrap/>
            <w:vAlign w:val="center"/>
            <w:hideMark/>
          </w:tcPr>
          <w:p w14:paraId="6FDF68A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14/09/2021</w:t>
            </w:r>
          </w:p>
        </w:tc>
        <w:tc>
          <w:tcPr>
            <w:tcW w:w="1559" w:type="dxa"/>
            <w:tcBorders>
              <w:top w:val="nil"/>
              <w:left w:val="nil"/>
              <w:bottom w:val="single" w:sz="4" w:space="0" w:color="auto"/>
              <w:right w:val="single" w:sz="4" w:space="0" w:color="auto"/>
            </w:tcBorders>
            <w:shd w:val="clear" w:color="auto" w:fill="auto"/>
            <w:noWrap/>
            <w:vAlign w:val="center"/>
            <w:hideMark/>
          </w:tcPr>
          <w:p w14:paraId="68BFA2F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1ADCC4B7"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2735D2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ECA3FC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6FFD39C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06B5BE2F"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7AAE72E"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51</w:t>
            </w:r>
          </w:p>
        </w:tc>
        <w:tc>
          <w:tcPr>
            <w:tcW w:w="1495" w:type="dxa"/>
            <w:tcBorders>
              <w:top w:val="nil"/>
              <w:left w:val="nil"/>
              <w:bottom w:val="single" w:sz="4" w:space="0" w:color="auto"/>
              <w:right w:val="single" w:sz="4" w:space="0" w:color="auto"/>
            </w:tcBorders>
            <w:shd w:val="clear" w:color="auto" w:fill="auto"/>
            <w:noWrap/>
            <w:vAlign w:val="center"/>
            <w:hideMark/>
          </w:tcPr>
          <w:p w14:paraId="0273A03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2020/G01_01/000238</w:t>
            </w:r>
          </w:p>
        </w:tc>
        <w:tc>
          <w:tcPr>
            <w:tcW w:w="2532" w:type="dxa"/>
            <w:tcBorders>
              <w:top w:val="nil"/>
              <w:left w:val="nil"/>
              <w:bottom w:val="single" w:sz="4" w:space="0" w:color="auto"/>
              <w:right w:val="single" w:sz="4" w:space="0" w:color="auto"/>
            </w:tcBorders>
            <w:shd w:val="clear" w:color="auto" w:fill="auto"/>
            <w:noWrap/>
            <w:vAlign w:val="center"/>
            <w:hideMark/>
          </w:tcPr>
          <w:p w14:paraId="28D5081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IVAM</w:t>
            </w:r>
          </w:p>
        </w:tc>
        <w:tc>
          <w:tcPr>
            <w:tcW w:w="2760" w:type="dxa"/>
            <w:tcBorders>
              <w:top w:val="nil"/>
              <w:left w:val="nil"/>
              <w:bottom w:val="single" w:sz="4" w:space="0" w:color="auto"/>
              <w:right w:val="single" w:sz="4" w:space="0" w:color="auto"/>
            </w:tcBorders>
            <w:shd w:val="clear" w:color="auto" w:fill="auto"/>
            <w:noWrap/>
            <w:vAlign w:val="center"/>
            <w:hideMark/>
          </w:tcPr>
          <w:p w14:paraId="0FA3114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humanos_selección</w:t>
            </w:r>
          </w:p>
        </w:tc>
        <w:tc>
          <w:tcPr>
            <w:tcW w:w="926" w:type="dxa"/>
            <w:tcBorders>
              <w:top w:val="nil"/>
              <w:left w:val="nil"/>
              <w:bottom w:val="single" w:sz="4" w:space="0" w:color="auto"/>
              <w:right w:val="single" w:sz="4" w:space="0" w:color="auto"/>
            </w:tcBorders>
            <w:shd w:val="clear" w:color="auto" w:fill="auto"/>
            <w:noWrap/>
            <w:vAlign w:val="center"/>
            <w:hideMark/>
          </w:tcPr>
          <w:p w14:paraId="7DD9A10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01/10/2021</w:t>
            </w:r>
          </w:p>
        </w:tc>
        <w:tc>
          <w:tcPr>
            <w:tcW w:w="1559" w:type="dxa"/>
            <w:tcBorders>
              <w:top w:val="nil"/>
              <w:left w:val="nil"/>
              <w:bottom w:val="single" w:sz="4" w:space="0" w:color="auto"/>
              <w:right w:val="single" w:sz="4" w:space="0" w:color="auto"/>
            </w:tcBorders>
            <w:shd w:val="clear" w:color="auto" w:fill="auto"/>
            <w:noWrap/>
            <w:vAlign w:val="center"/>
            <w:hideMark/>
          </w:tcPr>
          <w:p w14:paraId="2102C4F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024BC9BF"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08761D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54C0D9C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056ECCD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4390E504"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54DD5A3"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52</w:t>
            </w:r>
          </w:p>
        </w:tc>
        <w:tc>
          <w:tcPr>
            <w:tcW w:w="1495" w:type="dxa"/>
            <w:tcBorders>
              <w:top w:val="nil"/>
              <w:left w:val="nil"/>
              <w:bottom w:val="single" w:sz="4" w:space="0" w:color="auto"/>
              <w:right w:val="single" w:sz="4" w:space="0" w:color="auto"/>
            </w:tcBorders>
            <w:shd w:val="clear" w:color="auto" w:fill="auto"/>
            <w:noWrap/>
            <w:vAlign w:val="center"/>
            <w:hideMark/>
          </w:tcPr>
          <w:p w14:paraId="1609896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2021/G01_02/000022</w:t>
            </w:r>
          </w:p>
        </w:tc>
        <w:tc>
          <w:tcPr>
            <w:tcW w:w="2532" w:type="dxa"/>
            <w:tcBorders>
              <w:top w:val="nil"/>
              <w:left w:val="nil"/>
              <w:bottom w:val="single" w:sz="4" w:space="0" w:color="auto"/>
              <w:right w:val="single" w:sz="4" w:space="0" w:color="auto"/>
            </w:tcBorders>
            <w:shd w:val="clear" w:color="auto" w:fill="auto"/>
            <w:noWrap/>
            <w:vAlign w:val="center"/>
            <w:hideMark/>
          </w:tcPr>
          <w:p w14:paraId="06E947A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Turís</w:t>
            </w:r>
          </w:p>
        </w:tc>
        <w:tc>
          <w:tcPr>
            <w:tcW w:w="2760" w:type="dxa"/>
            <w:tcBorders>
              <w:top w:val="nil"/>
              <w:left w:val="nil"/>
              <w:bottom w:val="single" w:sz="4" w:space="0" w:color="auto"/>
              <w:right w:val="single" w:sz="4" w:space="0" w:color="auto"/>
            </w:tcBorders>
            <w:shd w:val="clear" w:color="auto" w:fill="auto"/>
            <w:noWrap/>
            <w:vAlign w:val="center"/>
            <w:hideMark/>
          </w:tcPr>
          <w:p w14:paraId="3E6EA89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humanos_provisión</w:t>
            </w:r>
          </w:p>
        </w:tc>
        <w:tc>
          <w:tcPr>
            <w:tcW w:w="926" w:type="dxa"/>
            <w:tcBorders>
              <w:top w:val="nil"/>
              <w:left w:val="nil"/>
              <w:bottom w:val="single" w:sz="4" w:space="0" w:color="auto"/>
              <w:right w:val="single" w:sz="4" w:space="0" w:color="auto"/>
            </w:tcBorders>
            <w:shd w:val="clear" w:color="auto" w:fill="auto"/>
            <w:noWrap/>
            <w:vAlign w:val="center"/>
            <w:hideMark/>
          </w:tcPr>
          <w:p w14:paraId="364650F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06/10/2021</w:t>
            </w:r>
          </w:p>
        </w:tc>
        <w:tc>
          <w:tcPr>
            <w:tcW w:w="1559" w:type="dxa"/>
            <w:tcBorders>
              <w:top w:val="nil"/>
              <w:left w:val="nil"/>
              <w:bottom w:val="single" w:sz="4" w:space="0" w:color="auto"/>
              <w:right w:val="single" w:sz="4" w:space="0" w:color="auto"/>
            </w:tcBorders>
            <w:shd w:val="clear" w:color="auto" w:fill="auto"/>
            <w:noWrap/>
            <w:vAlign w:val="center"/>
            <w:hideMark/>
          </w:tcPr>
          <w:p w14:paraId="429C0E3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77D9ED3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E6ED270"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7C8C030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225C21F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0E0FACAA"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8AE98D4"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53</w:t>
            </w:r>
          </w:p>
        </w:tc>
        <w:tc>
          <w:tcPr>
            <w:tcW w:w="1495" w:type="dxa"/>
            <w:tcBorders>
              <w:top w:val="nil"/>
              <w:left w:val="nil"/>
              <w:bottom w:val="single" w:sz="4" w:space="0" w:color="auto"/>
              <w:right w:val="single" w:sz="4" w:space="0" w:color="auto"/>
            </w:tcBorders>
            <w:shd w:val="clear" w:color="auto" w:fill="auto"/>
            <w:noWrap/>
            <w:vAlign w:val="center"/>
            <w:hideMark/>
          </w:tcPr>
          <w:p w14:paraId="4D29D6B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2020/G01_01/000305</w:t>
            </w:r>
          </w:p>
        </w:tc>
        <w:tc>
          <w:tcPr>
            <w:tcW w:w="2532" w:type="dxa"/>
            <w:tcBorders>
              <w:top w:val="nil"/>
              <w:left w:val="nil"/>
              <w:bottom w:val="single" w:sz="4" w:space="0" w:color="auto"/>
              <w:right w:val="single" w:sz="4" w:space="0" w:color="auto"/>
            </w:tcBorders>
            <w:shd w:val="clear" w:color="auto" w:fill="auto"/>
            <w:noWrap/>
            <w:vAlign w:val="center"/>
            <w:hideMark/>
          </w:tcPr>
          <w:p w14:paraId="591EA17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Orba</w:t>
            </w:r>
          </w:p>
        </w:tc>
        <w:tc>
          <w:tcPr>
            <w:tcW w:w="2760" w:type="dxa"/>
            <w:tcBorders>
              <w:top w:val="nil"/>
              <w:left w:val="nil"/>
              <w:bottom w:val="single" w:sz="4" w:space="0" w:color="auto"/>
              <w:right w:val="single" w:sz="4" w:space="0" w:color="auto"/>
            </w:tcBorders>
            <w:shd w:val="clear" w:color="auto" w:fill="auto"/>
            <w:noWrap/>
            <w:vAlign w:val="center"/>
            <w:hideMark/>
          </w:tcPr>
          <w:p w14:paraId="07261A0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Contratación_fraccionamiento</w:t>
            </w:r>
          </w:p>
        </w:tc>
        <w:tc>
          <w:tcPr>
            <w:tcW w:w="926" w:type="dxa"/>
            <w:tcBorders>
              <w:top w:val="nil"/>
              <w:left w:val="nil"/>
              <w:bottom w:val="single" w:sz="4" w:space="0" w:color="auto"/>
              <w:right w:val="single" w:sz="4" w:space="0" w:color="auto"/>
            </w:tcBorders>
            <w:shd w:val="clear" w:color="auto" w:fill="auto"/>
            <w:noWrap/>
            <w:vAlign w:val="center"/>
            <w:hideMark/>
          </w:tcPr>
          <w:p w14:paraId="5BC1E578"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14/10/2021</w:t>
            </w:r>
          </w:p>
        </w:tc>
        <w:tc>
          <w:tcPr>
            <w:tcW w:w="1559" w:type="dxa"/>
            <w:tcBorders>
              <w:top w:val="nil"/>
              <w:left w:val="nil"/>
              <w:bottom w:val="single" w:sz="4" w:space="0" w:color="auto"/>
              <w:right w:val="single" w:sz="4" w:space="0" w:color="auto"/>
            </w:tcBorders>
            <w:shd w:val="clear" w:color="auto" w:fill="auto"/>
            <w:noWrap/>
            <w:vAlign w:val="center"/>
            <w:hideMark/>
          </w:tcPr>
          <w:p w14:paraId="388D25C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19EE2BF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118735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20D088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490CE08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Aceptadas recomendaciones</w:t>
            </w:r>
          </w:p>
        </w:tc>
      </w:tr>
      <w:tr w:rsidR="00DD5D78" w:rsidRPr="00DD5D78" w14:paraId="7404D3CB"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000000" w:fill="FFFFFF"/>
            <w:noWrap/>
            <w:vAlign w:val="center"/>
            <w:hideMark/>
          </w:tcPr>
          <w:p w14:paraId="0A5FB0A8"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54</w:t>
            </w:r>
          </w:p>
        </w:tc>
        <w:tc>
          <w:tcPr>
            <w:tcW w:w="1495" w:type="dxa"/>
            <w:tcBorders>
              <w:top w:val="nil"/>
              <w:left w:val="nil"/>
              <w:bottom w:val="single" w:sz="4" w:space="0" w:color="auto"/>
              <w:right w:val="single" w:sz="4" w:space="0" w:color="auto"/>
            </w:tcBorders>
            <w:shd w:val="clear" w:color="auto" w:fill="auto"/>
            <w:noWrap/>
            <w:vAlign w:val="center"/>
            <w:hideMark/>
          </w:tcPr>
          <w:p w14:paraId="1408C7A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2020/G01_01/000370</w:t>
            </w:r>
          </w:p>
        </w:tc>
        <w:tc>
          <w:tcPr>
            <w:tcW w:w="2532" w:type="dxa"/>
            <w:tcBorders>
              <w:top w:val="nil"/>
              <w:left w:val="nil"/>
              <w:bottom w:val="single" w:sz="4" w:space="0" w:color="auto"/>
              <w:right w:val="single" w:sz="4" w:space="0" w:color="auto"/>
            </w:tcBorders>
            <w:shd w:val="clear" w:color="auto" w:fill="auto"/>
            <w:noWrap/>
            <w:vAlign w:val="center"/>
            <w:hideMark/>
          </w:tcPr>
          <w:p w14:paraId="2FE0AC2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Sueca</w:t>
            </w:r>
          </w:p>
        </w:tc>
        <w:tc>
          <w:tcPr>
            <w:tcW w:w="2760" w:type="dxa"/>
            <w:tcBorders>
              <w:top w:val="nil"/>
              <w:left w:val="nil"/>
              <w:bottom w:val="single" w:sz="4" w:space="0" w:color="auto"/>
              <w:right w:val="single" w:sz="4" w:space="0" w:color="auto"/>
            </w:tcBorders>
            <w:shd w:val="clear" w:color="auto" w:fill="auto"/>
            <w:noWrap/>
            <w:vAlign w:val="center"/>
            <w:hideMark/>
          </w:tcPr>
          <w:p w14:paraId="59396DD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Contratación_fraccionamiento</w:t>
            </w:r>
          </w:p>
        </w:tc>
        <w:tc>
          <w:tcPr>
            <w:tcW w:w="926" w:type="dxa"/>
            <w:tcBorders>
              <w:top w:val="nil"/>
              <w:left w:val="nil"/>
              <w:bottom w:val="single" w:sz="4" w:space="0" w:color="auto"/>
              <w:right w:val="single" w:sz="4" w:space="0" w:color="auto"/>
            </w:tcBorders>
            <w:shd w:val="clear" w:color="auto" w:fill="auto"/>
            <w:noWrap/>
            <w:vAlign w:val="center"/>
            <w:hideMark/>
          </w:tcPr>
          <w:p w14:paraId="0B37E637"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18/10/2021</w:t>
            </w:r>
          </w:p>
        </w:tc>
        <w:tc>
          <w:tcPr>
            <w:tcW w:w="1559" w:type="dxa"/>
            <w:tcBorders>
              <w:top w:val="nil"/>
              <w:left w:val="nil"/>
              <w:bottom w:val="single" w:sz="4" w:space="0" w:color="auto"/>
              <w:right w:val="single" w:sz="4" w:space="0" w:color="auto"/>
            </w:tcBorders>
            <w:shd w:val="clear" w:color="auto" w:fill="auto"/>
            <w:noWrap/>
            <w:vAlign w:val="center"/>
            <w:hideMark/>
          </w:tcPr>
          <w:p w14:paraId="7A87914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3DDD9E6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A1272B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0C7B12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Modificación BEP e instrucción interna</w:t>
            </w:r>
          </w:p>
        </w:tc>
        <w:tc>
          <w:tcPr>
            <w:tcW w:w="1246" w:type="dxa"/>
            <w:tcBorders>
              <w:top w:val="nil"/>
              <w:left w:val="nil"/>
              <w:bottom w:val="single" w:sz="4" w:space="0" w:color="auto"/>
              <w:right w:val="single" w:sz="4" w:space="0" w:color="auto"/>
            </w:tcBorders>
            <w:shd w:val="clear" w:color="auto" w:fill="auto"/>
            <w:vAlign w:val="center"/>
            <w:hideMark/>
          </w:tcPr>
          <w:p w14:paraId="77E3AA2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57AD348C"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83E035C"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55</w:t>
            </w:r>
          </w:p>
        </w:tc>
        <w:tc>
          <w:tcPr>
            <w:tcW w:w="1495" w:type="dxa"/>
            <w:tcBorders>
              <w:top w:val="nil"/>
              <w:left w:val="nil"/>
              <w:bottom w:val="single" w:sz="4" w:space="0" w:color="auto"/>
              <w:right w:val="single" w:sz="4" w:space="0" w:color="auto"/>
            </w:tcBorders>
            <w:shd w:val="clear" w:color="auto" w:fill="auto"/>
            <w:noWrap/>
            <w:vAlign w:val="center"/>
            <w:hideMark/>
          </w:tcPr>
          <w:p w14:paraId="7E13E0E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2020/G01_01/000187</w:t>
            </w:r>
          </w:p>
        </w:tc>
        <w:tc>
          <w:tcPr>
            <w:tcW w:w="2532" w:type="dxa"/>
            <w:tcBorders>
              <w:top w:val="nil"/>
              <w:left w:val="nil"/>
              <w:bottom w:val="single" w:sz="4" w:space="0" w:color="auto"/>
              <w:right w:val="single" w:sz="4" w:space="0" w:color="auto"/>
            </w:tcBorders>
            <w:shd w:val="clear" w:color="auto" w:fill="auto"/>
            <w:noWrap/>
            <w:vAlign w:val="center"/>
            <w:hideMark/>
          </w:tcPr>
          <w:p w14:paraId="5BA8AB5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Consorcio de Museos de la CV</w:t>
            </w:r>
          </w:p>
        </w:tc>
        <w:tc>
          <w:tcPr>
            <w:tcW w:w="2760" w:type="dxa"/>
            <w:tcBorders>
              <w:top w:val="nil"/>
              <w:left w:val="nil"/>
              <w:bottom w:val="single" w:sz="4" w:space="0" w:color="auto"/>
              <w:right w:val="single" w:sz="4" w:space="0" w:color="auto"/>
            </w:tcBorders>
            <w:shd w:val="clear" w:color="auto" w:fill="auto"/>
            <w:noWrap/>
            <w:vAlign w:val="center"/>
            <w:hideMark/>
          </w:tcPr>
          <w:p w14:paraId="70C2920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Contratación_Recursos_humanos</w:t>
            </w:r>
          </w:p>
        </w:tc>
        <w:tc>
          <w:tcPr>
            <w:tcW w:w="926" w:type="dxa"/>
            <w:tcBorders>
              <w:top w:val="nil"/>
              <w:left w:val="nil"/>
              <w:bottom w:val="single" w:sz="4" w:space="0" w:color="auto"/>
              <w:right w:val="single" w:sz="4" w:space="0" w:color="auto"/>
            </w:tcBorders>
            <w:shd w:val="clear" w:color="auto" w:fill="auto"/>
            <w:noWrap/>
            <w:vAlign w:val="center"/>
            <w:hideMark/>
          </w:tcPr>
          <w:p w14:paraId="7368294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20/10/2021</w:t>
            </w:r>
          </w:p>
        </w:tc>
        <w:tc>
          <w:tcPr>
            <w:tcW w:w="1559" w:type="dxa"/>
            <w:tcBorders>
              <w:top w:val="nil"/>
              <w:left w:val="nil"/>
              <w:bottom w:val="single" w:sz="4" w:space="0" w:color="auto"/>
              <w:right w:val="single" w:sz="4" w:space="0" w:color="auto"/>
            </w:tcBorders>
            <w:shd w:val="clear" w:color="auto" w:fill="auto"/>
            <w:noWrap/>
            <w:vAlign w:val="center"/>
            <w:hideMark/>
          </w:tcPr>
          <w:p w14:paraId="7E05290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27045C25"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D4FC67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87E9B7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1C1E764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3A9BBCAD"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AC5D120"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56</w:t>
            </w:r>
          </w:p>
        </w:tc>
        <w:tc>
          <w:tcPr>
            <w:tcW w:w="1495" w:type="dxa"/>
            <w:tcBorders>
              <w:top w:val="nil"/>
              <w:left w:val="nil"/>
              <w:bottom w:val="single" w:sz="4" w:space="0" w:color="auto"/>
              <w:right w:val="single" w:sz="4" w:space="0" w:color="auto"/>
            </w:tcBorders>
            <w:shd w:val="clear" w:color="auto" w:fill="auto"/>
            <w:noWrap/>
            <w:vAlign w:val="center"/>
            <w:hideMark/>
          </w:tcPr>
          <w:p w14:paraId="01F4928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2020/G01_01/000113</w:t>
            </w:r>
          </w:p>
        </w:tc>
        <w:tc>
          <w:tcPr>
            <w:tcW w:w="2532" w:type="dxa"/>
            <w:tcBorders>
              <w:top w:val="nil"/>
              <w:left w:val="nil"/>
              <w:bottom w:val="single" w:sz="4" w:space="0" w:color="auto"/>
              <w:right w:val="single" w:sz="4" w:space="0" w:color="auto"/>
            </w:tcBorders>
            <w:shd w:val="clear" w:color="auto" w:fill="auto"/>
            <w:noWrap/>
            <w:vAlign w:val="center"/>
            <w:hideMark/>
          </w:tcPr>
          <w:p w14:paraId="1EA690C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Universidad de Alicante_empresa dependiente</w:t>
            </w:r>
          </w:p>
        </w:tc>
        <w:tc>
          <w:tcPr>
            <w:tcW w:w="2760" w:type="dxa"/>
            <w:tcBorders>
              <w:top w:val="nil"/>
              <w:left w:val="nil"/>
              <w:bottom w:val="single" w:sz="4" w:space="0" w:color="auto"/>
              <w:right w:val="single" w:sz="4" w:space="0" w:color="auto"/>
            </w:tcBorders>
            <w:shd w:val="clear" w:color="auto" w:fill="auto"/>
            <w:noWrap/>
            <w:vAlign w:val="center"/>
            <w:hideMark/>
          </w:tcPr>
          <w:p w14:paraId="770CD13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humanos_selección</w:t>
            </w:r>
          </w:p>
        </w:tc>
        <w:tc>
          <w:tcPr>
            <w:tcW w:w="926" w:type="dxa"/>
            <w:tcBorders>
              <w:top w:val="nil"/>
              <w:left w:val="nil"/>
              <w:bottom w:val="single" w:sz="4" w:space="0" w:color="auto"/>
              <w:right w:val="single" w:sz="4" w:space="0" w:color="auto"/>
            </w:tcBorders>
            <w:shd w:val="clear" w:color="auto" w:fill="auto"/>
            <w:noWrap/>
            <w:vAlign w:val="center"/>
            <w:hideMark/>
          </w:tcPr>
          <w:p w14:paraId="41C2772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21/10/2021</w:t>
            </w:r>
          </w:p>
        </w:tc>
        <w:tc>
          <w:tcPr>
            <w:tcW w:w="1559" w:type="dxa"/>
            <w:tcBorders>
              <w:top w:val="nil"/>
              <w:left w:val="nil"/>
              <w:bottom w:val="single" w:sz="4" w:space="0" w:color="auto"/>
              <w:right w:val="single" w:sz="4" w:space="0" w:color="auto"/>
            </w:tcBorders>
            <w:shd w:val="clear" w:color="auto" w:fill="auto"/>
            <w:noWrap/>
            <w:vAlign w:val="center"/>
            <w:hideMark/>
          </w:tcPr>
          <w:p w14:paraId="5C61128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Archivo</w:t>
            </w:r>
          </w:p>
        </w:tc>
        <w:tc>
          <w:tcPr>
            <w:tcW w:w="1134" w:type="dxa"/>
            <w:tcBorders>
              <w:top w:val="nil"/>
              <w:left w:val="nil"/>
              <w:bottom w:val="single" w:sz="4" w:space="0" w:color="auto"/>
              <w:right w:val="single" w:sz="4" w:space="0" w:color="auto"/>
            </w:tcBorders>
            <w:shd w:val="clear" w:color="auto" w:fill="auto"/>
            <w:noWrap/>
            <w:vAlign w:val="center"/>
            <w:hideMark/>
          </w:tcPr>
          <w:p w14:paraId="1310308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F21F445"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04A4DD6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43CD6B5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procede seguimiento</w:t>
            </w:r>
          </w:p>
        </w:tc>
      </w:tr>
      <w:tr w:rsidR="00DD5D78" w:rsidRPr="00DD5D78" w14:paraId="46F43B52"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3A20B0C"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57</w:t>
            </w:r>
          </w:p>
        </w:tc>
        <w:tc>
          <w:tcPr>
            <w:tcW w:w="1495" w:type="dxa"/>
            <w:tcBorders>
              <w:top w:val="nil"/>
              <w:left w:val="nil"/>
              <w:bottom w:val="single" w:sz="4" w:space="0" w:color="auto"/>
              <w:right w:val="single" w:sz="4" w:space="0" w:color="auto"/>
            </w:tcBorders>
            <w:shd w:val="clear" w:color="auto" w:fill="auto"/>
            <w:noWrap/>
            <w:vAlign w:val="center"/>
            <w:hideMark/>
          </w:tcPr>
          <w:p w14:paraId="7A8E88C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2020/G01_02/000035</w:t>
            </w:r>
          </w:p>
        </w:tc>
        <w:tc>
          <w:tcPr>
            <w:tcW w:w="2532" w:type="dxa"/>
            <w:tcBorders>
              <w:top w:val="nil"/>
              <w:left w:val="nil"/>
              <w:bottom w:val="single" w:sz="4" w:space="0" w:color="auto"/>
              <w:right w:val="single" w:sz="4" w:space="0" w:color="auto"/>
            </w:tcBorders>
            <w:shd w:val="clear" w:color="auto" w:fill="auto"/>
            <w:noWrap/>
            <w:vAlign w:val="center"/>
            <w:hideMark/>
          </w:tcPr>
          <w:p w14:paraId="4922F83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Pedralba</w:t>
            </w:r>
          </w:p>
        </w:tc>
        <w:tc>
          <w:tcPr>
            <w:tcW w:w="2760" w:type="dxa"/>
            <w:tcBorders>
              <w:top w:val="nil"/>
              <w:left w:val="nil"/>
              <w:bottom w:val="single" w:sz="4" w:space="0" w:color="auto"/>
              <w:right w:val="single" w:sz="4" w:space="0" w:color="auto"/>
            </w:tcBorders>
            <w:shd w:val="clear" w:color="auto" w:fill="auto"/>
            <w:noWrap/>
            <w:vAlign w:val="center"/>
            <w:hideMark/>
          </w:tcPr>
          <w:p w14:paraId="5D99246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Contratación_Recursos_humanos</w:t>
            </w:r>
          </w:p>
        </w:tc>
        <w:tc>
          <w:tcPr>
            <w:tcW w:w="926" w:type="dxa"/>
            <w:tcBorders>
              <w:top w:val="nil"/>
              <w:left w:val="nil"/>
              <w:bottom w:val="single" w:sz="4" w:space="0" w:color="auto"/>
              <w:right w:val="single" w:sz="4" w:space="0" w:color="auto"/>
            </w:tcBorders>
            <w:shd w:val="clear" w:color="auto" w:fill="auto"/>
            <w:noWrap/>
            <w:vAlign w:val="center"/>
            <w:hideMark/>
          </w:tcPr>
          <w:p w14:paraId="5717709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26/10/2021</w:t>
            </w:r>
          </w:p>
        </w:tc>
        <w:tc>
          <w:tcPr>
            <w:tcW w:w="1559" w:type="dxa"/>
            <w:tcBorders>
              <w:top w:val="nil"/>
              <w:left w:val="nil"/>
              <w:bottom w:val="single" w:sz="4" w:space="0" w:color="auto"/>
              <w:right w:val="single" w:sz="4" w:space="0" w:color="auto"/>
            </w:tcBorders>
            <w:shd w:val="clear" w:color="auto" w:fill="auto"/>
            <w:noWrap/>
            <w:vAlign w:val="center"/>
            <w:hideMark/>
          </w:tcPr>
          <w:p w14:paraId="3948436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244D9BE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41.609,74</w:t>
            </w:r>
          </w:p>
        </w:tc>
        <w:tc>
          <w:tcPr>
            <w:tcW w:w="992" w:type="dxa"/>
            <w:tcBorders>
              <w:top w:val="nil"/>
              <w:left w:val="nil"/>
              <w:bottom w:val="single" w:sz="4" w:space="0" w:color="auto"/>
              <w:right w:val="single" w:sz="4" w:space="0" w:color="auto"/>
            </w:tcBorders>
            <w:shd w:val="clear" w:color="auto" w:fill="auto"/>
            <w:noWrap/>
            <w:vAlign w:val="center"/>
            <w:hideMark/>
          </w:tcPr>
          <w:p w14:paraId="5061F70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w:t>
            </w:r>
          </w:p>
        </w:tc>
        <w:tc>
          <w:tcPr>
            <w:tcW w:w="1183" w:type="dxa"/>
            <w:tcBorders>
              <w:top w:val="nil"/>
              <w:left w:val="nil"/>
              <w:bottom w:val="single" w:sz="4" w:space="0" w:color="auto"/>
              <w:right w:val="single" w:sz="4" w:space="0" w:color="auto"/>
            </w:tcBorders>
            <w:shd w:val="clear" w:color="auto" w:fill="auto"/>
            <w:vAlign w:val="center"/>
            <w:hideMark/>
          </w:tcPr>
          <w:p w14:paraId="594FB8A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Planificación contratación</w:t>
            </w:r>
          </w:p>
        </w:tc>
        <w:tc>
          <w:tcPr>
            <w:tcW w:w="1246" w:type="dxa"/>
            <w:tcBorders>
              <w:top w:val="nil"/>
              <w:left w:val="nil"/>
              <w:bottom w:val="single" w:sz="4" w:space="0" w:color="auto"/>
              <w:right w:val="single" w:sz="4" w:space="0" w:color="auto"/>
            </w:tcBorders>
            <w:shd w:val="clear" w:color="auto" w:fill="auto"/>
            <w:vAlign w:val="center"/>
            <w:hideMark/>
          </w:tcPr>
          <w:p w14:paraId="626B3C4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12FAF22B"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2294963A"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58</w:t>
            </w:r>
          </w:p>
        </w:tc>
        <w:tc>
          <w:tcPr>
            <w:tcW w:w="1495" w:type="dxa"/>
            <w:tcBorders>
              <w:top w:val="nil"/>
              <w:left w:val="nil"/>
              <w:bottom w:val="single" w:sz="4" w:space="0" w:color="auto"/>
              <w:right w:val="single" w:sz="4" w:space="0" w:color="auto"/>
            </w:tcBorders>
            <w:shd w:val="clear" w:color="auto" w:fill="auto"/>
            <w:noWrap/>
            <w:vAlign w:val="center"/>
            <w:hideMark/>
          </w:tcPr>
          <w:p w14:paraId="3953F5F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2021/G01_02/000021</w:t>
            </w:r>
          </w:p>
        </w:tc>
        <w:tc>
          <w:tcPr>
            <w:tcW w:w="2532" w:type="dxa"/>
            <w:tcBorders>
              <w:top w:val="nil"/>
              <w:left w:val="nil"/>
              <w:bottom w:val="single" w:sz="4" w:space="0" w:color="auto"/>
              <w:right w:val="single" w:sz="4" w:space="0" w:color="auto"/>
            </w:tcBorders>
            <w:shd w:val="clear" w:color="auto" w:fill="auto"/>
            <w:noWrap/>
            <w:vAlign w:val="center"/>
            <w:hideMark/>
          </w:tcPr>
          <w:p w14:paraId="650F650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Canet d'en Berenguer</w:t>
            </w:r>
          </w:p>
        </w:tc>
        <w:tc>
          <w:tcPr>
            <w:tcW w:w="2760" w:type="dxa"/>
            <w:tcBorders>
              <w:top w:val="nil"/>
              <w:left w:val="nil"/>
              <w:bottom w:val="single" w:sz="4" w:space="0" w:color="auto"/>
              <w:right w:val="single" w:sz="4" w:space="0" w:color="auto"/>
            </w:tcBorders>
            <w:shd w:val="clear" w:color="auto" w:fill="auto"/>
            <w:noWrap/>
            <w:vAlign w:val="center"/>
            <w:hideMark/>
          </w:tcPr>
          <w:p w14:paraId="1AA3EA7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Contratación_fraccionamiento</w:t>
            </w:r>
          </w:p>
        </w:tc>
        <w:tc>
          <w:tcPr>
            <w:tcW w:w="926" w:type="dxa"/>
            <w:tcBorders>
              <w:top w:val="nil"/>
              <w:left w:val="nil"/>
              <w:bottom w:val="single" w:sz="4" w:space="0" w:color="auto"/>
              <w:right w:val="single" w:sz="4" w:space="0" w:color="auto"/>
            </w:tcBorders>
            <w:shd w:val="clear" w:color="auto" w:fill="auto"/>
            <w:noWrap/>
            <w:vAlign w:val="center"/>
            <w:hideMark/>
          </w:tcPr>
          <w:p w14:paraId="1D672CD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17/11/2021</w:t>
            </w:r>
          </w:p>
        </w:tc>
        <w:tc>
          <w:tcPr>
            <w:tcW w:w="1559" w:type="dxa"/>
            <w:tcBorders>
              <w:top w:val="nil"/>
              <w:left w:val="nil"/>
              <w:bottom w:val="single" w:sz="4" w:space="0" w:color="auto"/>
              <w:right w:val="single" w:sz="4" w:space="0" w:color="auto"/>
            </w:tcBorders>
            <w:shd w:val="clear" w:color="auto" w:fill="auto"/>
            <w:noWrap/>
            <w:vAlign w:val="center"/>
            <w:hideMark/>
          </w:tcPr>
          <w:p w14:paraId="1A307B9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5101316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35D04FEC"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1396E9F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Instrucciones internas</w:t>
            </w:r>
          </w:p>
        </w:tc>
        <w:tc>
          <w:tcPr>
            <w:tcW w:w="1246" w:type="dxa"/>
            <w:tcBorders>
              <w:top w:val="nil"/>
              <w:left w:val="nil"/>
              <w:bottom w:val="single" w:sz="4" w:space="0" w:color="auto"/>
              <w:right w:val="single" w:sz="4" w:space="0" w:color="auto"/>
            </w:tcBorders>
            <w:shd w:val="clear" w:color="auto" w:fill="auto"/>
            <w:vAlign w:val="center"/>
            <w:hideMark/>
          </w:tcPr>
          <w:p w14:paraId="1F9ADC1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7582D7ED"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02926D9"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59</w:t>
            </w:r>
          </w:p>
        </w:tc>
        <w:tc>
          <w:tcPr>
            <w:tcW w:w="1495" w:type="dxa"/>
            <w:tcBorders>
              <w:top w:val="nil"/>
              <w:left w:val="nil"/>
              <w:bottom w:val="single" w:sz="4" w:space="0" w:color="auto"/>
              <w:right w:val="single" w:sz="4" w:space="0" w:color="auto"/>
            </w:tcBorders>
            <w:shd w:val="clear" w:color="auto" w:fill="auto"/>
            <w:noWrap/>
            <w:vAlign w:val="center"/>
            <w:hideMark/>
          </w:tcPr>
          <w:p w14:paraId="05C43AC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2020/G01_02/000260</w:t>
            </w:r>
          </w:p>
        </w:tc>
        <w:tc>
          <w:tcPr>
            <w:tcW w:w="2532" w:type="dxa"/>
            <w:tcBorders>
              <w:top w:val="nil"/>
              <w:left w:val="nil"/>
              <w:bottom w:val="single" w:sz="4" w:space="0" w:color="auto"/>
              <w:right w:val="single" w:sz="4" w:space="0" w:color="auto"/>
            </w:tcBorders>
            <w:shd w:val="clear" w:color="auto" w:fill="auto"/>
            <w:noWrap/>
            <w:vAlign w:val="center"/>
            <w:hideMark/>
          </w:tcPr>
          <w:p w14:paraId="540EFBD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Elche</w:t>
            </w:r>
          </w:p>
        </w:tc>
        <w:tc>
          <w:tcPr>
            <w:tcW w:w="2760" w:type="dxa"/>
            <w:tcBorders>
              <w:top w:val="nil"/>
              <w:left w:val="nil"/>
              <w:bottom w:val="single" w:sz="4" w:space="0" w:color="auto"/>
              <w:right w:val="single" w:sz="4" w:space="0" w:color="auto"/>
            </w:tcBorders>
            <w:shd w:val="clear" w:color="auto" w:fill="auto"/>
            <w:noWrap/>
            <w:vAlign w:val="center"/>
            <w:hideMark/>
          </w:tcPr>
          <w:p w14:paraId="5DE05F5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Contratación_urbanismo_patrimonio</w:t>
            </w:r>
          </w:p>
        </w:tc>
        <w:tc>
          <w:tcPr>
            <w:tcW w:w="926" w:type="dxa"/>
            <w:tcBorders>
              <w:top w:val="nil"/>
              <w:left w:val="nil"/>
              <w:bottom w:val="single" w:sz="4" w:space="0" w:color="auto"/>
              <w:right w:val="single" w:sz="4" w:space="0" w:color="auto"/>
            </w:tcBorders>
            <w:shd w:val="clear" w:color="auto" w:fill="auto"/>
            <w:noWrap/>
            <w:vAlign w:val="center"/>
            <w:hideMark/>
          </w:tcPr>
          <w:p w14:paraId="03B76115"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19/11/2021</w:t>
            </w:r>
          </w:p>
        </w:tc>
        <w:tc>
          <w:tcPr>
            <w:tcW w:w="1559" w:type="dxa"/>
            <w:tcBorders>
              <w:top w:val="nil"/>
              <w:left w:val="nil"/>
              <w:bottom w:val="single" w:sz="4" w:space="0" w:color="auto"/>
              <w:right w:val="single" w:sz="4" w:space="0" w:color="auto"/>
            </w:tcBorders>
            <w:shd w:val="clear" w:color="auto" w:fill="auto"/>
            <w:noWrap/>
            <w:vAlign w:val="center"/>
            <w:hideMark/>
          </w:tcPr>
          <w:p w14:paraId="2D14247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78C8C2A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8E04215"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5E53E92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54239E7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procede seguimiento</w:t>
            </w:r>
          </w:p>
        </w:tc>
      </w:tr>
      <w:tr w:rsidR="00DD5D78" w:rsidRPr="00DD5D78" w14:paraId="32C7D4EF"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7A28EBE"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60</w:t>
            </w:r>
          </w:p>
        </w:tc>
        <w:tc>
          <w:tcPr>
            <w:tcW w:w="1495" w:type="dxa"/>
            <w:tcBorders>
              <w:top w:val="nil"/>
              <w:left w:val="nil"/>
              <w:bottom w:val="single" w:sz="4" w:space="0" w:color="auto"/>
              <w:right w:val="single" w:sz="4" w:space="0" w:color="auto"/>
            </w:tcBorders>
            <w:shd w:val="clear" w:color="auto" w:fill="auto"/>
            <w:noWrap/>
            <w:vAlign w:val="center"/>
            <w:hideMark/>
          </w:tcPr>
          <w:p w14:paraId="724ADB5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2020/G01_01/000357</w:t>
            </w:r>
          </w:p>
        </w:tc>
        <w:tc>
          <w:tcPr>
            <w:tcW w:w="2532" w:type="dxa"/>
            <w:tcBorders>
              <w:top w:val="nil"/>
              <w:left w:val="nil"/>
              <w:bottom w:val="single" w:sz="4" w:space="0" w:color="auto"/>
              <w:right w:val="single" w:sz="4" w:space="0" w:color="auto"/>
            </w:tcBorders>
            <w:shd w:val="clear" w:color="auto" w:fill="auto"/>
            <w:noWrap/>
            <w:vAlign w:val="center"/>
            <w:hideMark/>
          </w:tcPr>
          <w:p w14:paraId="3CCECF3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Burriana</w:t>
            </w:r>
          </w:p>
        </w:tc>
        <w:tc>
          <w:tcPr>
            <w:tcW w:w="2760" w:type="dxa"/>
            <w:tcBorders>
              <w:top w:val="nil"/>
              <w:left w:val="nil"/>
              <w:bottom w:val="single" w:sz="4" w:space="0" w:color="auto"/>
              <w:right w:val="single" w:sz="4" w:space="0" w:color="auto"/>
            </w:tcBorders>
            <w:shd w:val="clear" w:color="auto" w:fill="auto"/>
            <w:noWrap/>
            <w:vAlign w:val="center"/>
            <w:hideMark/>
          </w:tcPr>
          <w:p w14:paraId="64F1173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Urbanismo</w:t>
            </w:r>
          </w:p>
        </w:tc>
        <w:tc>
          <w:tcPr>
            <w:tcW w:w="926" w:type="dxa"/>
            <w:tcBorders>
              <w:top w:val="nil"/>
              <w:left w:val="nil"/>
              <w:bottom w:val="single" w:sz="4" w:space="0" w:color="auto"/>
              <w:right w:val="single" w:sz="4" w:space="0" w:color="auto"/>
            </w:tcBorders>
            <w:shd w:val="clear" w:color="auto" w:fill="auto"/>
            <w:noWrap/>
            <w:vAlign w:val="center"/>
            <w:hideMark/>
          </w:tcPr>
          <w:p w14:paraId="1014CB2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30/11/2021</w:t>
            </w:r>
          </w:p>
        </w:tc>
        <w:tc>
          <w:tcPr>
            <w:tcW w:w="1559" w:type="dxa"/>
            <w:tcBorders>
              <w:top w:val="nil"/>
              <w:left w:val="nil"/>
              <w:bottom w:val="single" w:sz="4" w:space="0" w:color="auto"/>
              <w:right w:val="single" w:sz="4" w:space="0" w:color="auto"/>
            </w:tcBorders>
            <w:shd w:val="clear" w:color="auto" w:fill="auto"/>
            <w:noWrap/>
            <w:vAlign w:val="center"/>
            <w:hideMark/>
          </w:tcPr>
          <w:p w14:paraId="08C2BB7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319F6AD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21.052.095,45</w:t>
            </w:r>
          </w:p>
        </w:tc>
        <w:tc>
          <w:tcPr>
            <w:tcW w:w="992" w:type="dxa"/>
            <w:tcBorders>
              <w:top w:val="nil"/>
              <w:left w:val="nil"/>
              <w:bottom w:val="single" w:sz="4" w:space="0" w:color="auto"/>
              <w:right w:val="single" w:sz="4" w:space="0" w:color="auto"/>
            </w:tcBorders>
            <w:shd w:val="clear" w:color="auto" w:fill="auto"/>
            <w:noWrap/>
            <w:vAlign w:val="center"/>
            <w:hideMark/>
          </w:tcPr>
          <w:p w14:paraId="4BD2E8C3"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w:t>
            </w:r>
          </w:p>
        </w:tc>
        <w:tc>
          <w:tcPr>
            <w:tcW w:w="1183" w:type="dxa"/>
            <w:tcBorders>
              <w:top w:val="nil"/>
              <w:left w:val="nil"/>
              <w:bottom w:val="single" w:sz="4" w:space="0" w:color="auto"/>
              <w:right w:val="single" w:sz="4" w:space="0" w:color="auto"/>
            </w:tcBorders>
            <w:shd w:val="clear" w:color="auto" w:fill="auto"/>
            <w:vAlign w:val="center"/>
            <w:hideMark/>
          </w:tcPr>
          <w:p w14:paraId="75386A3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104E9C1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5E49F165"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3740AAD8"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61</w:t>
            </w:r>
          </w:p>
        </w:tc>
        <w:tc>
          <w:tcPr>
            <w:tcW w:w="1495" w:type="dxa"/>
            <w:tcBorders>
              <w:top w:val="nil"/>
              <w:left w:val="nil"/>
              <w:bottom w:val="single" w:sz="4" w:space="0" w:color="auto"/>
              <w:right w:val="single" w:sz="4" w:space="0" w:color="auto"/>
            </w:tcBorders>
            <w:shd w:val="clear" w:color="auto" w:fill="auto"/>
            <w:noWrap/>
            <w:vAlign w:val="center"/>
            <w:hideMark/>
          </w:tcPr>
          <w:p w14:paraId="46E6E80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2020/G01_01/000067</w:t>
            </w:r>
          </w:p>
        </w:tc>
        <w:tc>
          <w:tcPr>
            <w:tcW w:w="2532" w:type="dxa"/>
            <w:tcBorders>
              <w:top w:val="nil"/>
              <w:left w:val="nil"/>
              <w:bottom w:val="single" w:sz="4" w:space="0" w:color="auto"/>
              <w:right w:val="single" w:sz="4" w:space="0" w:color="auto"/>
            </w:tcBorders>
            <w:shd w:val="clear" w:color="auto" w:fill="auto"/>
            <w:noWrap/>
            <w:vAlign w:val="center"/>
            <w:hideMark/>
          </w:tcPr>
          <w:p w14:paraId="236019E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Generalitat Valenciana_Presidencia</w:t>
            </w:r>
          </w:p>
        </w:tc>
        <w:tc>
          <w:tcPr>
            <w:tcW w:w="2760" w:type="dxa"/>
            <w:tcBorders>
              <w:top w:val="nil"/>
              <w:left w:val="nil"/>
              <w:bottom w:val="single" w:sz="4" w:space="0" w:color="auto"/>
              <w:right w:val="single" w:sz="4" w:space="0" w:color="auto"/>
            </w:tcBorders>
            <w:shd w:val="clear" w:color="auto" w:fill="auto"/>
            <w:noWrap/>
            <w:vAlign w:val="center"/>
            <w:hideMark/>
          </w:tcPr>
          <w:p w14:paraId="38CF7A9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0A9E65AC"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30/11/2021</w:t>
            </w:r>
          </w:p>
        </w:tc>
        <w:tc>
          <w:tcPr>
            <w:tcW w:w="1559" w:type="dxa"/>
            <w:tcBorders>
              <w:top w:val="nil"/>
              <w:left w:val="nil"/>
              <w:bottom w:val="single" w:sz="4" w:space="0" w:color="auto"/>
              <w:right w:val="single" w:sz="4" w:space="0" w:color="auto"/>
            </w:tcBorders>
            <w:shd w:val="clear" w:color="auto" w:fill="auto"/>
            <w:noWrap/>
            <w:vAlign w:val="center"/>
            <w:hideMark/>
          </w:tcPr>
          <w:p w14:paraId="79AF2C2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503DEEF8"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305846C"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5B6056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Instrucciones internas</w:t>
            </w:r>
          </w:p>
        </w:tc>
        <w:tc>
          <w:tcPr>
            <w:tcW w:w="1246" w:type="dxa"/>
            <w:tcBorders>
              <w:top w:val="nil"/>
              <w:left w:val="nil"/>
              <w:bottom w:val="single" w:sz="4" w:space="0" w:color="auto"/>
              <w:right w:val="single" w:sz="4" w:space="0" w:color="auto"/>
            </w:tcBorders>
            <w:shd w:val="clear" w:color="auto" w:fill="auto"/>
            <w:vAlign w:val="center"/>
            <w:hideMark/>
          </w:tcPr>
          <w:p w14:paraId="22F9A55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67842676"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5BE9F42"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62</w:t>
            </w:r>
          </w:p>
        </w:tc>
        <w:tc>
          <w:tcPr>
            <w:tcW w:w="1495" w:type="dxa"/>
            <w:tcBorders>
              <w:top w:val="nil"/>
              <w:left w:val="nil"/>
              <w:bottom w:val="single" w:sz="4" w:space="0" w:color="auto"/>
              <w:right w:val="single" w:sz="4" w:space="0" w:color="auto"/>
            </w:tcBorders>
            <w:shd w:val="clear" w:color="auto" w:fill="auto"/>
            <w:noWrap/>
            <w:vAlign w:val="center"/>
            <w:hideMark/>
          </w:tcPr>
          <w:p w14:paraId="0CF0929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2020/G01_01/000311</w:t>
            </w:r>
          </w:p>
        </w:tc>
        <w:tc>
          <w:tcPr>
            <w:tcW w:w="2532" w:type="dxa"/>
            <w:tcBorders>
              <w:top w:val="nil"/>
              <w:left w:val="nil"/>
              <w:bottom w:val="single" w:sz="4" w:space="0" w:color="auto"/>
              <w:right w:val="single" w:sz="4" w:space="0" w:color="auto"/>
            </w:tcBorders>
            <w:shd w:val="clear" w:color="auto" w:fill="auto"/>
            <w:noWrap/>
            <w:vAlign w:val="center"/>
            <w:hideMark/>
          </w:tcPr>
          <w:p w14:paraId="0433E4F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55E3060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Contratación-encargo directo</w:t>
            </w:r>
          </w:p>
        </w:tc>
        <w:tc>
          <w:tcPr>
            <w:tcW w:w="926" w:type="dxa"/>
            <w:tcBorders>
              <w:top w:val="nil"/>
              <w:left w:val="nil"/>
              <w:bottom w:val="single" w:sz="4" w:space="0" w:color="auto"/>
              <w:right w:val="single" w:sz="4" w:space="0" w:color="auto"/>
            </w:tcBorders>
            <w:shd w:val="clear" w:color="auto" w:fill="auto"/>
            <w:noWrap/>
            <w:vAlign w:val="center"/>
            <w:hideMark/>
          </w:tcPr>
          <w:p w14:paraId="016C47B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30/11/2021</w:t>
            </w:r>
          </w:p>
        </w:tc>
        <w:tc>
          <w:tcPr>
            <w:tcW w:w="1559" w:type="dxa"/>
            <w:tcBorders>
              <w:top w:val="nil"/>
              <w:left w:val="nil"/>
              <w:bottom w:val="single" w:sz="4" w:space="0" w:color="auto"/>
              <w:right w:val="single" w:sz="4" w:space="0" w:color="auto"/>
            </w:tcBorders>
            <w:shd w:val="clear" w:color="auto" w:fill="auto"/>
            <w:noWrap/>
            <w:vAlign w:val="center"/>
            <w:hideMark/>
          </w:tcPr>
          <w:p w14:paraId="3208F2C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1C56A353"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614.501,85</w:t>
            </w:r>
          </w:p>
        </w:tc>
        <w:tc>
          <w:tcPr>
            <w:tcW w:w="992" w:type="dxa"/>
            <w:tcBorders>
              <w:top w:val="nil"/>
              <w:left w:val="nil"/>
              <w:bottom w:val="single" w:sz="4" w:space="0" w:color="auto"/>
              <w:right w:val="single" w:sz="4" w:space="0" w:color="auto"/>
            </w:tcBorders>
            <w:shd w:val="clear" w:color="auto" w:fill="auto"/>
            <w:noWrap/>
            <w:vAlign w:val="center"/>
            <w:hideMark/>
          </w:tcPr>
          <w:p w14:paraId="42C45CC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w:t>
            </w:r>
          </w:p>
        </w:tc>
        <w:tc>
          <w:tcPr>
            <w:tcW w:w="1183" w:type="dxa"/>
            <w:tcBorders>
              <w:top w:val="nil"/>
              <w:left w:val="nil"/>
              <w:bottom w:val="single" w:sz="4" w:space="0" w:color="auto"/>
              <w:right w:val="single" w:sz="4" w:space="0" w:color="auto"/>
            </w:tcBorders>
            <w:shd w:val="clear" w:color="auto" w:fill="auto"/>
            <w:vAlign w:val="center"/>
            <w:hideMark/>
          </w:tcPr>
          <w:p w14:paraId="0227907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w:t>
            </w:r>
          </w:p>
        </w:tc>
        <w:tc>
          <w:tcPr>
            <w:tcW w:w="1246" w:type="dxa"/>
            <w:tcBorders>
              <w:top w:val="nil"/>
              <w:left w:val="nil"/>
              <w:bottom w:val="single" w:sz="4" w:space="0" w:color="auto"/>
              <w:right w:val="single" w:sz="4" w:space="0" w:color="auto"/>
            </w:tcBorders>
            <w:shd w:val="clear" w:color="auto" w:fill="auto"/>
            <w:vAlign w:val="center"/>
            <w:hideMark/>
          </w:tcPr>
          <w:p w14:paraId="42DE5C3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689D7902"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53C4591A"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63</w:t>
            </w:r>
          </w:p>
        </w:tc>
        <w:tc>
          <w:tcPr>
            <w:tcW w:w="1495" w:type="dxa"/>
            <w:tcBorders>
              <w:top w:val="nil"/>
              <w:left w:val="nil"/>
              <w:bottom w:val="single" w:sz="4" w:space="0" w:color="auto"/>
              <w:right w:val="single" w:sz="4" w:space="0" w:color="auto"/>
            </w:tcBorders>
            <w:shd w:val="clear" w:color="auto" w:fill="auto"/>
            <w:noWrap/>
            <w:vAlign w:val="center"/>
            <w:hideMark/>
          </w:tcPr>
          <w:p w14:paraId="2E9B2B4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2020/G01_01/000002</w:t>
            </w:r>
          </w:p>
        </w:tc>
        <w:tc>
          <w:tcPr>
            <w:tcW w:w="2532" w:type="dxa"/>
            <w:tcBorders>
              <w:top w:val="nil"/>
              <w:left w:val="nil"/>
              <w:bottom w:val="single" w:sz="4" w:space="0" w:color="auto"/>
              <w:right w:val="single" w:sz="4" w:space="0" w:color="auto"/>
            </w:tcBorders>
            <w:shd w:val="clear" w:color="auto" w:fill="auto"/>
            <w:noWrap/>
            <w:vAlign w:val="center"/>
            <w:hideMark/>
          </w:tcPr>
          <w:p w14:paraId="11D87E7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Callosa de Segura</w:t>
            </w:r>
          </w:p>
        </w:tc>
        <w:tc>
          <w:tcPr>
            <w:tcW w:w="2760" w:type="dxa"/>
            <w:tcBorders>
              <w:top w:val="nil"/>
              <w:left w:val="nil"/>
              <w:bottom w:val="single" w:sz="4" w:space="0" w:color="auto"/>
              <w:right w:val="single" w:sz="4" w:space="0" w:color="auto"/>
            </w:tcBorders>
            <w:shd w:val="clear" w:color="auto" w:fill="auto"/>
            <w:noWrap/>
            <w:vAlign w:val="center"/>
            <w:hideMark/>
          </w:tcPr>
          <w:p w14:paraId="39795BA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Contratación_fraccionamiento_urbanismo</w:t>
            </w:r>
          </w:p>
        </w:tc>
        <w:tc>
          <w:tcPr>
            <w:tcW w:w="926" w:type="dxa"/>
            <w:tcBorders>
              <w:top w:val="nil"/>
              <w:left w:val="nil"/>
              <w:bottom w:val="single" w:sz="4" w:space="0" w:color="auto"/>
              <w:right w:val="single" w:sz="4" w:space="0" w:color="auto"/>
            </w:tcBorders>
            <w:shd w:val="clear" w:color="auto" w:fill="auto"/>
            <w:noWrap/>
            <w:vAlign w:val="center"/>
            <w:hideMark/>
          </w:tcPr>
          <w:p w14:paraId="7FBCD74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02/12/2021</w:t>
            </w:r>
          </w:p>
        </w:tc>
        <w:tc>
          <w:tcPr>
            <w:tcW w:w="1559" w:type="dxa"/>
            <w:tcBorders>
              <w:top w:val="nil"/>
              <w:left w:val="nil"/>
              <w:bottom w:val="single" w:sz="4" w:space="0" w:color="auto"/>
              <w:right w:val="single" w:sz="4" w:space="0" w:color="auto"/>
            </w:tcBorders>
            <w:shd w:val="clear" w:color="auto" w:fill="auto"/>
            <w:noWrap/>
            <w:vAlign w:val="center"/>
            <w:hideMark/>
          </w:tcPr>
          <w:p w14:paraId="0A9B839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0B13950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0948828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DC4919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391152A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28333247"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C382A79"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64</w:t>
            </w:r>
          </w:p>
        </w:tc>
        <w:tc>
          <w:tcPr>
            <w:tcW w:w="1495" w:type="dxa"/>
            <w:tcBorders>
              <w:top w:val="nil"/>
              <w:left w:val="nil"/>
              <w:bottom w:val="single" w:sz="4" w:space="0" w:color="auto"/>
              <w:right w:val="single" w:sz="4" w:space="0" w:color="auto"/>
            </w:tcBorders>
            <w:shd w:val="clear" w:color="auto" w:fill="auto"/>
            <w:noWrap/>
            <w:vAlign w:val="center"/>
            <w:hideMark/>
          </w:tcPr>
          <w:p w14:paraId="11C2619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2021/G01_01/000286</w:t>
            </w:r>
          </w:p>
        </w:tc>
        <w:tc>
          <w:tcPr>
            <w:tcW w:w="2532" w:type="dxa"/>
            <w:tcBorders>
              <w:top w:val="nil"/>
              <w:left w:val="nil"/>
              <w:bottom w:val="single" w:sz="4" w:space="0" w:color="auto"/>
              <w:right w:val="single" w:sz="4" w:space="0" w:color="auto"/>
            </w:tcBorders>
            <w:shd w:val="clear" w:color="auto" w:fill="auto"/>
            <w:noWrap/>
            <w:vAlign w:val="center"/>
            <w:hideMark/>
          </w:tcPr>
          <w:p w14:paraId="69278F0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SAMC y CVMC</w:t>
            </w:r>
          </w:p>
        </w:tc>
        <w:tc>
          <w:tcPr>
            <w:tcW w:w="2760" w:type="dxa"/>
            <w:tcBorders>
              <w:top w:val="nil"/>
              <w:left w:val="nil"/>
              <w:bottom w:val="single" w:sz="4" w:space="0" w:color="auto"/>
              <w:right w:val="single" w:sz="4" w:space="0" w:color="auto"/>
            </w:tcBorders>
            <w:shd w:val="clear" w:color="auto" w:fill="auto"/>
            <w:noWrap/>
            <w:vAlign w:val="center"/>
            <w:hideMark/>
          </w:tcPr>
          <w:p w14:paraId="2DA745A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Contratación_Recursos_humanos</w:t>
            </w:r>
          </w:p>
        </w:tc>
        <w:tc>
          <w:tcPr>
            <w:tcW w:w="926" w:type="dxa"/>
            <w:tcBorders>
              <w:top w:val="nil"/>
              <w:left w:val="nil"/>
              <w:bottom w:val="single" w:sz="4" w:space="0" w:color="auto"/>
              <w:right w:val="single" w:sz="4" w:space="0" w:color="auto"/>
            </w:tcBorders>
            <w:shd w:val="clear" w:color="auto" w:fill="auto"/>
            <w:noWrap/>
            <w:vAlign w:val="center"/>
            <w:hideMark/>
          </w:tcPr>
          <w:p w14:paraId="0527FB67"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07/12/2021</w:t>
            </w:r>
          </w:p>
        </w:tc>
        <w:tc>
          <w:tcPr>
            <w:tcW w:w="1559" w:type="dxa"/>
            <w:tcBorders>
              <w:top w:val="nil"/>
              <w:left w:val="nil"/>
              <w:bottom w:val="single" w:sz="4" w:space="0" w:color="auto"/>
              <w:right w:val="single" w:sz="4" w:space="0" w:color="auto"/>
            </w:tcBorders>
            <w:shd w:val="clear" w:color="auto" w:fill="auto"/>
            <w:noWrap/>
            <w:vAlign w:val="center"/>
            <w:hideMark/>
          </w:tcPr>
          <w:p w14:paraId="69E448D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75CABF8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7E21DDE7"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744AD48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75C8821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021B643F"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F1C8EC1"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65</w:t>
            </w:r>
          </w:p>
        </w:tc>
        <w:tc>
          <w:tcPr>
            <w:tcW w:w="1495" w:type="dxa"/>
            <w:tcBorders>
              <w:top w:val="nil"/>
              <w:left w:val="nil"/>
              <w:bottom w:val="single" w:sz="4" w:space="0" w:color="auto"/>
              <w:right w:val="single" w:sz="4" w:space="0" w:color="auto"/>
            </w:tcBorders>
            <w:shd w:val="clear" w:color="auto" w:fill="auto"/>
            <w:noWrap/>
            <w:vAlign w:val="center"/>
            <w:hideMark/>
          </w:tcPr>
          <w:p w14:paraId="159D6E7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2020/G01_01/000351</w:t>
            </w:r>
          </w:p>
        </w:tc>
        <w:tc>
          <w:tcPr>
            <w:tcW w:w="2532" w:type="dxa"/>
            <w:tcBorders>
              <w:top w:val="nil"/>
              <w:left w:val="nil"/>
              <w:bottom w:val="single" w:sz="4" w:space="0" w:color="auto"/>
              <w:right w:val="single" w:sz="4" w:space="0" w:color="auto"/>
            </w:tcBorders>
            <w:shd w:val="clear" w:color="auto" w:fill="auto"/>
            <w:noWrap/>
            <w:vAlign w:val="center"/>
            <w:hideMark/>
          </w:tcPr>
          <w:p w14:paraId="53A3715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València</w:t>
            </w:r>
          </w:p>
        </w:tc>
        <w:tc>
          <w:tcPr>
            <w:tcW w:w="2760" w:type="dxa"/>
            <w:tcBorders>
              <w:top w:val="nil"/>
              <w:left w:val="nil"/>
              <w:bottom w:val="single" w:sz="4" w:space="0" w:color="auto"/>
              <w:right w:val="single" w:sz="4" w:space="0" w:color="auto"/>
            </w:tcBorders>
            <w:shd w:val="clear" w:color="auto" w:fill="auto"/>
            <w:noWrap/>
            <w:vAlign w:val="center"/>
            <w:hideMark/>
          </w:tcPr>
          <w:p w14:paraId="40410E7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Urbanismo_licencias</w:t>
            </w:r>
          </w:p>
        </w:tc>
        <w:tc>
          <w:tcPr>
            <w:tcW w:w="926" w:type="dxa"/>
            <w:tcBorders>
              <w:top w:val="nil"/>
              <w:left w:val="nil"/>
              <w:bottom w:val="single" w:sz="4" w:space="0" w:color="auto"/>
              <w:right w:val="single" w:sz="4" w:space="0" w:color="auto"/>
            </w:tcBorders>
            <w:shd w:val="clear" w:color="auto" w:fill="auto"/>
            <w:noWrap/>
            <w:vAlign w:val="center"/>
            <w:hideMark/>
          </w:tcPr>
          <w:p w14:paraId="1AD4097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09/12/2021</w:t>
            </w:r>
          </w:p>
        </w:tc>
        <w:tc>
          <w:tcPr>
            <w:tcW w:w="1559" w:type="dxa"/>
            <w:tcBorders>
              <w:top w:val="nil"/>
              <w:left w:val="nil"/>
              <w:bottom w:val="single" w:sz="4" w:space="0" w:color="auto"/>
              <w:right w:val="single" w:sz="4" w:space="0" w:color="auto"/>
            </w:tcBorders>
            <w:shd w:val="clear" w:color="auto" w:fill="auto"/>
            <w:noWrap/>
            <w:vAlign w:val="center"/>
            <w:hideMark/>
          </w:tcPr>
          <w:p w14:paraId="537B590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3E13D3C9"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9B0A93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958DC6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510D30F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637E5C26"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FE17E6E"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66</w:t>
            </w:r>
          </w:p>
        </w:tc>
        <w:tc>
          <w:tcPr>
            <w:tcW w:w="1495" w:type="dxa"/>
            <w:tcBorders>
              <w:top w:val="nil"/>
              <w:left w:val="nil"/>
              <w:bottom w:val="single" w:sz="4" w:space="0" w:color="auto"/>
              <w:right w:val="single" w:sz="4" w:space="0" w:color="auto"/>
            </w:tcBorders>
            <w:shd w:val="clear" w:color="auto" w:fill="auto"/>
            <w:noWrap/>
            <w:vAlign w:val="center"/>
            <w:hideMark/>
          </w:tcPr>
          <w:p w14:paraId="38BC2EF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2020/G01_01/000151</w:t>
            </w:r>
          </w:p>
        </w:tc>
        <w:tc>
          <w:tcPr>
            <w:tcW w:w="2532" w:type="dxa"/>
            <w:tcBorders>
              <w:top w:val="nil"/>
              <w:left w:val="nil"/>
              <w:bottom w:val="single" w:sz="4" w:space="0" w:color="auto"/>
              <w:right w:val="single" w:sz="4" w:space="0" w:color="auto"/>
            </w:tcBorders>
            <w:shd w:val="clear" w:color="auto" w:fill="auto"/>
            <w:noWrap/>
            <w:vAlign w:val="center"/>
            <w:hideMark/>
          </w:tcPr>
          <w:p w14:paraId="26634F0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Torrevieja</w:t>
            </w:r>
          </w:p>
        </w:tc>
        <w:tc>
          <w:tcPr>
            <w:tcW w:w="2760" w:type="dxa"/>
            <w:tcBorders>
              <w:top w:val="nil"/>
              <w:left w:val="nil"/>
              <w:bottom w:val="single" w:sz="4" w:space="0" w:color="auto"/>
              <w:right w:val="single" w:sz="4" w:space="0" w:color="auto"/>
            </w:tcBorders>
            <w:shd w:val="clear" w:color="auto" w:fill="auto"/>
            <w:noWrap/>
            <w:vAlign w:val="center"/>
            <w:hideMark/>
          </w:tcPr>
          <w:p w14:paraId="4ADC162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784A1EF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10/12/2021</w:t>
            </w:r>
          </w:p>
        </w:tc>
        <w:tc>
          <w:tcPr>
            <w:tcW w:w="1559" w:type="dxa"/>
            <w:tcBorders>
              <w:top w:val="nil"/>
              <w:left w:val="nil"/>
              <w:bottom w:val="single" w:sz="4" w:space="0" w:color="auto"/>
              <w:right w:val="single" w:sz="4" w:space="0" w:color="auto"/>
            </w:tcBorders>
            <w:shd w:val="clear" w:color="auto" w:fill="auto"/>
            <w:noWrap/>
            <w:vAlign w:val="center"/>
            <w:hideMark/>
          </w:tcPr>
          <w:p w14:paraId="4E9208C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53676C45"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41B172D3"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F8EE7B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385D046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08D850B0"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1A20642"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67</w:t>
            </w:r>
          </w:p>
        </w:tc>
        <w:tc>
          <w:tcPr>
            <w:tcW w:w="1495" w:type="dxa"/>
            <w:tcBorders>
              <w:top w:val="nil"/>
              <w:left w:val="nil"/>
              <w:bottom w:val="single" w:sz="4" w:space="0" w:color="auto"/>
              <w:right w:val="single" w:sz="4" w:space="0" w:color="auto"/>
            </w:tcBorders>
            <w:shd w:val="clear" w:color="auto" w:fill="auto"/>
            <w:noWrap/>
            <w:vAlign w:val="center"/>
            <w:hideMark/>
          </w:tcPr>
          <w:p w14:paraId="3FD6CD6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2020/G01_01/000167</w:t>
            </w:r>
          </w:p>
        </w:tc>
        <w:tc>
          <w:tcPr>
            <w:tcW w:w="2532" w:type="dxa"/>
            <w:tcBorders>
              <w:top w:val="nil"/>
              <w:left w:val="nil"/>
              <w:bottom w:val="single" w:sz="4" w:space="0" w:color="auto"/>
              <w:right w:val="single" w:sz="4" w:space="0" w:color="auto"/>
            </w:tcBorders>
            <w:shd w:val="clear" w:color="auto" w:fill="auto"/>
            <w:noWrap/>
            <w:vAlign w:val="center"/>
            <w:hideMark/>
          </w:tcPr>
          <w:p w14:paraId="2E92771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Tous</w:t>
            </w:r>
          </w:p>
        </w:tc>
        <w:tc>
          <w:tcPr>
            <w:tcW w:w="2760" w:type="dxa"/>
            <w:tcBorders>
              <w:top w:val="nil"/>
              <w:left w:val="nil"/>
              <w:bottom w:val="single" w:sz="4" w:space="0" w:color="auto"/>
              <w:right w:val="single" w:sz="4" w:space="0" w:color="auto"/>
            </w:tcBorders>
            <w:shd w:val="clear" w:color="auto" w:fill="auto"/>
            <w:noWrap/>
            <w:vAlign w:val="center"/>
            <w:hideMark/>
          </w:tcPr>
          <w:p w14:paraId="43F01CD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6D8EB89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13/12/2021</w:t>
            </w:r>
          </w:p>
        </w:tc>
        <w:tc>
          <w:tcPr>
            <w:tcW w:w="1559" w:type="dxa"/>
            <w:tcBorders>
              <w:top w:val="nil"/>
              <w:left w:val="nil"/>
              <w:bottom w:val="single" w:sz="4" w:space="0" w:color="auto"/>
              <w:right w:val="single" w:sz="4" w:space="0" w:color="auto"/>
            </w:tcBorders>
            <w:shd w:val="clear" w:color="auto" w:fill="auto"/>
            <w:noWrap/>
            <w:vAlign w:val="center"/>
            <w:hideMark/>
          </w:tcPr>
          <w:p w14:paraId="174BA4C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4BFD94A7"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A3C982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61A5963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Instrucciones internas</w:t>
            </w:r>
          </w:p>
        </w:tc>
        <w:tc>
          <w:tcPr>
            <w:tcW w:w="1246" w:type="dxa"/>
            <w:tcBorders>
              <w:top w:val="nil"/>
              <w:left w:val="nil"/>
              <w:bottom w:val="single" w:sz="4" w:space="0" w:color="auto"/>
              <w:right w:val="single" w:sz="4" w:space="0" w:color="auto"/>
            </w:tcBorders>
            <w:shd w:val="clear" w:color="auto" w:fill="auto"/>
            <w:vAlign w:val="center"/>
            <w:hideMark/>
          </w:tcPr>
          <w:p w14:paraId="288170F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19AE4802"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D9C1AF2"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68</w:t>
            </w:r>
          </w:p>
        </w:tc>
        <w:tc>
          <w:tcPr>
            <w:tcW w:w="1495" w:type="dxa"/>
            <w:tcBorders>
              <w:top w:val="nil"/>
              <w:left w:val="nil"/>
              <w:bottom w:val="single" w:sz="4" w:space="0" w:color="auto"/>
              <w:right w:val="single" w:sz="4" w:space="0" w:color="auto"/>
            </w:tcBorders>
            <w:shd w:val="clear" w:color="auto" w:fill="auto"/>
            <w:noWrap/>
            <w:vAlign w:val="center"/>
            <w:hideMark/>
          </w:tcPr>
          <w:p w14:paraId="18C299C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2020/G01_01/000235</w:t>
            </w:r>
          </w:p>
        </w:tc>
        <w:tc>
          <w:tcPr>
            <w:tcW w:w="2532" w:type="dxa"/>
            <w:tcBorders>
              <w:top w:val="nil"/>
              <w:left w:val="nil"/>
              <w:bottom w:val="single" w:sz="4" w:space="0" w:color="auto"/>
              <w:right w:val="single" w:sz="4" w:space="0" w:color="auto"/>
            </w:tcBorders>
            <w:shd w:val="clear" w:color="auto" w:fill="auto"/>
            <w:noWrap/>
            <w:vAlign w:val="center"/>
            <w:hideMark/>
          </w:tcPr>
          <w:p w14:paraId="7C92DF8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Tous</w:t>
            </w:r>
          </w:p>
        </w:tc>
        <w:tc>
          <w:tcPr>
            <w:tcW w:w="2760" w:type="dxa"/>
            <w:tcBorders>
              <w:top w:val="nil"/>
              <w:left w:val="nil"/>
              <w:bottom w:val="single" w:sz="4" w:space="0" w:color="auto"/>
              <w:right w:val="single" w:sz="4" w:space="0" w:color="auto"/>
            </w:tcBorders>
            <w:shd w:val="clear" w:color="auto" w:fill="auto"/>
            <w:noWrap/>
            <w:vAlign w:val="center"/>
            <w:hideMark/>
          </w:tcPr>
          <w:p w14:paraId="299635A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0294376F"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14/12/2021</w:t>
            </w:r>
          </w:p>
        </w:tc>
        <w:tc>
          <w:tcPr>
            <w:tcW w:w="1559" w:type="dxa"/>
            <w:tcBorders>
              <w:top w:val="nil"/>
              <w:left w:val="nil"/>
              <w:bottom w:val="single" w:sz="4" w:space="0" w:color="auto"/>
              <w:right w:val="single" w:sz="4" w:space="0" w:color="auto"/>
            </w:tcBorders>
            <w:shd w:val="clear" w:color="auto" w:fill="auto"/>
            <w:noWrap/>
            <w:vAlign w:val="center"/>
            <w:hideMark/>
          </w:tcPr>
          <w:p w14:paraId="0B1F5DEA"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4D62A384"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C27D0B0"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7E7DE75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Instrucciones internas</w:t>
            </w:r>
          </w:p>
        </w:tc>
        <w:tc>
          <w:tcPr>
            <w:tcW w:w="1246" w:type="dxa"/>
            <w:tcBorders>
              <w:top w:val="nil"/>
              <w:left w:val="nil"/>
              <w:bottom w:val="single" w:sz="4" w:space="0" w:color="auto"/>
              <w:right w:val="single" w:sz="4" w:space="0" w:color="auto"/>
            </w:tcBorders>
            <w:shd w:val="clear" w:color="auto" w:fill="auto"/>
            <w:vAlign w:val="center"/>
            <w:hideMark/>
          </w:tcPr>
          <w:p w14:paraId="3F2215E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38CF9154"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4E0D4473"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69</w:t>
            </w:r>
          </w:p>
        </w:tc>
        <w:tc>
          <w:tcPr>
            <w:tcW w:w="1495" w:type="dxa"/>
            <w:tcBorders>
              <w:top w:val="nil"/>
              <w:left w:val="nil"/>
              <w:bottom w:val="single" w:sz="4" w:space="0" w:color="auto"/>
              <w:right w:val="single" w:sz="4" w:space="0" w:color="auto"/>
            </w:tcBorders>
            <w:shd w:val="clear" w:color="auto" w:fill="auto"/>
            <w:noWrap/>
            <w:vAlign w:val="center"/>
            <w:hideMark/>
          </w:tcPr>
          <w:p w14:paraId="6E07D3C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2020/G01_01/000169</w:t>
            </w:r>
          </w:p>
        </w:tc>
        <w:tc>
          <w:tcPr>
            <w:tcW w:w="2532" w:type="dxa"/>
            <w:tcBorders>
              <w:top w:val="nil"/>
              <w:left w:val="nil"/>
              <w:bottom w:val="single" w:sz="4" w:space="0" w:color="auto"/>
              <w:right w:val="single" w:sz="4" w:space="0" w:color="auto"/>
            </w:tcBorders>
            <w:shd w:val="clear" w:color="auto" w:fill="auto"/>
            <w:noWrap/>
            <w:vAlign w:val="center"/>
            <w:hideMark/>
          </w:tcPr>
          <w:p w14:paraId="3D55727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Albaida</w:t>
            </w:r>
          </w:p>
        </w:tc>
        <w:tc>
          <w:tcPr>
            <w:tcW w:w="2760" w:type="dxa"/>
            <w:tcBorders>
              <w:top w:val="nil"/>
              <w:left w:val="nil"/>
              <w:bottom w:val="single" w:sz="4" w:space="0" w:color="auto"/>
              <w:right w:val="single" w:sz="4" w:space="0" w:color="auto"/>
            </w:tcBorders>
            <w:shd w:val="clear" w:color="auto" w:fill="auto"/>
            <w:noWrap/>
            <w:vAlign w:val="center"/>
            <w:hideMark/>
          </w:tcPr>
          <w:p w14:paraId="1215C13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humanos_selección</w:t>
            </w:r>
          </w:p>
        </w:tc>
        <w:tc>
          <w:tcPr>
            <w:tcW w:w="926" w:type="dxa"/>
            <w:tcBorders>
              <w:top w:val="nil"/>
              <w:left w:val="nil"/>
              <w:bottom w:val="single" w:sz="4" w:space="0" w:color="auto"/>
              <w:right w:val="single" w:sz="4" w:space="0" w:color="auto"/>
            </w:tcBorders>
            <w:shd w:val="clear" w:color="auto" w:fill="auto"/>
            <w:noWrap/>
            <w:vAlign w:val="center"/>
            <w:hideMark/>
          </w:tcPr>
          <w:p w14:paraId="67A1F700"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14/12/2021</w:t>
            </w:r>
          </w:p>
        </w:tc>
        <w:tc>
          <w:tcPr>
            <w:tcW w:w="1559" w:type="dxa"/>
            <w:tcBorders>
              <w:top w:val="nil"/>
              <w:left w:val="nil"/>
              <w:bottom w:val="single" w:sz="4" w:space="0" w:color="auto"/>
              <w:right w:val="single" w:sz="4" w:space="0" w:color="auto"/>
            </w:tcBorders>
            <w:shd w:val="clear" w:color="auto" w:fill="auto"/>
            <w:noWrap/>
            <w:vAlign w:val="center"/>
            <w:hideMark/>
          </w:tcPr>
          <w:p w14:paraId="4B8DB8A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16F1CFF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5C3DC6B"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55EBDCB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Instrucciones internas</w:t>
            </w:r>
          </w:p>
        </w:tc>
        <w:tc>
          <w:tcPr>
            <w:tcW w:w="1246" w:type="dxa"/>
            <w:tcBorders>
              <w:top w:val="nil"/>
              <w:left w:val="nil"/>
              <w:bottom w:val="single" w:sz="4" w:space="0" w:color="auto"/>
              <w:right w:val="single" w:sz="4" w:space="0" w:color="auto"/>
            </w:tcBorders>
            <w:shd w:val="clear" w:color="auto" w:fill="auto"/>
            <w:vAlign w:val="center"/>
            <w:hideMark/>
          </w:tcPr>
          <w:p w14:paraId="547F759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364E6FA4"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0E070B13"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70</w:t>
            </w:r>
          </w:p>
        </w:tc>
        <w:tc>
          <w:tcPr>
            <w:tcW w:w="1495" w:type="dxa"/>
            <w:tcBorders>
              <w:top w:val="nil"/>
              <w:left w:val="nil"/>
              <w:bottom w:val="single" w:sz="4" w:space="0" w:color="auto"/>
              <w:right w:val="single" w:sz="4" w:space="0" w:color="auto"/>
            </w:tcBorders>
            <w:shd w:val="clear" w:color="auto" w:fill="auto"/>
            <w:noWrap/>
            <w:vAlign w:val="center"/>
            <w:hideMark/>
          </w:tcPr>
          <w:p w14:paraId="3F409D4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2020/G01_01/000069</w:t>
            </w:r>
          </w:p>
        </w:tc>
        <w:tc>
          <w:tcPr>
            <w:tcW w:w="2532" w:type="dxa"/>
            <w:tcBorders>
              <w:top w:val="nil"/>
              <w:left w:val="nil"/>
              <w:bottom w:val="single" w:sz="4" w:space="0" w:color="auto"/>
              <w:right w:val="single" w:sz="4" w:space="0" w:color="auto"/>
            </w:tcBorders>
            <w:shd w:val="clear" w:color="auto" w:fill="auto"/>
            <w:noWrap/>
            <w:vAlign w:val="center"/>
            <w:hideMark/>
          </w:tcPr>
          <w:p w14:paraId="2CDEDB0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Diputación de Valencia</w:t>
            </w:r>
          </w:p>
        </w:tc>
        <w:tc>
          <w:tcPr>
            <w:tcW w:w="2760" w:type="dxa"/>
            <w:tcBorders>
              <w:top w:val="nil"/>
              <w:left w:val="nil"/>
              <w:bottom w:val="single" w:sz="4" w:space="0" w:color="auto"/>
              <w:right w:val="single" w:sz="4" w:space="0" w:color="auto"/>
            </w:tcBorders>
            <w:shd w:val="clear" w:color="auto" w:fill="auto"/>
            <w:noWrap/>
            <w:vAlign w:val="center"/>
            <w:hideMark/>
          </w:tcPr>
          <w:p w14:paraId="7C8474E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humanos_provisión</w:t>
            </w:r>
          </w:p>
        </w:tc>
        <w:tc>
          <w:tcPr>
            <w:tcW w:w="926" w:type="dxa"/>
            <w:tcBorders>
              <w:top w:val="nil"/>
              <w:left w:val="nil"/>
              <w:bottom w:val="single" w:sz="4" w:space="0" w:color="auto"/>
              <w:right w:val="single" w:sz="4" w:space="0" w:color="auto"/>
            </w:tcBorders>
            <w:shd w:val="clear" w:color="auto" w:fill="auto"/>
            <w:noWrap/>
            <w:vAlign w:val="center"/>
            <w:hideMark/>
          </w:tcPr>
          <w:p w14:paraId="00859CF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15/12/2021</w:t>
            </w:r>
          </w:p>
        </w:tc>
        <w:tc>
          <w:tcPr>
            <w:tcW w:w="1559" w:type="dxa"/>
            <w:tcBorders>
              <w:top w:val="nil"/>
              <w:left w:val="nil"/>
              <w:bottom w:val="single" w:sz="4" w:space="0" w:color="auto"/>
              <w:right w:val="single" w:sz="4" w:space="0" w:color="auto"/>
            </w:tcBorders>
            <w:shd w:val="clear" w:color="auto" w:fill="auto"/>
            <w:noWrap/>
            <w:vAlign w:val="center"/>
            <w:hideMark/>
          </w:tcPr>
          <w:p w14:paraId="20E3312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Archivo</w:t>
            </w:r>
          </w:p>
        </w:tc>
        <w:tc>
          <w:tcPr>
            <w:tcW w:w="1134" w:type="dxa"/>
            <w:tcBorders>
              <w:top w:val="nil"/>
              <w:left w:val="nil"/>
              <w:bottom w:val="single" w:sz="4" w:space="0" w:color="auto"/>
              <w:right w:val="single" w:sz="4" w:space="0" w:color="auto"/>
            </w:tcBorders>
            <w:shd w:val="clear" w:color="auto" w:fill="auto"/>
            <w:noWrap/>
            <w:vAlign w:val="center"/>
            <w:hideMark/>
          </w:tcPr>
          <w:p w14:paraId="46E19051"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66A4F0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766886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438A93A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No procede seguimiento</w:t>
            </w:r>
          </w:p>
        </w:tc>
      </w:tr>
      <w:tr w:rsidR="00DD5D78" w:rsidRPr="00DD5D78" w14:paraId="34F69C4B"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A1DAC7C"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71</w:t>
            </w:r>
          </w:p>
        </w:tc>
        <w:tc>
          <w:tcPr>
            <w:tcW w:w="1495" w:type="dxa"/>
            <w:tcBorders>
              <w:top w:val="nil"/>
              <w:left w:val="nil"/>
              <w:bottom w:val="single" w:sz="4" w:space="0" w:color="auto"/>
              <w:right w:val="single" w:sz="4" w:space="0" w:color="auto"/>
            </w:tcBorders>
            <w:shd w:val="clear" w:color="auto" w:fill="auto"/>
            <w:noWrap/>
            <w:vAlign w:val="center"/>
            <w:hideMark/>
          </w:tcPr>
          <w:p w14:paraId="5F6EFCF1"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2020/G01_01/000234</w:t>
            </w:r>
          </w:p>
        </w:tc>
        <w:tc>
          <w:tcPr>
            <w:tcW w:w="2532" w:type="dxa"/>
            <w:tcBorders>
              <w:top w:val="nil"/>
              <w:left w:val="nil"/>
              <w:bottom w:val="single" w:sz="4" w:space="0" w:color="auto"/>
              <w:right w:val="single" w:sz="4" w:space="0" w:color="auto"/>
            </w:tcBorders>
            <w:shd w:val="clear" w:color="auto" w:fill="auto"/>
            <w:noWrap/>
            <w:vAlign w:val="center"/>
            <w:hideMark/>
          </w:tcPr>
          <w:p w14:paraId="3FEA98F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Tous</w:t>
            </w:r>
          </w:p>
        </w:tc>
        <w:tc>
          <w:tcPr>
            <w:tcW w:w="2760" w:type="dxa"/>
            <w:tcBorders>
              <w:top w:val="nil"/>
              <w:left w:val="nil"/>
              <w:bottom w:val="single" w:sz="4" w:space="0" w:color="auto"/>
              <w:right w:val="single" w:sz="4" w:space="0" w:color="auto"/>
            </w:tcBorders>
            <w:shd w:val="clear" w:color="auto" w:fill="auto"/>
            <w:noWrap/>
            <w:vAlign w:val="center"/>
            <w:hideMark/>
          </w:tcPr>
          <w:p w14:paraId="25FB3FC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32C9AAE7"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16/12/2021</w:t>
            </w:r>
          </w:p>
        </w:tc>
        <w:tc>
          <w:tcPr>
            <w:tcW w:w="1559" w:type="dxa"/>
            <w:tcBorders>
              <w:top w:val="nil"/>
              <w:left w:val="nil"/>
              <w:bottom w:val="single" w:sz="4" w:space="0" w:color="auto"/>
              <w:right w:val="single" w:sz="4" w:space="0" w:color="auto"/>
            </w:tcBorders>
            <w:shd w:val="clear" w:color="auto" w:fill="auto"/>
            <w:noWrap/>
            <w:vAlign w:val="center"/>
            <w:hideMark/>
          </w:tcPr>
          <w:p w14:paraId="7DAE26F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1D19199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6F84DB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5ECA295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0CA1C45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1DD7C7F1"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3D6BCCA"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72</w:t>
            </w:r>
          </w:p>
        </w:tc>
        <w:tc>
          <w:tcPr>
            <w:tcW w:w="1495" w:type="dxa"/>
            <w:tcBorders>
              <w:top w:val="nil"/>
              <w:left w:val="nil"/>
              <w:bottom w:val="single" w:sz="4" w:space="0" w:color="auto"/>
              <w:right w:val="single" w:sz="4" w:space="0" w:color="auto"/>
            </w:tcBorders>
            <w:shd w:val="clear" w:color="auto" w:fill="auto"/>
            <w:noWrap/>
            <w:vAlign w:val="center"/>
            <w:hideMark/>
          </w:tcPr>
          <w:p w14:paraId="10157F88"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2020/G01_01/000149</w:t>
            </w:r>
          </w:p>
        </w:tc>
        <w:tc>
          <w:tcPr>
            <w:tcW w:w="2532" w:type="dxa"/>
            <w:tcBorders>
              <w:top w:val="nil"/>
              <w:left w:val="nil"/>
              <w:bottom w:val="single" w:sz="4" w:space="0" w:color="auto"/>
              <w:right w:val="single" w:sz="4" w:space="0" w:color="auto"/>
            </w:tcBorders>
            <w:shd w:val="clear" w:color="auto" w:fill="auto"/>
            <w:noWrap/>
            <w:vAlign w:val="center"/>
            <w:hideMark/>
          </w:tcPr>
          <w:p w14:paraId="23CA387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Orihuela</w:t>
            </w:r>
          </w:p>
        </w:tc>
        <w:tc>
          <w:tcPr>
            <w:tcW w:w="2760" w:type="dxa"/>
            <w:tcBorders>
              <w:top w:val="nil"/>
              <w:left w:val="nil"/>
              <w:bottom w:val="single" w:sz="4" w:space="0" w:color="auto"/>
              <w:right w:val="single" w:sz="4" w:space="0" w:color="auto"/>
            </w:tcBorders>
            <w:shd w:val="clear" w:color="auto" w:fill="auto"/>
            <w:noWrap/>
            <w:vAlign w:val="center"/>
            <w:hideMark/>
          </w:tcPr>
          <w:p w14:paraId="1FE5A9B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Patrimonio</w:t>
            </w:r>
          </w:p>
        </w:tc>
        <w:tc>
          <w:tcPr>
            <w:tcW w:w="926" w:type="dxa"/>
            <w:tcBorders>
              <w:top w:val="nil"/>
              <w:left w:val="nil"/>
              <w:bottom w:val="single" w:sz="4" w:space="0" w:color="auto"/>
              <w:right w:val="single" w:sz="4" w:space="0" w:color="auto"/>
            </w:tcBorders>
            <w:shd w:val="clear" w:color="auto" w:fill="auto"/>
            <w:noWrap/>
            <w:vAlign w:val="center"/>
            <w:hideMark/>
          </w:tcPr>
          <w:p w14:paraId="48AD9672"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27/12/2021</w:t>
            </w:r>
          </w:p>
        </w:tc>
        <w:tc>
          <w:tcPr>
            <w:tcW w:w="1559" w:type="dxa"/>
            <w:tcBorders>
              <w:top w:val="nil"/>
              <w:left w:val="nil"/>
              <w:bottom w:val="single" w:sz="4" w:space="0" w:color="auto"/>
              <w:right w:val="single" w:sz="4" w:space="0" w:color="auto"/>
            </w:tcBorders>
            <w:shd w:val="clear" w:color="auto" w:fill="auto"/>
            <w:noWrap/>
            <w:vAlign w:val="center"/>
            <w:hideMark/>
          </w:tcPr>
          <w:p w14:paraId="467164A3"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072E9729"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2169C07C"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710A1E8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2C42E85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1F8A2E38"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7A1E31D4"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73</w:t>
            </w:r>
          </w:p>
        </w:tc>
        <w:tc>
          <w:tcPr>
            <w:tcW w:w="1495" w:type="dxa"/>
            <w:tcBorders>
              <w:top w:val="nil"/>
              <w:left w:val="nil"/>
              <w:bottom w:val="single" w:sz="4" w:space="0" w:color="auto"/>
              <w:right w:val="single" w:sz="4" w:space="0" w:color="auto"/>
            </w:tcBorders>
            <w:shd w:val="clear" w:color="auto" w:fill="auto"/>
            <w:noWrap/>
            <w:vAlign w:val="center"/>
            <w:hideMark/>
          </w:tcPr>
          <w:p w14:paraId="736A8494"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2020/G01_01/000070</w:t>
            </w:r>
          </w:p>
        </w:tc>
        <w:tc>
          <w:tcPr>
            <w:tcW w:w="2532" w:type="dxa"/>
            <w:tcBorders>
              <w:top w:val="nil"/>
              <w:left w:val="nil"/>
              <w:bottom w:val="single" w:sz="4" w:space="0" w:color="auto"/>
              <w:right w:val="single" w:sz="4" w:space="0" w:color="auto"/>
            </w:tcBorders>
            <w:shd w:val="clear" w:color="auto" w:fill="auto"/>
            <w:noWrap/>
            <w:vAlign w:val="center"/>
            <w:hideMark/>
          </w:tcPr>
          <w:p w14:paraId="586D17A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Chiva</w:t>
            </w:r>
          </w:p>
        </w:tc>
        <w:tc>
          <w:tcPr>
            <w:tcW w:w="2760" w:type="dxa"/>
            <w:tcBorders>
              <w:top w:val="nil"/>
              <w:left w:val="nil"/>
              <w:bottom w:val="single" w:sz="4" w:space="0" w:color="auto"/>
              <w:right w:val="single" w:sz="4" w:space="0" w:color="auto"/>
            </w:tcBorders>
            <w:shd w:val="clear" w:color="auto" w:fill="auto"/>
            <w:noWrap/>
            <w:vAlign w:val="center"/>
            <w:hideMark/>
          </w:tcPr>
          <w:p w14:paraId="6C304AA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Contratación</w:t>
            </w:r>
          </w:p>
        </w:tc>
        <w:tc>
          <w:tcPr>
            <w:tcW w:w="926" w:type="dxa"/>
            <w:tcBorders>
              <w:top w:val="nil"/>
              <w:left w:val="nil"/>
              <w:bottom w:val="single" w:sz="4" w:space="0" w:color="auto"/>
              <w:right w:val="single" w:sz="4" w:space="0" w:color="auto"/>
            </w:tcBorders>
            <w:shd w:val="clear" w:color="auto" w:fill="auto"/>
            <w:noWrap/>
            <w:vAlign w:val="center"/>
            <w:hideMark/>
          </w:tcPr>
          <w:p w14:paraId="13AE1B8E"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29/12/2021</w:t>
            </w:r>
          </w:p>
        </w:tc>
        <w:tc>
          <w:tcPr>
            <w:tcW w:w="1559" w:type="dxa"/>
            <w:tcBorders>
              <w:top w:val="nil"/>
              <w:left w:val="nil"/>
              <w:bottom w:val="single" w:sz="4" w:space="0" w:color="auto"/>
              <w:right w:val="single" w:sz="4" w:space="0" w:color="auto"/>
            </w:tcBorders>
            <w:shd w:val="clear" w:color="auto" w:fill="auto"/>
            <w:noWrap/>
            <w:vAlign w:val="center"/>
            <w:hideMark/>
          </w:tcPr>
          <w:p w14:paraId="1963D35B"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25B00973"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6D674DE0"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2F23870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01010785"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0FFFC6A5"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131BD6F7"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74</w:t>
            </w:r>
          </w:p>
        </w:tc>
        <w:tc>
          <w:tcPr>
            <w:tcW w:w="1495" w:type="dxa"/>
            <w:tcBorders>
              <w:top w:val="nil"/>
              <w:left w:val="nil"/>
              <w:bottom w:val="single" w:sz="4" w:space="0" w:color="auto"/>
              <w:right w:val="single" w:sz="4" w:space="0" w:color="auto"/>
            </w:tcBorders>
            <w:shd w:val="clear" w:color="auto" w:fill="auto"/>
            <w:noWrap/>
            <w:vAlign w:val="center"/>
            <w:hideMark/>
          </w:tcPr>
          <w:p w14:paraId="2E127EB0"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2020/G01_01/000017</w:t>
            </w:r>
          </w:p>
        </w:tc>
        <w:tc>
          <w:tcPr>
            <w:tcW w:w="2532" w:type="dxa"/>
            <w:tcBorders>
              <w:top w:val="nil"/>
              <w:left w:val="nil"/>
              <w:bottom w:val="single" w:sz="4" w:space="0" w:color="auto"/>
              <w:right w:val="single" w:sz="4" w:space="0" w:color="auto"/>
            </w:tcBorders>
            <w:shd w:val="clear" w:color="auto" w:fill="auto"/>
            <w:noWrap/>
            <w:vAlign w:val="center"/>
            <w:hideMark/>
          </w:tcPr>
          <w:p w14:paraId="1692E392"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Turís</w:t>
            </w:r>
          </w:p>
        </w:tc>
        <w:tc>
          <w:tcPr>
            <w:tcW w:w="2760" w:type="dxa"/>
            <w:tcBorders>
              <w:top w:val="nil"/>
              <w:left w:val="nil"/>
              <w:bottom w:val="single" w:sz="4" w:space="0" w:color="auto"/>
              <w:right w:val="single" w:sz="4" w:space="0" w:color="auto"/>
            </w:tcBorders>
            <w:shd w:val="clear" w:color="auto" w:fill="auto"/>
            <w:noWrap/>
            <w:vAlign w:val="center"/>
            <w:hideMark/>
          </w:tcPr>
          <w:p w14:paraId="1C3107A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Recursos humanos_selección</w:t>
            </w:r>
          </w:p>
        </w:tc>
        <w:tc>
          <w:tcPr>
            <w:tcW w:w="926" w:type="dxa"/>
            <w:tcBorders>
              <w:top w:val="nil"/>
              <w:left w:val="nil"/>
              <w:bottom w:val="single" w:sz="4" w:space="0" w:color="auto"/>
              <w:right w:val="single" w:sz="4" w:space="0" w:color="auto"/>
            </w:tcBorders>
            <w:shd w:val="clear" w:color="auto" w:fill="auto"/>
            <w:noWrap/>
            <w:vAlign w:val="center"/>
            <w:hideMark/>
          </w:tcPr>
          <w:p w14:paraId="1FFF8F4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31/12/2021</w:t>
            </w:r>
          </w:p>
        </w:tc>
        <w:tc>
          <w:tcPr>
            <w:tcW w:w="1559" w:type="dxa"/>
            <w:tcBorders>
              <w:top w:val="nil"/>
              <w:left w:val="nil"/>
              <w:bottom w:val="single" w:sz="4" w:space="0" w:color="auto"/>
              <w:right w:val="single" w:sz="4" w:space="0" w:color="auto"/>
            </w:tcBorders>
            <w:shd w:val="clear" w:color="auto" w:fill="auto"/>
            <w:noWrap/>
            <w:vAlign w:val="center"/>
            <w:hideMark/>
          </w:tcPr>
          <w:p w14:paraId="2A28BE26"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781372BC"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1D257DF6"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425E1890"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2EE1301E"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74A2A307" w14:textId="77777777" w:rsidTr="00CB79E1">
        <w:trPr>
          <w:cantSplit/>
          <w:trHeight w:val="20"/>
        </w:trPr>
        <w:tc>
          <w:tcPr>
            <w:tcW w:w="296" w:type="dxa"/>
            <w:tcBorders>
              <w:top w:val="nil"/>
              <w:left w:val="single" w:sz="4" w:space="0" w:color="auto"/>
              <w:bottom w:val="single" w:sz="4" w:space="0" w:color="auto"/>
              <w:right w:val="single" w:sz="4" w:space="0" w:color="auto"/>
            </w:tcBorders>
            <w:shd w:val="clear" w:color="auto" w:fill="auto"/>
            <w:noWrap/>
            <w:vAlign w:val="center"/>
            <w:hideMark/>
          </w:tcPr>
          <w:p w14:paraId="62744FF4"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75</w:t>
            </w:r>
          </w:p>
        </w:tc>
        <w:tc>
          <w:tcPr>
            <w:tcW w:w="1495" w:type="dxa"/>
            <w:tcBorders>
              <w:top w:val="nil"/>
              <w:left w:val="nil"/>
              <w:bottom w:val="single" w:sz="4" w:space="0" w:color="auto"/>
              <w:right w:val="single" w:sz="4" w:space="0" w:color="auto"/>
            </w:tcBorders>
            <w:shd w:val="clear" w:color="auto" w:fill="auto"/>
            <w:noWrap/>
            <w:vAlign w:val="center"/>
            <w:hideMark/>
          </w:tcPr>
          <w:p w14:paraId="232C1D55" w14:textId="77777777" w:rsidR="00DD5D78" w:rsidRPr="00DD5D78" w:rsidRDefault="00DD5D78" w:rsidP="00DD5D78">
            <w:pPr>
              <w:spacing w:before="60" w:after="60"/>
              <w:jc w:val="center"/>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2020/G01_01/000269</w:t>
            </w:r>
          </w:p>
        </w:tc>
        <w:tc>
          <w:tcPr>
            <w:tcW w:w="2532" w:type="dxa"/>
            <w:tcBorders>
              <w:top w:val="nil"/>
              <w:left w:val="nil"/>
              <w:bottom w:val="single" w:sz="4" w:space="0" w:color="auto"/>
              <w:right w:val="single" w:sz="4" w:space="0" w:color="auto"/>
            </w:tcBorders>
            <w:shd w:val="clear" w:color="auto" w:fill="auto"/>
            <w:noWrap/>
            <w:vAlign w:val="center"/>
            <w:hideMark/>
          </w:tcPr>
          <w:p w14:paraId="6E6E099D"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Ayuntamiento de Benidorm</w:t>
            </w:r>
          </w:p>
        </w:tc>
        <w:tc>
          <w:tcPr>
            <w:tcW w:w="2760" w:type="dxa"/>
            <w:tcBorders>
              <w:top w:val="nil"/>
              <w:left w:val="nil"/>
              <w:bottom w:val="single" w:sz="4" w:space="0" w:color="auto"/>
              <w:right w:val="single" w:sz="4" w:space="0" w:color="auto"/>
            </w:tcBorders>
            <w:shd w:val="clear" w:color="auto" w:fill="auto"/>
            <w:noWrap/>
            <w:vAlign w:val="center"/>
            <w:hideMark/>
          </w:tcPr>
          <w:p w14:paraId="0E73ADAC"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Urbanismo_licencias</w:t>
            </w:r>
          </w:p>
        </w:tc>
        <w:tc>
          <w:tcPr>
            <w:tcW w:w="926" w:type="dxa"/>
            <w:tcBorders>
              <w:top w:val="nil"/>
              <w:left w:val="nil"/>
              <w:bottom w:val="single" w:sz="4" w:space="0" w:color="auto"/>
              <w:right w:val="single" w:sz="4" w:space="0" w:color="auto"/>
            </w:tcBorders>
            <w:shd w:val="clear" w:color="auto" w:fill="auto"/>
            <w:noWrap/>
            <w:vAlign w:val="center"/>
            <w:hideMark/>
          </w:tcPr>
          <w:p w14:paraId="06DA46AD"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31/12/2021</w:t>
            </w:r>
          </w:p>
        </w:tc>
        <w:tc>
          <w:tcPr>
            <w:tcW w:w="1559" w:type="dxa"/>
            <w:tcBorders>
              <w:top w:val="nil"/>
              <w:left w:val="nil"/>
              <w:bottom w:val="single" w:sz="4" w:space="0" w:color="auto"/>
              <w:right w:val="single" w:sz="4" w:space="0" w:color="auto"/>
            </w:tcBorders>
            <w:shd w:val="clear" w:color="auto" w:fill="auto"/>
            <w:noWrap/>
            <w:vAlign w:val="center"/>
            <w:hideMark/>
          </w:tcPr>
          <w:p w14:paraId="7ED60E3F"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Recomendaciones</w:t>
            </w:r>
          </w:p>
        </w:tc>
        <w:tc>
          <w:tcPr>
            <w:tcW w:w="1134" w:type="dxa"/>
            <w:tcBorders>
              <w:top w:val="nil"/>
              <w:left w:val="nil"/>
              <w:bottom w:val="single" w:sz="4" w:space="0" w:color="auto"/>
              <w:right w:val="single" w:sz="4" w:space="0" w:color="auto"/>
            </w:tcBorders>
            <w:shd w:val="clear" w:color="auto" w:fill="auto"/>
            <w:noWrap/>
            <w:vAlign w:val="center"/>
            <w:hideMark/>
          </w:tcPr>
          <w:p w14:paraId="74ED77F3"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992" w:type="dxa"/>
            <w:tcBorders>
              <w:top w:val="nil"/>
              <w:left w:val="nil"/>
              <w:bottom w:val="single" w:sz="4" w:space="0" w:color="auto"/>
              <w:right w:val="single" w:sz="4" w:space="0" w:color="auto"/>
            </w:tcBorders>
            <w:shd w:val="clear" w:color="auto" w:fill="auto"/>
            <w:noWrap/>
            <w:vAlign w:val="center"/>
            <w:hideMark/>
          </w:tcPr>
          <w:p w14:paraId="551FA93A" w14:textId="77777777" w:rsidR="00DD5D78" w:rsidRPr="00DD5D78" w:rsidRDefault="00DD5D78" w:rsidP="00DD5D78">
            <w:pPr>
              <w:spacing w:before="60" w:after="60"/>
              <w:jc w:val="right"/>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 xml:space="preserve"> N/p </w:t>
            </w:r>
          </w:p>
        </w:tc>
        <w:tc>
          <w:tcPr>
            <w:tcW w:w="1183" w:type="dxa"/>
            <w:tcBorders>
              <w:top w:val="nil"/>
              <w:left w:val="nil"/>
              <w:bottom w:val="single" w:sz="4" w:space="0" w:color="auto"/>
              <w:right w:val="single" w:sz="4" w:space="0" w:color="auto"/>
            </w:tcBorders>
            <w:shd w:val="clear" w:color="auto" w:fill="auto"/>
            <w:vAlign w:val="center"/>
            <w:hideMark/>
          </w:tcPr>
          <w:p w14:paraId="3AABEAF7"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N/p</w:t>
            </w:r>
          </w:p>
        </w:tc>
        <w:tc>
          <w:tcPr>
            <w:tcW w:w="1246" w:type="dxa"/>
            <w:tcBorders>
              <w:top w:val="nil"/>
              <w:left w:val="nil"/>
              <w:bottom w:val="single" w:sz="4" w:space="0" w:color="auto"/>
              <w:right w:val="single" w:sz="4" w:space="0" w:color="auto"/>
            </w:tcBorders>
            <w:shd w:val="clear" w:color="auto" w:fill="auto"/>
            <w:vAlign w:val="center"/>
            <w:hideMark/>
          </w:tcPr>
          <w:p w14:paraId="7061D7D9" w14:textId="77777777" w:rsidR="00DD5D78" w:rsidRPr="00DD5D78" w:rsidRDefault="00DD5D78" w:rsidP="00DD5D78">
            <w:pPr>
              <w:spacing w:before="60" w:after="60"/>
              <w:rPr>
                <w:rFonts w:ascii="Arial" w:eastAsia="Times New Roman" w:hAnsi="Arial"/>
                <w:color w:val="000000"/>
                <w:sz w:val="14"/>
                <w:szCs w:val="14"/>
                <w:lang w:eastAsia="es-ES"/>
              </w:rPr>
            </w:pPr>
            <w:r w:rsidRPr="00DD5D78">
              <w:rPr>
                <w:rFonts w:ascii="Arial" w:eastAsia="Times New Roman" w:hAnsi="Arial"/>
                <w:color w:val="000000"/>
                <w:sz w:val="14"/>
                <w:szCs w:val="14"/>
                <w:lang w:eastAsia="es-ES"/>
              </w:rPr>
              <w:t>En trámite</w:t>
            </w:r>
          </w:p>
        </w:tc>
      </w:tr>
      <w:tr w:rsidR="00DD5D78" w:rsidRPr="00DD5D78" w14:paraId="446D7DC2" w14:textId="77777777" w:rsidTr="00CB79E1">
        <w:trPr>
          <w:cantSplit/>
          <w:trHeight w:val="20"/>
        </w:trPr>
        <w:tc>
          <w:tcPr>
            <w:tcW w:w="296" w:type="dxa"/>
            <w:tcBorders>
              <w:top w:val="nil"/>
              <w:left w:val="nil"/>
              <w:bottom w:val="nil"/>
              <w:right w:val="nil"/>
            </w:tcBorders>
            <w:shd w:val="clear" w:color="auto" w:fill="auto"/>
            <w:noWrap/>
            <w:vAlign w:val="center"/>
            <w:hideMark/>
          </w:tcPr>
          <w:p w14:paraId="1E5545D8" w14:textId="77777777" w:rsidR="00DD5D78" w:rsidRPr="00DD5D78" w:rsidRDefault="00DD5D78" w:rsidP="00DD5D78">
            <w:pPr>
              <w:spacing w:before="60" w:after="60"/>
              <w:rPr>
                <w:rFonts w:ascii="Arial" w:eastAsia="Times New Roman" w:hAnsi="Arial"/>
                <w:b/>
                <w:bCs/>
                <w:color w:val="000000"/>
                <w:sz w:val="14"/>
                <w:szCs w:val="14"/>
                <w:lang w:eastAsia="es-ES"/>
              </w:rPr>
            </w:pPr>
          </w:p>
        </w:tc>
        <w:tc>
          <w:tcPr>
            <w:tcW w:w="1495" w:type="dxa"/>
            <w:tcBorders>
              <w:top w:val="nil"/>
              <w:left w:val="nil"/>
              <w:bottom w:val="nil"/>
              <w:right w:val="nil"/>
            </w:tcBorders>
            <w:shd w:val="clear" w:color="auto" w:fill="auto"/>
            <w:noWrap/>
            <w:vAlign w:val="center"/>
            <w:hideMark/>
          </w:tcPr>
          <w:p w14:paraId="48654483" w14:textId="77777777" w:rsidR="00DD5D78" w:rsidRPr="00DD5D78" w:rsidRDefault="00DD5D78" w:rsidP="00DD5D78">
            <w:pPr>
              <w:spacing w:before="60" w:after="60"/>
              <w:rPr>
                <w:rFonts w:ascii="Arial" w:eastAsia="Times New Roman" w:hAnsi="Arial"/>
                <w:b/>
                <w:bCs/>
                <w:sz w:val="14"/>
                <w:szCs w:val="14"/>
                <w:lang w:eastAsia="es-ES"/>
              </w:rPr>
            </w:pPr>
          </w:p>
        </w:tc>
        <w:tc>
          <w:tcPr>
            <w:tcW w:w="2532" w:type="dxa"/>
            <w:tcBorders>
              <w:top w:val="nil"/>
              <w:left w:val="nil"/>
              <w:bottom w:val="nil"/>
              <w:right w:val="nil"/>
            </w:tcBorders>
            <w:shd w:val="clear" w:color="auto" w:fill="auto"/>
            <w:noWrap/>
            <w:vAlign w:val="center"/>
            <w:hideMark/>
          </w:tcPr>
          <w:p w14:paraId="700235A5" w14:textId="77777777" w:rsidR="00DD5D78" w:rsidRPr="00DD5D78" w:rsidRDefault="00DD5D78" w:rsidP="00DD5D78">
            <w:pPr>
              <w:spacing w:before="60" w:after="60"/>
              <w:rPr>
                <w:rFonts w:ascii="Arial" w:eastAsia="Times New Roman" w:hAnsi="Arial"/>
                <w:b/>
                <w:bCs/>
                <w:sz w:val="14"/>
                <w:szCs w:val="14"/>
                <w:lang w:eastAsia="es-ES"/>
              </w:rPr>
            </w:pPr>
          </w:p>
        </w:tc>
        <w:tc>
          <w:tcPr>
            <w:tcW w:w="2760" w:type="dxa"/>
            <w:tcBorders>
              <w:top w:val="nil"/>
              <w:left w:val="nil"/>
              <w:bottom w:val="nil"/>
              <w:right w:val="nil"/>
            </w:tcBorders>
            <w:shd w:val="clear" w:color="auto" w:fill="auto"/>
            <w:noWrap/>
            <w:vAlign w:val="center"/>
            <w:hideMark/>
          </w:tcPr>
          <w:p w14:paraId="1FD0F5E7" w14:textId="77777777" w:rsidR="00DD5D78" w:rsidRPr="00DD5D78" w:rsidRDefault="00DD5D78" w:rsidP="00DD5D78">
            <w:pPr>
              <w:spacing w:before="60" w:after="60"/>
              <w:rPr>
                <w:rFonts w:ascii="Arial" w:eastAsia="Times New Roman" w:hAnsi="Arial"/>
                <w:b/>
                <w:bCs/>
                <w:sz w:val="14"/>
                <w:szCs w:val="14"/>
                <w:lang w:eastAsia="es-ES"/>
              </w:rPr>
            </w:pPr>
          </w:p>
        </w:tc>
        <w:tc>
          <w:tcPr>
            <w:tcW w:w="926" w:type="dxa"/>
            <w:tcBorders>
              <w:top w:val="nil"/>
              <w:left w:val="nil"/>
              <w:bottom w:val="nil"/>
              <w:right w:val="nil"/>
            </w:tcBorders>
            <w:shd w:val="clear" w:color="auto" w:fill="auto"/>
            <w:noWrap/>
            <w:vAlign w:val="center"/>
            <w:hideMark/>
          </w:tcPr>
          <w:p w14:paraId="2E76553E" w14:textId="77777777" w:rsidR="00DD5D78" w:rsidRPr="00DD5D78" w:rsidRDefault="00DD5D78" w:rsidP="00DD5D78">
            <w:pPr>
              <w:spacing w:before="60" w:after="60"/>
              <w:rPr>
                <w:rFonts w:ascii="Arial" w:eastAsia="Times New Roman" w:hAnsi="Arial"/>
                <w:b/>
                <w:bCs/>
                <w:sz w:val="14"/>
                <w:szCs w:val="14"/>
                <w:lang w:eastAsia="es-ES"/>
              </w:rPr>
            </w:pPr>
          </w:p>
        </w:tc>
        <w:tc>
          <w:tcPr>
            <w:tcW w:w="1559" w:type="dxa"/>
            <w:tcBorders>
              <w:top w:val="nil"/>
              <w:left w:val="nil"/>
              <w:bottom w:val="nil"/>
              <w:right w:val="nil"/>
            </w:tcBorders>
            <w:shd w:val="clear" w:color="auto" w:fill="auto"/>
            <w:noWrap/>
            <w:vAlign w:val="center"/>
            <w:hideMark/>
          </w:tcPr>
          <w:p w14:paraId="0CB0F974" w14:textId="77777777" w:rsidR="00DD5D78" w:rsidRPr="00DD5D78" w:rsidRDefault="00DD5D78" w:rsidP="00DD5D78">
            <w:pPr>
              <w:spacing w:before="60" w:after="60"/>
              <w:rPr>
                <w:rFonts w:ascii="Arial" w:eastAsia="Times New Roman" w:hAnsi="Arial"/>
                <w:b/>
                <w:bCs/>
                <w:sz w:val="14"/>
                <w:szCs w:val="14"/>
                <w:lang w:eastAsia="es-ES"/>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E8704" w14:textId="77777777" w:rsidR="00DD5D78" w:rsidRPr="00DD5D78" w:rsidRDefault="00DD5D78" w:rsidP="00DD5D78">
            <w:pPr>
              <w:spacing w:before="60" w:after="60"/>
              <w:jc w:val="right"/>
              <w:rPr>
                <w:rFonts w:ascii="Arial" w:eastAsia="Times New Roman" w:hAnsi="Arial"/>
                <w:b/>
                <w:bCs/>
                <w:color w:val="000000"/>
                <w:sz w:val="14"/>
                <w:szCs w:val="14"/>
                <w:lang w:eastAsia="es-ES"/>
              </w:rPr>
            </w:pPr>
            <w:r w:rsidRPr="00DD5D78">
              <w:rPr>
                <w:rFonts w:ascii="Arial" w:eastAsia="Times New Roman" w:hAnsi="Arial"/>
                <w:b/>
                <w:bCs/>
                <w:color w:val="000000"/>
                <w:sz w:val="14"/>
                <w:szCs w:val="14"/>
                <w:lang w:eastAsia="es-ES"/>
              </w:rPr>
              <w:t>23.315.890,38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16EA747" w14:textId="77777777" w:rsidR="00DD5D78" w:rsidRPr="00DD5D78" w:rsidRDefault="00DD5D78" w:rsidP="00DD5D78">
            <w:pPr>
              <w:spacing w:before="60" w:after="60"/>
              <w:jc w:val="right"/>
              <w:rPr>
                <w:rFonts w:ascii="Arial" w:eastAsia="Times New Roman" w:hAnsi="Arial"/>
                <w:b/>
                <w:bCs/>
                <w:color w:val="000000"/>
                <w:sz w:val="14"/>
                <w:szCs w:val="14"/>
                <w:lang w:eastAsia="es-ES"/>
              </w:rPr>
            </w:pPr>
            <w:r w:rsidRPr="00DD5D78">
              <w:rPr>
                <w:rFonts w:ascii="Arial" w:eastAsia="Times New Roman" w:hAnsi="Arial"/>
                <w:b/>
                <w:bCs/>
                <w:color w:val="000000"/>
                <w:sz w:val="14"/>
                <w:szCs w:val="14"/>
                <w:lang w:eastAsia="es-ES"/>
              </w:rPr>
              <w:t>524.905,59</w:t>
            </w:r>
          </w:p>
        </w:tc>
        <w:tc>
          <w:tcPr>
            <w:tcW w:w="1183" w:type="dxa"/>
            <w:tcBorders>
              <w:top w:val="nil"/>
              <w:left w:val="nil"/>
              <w:bottom w:val="nil"/>
              <w:right w:val="nil"/>
            </w:tcBorders>
            <w:shd w:val="clear" w:color="auto" w:fill="auto"/>
            <w:vAlign w:val="center"/>
            <w:hideMark/>
          </w:tcPr>
          <w:p w14:paraId="1D142E54" w14:textId="77777777" w:rsidR="00DD5D78" w:rsidRPr="00DD5D78" w:rsidRDefault="00DD5D78" w:rsidP="00DD5D78">
            <w:pPr>
              <w:spacing w:before="60" w:after="60"/>
              <w:jc w:val="right"/>
              <w:rPr>
                <w:rFonts w:ascii="Arial" w:eastAsia="Times New Roman" w:hAnsi="Arial"/>
                <w:b/>
                <w:bCs/>
                <w:color w:val="000000"/>
                <w:sz w:val="14"/>
                <w:szCs w:val="14"/>
                <w:lang w:eastAsia="es-ES"/>
              </w:rPr>
            </w:pPr>
          </w:p>
        </w:tc>
        <w:tc>
          <w:tcPr>
            <w:tcW w:w="1246" w:type="dxa"/>
            <w:tcBorders>
              <w:top w:val="nil"/>
              <w:left w:val="nil"/>
              <w:bottom w:val="nil"/>
              <w:right w:val="nil"/>
            </w:tcBorders>
            <w:shd w:val="clear" w:color="auto" w:fill="auto"/>
            <w:vAlign w:val="center"/>
            <w:hideMark/>
          </w:tcPr>
          <w:p w14:paraId="2A4216B2" w14:textId="77777777" w:rsidR="00DD5D78" w:rsidRPr="00DD5D78" w:rsidRDefault="00DD5D78" w:rsidP="00DD5D78">
            <w:pPr>
              <w:spacing w:before="60" w:after="60"/>
              <w:rPr>
                <w:rFonts w:ascii="Arial" w:eastAsia="Times New Roman" w:hAnsi="Arial"/>
                <w:b/>
                <w:bCs/>
                <w:sz w:val="14"/>
                <w:szCs w:val="14"/>
                <w:lang w:eastAsia="es-ES"/>
              </w:rPr>
            </w:pPr>
          </w:p>
        </w:tc>
      </w:tr>
    </w:tbl>
    <w:p w14:paraId="1C6D7F5E" w14:textId="77777777" w:rsidR="00923884" w:rsidRPr="00923884" w:rsidRDefault="00923884" w:rsidP="00923884">
      <w:pPr>
        <w:spacing w:after="120" w:line="276" w:lineRule="auto"/>
        <w:jc w:val="both"/>
        <w:rPr>
          <w:rFonts w:ascii="Arial" w:eastAsia="Times New Roman" w:hAnsi="Arial" w:cs="Arial"/>
          <w:sz w:val="21"/>
          <w:szCs w:val="21"/>
          <w:lang w:eastAsia="es-ES"/>
        </w:rPr>
      </w:pPr>
    </w:p>
    <w:p w14:paraId="0CABFF12" w14:textId="77777777" w:rsidR="00DD5D78" w:rsidRPr="00D93A24" w:rsidRDefault="00DD5D78" w:rsidP="00DD5D78">
      <w:pPr>
        <w:spacing w:after="240" w:line="276" w:lineRule="auto"/>
        <w:jc w:val="both"/>
        <w:rPr>
          <w:rFonts w:ascii="Arial" w:eastAsia="Times New Roman" w:hAnsi="Arial" w:cs="Arial"/>
          <w:sz w:val="21"/>
          <w:szCs w:val="21"/>
          <w:lang w:eastAsia="es-ES"/>
        </w:rPr>
      </w:pPr>
      <w:r w:rsidRPr="00D93A24">
        <w:rPr>
          <w:rFonts w:ascii="Arial" w:eastAsia="Times New Roman" w:hAnsi="Arial" w:cs="Arial"/>
          <w:sz w:val="21"/>
          <w:szCs w:val="21"/>
          <w:lang w:eastAsia="es-ES"/>
        </w:rPr>
        <w:t>En la tabla anterior se muestra un cuadro resumen del detalle de las 7</w:t>
      </w:r>
      <w:r>
        <w:rPr>
          <w:rFonts w:ascii="Arial" w:eastAsia="Times New Roman" w:hAnsi="Arial" w:cs="Arial"/>
          <w:sz w:val="21"/>
          <w:szCs w:val="21"/>
          <w:lang w:eastAsia="es-ES"/>
        </w:rPr>
        <w:t>5</w:t>
      </w:r>
      <w:r w:rsidRPr="00D93A24">
        <w:rPr>
          <w:rFonts w:ascii="Arial" w:eastAsia="Times New Roman" w:hAnsi="Arial" w:cs="Arial"/>
          <w:sz w:val="21"/>
          <w:szCs w:val="21"/>
          <w:lang w:eastAsia="es-ES"/>
        </w:rPr>
        <w:t xml:space="preserve"> investigaciones finalizadas</w:t>
      </w:r>
      <w:r>
        <w:rPr>
          <w:rFonts w:ascii="Arial" w:eastAsia="Times New Roman" w:hAnsi="Arial" w:cs="Arial"/>
          <w:sz w:val="21"/>
          <w:szCs w:val="21"/>
          <w:lang w:eastAsia="es-ES"/>
        </w:rPr>
        <w:t xml:space="preserve"> en 2021</w:t>
      </w:r>
      <w:r w:rsidRPr="00D93A24">
        <w:rPr>
          <w:rFonts w:ascii="Arial" w:eastAsia="Times New Roman" w:hAnsi="Arial" w:cs="Arial"/>
          <w:sz w:val="21"/>
          <w:szCs w:val="21"/>
          <w:lang w:eastAsia="es-ES"/>
        </w:rPr>
        <w:t xml:space="preserve">, en el que se recoge, en </w:t>
      </w:r>
      <w:r>
        <w:rPr>
          <w:rFonts w:ascii="Arial" w:eastAsia="Times New Roman" w:hAnsi="Arial" w:cs="Arial"/>
          <w:sz w:val="21"/>
          <w:szCs w:val="21"/>
          <w:lang w:eastAsia="es-ES"/>
        </w:rPr>
        <w:t>su caso</w:t>
      </w:r>
      <w:r w:rsidRPr="00D93A24">
        <w:rPr>
          <w:rFonts w:ascii="Arial" w:eastAsia="Times New Roman" w:hAnsi="Arial" w:cs="Arial"/>
          <w:sz w:val="21"/>
          <w:szCs w:val="21"/>
          <w:lang w:eastAsia="es-ES"/>
        </w:rPr>
        <w:t xml:space="preserve">, </w:t>
      </w:r>
      <w:r>
        <w:rPr>
          <w:rFonts w:ascii="Arial" w:eastAsia="Times New Roman" w:hAnsi="Arial" w:cs="Arial"/>
          <w:sz w:val="21"/>
          <w:szCs w:val="21"/>
          <w:lang w:eastAsia="es-ES"/>
        </w:rPr>
        <w:t xml:space="preserve">bien </w:t>
      </w:r>
      <w:r w:rsidRPr="00D93A24">
        <w:rPr>
          <w:rFonts w:ascii="Arial" w:eastAsia="Times New Roman" w:hAnsi="Arial" w:cs="Arial"/>
          <w:sz w:val="21"/>
          <w:szCs w:val="21"/>
          <w:lang w:eastAsia="es-ES"/>
        </w:rPr>
        <w:t xml:space="preserve">el importe susceptible de recuperación cuantificado por esta Agencia, </w:t>
      </w:r>
      <w:r>
        <w:rPr>
          <w:rFonts w:ascii="Arial" w:eastAsia="Times New Roman" w:hAnsi="Arial" w:cs="Arial"/>
          <w:sz w:val="21"/>
          <w:szCs w:val="21"/>
          <w:lang w:eastAsia="es-ES"/>
        </w:rPr>
        <w:t>bien</w:t>
      </w:r>
      <w:r w:rsidRPr="00D93A24">
        <w:rPr>
          <w:rFonts w:ascii="Arial" w:eastAsia="Times New Roman" w:hAnsi="Arial" w:cs="Arial"/>
          <w:sz w:val="21"/>
          <w:szCs w:val="21"/>
          <w:lang w:eastAsia="es-ES"/>
        </w:rPr>
        <w:t xml:space="preserve"> el importe que finalmente ha sido recuperado</w:t>
      </w:r>
      <w:r>
        <w:rPr>
          <w:rFonts w:ascii="Arial" w:eastAsia="Times New Roman" w:hAnsi="Arial" w:cs="Arial"/>
          <w:sz w:val="21"/>
          <w:szCs w:val="21"/>
          <w:lang w:eastAsia="es-ES"/>
        </w:rPr>
        <w:t xml:space="preserve"> por</w:t>
      </w:r>
      <w:r w:rsidRPr="00D93A24">
        <w:rPr>
          <w:rFonts w:ascii="Arial" w:eastAsia="Times New Roman" w:hAnsi="Arial" w:cs="Arial"/>
          <w:sz w:val="21"/>
          <w:szCs w:val="21"/>
          <w:lang w:eastAsia="es-ES"/>
        </w:rPr>
        <w:t xml:space="preserve"> la administración afectada.</w:t>
      </w:r>
    </w:p>
    <w:p w14:paraId="1938C43E" w14:textId="3D6510A8" w:rsidR="00923884" w:rsidRPr="00D93A24" w:rsidRDefault="00DD5D78" w:rsidP="00DD5D78">
      <w:pPr>
        <w:spacing w:after="240" w:line="276" w:lineRule="auto"/>
        <w:jc w:val="both"/>
        <w:rPr>
          <w:rFonts w:ascii="Arial" w:eastAsia="Times New Roman" w:hAnsi="Arial" w:cs="Arial"/>
          <w:b/>
          <w:bCs/>
          <w:sz w:val="21"/>
          <w:szCs w:val="21"/>
          <w:lang w:eastAsia="es-ES"/>
        </w:rPr>
      </w:pPr>
      <w:r w:rsidRPr="00D93A24">
        <w:rPr>
          <w:rFonts w:ascii="Arial" w:eastAsia="Times New Roman" w:hAnsi="Arial" w:cs="Arial"/>
          <w:sz w:val="21"/>
          <w:szCs w:val="21"/>
          <w:lang w:eastAsia="es-ES"/>
        </w:rPr>
        <w:t>Visto el importe total recuperable correspondiente al ejercicio 2021 (23.315.890,38 €) y teniendo en consideración las obligaciones reconocidas netas (ORN)</w:t>
      </w:r>
      <w:r>
        <w:rPr>
          <w:rFonts w:ascii="Arial" w:eastAsia="Times New Roman" w:hAnsi="Arial" w:cs="Arial"/>
          <w:sz w:val="21"/>
          <w:szCs w:val="21"/>
          <w:lang w:eastAsia="es-ES"/>
        </w:rPr>
        <w:t>,</w:t>
      </w:r>
      <w:r w:rsidRPr="00D93A24">
        <w:rPr>
          <w:rFonts w:ascii="Arial" w:eastAsia="Times New Roman" w:hAnsi="Arial" w:cs="Arial"/>
          <w:sz w:val="21"/>
          <w:szCs w:val="21"/>
          <w:lang w:eastAsia="es-ES"/>
        </w:rPr>
        <w:t xml:space="preserve"> extraídas de la estimación de la liquidación del presupuesto de la AVAF correspondiente al ejercicio 2021 (una vez descontadas las ORN en concepto de devolución de los remanentes no empleados de transferencias recibidas)</w:t>
      </w:r>
      <w:r>
        <w:rPr>
          <w:rFonts w:ascii="Arial" w:eastAsia="Times New Roman" w:hAnsi="Arial" w:cs="Arial"/>
          <w:sz w:val="21"/>
          <w:szCs w:val="21"/>
          <w:lang w:eastAsia="es-ES"/>
        </w:rPr>
        <w:t>,</w:t>
      </w:r>
      <w:r w:rsidRPr="00D93A24">
        <w:rPr>
          <w:rFonts w:ascii="Arial" w:eastAsia="Times New Roman" w:hAnsi="Arial" w:cs="Arial"/>
          <w:sz w:val="21"/>
          <w:szCs w:val="21"/>
          <w:lang w:eastAsia="es-ES"/>
        </w:rPr>
        <w:t xml:space="preserve"> que ascienden a 3.029.033,82 €, se obtiene un ratio </w:t>
      </w:r>
      <w:r>
        <w:rPr>
          <w:rFonts w:ascii="Arial" w:eastAsia="Times New Roman" w:hAnsi="Arial" w:cs="Arial"/>
          <w:sz w:val="21"/>
          <w:szCs w:val="21"/>
          <w:lang w:eastAsia="es-ES"/>
        </w:rPr>
        <w:t xml:space="preserve">de </w:t>
      </w:r>
      <w:r w:rsidRPr="00D93A24">
        <w:rPr>
          <w:rFonts w:ascii="Arial" w:eastAsia="Times New Roman" w:hAnsi="Arial" w:cs="Arial"/>
          <w:sz w:val="21"/>
          <w:szCs w:val="21"/>
          <w:lang w:eastAsia="es-ES"/>
        </w:rPr>
        <w:t>retorno económico estimado anual sobre importe recuperable del 769,75%.</w:t>
      </w:r>
    </w:p>
    <w:p w14:paraId="74EC1FC9" w14:textId="77777777" w:rsidR="00D93A24" w:rsidRPr="00D93A24" w:rsidRDefault="00D93A24" w:rsidP="00D93A24">
      <w:pPr>
        <w:spacing w:after="240" w:line="276" w:lineRule="auto"/>
        <w:jc w:val="both"/>
        <w:rPr>
          <w:rFonts w:ascii="Arial" w:eastAsia="Times New Roman" w:hAnsi="Arial" w:cs="Arial"/>
          <w:sz w:val="21"/>
          <w:szCs w:val="21"/>
          <w:lang w:eastAsia="es-ES"/>
        </w:rPr>
        <w:sectPr w:rsidR="00D93A24" w:rsidRPr="00D93A24" w:rsidSect="00003D16">
          <w:pgSz w:w="16838" w:h="11906" w:orient="landscape"/>
          <w:pgMar w:top="1701" w:right="1417" w:bottom="1701" w:left="1417" w:header="708" w:footer="708" w:gutter="0"/>
          <w:cols w:space="708"/>
          <w:docGrid w:linePitch="360"/>
        </w:sectPr>
      </w:pPr>
    </w:p>
    <w:p w14:paraId="193B5E9B" w14:textId="12C1D1BD" w:rsidR="00C300DB" w:rsidRPr="00C300DB" w:rsidRDefault="00C300DB" w:rsidP="00AC1A12">
      <w:pPr>
        <w:pStyle w:val="Prrafodelista"/>
        <w:keepNext/>
        <w:numPr>
          <w:ilvl w:val="1"/>
          <w:numId w:val="17"/>
        </w:numPr>
        <w:spacing w:before="360" w:after="240" w:line="276" w:lineRule="auto"/>
        <w:ind w:left="851" w:hanging="851"/>
        <w:jc w:val="both"/>
        <w:outlineLvl w:val="1"/>
        <w:rPr>
          <w:rFonts w:ascii="Arial" w:eastAsia="Times New Roman" w:hAnsi="Arial" w:cs="Arial"/>
          <w:b/>
          <w:color w:val="9D2235" w:themeColor="accent1"/>
          <w:sz w:val="32"/>
          <w:szCs w:val="32"/>
        </w:rPr>
      </w:pPr>
      <w:bookmarkStart w:id="406" w:name="_Toc95672335"/>
      <w:bookmarkStart w:id="407" w:name="_Toc99107090"/>
      <w:r w:rsidRPr="00C300DB">
        <w:rPr>
          <w:rFonts w:ascii="Arial" w:eastAsia="Times New Roman" w:hAnsi="Arial" w:cs="Arial"/>
          <w:b/>
          <w:color w:val="9D2235" w:themeColor="accent1"/>
          <w:sz w:val="32"/>
          <w:szCs w:val="32"/>
        </w:rPr>
        <w:t xml:space="preserve">Administraciones y entidades que no han aceptado las recomendaciones de la </w:t>
      </w:r>
      <w:r w:rsidR="00263D20">
        <w:rPr>
          <w:rFonts w:ascii="Arial" w:eastAsia="Times New Roman" w:hAnsi="Arial" w:cs="Arial"/>
          <w:b/>
          <w:color w:val="9D2235" w:themeColor="accent1"/>
          <w:sz w:val="32"/>
          <w:szCs w:val="32"/>
        </w:rPr>
        <w:t>A</w:t>
      </w:r>
      <w:r w:rsidRPr="00C300DB">
        <w:rPr>
          <w:rFonts w:ascii="Arial" w:eastAsia="Times New Roman" w:hAnsi="Arial" w:cs="Arial"/>
          <w:b/>
          <w:color w:val="9D2235" w:themeColor="accent1"/>
          <w:sz w:val="32"/>
          <w:szCs w:val="32"/>
        </w:rPr>
        <w:t>gencia en las investigaciones finalizadas</w:t>
      </w:r>
      <w:bookmarkEnd w:id="406"/>
      <w:bookmarkEnd w:id="407"/>
    </w:p>
    <w:p w14:paraId="6DD15050" w14:textId="77777777" w:rsidR="005631AC" w:rsidRPr="00F445B0" w:rsidRDefault="005631AC" w:rsidP="005631AC">
      <w:pPr>
        <w:autoSpaceDE w:val="0"/>
        <w:autoSpaceDN w:val="0"/>
        <w:adjustRightInd w:val="0"/>
        <w:spacing w:line="276" w:lineRule="auto"/>
        <w:jc w:val="both"/>
        <w:rPr>
          <w:rFonts w:ascii="Arial" w:hAnsi="Arial"/>
          <w:sz w:val="21"/>
          <w:szCs w:val="21"/>
        </w:rPr>
      </w:pPr>
      <w:r w:rsidRPr="00F445B0">
        <w:rPr>
          <w:rFonts w:ascii="Arial" w:hAnsi="Arial"/>
          <w:sz w:val="21"/>
          <w:szCs w:val="21"/>
        </w:rPr>
        <w:t>El artículo 40.4 del Reglamento de funcionamiento y régimen interior de la Agencia de 27 de junio de 2019 (DOGV núm. 8582, de 2.07.2019) establece que la Agencia comprobará que las autoridades competentes aplican las medidas administrativas, financieras, legislativas o disciplinarias que les ha recomendado, realizando su seguimiento mediante las actuaciones que considere adecuadas.</w:t>
      </w:r>
    </w:p>
    <w:p w14:paraId="1203063A" w14:textId="77777777" w:rsidR="005631AC" w:rsidRPr="00F445B0" w:rsidRDefault="005631AC" w:rsidP="005631AC">
      <w:pPr>
        <w:autoSpaceDE w:val="0"/>
        <w:autoSpaceDN w:val="0"/>
        <w:adjustRightInd w:val="0"/>
        <w:spacing w:line="276" w:lineRule="auto"/>
        <w:jc w:val="both"/>
        <w:rPr>
          <w:rFonts w:ascii="Arial" w:hAnsi="Arial"/>
          <w:sz w:val="21"/>
          <w:szCs w:val="21"/>
        </w:rPr>
      </w:pPr>
      <w:r w:rsidRPr="00F445B0">
        <w:rPr>
          <w:rFonts w:ascii="Arial" w:hAnsi="Arial"/>
          <w:sz w:val="21"/>
          <w:szCs w:val="21"/>
        </w:rPr>
        <w:t>El apartado 5 del citado artículo recoge que</w:t>
      </w:r>
      <w:r>
        <w:rPr>
          <w:rFonts w:ascii="Arial" w:hAnsi="Arial"/>
          <w:sz w:val="21"/>
          <w:szCs w:val="21"/>
        </w:rPr>
        <w:t>,</w:t>
      </w:r>
      <w:r w:rsidRPr="00F445B0">
        <w:rPr>
          <w:rFonts w:ascii="Arial" w:hAnsi="Arial"/>
          <w:sz w:val="21"/>
          <w:szCs w:val="21"/>
        </w:rPr>
        <w:t xml:space="preserve"> en caso de que las autoridades afectadas no apliquen las recomendaciones propuestas ni justifiquen su inaplicación, la Agencia debe hacerlo constar en la </w:t>
      </w:r>
      <w:r>
        <w:rPr>
          <w:rFonts w:ascii="Arial" w:hAnsi="Arial"/>
          <w:sz w:val="21"/>
          <w:szCs w:val="21"/>
        </w:rPr>
        <w:t>Memoria</w:t>
      </w:r>
      <w:r w:rsidRPr="00F445B0">
        <w:rPr>
          <w:rFonts w:ascii="Arial" w:hAnsi="Arial"/>
          <w:sz w:val="21"/>
          <w:szCs w:val="21"/>
        </w:rPr>
        <w:t xml:space="preserve"> anual o en un informe extraordinario a l</w:t>
      </w:r>
      <w:r>
        <w:rPr>
          <w:rFonts w:ascii="Arial" w:hAnsi="Arial"/>
          <w:sz w:val="21"/>
          <w:szCs w:val="21"/>
        </w:rPr>
        <w:t>a</w:t>
      </w:r>
      <w:r w:rsidRPr="00F445B0">
        <w:rPr>
          <w:rFonts w:ascii="Arial" w:hAnsi="Arial"/>
          <w:sz w:val="21"/>
          <w:szCs w:val="21"/>
        </w:rPr>
        <w:t>s Corts, según corresponda. En cualquier caso, antes de hacer constar expresamente el incumplimiento, la Agencia debe comunicarlo, con la propuesta de memoria o informe, a la persona u órgano afectados a fin de que aleguen lo que crean conveniente.</w:t>
      </w:r>
    </w:p>
    <w:p w14:paraId="01DC2C56" w14:textId="1912879C" w:rsidR="005631AC" w:rsidRPr="00F445B0" w:rsidRDefault="005631AC" w:rsidP="005631AC">
      <w:pPr>
        <w:autoSpaceDE w:val="0"/>
        <w:autoSpaceDN w:val="0"/>
        <w:adjustRightInd w:val="0"/>
        <w:spacing w:line="276" w:lineRule="auto"/>
        <w:jc w:val="both"/>
        <w:rPr>
          <w:rFonts w:ascii="Arial" w:hAnsi="Arial"/>
          <w:sz w:val="21"/>
          <w:szCs w:val="21"/>
        </w:rPr>
      </w:pPr>
      <w:r w:rsidRPr="00F445B0">
        <w:rPr>
          <w:rFonts w:ascii="Arial" w:hAnsi="Arial"/>
          <w:sz w:val="21"/>
          <w:szCs w:val="21"/>
        </w:rPr>
        <w:t xml:space="preserve">Durante el año 2021 han sido 4 administraciones y entes públicos, referidos a 5 expedientes, los que no han aceptado e incumplido las recomendaciones emitidas por la Agencia en las </w:t>
      </w:r>
      <w:r>
        <w:rPr>
          <w:rFonts w:ascii="Arial" w:hAnsi="Arial"/>
          <w:sz w:val="21"/>
          <w:szCs w:val="21"/>
        </w:rPr>
        <w:t xml:space="preserve">correspondientes </w:t>
      </w:r>
      <w:r w:rsidRPr="00F445B0">
        <w:rPr>
          <w:rFonts w:ascii="Arial" w:hAnsi="Arial"/>
          <w:sz w:val="21"/>
          <w:szCs w:val="21"/>
        </w:rPr>
        <w:t>resoluciones de conclusi</w:t>
      </w:r>
      <w:r>
        <w:rPr>
          <w:rFonts w:ascii="Arial" w:hAnsi="Arial"/>
          <w:sz w:val="21"/>
          <w:szCs w:val="21"/>
        </w:rPr>
        <w:t>ó</w:t>
      </w:r>
      <w:r w:rsidRPr="00F445B0">
        <w:rPr>
          <w:rFonts w:ascii="Arial" w:hAnsi="Arial"/>
          <w:sz w:val="21"/>
          <w:szCs w:val="21"/>
        </w:rPr>
        <w:t>n de investigaciones,</w:t>
      </w:r>
      <w:r>
        <w:rPr>
          <w:rFonts w:ascii="Arial" w:hAnsi="Arial"/>
          <w:sz w:val="21"/>
          <w:szCs w:val="21"/>
        </w:rPr>
        <w:t xml:space="preserve"> </w:t>
      </w:r>
      <w:r w:rsidRPr="00F445B0">
        <w:rPr>
          <w:rFonts w:ascii="Arial" w:hAnsi="Arial"/>
          <w:sz w:val="21"/>
          <w:szCs w:val="21"/>
        </w:rPr>
        <w:t xml:space="preserve">habiéndose resuelto expresamente mediante Resolución del director hacerlo constar en la </w:t>
      </w:r>
      <w:r>
        <w:rPr>
          <w:rFonts w:ascii="Arial" w:hAnsi="Arial"/>
          <w:sz w:val="21"/>
          <w:szCs w:val="21"/>
        </w:rPr>
        <w:t>Memoria</w:t>
      </w:r>
      <w:r w:rsidRPr="00F445B0">
        <w:rPr>
          <w:rFonts w:ascii="Arial" w:hAnsi="Arial"/>
          <w:sz w:val="21"/>
          <w:szCs w:val="21"/>
        </w:rPr>
        <w:t xml:space="preserve"> anual de 2021. En concreto</w:t>
      </w:r>
      <w:r>
        <w:rPr>
          <w:rFonts w:ascii="Arial" w:hAnsi="Arial"/>
          <w:sz w:val="21"/>
          <w:szCs w:val="21"/>
        </w:rPr>
        <w:t>,</w:t>
      </w:r>
      <w:r w:rsidRPr="00F445B0">
        <w:rPr>
          <w:rFonts w:ascii="Arial" w:hAnsi="Arial"/>
          <w:sz w:val="21"/>
          <w:szCs w:val="21"/>
        </w:rPr>
        <w:t xml:space="preserve"> las administraciones y entes públicos que no han aceptado las recomendaciones de la Agencia han sido </w:t>
      </w:r>
      <w:r w:rsidRPr="00F445B0">
        <w:rPr>
          <w:rFonts w:ascii="Arial" w:hAnsi="Arial"/>
          <w:b/>
          <w:bCs/>
          <w:sz w:val="21"/>
          <w:szCs w:val="21"/>
        </w:rPr>
        <w:t xml:space="preserve">tres </w:t>
      </w:r>
      <w:r>
        <w:rPr>
          <w:rFonts w:ascii="Arial" w:hAnsi="Arial"/>
          <w:b/>
          <w:bCs/>
          <w:sz w:val="21"/>
          <w:szCs w:val="21"/>
        </w:rPr>
        <w:t>A</w:t>
      </w:r>
      <w:r w:rsidRPr="00F445B0">
        <w:rPr>
          <w:rFonts w:ascii="Arial" w:hAnsi="Arial"/>
          <w:b/>
          <w:bCs/>
          <w:sz w:val="21"/>
          <w:szCs w:val="21"/>
        </w:rPr>
        <w:t>yuntamientos</w:t>
      </w:r>
      <w:r w:rsidRPr="00F445B0">
        <w:rPr>
          <w:rFonts w:ascii="Arial" w:hAnsi="Arial"/>
          <w:sz w:val="21"/>
          <w:szCs w:val="21"/>
        </w:rPr>
        <w:t xml:space="preserve">, los de </w:t>
      </w:r>
      <w:r w:rsidRPr="00F445B0">
        <w:rPr>
          <w:rFonts w:ascii="Arial" w:hAnsi="Arial"/>
          <w:b/>
          <w:bCs/>
          <w:sz w:val="21"/>
          <w:szCs w:val="21"/>
        </w:rPr>
        <w:t>València</w:t>
      </w:r>
      <w:r w:rsidRPr="00F445B0">
        <w:rPr>
          <w:rFonts w:ascii="Arial" w:hAnsi="Arial"/>
          <w:sz w:val="21"/>
          <w:szCs w:val="21"/>
        </w:rPr>
        <w:t xml:space="preserve"> (en dos investigaciones), </w:t>
      </w:r>
      <w:r w:rsidRPr="00F445B0">
        <w:rPr>
          <w:rFonts w:ascii="Arial" w:hAnsi="Arial"/>
          <w:b/>
          <w:bCs/>
          <w:sz w:val="21"/>
          <w:szCs w:val="21"/>
        </w:rPr>
        <w:t>Cofrentes y Rojales</w:t>
      </w:r>
      <w:r w:rsidRPr="00F445B0">
        <w:rPr>
          <w:rFonts w:ascii="Arial" w:hAnsi="Arial"/>
          <w:sz w:val="21"/>
          <w:szCs w:val="21"/>
        </w:rPr>
        <w:t xml:space="preserve">, y </w:t>
      </w:r>
      <w:r w:rsidRPr="00F445B0">
        <w:rPr>
          <w:rFonts w:ascii="Arial" w:hAnsi="Arial"/>
          <w:b/>
          <w:bCs/>
          <w:sz w:val="21"/>
          <w:szCs w:val="21"/>
        </w:rPr>
        <w:t>el Institut Valencià de Cultura</w:t>
      </w:r>
      <w:r w:rsidRPr="00F445B0">
        <w:rPr>
          <w:rFonts w:ascii="Arial" w:hAnsi="Arial"/>
          <w:sz w:val="21"/>
          <w:szCs w:val="21"/>
        </w:rPr>
        <w:t xml:space="preserve"> (IVC).</w:t>
      </w:r>
    </w:p>
    <w:p w14:paraId="15166F7B" w14:textId="31706C16" w:rsidR="00C300DB" w:rsidRPr="00C300DB" w:rsidRDefault="00C300DB"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08" w:name="_Toc99107091"/>
      <w:r w:rsidRPr="00C300DB">
        <w:rPr>
          <w:rFonts w:ascii="Arial" w:eastAsia="Times New Roman" w:hAnsi="Arial" w:cs="Arial"/>
          <w:b/>
          <w:bCs/>
          <w:color w:val="9D2235" w:themeColor="accent1"/>
          <w:sz w:val="28"/>
          <w:szCs w:val="28"/>
          <w:lang w:eastAsia="es-ES"/>
        </w:rPr>
        <w:t>Incumplimientos de recomendaciones del Ayuntamiento de València</w:t>
      </w:r>
      <w:bookmarkEnd w:id="408"/>
    </w:p>
    <w:p w14:paraId="0D9A0399" w14:textId="2DEE7C1D" w:rsidR="00560CDD" w:rsidRPr="00560CDD" w:rsidRDefault="00560CDD" w:rsidP="00AC1A12">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4"/>
          <w:szCs w:val="24"/>
          <w:lang w:eastAsia="es-ES"/>
        </w:rPr>
      </w:pPr>
      <w:r w:rsidRPr="00560CDD">
        <w:rPr>
          <w:rFonts w:ascii="Arial" w:eastAsia="Times New Roman" w:hAnsi="Arial" w:cs="Arial"/>
          <w:b/>
          <w:bCs/>
          <w:color w:val="9D2235" w:themeColor="accent1"/>
          <w:sz w:val="24"/>
          <w:szCs w:val="24"/>
          <w:lang w:eastAsia="es-ES"/>
        </w:rPr>
        <w:t>Expediente: 2020/G01_01/00055. Ayuntamiento de València. Gastos realizados sin respetar el procedimiento legalmente establecido en materia de contratación</w:t>
      </w:r>
    </w:p>
    <w:p w14:paraId="003783ED" w14:textId="77777777" w:rsidR="005631AC" w:rsidRPr="00560CDD" w:rsidRDefault="005631AC" w:rsidP="005631AC">
      <w:pPr>
        <w:spacing w:after="240" w:line="276" w:lineRule="auto"/>
        <w:jc w:val="both"/>
        <w:rPr>
          <w:rFonts w:ascii="Arial" w:eastAsia="Times New Roman" w:hAnsi="Arial" w:cs="Arial"/>
          <w:sz w:val="21"/>
          <w:szCs w:val="21"/>
          <w:lang w:eastAsia="es-ES"/>
        </w:rPr>
      </w:pPr>
      <w:r w:rsidRPr="00A3687D">
        <w:rPr>
          <w:rFonts w:ascii="Arial" w:eastAsia="Times New Roman" w:hAnsi="Arial" w:cs="Arial"/>
          <w:b/>
          <w:bCs/>
          <w:sz w:val="21"/>
          <w:szCs w:val="21"/>
          <w:lang w:eastAsia="es-ES"/>
        </w:rPr>
        <w:t>Descripción:</w:t>
      </w:r>
      <w:r w:rsidRPr="00A3687D">
        <w:rPr>
          <w:rFonts w:ascii="Arial" w:eastAsia="Times New Roman" w:hAnsi="Arial" w:cs="Arial"/>
          <w:sz w:val="21"/>
          <w:szCs w:val="21"/>
          <w:lang w:eastAsia="es-ES"/>
        </w:rPr>
        <w:t xml:space="preserve"> Los hechos denunciados se concretaron en que el Ayuntamiento de València es titular de tres Centros Ocupacionales Municipales, en los cuales el servicio de comedor se había venido gestionando de manera indirecta a través de contrato administrativo de servicios. Tras decidir no prorrogar el contrato formalizado el 30 de diciembre de 2015 con una mercantil, la concejala delegada de Servicios Sociales del Ayuntamiento, mediante moción del 22 de septiembre de 2017, realiza el encargo directo del servicio de comedor de los COM, desde el 2 de octubre de 2017, a favor de otra mercantil, situación que se mantuvo hasta el momento en que se produjo la adjudicación del nuevo contrato, el 12 de marzo de 2020.</w:t>
      </w:r>
    </w:p>
    <w:p w14:paraId="6CCCC821" w14:textId="77777777" w:rsidR="005631AC" w:rsidRPr="00560CDD" w:rsidRDefault="005631AC" w:rsidP="005631AC">
      <w:pPr>
        <w:spacing w:after="240" w:line="276" w:lineRule="auto"/>
        <w:jc w:val="both"/>
        <w:rPr>
          <w:rFonts w:ascii="Arial" w:eastAsia="Times New Roman" w:hAnsi="Arial" w:cs="Arial"/>
          <w:sz w:val="21"/>
          <w:szCs w:val="21"/>
          <w:lang w:eastAsia="es-ES"/>
        </w:rPr>
      </w:pPr>
      <w:r w:rsidRPr="00560CDD">
        <w:rPr>
          <w:rFonts w:ascii="Arial" w:eastAsia="Times New Roman" w:hAnsi="Arial" w:cs="Arial"/>
          <w:sz w:val="21"/>
          <w:szCs w:val="21"/>
          <w:lang w:eastAsia="es-ES"/>
        </w:rPr>
        <w:t xml:space="preserve">Se estuvo prestando el servicio sin contrato desde el 1 de octubre de 2017 hasta el 13 de marzo de 2020, es decir durante dos años, cuatro meses y 13 días, periodo sin cobertura contractual en el que se le estuvo abonando un precio unitario de menú superior al marcado por el mercado, tomando como referencia el precio surgido de la última licitación en concurrencia competitiva </w:t>
      </w:r>
      <w:r>
        <w:rPr>
          <w:rFonts w:ascii="Arial" w:eastAsia="Times New Roman" w:hAnsi="Arial" w:cs="Arial"/>
          <w:sz w:val="21"/>
          <w:szCs w:val="21"/>
          <w:lang w:eastAsia="es-ES"/>
        </w:rPr>
        <w:t>ofrecido por la</w:t>
      </w:r>
      <w:r w:rsidRPr="00560CDD">
        <w:rPr>
          <w:rFonts w:ascii="Arial" w:eastAsia="Times New Roman" w:hAnsi="Arial" w:cs="Arial"/>
          <w:sz w:val="21"/>
          <w:szCs w:val="21"/>
          <w:lang w:eastAsia="es-ES"/>
        </w:rPr>
        <w:t xml:space="preserve"> adjudicatari</w:t>
      </w:r>
      <w:r>
        <w:rPr>
          <w:rFonts w:ascii="Arial" w:eastAsia="Times New Roman" w:hAnsi="Arial" w:cs="Arial"/>
          <w:sz w:val="21"/>
          <w:szCs w:val="21"/>
          <w:lang w:eastAsia="es-ES"/>
        </w:rPr>
        <w:t>a. El</w:t>
      </w:r>
      <w:r w:rsidRPr="00560CDD">
        <w:rPr>
          <w:rFonts w:ascii="Arial" w:eastAsia="Times New Roman" w:hAnsi="Arial" w:cs="Arial"/>
          <w:sz w:val="21"/>
          <w:szCs w:val="21"/>
          <w:lang w:eastAsia="es-ES"/>
        </w:rPr>
        <w:t xml:space="preserve"> coste abonado por el Ayuntamiento de València</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superior al precio de mercado</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se ha cuantificado en 91.908’17 € IVA incluido. </w:t>
      </w:r>
    </w:p>
    <w:p w14:paraId="18BF869F" w14:textId="07267A34" w:rsidR="00C300DB" w:rsidRPr="00C300DB" w:rsidRDefault="005631AC" w:rsidP="005631AC">
      <w:pPr>
        <w:spacing w:after="240" w:line="276" w:lineRule="auto"/>
        <w:jc w:val="both"/>
        <w:rPr>
          <w:rFonts w:ascii="Arial" w:eastAsia="Times New Roman" w:hAnsi="Arial" w:cs="Arial"/>
          <w:sz w:val="21"/>
          <w:szCs w:val="21"/>
          <w:lang w:eastAsia="es-ES"/>
        </w:rPr>
      </w:pPr>
      <w:r w:rsidRPr="00560CDD">
        <w:rPr>
          <w:rFonts w:ascii="Arial" w:eastAsia="Times New Roman" w:hAnsi="Arial" w:cs="Arial"/>
          <w:sz w:val="21"/>
          <w:szCs w:val="21"/>
          <w:lang w:eastAsia="es-ES"/>
        </w:rPr>
        <w:t xml:space="preserve">Se recomendó la revisión de oficio y la reclamación </w:t>
      </w:r>
      <w:r>
        <w:rPr>
          <w:rFonts w:ascii="Arial" w:eastAsia="Times New Roman" w:hAnsi="Arial" w:cs="Arial"/>
          <w:sz w:val="21"/>
          <w:szCs w:val="21"/>
          <w:lang w:eastAsia="es-ES"/>
        </w:rPr>
        <w:t>de dicho</w:t>
      </w:r>
      <w:r w:rsidRPr="00560CDD">
        <w:rPr>
          <w:rFonts w:ascii="Arial" w:eastAsia="Times New Roman" w:hAnsi="Arial" w:cs="Arial"/>
          <w:sz w:val="21"/>
          <w:szCs w:val="21"/>
          <w:lang w:eastAsia="es-ES"/>
        </w:rPr>
        <w:t xml:space="preserve"> importe</w:t>
      </w:r>
      <w:r>
        <w:rPr>
          <w:rFonts w:ascii="Arial" w:eastAsia="Times New Roman" w:hAnsi="Arial" w:cs="Arial"/>
          <w:sz w:val="21"/>
          <w:szCs w:val="21"/>
          <w:lang w:eastAsia="es-ES"/>
        </w:rPr>
        <w:t>.</w:t>
      </w:r>
    </w:p>
    <w:p w14:paraId="7192524D" w14:textId="507451B0" w:rsidR="00560CDD" w:rsidRPr="00560CDD" w:rsidRDefault="00560CDD" w:rsidP="00AC1A12">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4"/>
          <w:szCs w:val="24"/>
          <w:lang w:eastAsia="es-ES"/>
        </w:rPr>
      </w:pPr>
      <w:r w:rsidRPr="00560CDD">
        <w:rPr>
          <w:rFonts w:ascii="Arial" w:eastAsia="Times New Roman" w:hAnsi="Arial" w:cs="Arial"/>
          <w:b/>
          <w:bCs/>
          <w:color w:val="9D2235" w:themeColor="accent1"/>
          <w:sz w:val="24"/>
          <w:szCs w:val="24"/>
          <w:lang w:eastAsia="es-ES"/>
        </w:rPr>
        <w:t>Expediente: 2020/G01_01/000013. Ayuntamiento de València. Justificación de subvención acción contra el hambre fuera de plazo</w:t>
      </w:r>
    </w:p>
    <w:p w14:paraId="0620F198" w14:textId="77777777" w:rsidR="005631AC" w:rsidRPr="00560CDD" w:rsidRDefault="005631AC" w:rsidP="005631AC">
      <w:pPr>
        <w:spacing w:after="240" w:line="276" w:lineRule="auto"/>
        <w:jc w:val="both"/>
        <w:rPr>
          <w:rFonts w:ascii="Arial" w:eastAsia="Times New Roman" w:hAnsi="Arial" w:cs="Arial"/>
          <w:sz w:val="21"/>
          <w:szCs w:val="21"/>
          <w:lang w:eastAsia="es-ES"/>
        </w:rPr>
      </w:pPr>
      <w:r w:rsidRPr="00560CDD">
        <w:rPr>
          <w:rFonts w:ascii="Arial" w:eastAsia="Times New Roman" w:hAnsi="Arial" w:cs="Arial"/>
          <w:b/>
          <w:bCs/>
          <w:sz w:val="21"/>
          <w:szCs w:val="21"/>
          <w:lang w:eastAsia="es-ES"/>
        </w:rPr>
        <w:t xml:space="preserve">Descripción: </w:t>
      </w:r>
      <w:r w:rsidRPr="00560CDD">
        <w:rPr>
          <w:rFonts w:ascii="Arial" w:eastAsia="Times New Roman" w:hAnsi="Arial" w:cs="Arial"/>
          <w:sz w:val="21"/>
          <w:szCs w:val="21"/>
          <w:lang w:eastAsia="es-ES"/>
        </w:rPr>
        <w:t xml:space="preserve">Los hechos denunciados se concretaron en el incumplimiento del plazo para justificar la subvención de 30.000 </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otorgada a una entidad</w:t>
      </w:r>
      <w:r w:rsidRPr="00560CDD">
        <w:rPr>
          <w:rFonts w:ascii="Arial" w:eastAsia="Times New Roman" w:hAnsi="Arial" w:cs="Arial"/>
          <w:i/>
          <w:iCs/>
          <w:sz w:val="21"/>
          <w:szCs w:val="21"/>
          <w:lang w:eastAsia="es-ES"/>
        </w:rPr>
        <w:t>.</w:t>
      </w:r>
      <w:r w:rsidRPr="00560CDD">
        <w:rPr>
          <w:rFonts w:ascii="Arial" w:eastAsia="Times New Roman" w:hAnsi="Arial" w:cs="Arial"/>
          <w:sz w:val="21"/>
          <w:szCs w:val="21"/>
          <w:lang w:eastAsia="es-ES"/>
        </w:rPr>
        <w:t xml:space="preserve"> </w:t>
      </w:r>
    </w:p>
    <w:p w14:paraId="38E10E24" w14:textId="77777777" w:rsidR="005631AC" w:rsidRPr="00560CDD" w:rsidRDefault="005631AC" w:rsidP="005631AC">
      <w:pPr>
        <w:spacing w:after="240" w:line="276" w:lineRule="auto"/>
        <w:jc w:val="both"/>
        <w:rPr>
          <w:rFonts w:ascii="Arial" w:eastAsia="Times New Roman" w:hAnsi="Arial" w:cs="Arial"/>
          <w:sz w:val="21"/>
          <w:szCs w:val="21"/>
          <w:lang w:eastAsia="es-ES"/>
        </w:rPr>
      </w:pPr>
      <w:r w:rsidRPr="00560CDD">
        <w:rPr>
          <w:rFonts w:ascii="Arial" w:eastAsia="Times New Roman" w:hAnsi="Arial" w:cs="Arial"/>
          <w:sz w:val="21"/>
          <w:szCs w:val="21"/>
          <w:lang w:eastAsia="es-ES"/>
        </w:rPr>
        <w:t>Tras la instrucción del oportuno procedimiento de investigación, se acreditó que</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finalizando en plazo de justificación de la subvención</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en fecha 17 de diciembre de 2018</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esta se presentó el 29 de enero de 2019. La justificación se presentó antes de ser cursado requerimiento de justificación a la entidad beneficiaria de la subvención.</w:t>
      </w:r>
    </w:p>
    <w:p w14:paraId="6076D412" w14:textId="2CE83E37" w:rsidR="005631AC" w:rsidRPr="00560CDD" w:rsidRDefault="005631AC" w:rsidP="005631AC">
      <w:pPr>
        <w:spacing w:after="240" w:line="276" w:lineRule="auto"/>
        <w:jc w:val="both"/>
        <w:rPr>
          <w:rFonts w:ascii="Arial" w:eastAsia="Times New Roman" w:hAnsi="Arial" w:cs="Arial"/>
          <w:sz w:val="21"/>
          <w:szCs w:val="21"/>
          <w:lang w:eastAsia="es-ES"/>
        </w:rPr>
      </w:pPr>
      <w:r w:rsidRPr="00560CDD">
        <w:rPr>
          <w:rFonts w:ascii="Arial" w:eastAsia="Times New Roman" w:hAnsi="Arial" w:cs="Arial"/>
          <w:sz w:val="21"/>
          <w:szCs w:val="21"/>
          <w:lang w:eastAsia="es-ES"/>
        </w:rPr>
        <w:t>Se recomendó al Ayuntamiento de València que se dicten instrucciones internas a los servicios gestores de subvenciones</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que recojan expresamente que una vez transcurrido el plazo para la justificación de la subvención se debe iniciar el procedimiento de reintegro correspondiente, y para ello</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de forma previa</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debe requerirse al beneficiario para que en el plazo improrrogable de quince días sea presentada la justificación.</w:t>
      </w:r>
      <w:r w:rsidRPr="00560CDD">
        <w:rPr>
          <w:rFonts w:ascii="Arial" w:eastAsia="Times New Roman" w:hAnsi="Arial" w:cs="Arial"/>
          <w:b/>
          <w:bCs/>
          <w:sz w:val="21"/>
          <w:szCs w:val="21"/>
          <w:lang w:eastAsia="es-ES"/>
        </w:rPr>
        <w:t xml:space="preserve"> </w:t>
      </w:r>
      <w:r w:rsidRPr="00560CDD">
        <w:rPr>
          <w:rFonts w:ascii="Arial" w:eastAsia="Times New Roman" w:hAnsi="Arial" w:cs="Arial"/>
          <w:sz w:val="21"/>
          <w:szCs w:val="21"/>
          <w:lang w:eastAsia="es-ES"/>
        </w:rPr>
        <w:t xml:space="preserve">La falta de presentación de la justificación en el plazo establecido llevará consigo la exigencia del reintegro y demás responsabilidades establecidas en la Ley General de Subvenciones. Además, se deberá acordar el inicio de </w:t>
      </w:r>
      <w:r>
        <w:rPr>
          <w:rFonts w:ascii="Arial" w:eastAsia="Times New Roman" w:hAnsi="Arial" w:cs="Arial"/>
          <w:sz w:val="21"/>
          <w:szCs w:val="21"/>
          <w:lang w:eastAsia="es-ES"/>
        </w:rPr>
        <w:t xml:space="preserve">la </w:t>
      </w:r>
      <w:r w:rsidRPr="00560CDD">
        <w:rPr>
          <w:rFonts w:ascii="Arial" w:eastAsia="Times New Roman" w:hAnsi="Arial" w:cs="Arial"/>
          <w:sz w:val="21"/>
          <w:szCs w:val="21"/>
          <w:lang w:eastAsia="es-ES"/>
        </w:rPr>
        <w:t>exigencia de responsabilidades contra el beneficiario de la subvención nominativa otorgada en este expediente</w:t>
      </w:r>
      <w:r w:rsidRPr="00560CDD">
        <w:rPr>
          <w:rFonts w:ascii="Arial" w:eastAsia="Times New Roman" w:hAnsi="Arial" w:cs="Arial"/>
          <w:i/>
          <w:iCs/>
          <w:sz w:val="21"/>
          <w:szCs w:val="21"/>
          <w:lang w:eastAsia="es-ES"/>
        </w:rPr>
        <w:t>.</w:t>
      </w:r>
    </w:p>
    <w:p w14:paraId="6BE45AA1" w14:textId="16A6229E" w:rsidR="00560CDD" w:rsidRPr="00560CDD" w:rsidRDefault="00560CDD"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09" w:name="_Toc99107092"/>
      <w:r w:rsidRPr="00560CDD">
        <w:rPr>
          <w:rFonts w:ascii="Arial" w:eastAsia="Times New Roman" w:hAnsi="Arial" w:cs="Arial"/>
          <w:b/>
          <w:bCs/>
          <w:color w:val="9D2235" w:themeColor="accent1"/>
          <w:sz w:val="28"/>
          <w:szCs w:val="28"/>
          <w:lang w:eastAsia="es-ES"/>
        </w:rPr>
        <w:t>Incumplimientos de recomendaciones del Ayuntamiento de Cofrentes</w:t>
      </w:r>
      <w:bookmarkEnd w:id="409"/>
    </w:p>
    <w:p w14:paraId="6CFB43CD" w14:textId="031503FA" w:rsidR="00560CDD" w:rsidRPr="00560CDD" w:rsidRDefault="00560CDD" w:rsidP="00AC1A12">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4"/>
          <w:szCs w:val="24"/>
          <w:lang w:eastAsia="es-ES"/>
        </w:rPr>
      </w:pPr>
      <w:r w:rsidRPr="00560CDD">
        <w:rPr>
          <w:rFonts w:ascii="Arial" w:eastAsia="Times New Roman" w:hAnsi="Arial" w:cs="Arial"/>
          <w:b/>
          <w:bCs/>
          <w:color w:val="9D2235" w:themeColor="accent1"/>
          <w:sz w:val="24"/>
          <w:szCs w:val="24"/>
          <w:lang w:eastAsia="es-ES"/>
        </w:rPr>
        <w:t>Expediente: 2020/G01_01/000216 [59/2019] Ayuntamiento de Cofrentes, múltiples irregularidades en procedimientos de contratación</w:t>
      </w:r>
    </w:p>
    <w:p w14:paraId="534AD75D" w14:textId="77777777" w:rsidR="005631AC" w:rsidRPr="00560CDD" w:rsidRDefault="005631AC" w:rsidP="005631AC">
      <w:pPr>
        <w:spacing w:after="240" w:line="276" w:lineRule="auto"/>
        <w:jc w:val="both"/>
        <w:rPr>
          <w:rFonts w:ascii="Arial" w:eastAsia="Times New Roman" w:hAnsi="Arial" w:cs="Arial"/>
          <w:sz w:val="21"/>
          <w:szCs w:val="21"/>
          <w:lang w:eastAsia="es-ES"/>
        </w:rPr>
      </w:pPr>
      <w:r w:rsidRPr="00560CDD">
        <w:rPr>
          <w:rFonts w:ascii="Arial" w:eastAsia="Times New Roman" w:hAnsi="Arial" w:cs="Arial"/>
          <w:b/>
          <w:bCs/>
          <w:sz w:val="21"/>
          <w:szCs w:val="21"/>
          <w:lang w:eastAsia="es-ES"/>
        </w:rPr>
        <w:t>Descripción:</w:t>
      </w:r>
      <w:r w:rsidRPr="00560CDD">
        <w:rPr>
          <w:rFonts w:ascii="Arial" w:eastAsia="Times New Roman" w:hAnsi="Arial" w:cs="Arial"/>
          <w:sz w:val="21"/>
          <w:szCs w:val="21"/>
          <w:lang w:eastAsia="es-ES"/>
        </w:rPr>
        <w:t xml:space="preserve"> Los hechos denunciados se concretaron</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por un lado</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en el fraccionamiento del objeto del contrato de redes sociales desde 2017 a 2020, tres de ellos además con la misma empresa, y por otro lado, con relación a los contratos de suministros de cestas de </w:t>
      </w:r>
      <w:r>
        <w:rPr>
          <w:rFonts w:ascii="Arial" w:eastAsia="Times New Roman" w:hAnsi="Arial" w:cs="Arial"/>
          <w:sz w:val="21"/>
          <w:szCs w:val="21"/>
          <w:lang w:eastAsia="es-ES"/>
        </w:rPr>
        <w:t>N</w:t>
      </w:r>
      <w:r w:rsidRPr="00560CDD">
        <w:rPr>
          <w:rFonts w:ascii="Arial" w:eastAsia="Times New Roman" w:hAnsi="Arial" w:cs="Arial"/>
          <w:sz w:val="21"/>
          <w:szCs w:val="21"/>
          <w:lang w:eastAsia="es-ES"/>
        </w:rPr>
        <w:t>avidad</w:t>
      </w:r>
      <w:r>
        <w:rPr>
          <w:rFonts w:ascii="Arial" w:eastAsia="Times New Roman" w:hAnsi="Arial" w:cs="Arial"/>
          <w:sz w:val="21"/>
          <w:szCs w:val="21"/>
          <w:lang w:eastAsia="es-ES"/>
        </w:rPr>
        <w:t>. N</w:t>
      </w:r>
      <w:r w:rsidRPr="00560CDD">
        <w:rPr>
          <w:rFonts w:ascii="Arial" w:eastAsia="Times New Roman" w:hAnsi="Arial" w:cs="Arial"/>
          <w:sz w:val="21"/>
          <w:szCs w:val="21"/>
          <w:lang w:eastAsia="es-ES"/>
        </w:rPr>
        <w:t>o qued</w:t>
      </w:r>
      <w:r>
        <w:rPr>
          <w:rFonts w:ascii="Arial" w:eastAsia="Times New Roman" w:hAnsi="Arial" w:cs="Arial"/>
          <w:sz w:val="21"/>
          <w:szCs w:val="21"/>
          <w:lang w:eastAsia="es-ES"/>
        </w:rPr>
        <w:t>ó</w:t>
      </w:r>
      <w:r w:rsidRPr="00560CDD">
        <w:rPr>
          <w:rFonts w:ascii="Arial" w:eastAsia="Times New Roman" w:hAnsi="Arial" w:cs="Arial"/>
          <w:sz w:val="21"/>
          <w:szCs w:val="21"/>
          <w:lang w:eastAsia="es-ES"/>
        </w:rPr>
        <w:t xml:space="preserve"> justificada la necesidad de los mismos</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ni el cumplimiento de fin público alguno</w:t>
      </w:r>
      <w:r>
        <w:rPr>
          <w:rFonts w:ascii="Arial" w:eastAsia="Times New Roman" w:hAnsi="Arial" w:cs="Arial"/>
          <w:sz w:val="21"/>
          <w:szCs w:val="21"/>
          <w:lang w:eastAsia="es-ES"/>
        </w:rPr>
        <w:t>.</w:t>
      </w:r>
    </w:p>
    <w:p w14:paraId="7934DB2E" w14:textId="77777777" w:rsidR="005631AC" w:rsidRPr="00560CDD" w:rsidRDefault="005631AC" w:rsidP="005631AC">
      <w:pPr>
        <w:spacing w:after="240" w:line="276" w:lineRule="auto"/>
        <w:jc w:val="both"/>
        <w:rPr>
          <w:rFonts w:ascii="Arial" w:eastAsia="Times New Roman" w:hAnsi="Arial" w:cs="Arial"/>
          <w:sz w:val="21"/>
          <w:szCs w:val="21"/>
          <w:lang w:eastAsia="es-ES"/>
        </w:rPr>
      </w:pPr>
      <w:r w:rsidRPr="00560CDD">
        <w:rPr>
          <w:rFonts w:ascii="Arial" w:eastAsia="Times New Roman" w:hAnsi="Arial" w:cs="Arial"/>
          <w:sz w:val="21"/>
          <w:szCs w:val="21"/>
          <w:lang w:eastAsia="es-ES"/>
        </w:rPr>
        <w:t>Tras la instrucción del oportuno procedimiento de investigación</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se alcanzaron las siguientes conclusiones</w:t>
      </w:r>
      <w:r>
        <w:rPr>
          <w:rFonts w:ascii="Arial" w:eastAsia="Times New Roman" w:hAnsi="Arial" w:cs="Arial"/>
          <w:sz w:val="21"/>
          <w:szCs w:val="21"/>
          <w:lang w:eastAsia="es-ES"/>
        </w:rPr>
        <w:t>: P</w:t>
      </w:r>
      <w:r w:rsidRPr="00560CDD">
        <w:rPr>
          <w:rFonts w:ascii="Arial" w:eastAsia="Times New Roman" w:hAnsi="Arial" w:cs="Arial"/>
          <w:sz w:val="21"/>
          <w:szCs w:val="21"/>
          <w:lang w:eastAsia="es-ES"/>
        </w:rPr>
        <w:t>or un parte</w:t>
      </w:r>
      <w:r>
        <w:rPr>
          <w:rFonts w:ascii="Arial" w:eastAsia="Times New Roman" w:hAnsi="Arial" w:cs="Arial"/>
          <w:sz w:val="21"/>
          <w:szCs w:val="21"/>
          <w:lang w:eastAsia="es-ES"/>
        </w:rPr>
        <w:t>, que</w:t>
      </w:r>
      <w:r w:rsidRPr="00560CDD">
        <w:rPr>
          <w:rFonts w:ascii="Arial" w:eastAsia="Times New Roman" w:hAnsi="Arial" w:cs="Arial"/>
          <w:sz w:val="21"/>
          <w:szCs w:val="21"/>
          <w:lang w:eastAsia="es-ES"/>
        </w:rPr>
        <w:t xml:space="preserve"> la decisión de contratar durante cuatro años sucesivos la gestión de redes sociales del Ayuntamiento de Cofrentes no está amparada por el derecho</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por otra y respecto al contrato de suministro de cestas de Navidad</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w:t>
      </w:r>
      <w:r>
        <w:rPr>
          <w:rFonts w:ascii="Arial" w:eastAsia="Times New Roman" w:hAnsi="Arial" w:cs="Arial"/>
          <w:sz w:val="21"/>
          <w:szCs w:val="21"/>
          <w:lang w:eastAsia="es-ES"/>
        </w:rPr>
        <w:t xml:space="preserve">que </w:t>
      </w:r>
      <w:r w:rsidRPr="00560CDD">
        <w:rPr>
          <w:rFonts w:ascii="Arial" w:eastAsia="Times New Roman" w:hAnsi="Arial" w:cs="Arial"/>
          <w:sz w:val="21"/>
          <w:szCs w:val="21"/>
          <w:lang w:eastAsia="es-ES"/>
        </w:rPr>
        <w:t xml:space="preserve">no queda justificada </w:t>
      </w:r>
      <w:r>
        <w:rPr>
          <w:rFonts w:ascii="Arial" w:eastAsia="Times New Roman" w:hAnsi="Arial" w:cs="Arial"/>
          <w:sz w:val="21"/>
          <w:szCs w:val="21"/>
          <w:lang w:eastAsia="es-ES"/>
        </w:rPr>
        <w:t xml:space="preserve">su </w:t>
      </w:r>
      <w:r w:rsidRPr="00560CDD">
        <w:rPr>
          <w:rFonts w:ascii="Arial" w:eastAsia="Times New Roman" w:hAnsi="Arial" w:cs="Arial"/>
          <w:sz w:val="21"/>
          <w:szCs w:val="21"/>
          <w:lang w:eastAsia="es-ES"/>
        </w:rPr>
        <w:t>necesidad</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w:t>
      </w:r>
      <w:r>
        <w:rPr>
          <w:rFonts w:ascii="Arial" w:eastAsia="Times New Roman" w:hAnsi="Arial" w:cs="Arial"/>
          <w:sz w:val="21"/>
          <w:szCs w:val="21"/>
          <w:lang w:eastAsia="es-ES"/>
        </w:rPr>
        <w:t>L</w:t>
      </w:r>
      <w:r w:rsidRPr="00560CDD">
        <w:rPr>
          <w:rFonts w:ascii="Arial" w:eastAsia="Times New Roman" w:hAnsi="Arial" w:cs="Arial"/>
          <w:sz w:val="21"/>
          <w:szCs w:val="21"/>
          <w:lang w:eastAsia="es-ES"/>
        </w:rPr>
        <w:t xml:space="preserve">a entrega de cestas o lotes de Navidad no son para utilización propia del </w:t>
      </w:r>
      <w:r>
        <w:rPr>
          <w:rFonts w:ascii="Arial" w:eastAsia="Times New Roman" w:hAnsi="Arial" w:cs="Arial"/>
          <w:sz w:val="21"/>
          <w:szCs w:val="21"/>
          <w:lang w:eastAsia="es-ES"/>
        </w:rPr>
        <w:t>A</w:t>
      </w:r>
      <w:r w:rsidRPr="00560CDD">
        <w:rPr>
          <w:rFonts w:ascii="Arial" w:eastAsia="Times New Roman" w:hAnsi="Arial" w:cs="Arial"/>
          <w:sz w:val="21"/>
          <w:szCs w:val="21"/>
          <w:lang w:eastAsia="es-ES"/>
        </w:rPr>
        <w:t>yuntamiento, sino que se adquieren para ser entregadas a terceras personas, por lo que se encuadra en una subvención en especie</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w:t>
      </w:r>
      <w:r>
        <w:rPr>
          <w:rFonts w:ascii="Arial" w:eastAsia="Times New Roman" w:hAnsi="Arial" w:cs="Arial"/>
          <w:sz w:val="21"/>
          <w:szCs w:val="21"/>
          <w:lang w:eastAsia="es-ES"/>
        </w:rPr>
        <w:t>sin haberse</w:t>
      </w:r>
      <w:r w:rsidRPr="00560CDD">
        <w:rPr>
          <w:rFonts w:ascii="Arial" w:eastAsia="Times New Roman" w:hAnsi="Arial" w:cs="Arial"/>
          <w:sz w:val="21"/>
          <w:szCs w:val="21"/>
          <w:lang w:eastAsia="es-ES"/>
        </w:rPr>
        <w:t xml:space="preserve"> tramitado expediente alguno de concesión conforme a la Ley General de Subvenciones y Reglamento de desarrollo.</w:t>
      </w:r>
    </w:p>
    <w:p w14:paraId="23B9A9C1" w14:textId="7BC97017" w:rsidR="00560CDD" w:rsidRDefault="005631AC" w:rsidP="005631AC">
      <w:pPr>
        <w:spacing w:after="240" w:line="276" w:lineRule="auto"/>
        <w:jc w:val="both"/>
        <w:rPr>
          <w:rFonts w:ascii="Arial" w:eastAsia="Times New Roman" w:hAnsi="Arial" w:cs="Arial"/>
          <w:sz w:val="21"/>
          <w:szCs w:val="21"/>
          <w:lang w:eastAsia="es-ES"/>
        </w:rPr>
      </w:pPr>
      <w:r w:rsidRPr="00560CDD">
        <w:rPr>
          <w:rFonts w:ascii="Arial" w:eastAsia="Times New Roman" w:hAnsi="Arial" w:cs="Arial"/>
          <w:sz w:val="21"/>
          <w:szCs w:val="21"/>
          <w:lang w:eastAsia="es-ES"/>
        </w:rPr>
        <w:t>Se recomendó</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en relación con los expedientes de contratación de gestión de redes sociales</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que debe procederse a la realización de un plan de implementación con el objetivo de dar cobertura contractual a</w:t>
      </w:r>
      <w:r>
        <w:rPr>
          <w:rFonts w:ascii="Arial" w:eastAsia="Times New Roman" w:hAnsi="Arial" w:cs="Arial"/>
          <w:sz w:val="21"/>
          <w:szCs w:val="21"/>
          <w:lang w:eastAsia="es-ES"/>
        </w:rPr>
        <w:t xml:space="preserve"> estos</w:t>
      </w:r>
      <w:r w:rsidRPr="00560CDD">
        <w:rPr>
          <w:rFonts w:ascii="Arial" w:eastAsia="Times New Roman" w:hAnsi="Arial" w:cs="Arial"/>
          <w:sz w:val="21"/>
          <w:szCs w:val="21"/>
          <w:lang w:eastAsia="es-ES"/>
        </w:rPr>
        <w:t xml:space="preserve"> servicios de gestión mediante el procedimiento de contratación que legalmente correspond</w:t>
      </w:r>
      <w:r>
        <w:rPr>
          <w:rFonts w:ascii="Arial" w:eastAsia="Times New Roman" w:hAnsi="Arial" w:cs="Arial"/>
          <w:sz w:val="21"/>
          <w:szCs w:val="21"/>
          <w:lang w:eastAsia="es-ES"/>
        </w:rPr>
        <w:t>a</w:t>
      </w:r>
      <w:r w:rsidRPr="00560CDD">
        <w:rPr>
          <w:rFonts w:ascii="Arial" w:eastAsia="Times New Roman" w:hAnsi="Arial" w:cs="Arial"/>
          <w:sz w:val="21"/>
          <w:szCs w:val="21"/>
          <w:lang w:eastAsia="es-ES"/>
        </w:rPr>
        <w:t>. Respecto a los contratos de suministro de cestas de Navidad</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debe procederse a la realización de un plan de implementación</w:t>
      </w:r>
      <w:r>
        <w:rPr>
          <w:rFonts w:ascii="Arial" w:eastAsia="Times New Roman" w:hAnsi="Arial" w:cs="Arial"/>
          <w:sz w:val="21"/>
          <w:szCs w:val="21"/>
          <w:lang w:eastAsia="es-ES"/>
        </w:rPr>
        <w:t>,</w:t>
      </w:r>
      <w:r w:rsidRPr="00560CDD">
        <w:rPr>
          <w:rFonts w:ascii="Arial" w:eastAsia="Times New Roman" w:hAnsi="Arial" w:cs="Arial"/>
          <w:sz w:val="21"/>
          <w:szCs w:val="21"/>
          <w:lang w:eastAsia="es-ES"/>
        </w:rPr>
        <w:t xml:space="preserve"> con el objetivo de acreditar la necesidad de contratación de este tipo de suministros y gestionar las entregas con la naturaleza de subvenciones en especie.</w:t>
      </w:r>
    </w:p>
    <w:p w14:paraId="5097BB4C" w14:textId="6F79B939" w:rsidR="00B91CE4" w:rsidRPr="00B91CE4" w:rsidRDefault="00B91CE4"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10" w:name="_Toc99107093"/>
      <w:r w:rsidRPr="00B91CE4">
        <w:rPr>
          <w:rFonts w:ascii="Arial" w:eastAsia="Times New Roman" w:hAnsi="Arial" w:cs="Arial"/>
          <w:b/>
          <w:bCs/>
          <w:color w:val="9D2235" w:themeColor="accent1"/>
          <w:sz w:val="28"/>
          <w:szCs w:val="28"/>
          <w:lang w:eastAsia="es-ES"/>
        </w:rPr>
        <w:t>Incumplimientos de recomendaciones del Ayuntamiento de Rojales</w:t>
      </w:r>
      <w:bookmarkEnd w:id="410"/>
    </w:p>
    <w:p w14:paraId="6104FD17" w14:textId="70C60843" w:rsidR="00B91CE4" w:rsidRPr="00B91CE4" w:rsidRDefault="00B91CE4" w:rsidP="00AC1A12">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4"/>
          <w:szCs w:val="24"/>
          <w:lang w:eastAsia="es-ES"/>
        </w:rPr>
      </w:pPr>
      <w:r w:rsidRPr="00B91CE4">
        <w:rPr>
          <w:rFonts w:ascii="Arial" w:eastAsia="Times New Roman" w:hAnsi="Arial" w:cs="Arial"/>
          <w:b/>
          <w:bCs/>
          <w:color w:val="9D2235" w:themeColor="accent1"/>
          <w:sz w:val="24"/>
          <w:szCs w:val="24"/>
          <w:lang w:eastAsia="es-ES"/>
        </w:rPr>
        <w:t xml:space="preserve">Expediente: 2020/G01_01/000256 [151-2019]. Ayuntamiento de Rojales. Irregularidades </w:t>
      </w:r>
      <w:r w:rsidR="007219D8" w:rsidRPr="00AD4E35">
        <w:rPr>
          <w:rFonts w:ascii="Arial" w:eastAsia="Times New Roman" w:hAnsi="Arial" w:cs="Arial"/>
          <w:b/>
          <w:bCs/>
          <w:color w:val="9D2235"/>
          <w:kern w:val="2"/>
          <w:sz w:val="24"/>
          <w:szCs w:val="24"/>
          <w:lang w:eastAsia="es-ES" w:bidi="hi-IN"/>
        </w:rPr>
        <w:t>en el pago de servicios extraordinarios a funcionarios</w:t>
      </w:r>
      <w:r w:rsidRPr="00AD4E35">
        <w:rPr>
          <w:rFonts w:ascii="Arial" w:eastAsia="Times New Roman" w:hAnsi="Arial" w:cs="Arial"/>
          <w:b/>
          <w:bCs/>
          <w:color w:val="9D2235" w:themeColor="accent1"/>
          <w:sz w:val="24"/>
          <w:szCs w:val="24"/>
          <w:lang w:eastAsia="es-ES"/>
        </w:rPr>
        <w:t xml:space="preserve"> con dedic</w:t>
      </w:r>
      <w:r w:rsidRPr="00B91CE4">
        <w:rPr>
          <w:rFonts w:ascii="Arial" w:eastAsia="Times New Roman" w:hAnsi="Arial" w:cs="Arial"/>
          <w:b/>
          <w:bCs/>
          <w:color w:val="9D2235" w:themeColor="accent1"/>
          <w:sz w:val="24"/>
          <w:szCs w:val="24"/>
          <w:lang w:eastAsia="es-ES"/>
        </w:rPr>
        <w:t>ación exclusiva</w:t>
      </w:r>
    </w:p>
    <w:p w14:paraId="1603CD71" w14:textId="77777777" w:rsidR="00ED6F04" w:rsidRPr="00B91CE4" w:rsidRDefault="00ED6F04" w:rsidP="00ED6F04">
      <w:pPr>
        <w:spacing w:after="240" w:line="276" w:lineRule="auto"/>
        <w:jc w:val="both"/>
        <w:rPr>
          <w:rFonts w:ascii="Arial" w:eastAsia="Times New Roman" w:hAnsi="Arial" w:cs="Arial"/>
          <w:sz w:val="21"/>
          <w:szCs w:val="21"/>
          <w:lang w:eastAsia="es-ES"/>
        </w:rPr>
      </w:pPr>
      <w:r w:rsidRPr="00B91CE4">
        <w:rPr>
          <w:rFonts w:ascii="Arial" w:eastAsia="Times New Roman" w:hAnsi="Arial" w:cs="Arial"/>
          <w:b/>
          <w:bCs/>
          <w:sz w:val="21"/>
          <w:szCs w:val="21"/>
          <w:lang w:eastAsia="es-ES"/>
        </w:rPr>
        <w:t>Descripción:</w:t>
      </w:r>
      <w:r w:rsidRPr="00B91CE4">
        <w:rPr>
          <w:rFonts w:ascii="Arial" w:eastAsia="Times New Roman" w:hAnsi="Arial" w:cs="Arial"/>
          <w:sz w:val="21"/>
          <w:szCs w:val="21"/>
          <w:lang w:eastAsia="es-ES"/>
        </w:rPr>
        <w:t xml:space="preserve"> Los hechos denunciados se concretan en el pago del factor de especial disponibilidad</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aprobado para la Policía Local durante los meses de julio de 2017 a junio de 2018</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a dos funcionarios municipales</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a los cuales se les está retribuyendo supuestamente dos veces por el mismo concepto.</w:t>
      </w:r>
    </w:p>
    <w:p w14:paraId="2AED227F" w14:textId="77777777" w:rsidR="00ED6F04" w:rsidRPr="00B91CE4" w:rsidRDefault="00ED6F04" w:rsidP="00B65854">
      <w:pPr>
        <w:spacing w:after="240" w:line="276" w:lineRule="auto"/>
        <w:jc w:val="both"/>
        <w:rPr>
          <w:rFonts w:ascii="Arial" w:eastAsia="Times New Roman" w:hAnsi="Arial" w:cs="Arial"/>
          <w:sz w:val="21"/>
          <w:szCs w:val="21"/>
          <w:lang w:eastAsia="es-ES"/>
        </w:rPr>
      </w:pPr>
      <w:r w:rsidRPr="00B91CE4">
        <w:rPr>
          <w:rFonts w:ascii="Arial" w:eastAsia="Times New Roman" w:hAnsi="Arial" w:cs="Arial"/>
          <w:sz w:val="21"/>
          <w:szCs w:val="21"/>
          <w:lang w:eastAsia="es-ES"/>
        </w:rPr>
        <w:t>Tras la instrucción del oportuno procedimiento de investigación</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se alcanzaron las siguientes conclusiones:</w:t>
      </w:r>
    </w:p>
    <w:p w14:paraId="66512FAF" w14:textId="77777777" w:rsidR="00ED6F04" w:rsidRPr="00B91CE4" w:rsidRDefault="00ED6F04" w:rsidP="00B65854">
      <w:pPr>
        <w:numPr>
          <w:ilvl w:val="0"/>
          <w:numId w:val="131"/>
        </w:numPr>
        <w:spacing w:after="120" w:line="276" w:lineRule="auto"/>
        <w:ind w:left="714" w:hanging="357"/>
        <w:jc w:val="both"/>
        <w:rPr>
          <w:rFonts w:ascii="Arial" w:eastAsia="Times New Roman" w:hAnsi="Arial" w:cs="Arial"/>
          <w:sz w:val="21"/>
          <w:szCs w:val="21"/>
          <w:lang w:eastAsia="es-ES"/>
        </w:rPr>
      </w:pPr>
      <w:r w:rsidRPr="00B91CE4">
        <w:rPr>
          <w:rFonts w:ascii="Arial" w:eastAsia="Times New Roman" w:hAnsi="Arial" w:cs="Arial"/>
          <w:sz w:val="21"/>
          <w:szCs w:val="21"/>
          <w:lang w:eastAsia="es-ES"/>
        </w:rPr>
        <w:t>En la Relación de Puestos de trabajo</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no se encuentran definidos el detalle de los factores y subfactores tenidos en cuenta a la hora de valorar y fijar el montante del complemento específico de cada puesto de trabajo.</w:t>
      </w:r>
    </w:p>
    <w:p w14:paraId="539F4CB3" w14:textId="77777777" w:rsidR="00ED6F04" w:rsidRPr="00B91CE4" w:rsidRDefault="00ED6F04" w:rsidP="00B65854">
      <w:pPr>
        <w:numPr>
          <w:ilvl w:val="0"/>
          <w:numId w:val="131"/>
        </w:numPr>
        <w:spacing w:after="120" w:line="276" w:lineRule="auto"/>
        <w:ind w:left="714" w:hanging="357"/>
        <w:jc w:val="both"/>
        <w:rPr>
          <w:rFonts w:ascii="Arial" w:eastAsia="Times New Roman" w:hAnsi="Arial" w:cs="Arial"/>
          <w:sz w:val="21"/>
          <w:szCs w:val="21"/>
          <w:lang w:eastAsia="es-ES"/>
        </w:rPr>
      </w:pPr>
      <w:r w:rsidRPr="00B91CE4">
        <w:rPr>
          <w:rFonts w:ascii="Arial" w:eastAsia="Times New Roman" w:hAnsi="Arial" w:cs="Arial"/>
          <w:sz w:val="21"/>
          <w:szCs w:val="21"/>
          <w:lang w:eastAsia="es-ES"/>
        </w:rPr>
        <w:t xml:space="preserve">El Ayuntamiento de Rojales, al aprobar en septiembre de 2017 un “Reglamento de Disponibilidad” aplicable a la policía local, de facto estaba modificando el número de horas anuales a realizar por este colectivo, y regulando una retribución fija mensual por la realización de un número de horas anuales por encima de la jornada ordinaria. </w:t>
      </w:r>
    </w:p>
    <w:p w14:paraId="214E6019" w14:textId="77777777" w:rsidR="00ED6F04" w:rsidRPr="00B91CE4" w:rsidRDefault="00ED6F04" w:rsidP="00B65854">
      <w:pPr>
        <w:numPr>
          <w:ilvl w:val="0"/>
          <w:numId w:val="131"/>
        </w:numPr>
        <w:spacing w:after="120" w:line="276" w:lineRule="auto"/>
        <w:ind w:left="714" w:hanging="357"/>
        <w:jc w:val="both"/>
        <w:rPr>
          <w:rFonts w:ascii="Arial" w:eastAsia="Times New Roman" w:hAnsi="Arial" w:cs="Arial"/>
          <w:sz w:val="21"/>
          <w:szCs w:val="21"/>
          <w:lang w:eastAsia="es-ES"/>
        </w:rPr>
      </w:pPr>
      <w:r w:rsidRPr="00B91CE4">
        <w:rPr>
          <w:rFonts w:ascii="Arial" w:eastAsia="Times New Roman" w:hAnsi="Arial" w:cs="Arial"/>
          <w:sz w:val="21"/>
          <w:szCs w:val="21"/>
          <w:lang w:eastAsia="es-ES"/>
        </w:rPr>
        <w:t xml:space="preserve">Las motivaciones que pretenden ser cubiertas por el Reglamento de Disponibilidad responden a situaciones que se van a </w:t>
      </w:r>
      <w:r w:rsidRPr="00AD4E35">
        <w:rPr>
          <w:rFonts w:ascii="Arial" w:eastAsia="Times New Roman" w:hAnsi="Arial" w:cs="Arial"/>
          <w:sz w:val="21"/>
          <w:szCs w:val="21"/>
          <w:lang w:eastAsia="es-ES"/>
        </w:rPr>
        <w:t>producir ordinariamente en cada ejercicio, por lo que, al no tener un carácter extraordinario, deberían cubrirse esas funciones</w:t>
      </w:r>
      <w:r w:rsidRPr="00B91CE4">
        <w:rPr>
          <w:rFonts w:ascii="Arial" w:eastAsia="Times New Roman" w:hAnsi="Arial" w:cs="Arial"/>
          <w:sz w:val="21"/>
          <w:szCs w:val="21"/>
          <w:lang w:eastAsia="es-ES"/>
        </w:rPr>
        <w:t xml:space="preserve"> y la retribución de las misma en la RPT del </w:t>
      </w:r>
      <w:r>
        <w:rPr>
          <w:rFonts w:ascii="Arial" w:eastAsia="Times New Roman" w:hAnsi="Arial" w:cs="Arial"/>
          <w:sz w:val="21"/>
          <w:szCs w:val="21"/>
          <w:lang w:eastAsia="es-ES"/>
        </w:rPr>
        <w:t>A</w:t>
      </w:r>
      <w:r w:rsidRPr="00B91CE4">
        <w:rPr>
          <w:rFonts w:ascii="Arial" w:eastAsia="Times New Roman" w:hAnsi="Arial" w:cs="Arial"/>
          <w:sz w:val="21"/>
          <w:szCs w:val="21"/>
          <w:lang w:eastAsia="es-ES"/>
        </w:rPr>
        <w:t xml:space="preserve">yuntamiento. </w:t>
      </w:r>
    </w:p>
    <w:p w14:paraId="56C9563A" w14:textId="77777777" w:rsidR="00ED6F04" w:rsidRPr="00B91CE4" w:rsidRDefault="00ED6F04" w:rsidP="00ED6F04">
      <w:pPr>
        <w:numPr>
          <w:ilvl w:val="0"/>
          <w:numId w:val="131"/>
        </w:numPr>
        <w:spacing w:after="240" w:line="276" w:lineRule="auto"/>
        <w:jc w:val="both"/>
        <w:rPr>
          <w:rFonts w:ascii="Arial" w:eastAsia="Times New Roman" w:hAnsi="Arial" w:cs="Arial"/>
          <w:sz w:val="21"/>
          <w:szCs w:val="21"/>
          <w:lang w:eastAsia="es-ES"/>
        </w:rPr>
      </w:pPr>
      <w:r w:rsidRPr="00B91CE4">
        <w:rPr>
          <w:rFonts w:ascii="Arial" w:eastAsia="Times New Roman" w:hAnsi="Arial" w:cs="Arial"/>
          <w:sz w:val="21"/>
          <w:szCs w:val="21"/>
          <w:lang w:eastAsia="es-ES"/>
        </w:rPr>
        <w:t xml:space="preserve">La disponibilidad y la mayor dedicación, entendida esta última como una mayor dedicación horaria superior a la jornada habitual, deben valorarse objetivamente en el manual de valoración de la RPT y aplicarse a aquellos puestos que por las funciones ordinarias y habituales para su desempeño así lo requieren. </w:t>
      </w:r>
    </w:p>
    <w:p w14:paraId="6123EFF3" w14:textId="04FDE34A" w:rsidR="00560CDD" w:rsidRDefault="00ED6F04" w:rsidP="00ED6F04">
      <w:pPr>
        <w:spacing w:after="240" w:line="276" w:lineRule="auto"/>
        <w:jc w:val="both"/>
        <w:rPr>
          <w:rFonts w:ascii="Arial" w:eastAsia="Times New Roman" w:hAnsi="Arial" w:cs="Arial"/>
          <w:sz w:val="21"/>
          <w:szCs w:val="21"/>
          <w:lang w:eastAsia="es-ES"/>
        </w:rPr>
      </w:pPr>
      <w:r w:rsidRPr="00B91CE4">
        <w:rPr>
          <w:rFonts w:ascii="Arial" w:eastAsia="Times New Roman" w:hAnsi="Arial" w:cs="Arial"/>
          <w:sz w:val="21"/>
          <w:szCs w:val="21"/>
          <w:lang w:eastAsia="es-ES"/>
        </w:rPr>
        <w:t>Se recomendó que se procediese a la aprobación de una nueva relación de puestos de trabajo ajustada a la legislación vigente y a las necesidades reales de la corporación, y de manera singular que se defin</w:t>
      </w:r>
      <w:r>
        <w:rPr>
          <w:rFonts w:ascii="Arial" w:eastAsia="Times New Roman" w:hAnsi="Arial" w:cs="Arial"/>
          <w:sz w:val="21"/>
          <w:szCs w:val="21"/>
          <w:lang w:eastAsia="es-ES"/>
        </w:rPr>
        <w:t>ieran</w:t>
      </w:r>
      <w:r w:rsidRPr="00B91CE4">
        <w:rPr>
          <w:rFonts w:ascii="Arial" w:eastAsia="Times New Roman" w:hAnsi="Arial" w:cs="Arial"/>
          <w:sz w:val="21"/>
          <w:szCs w:val="21"/>
          <w:lang w:eastAsia="es-ES"/>
        </w:rPr>
        <w:t xml:space="preserve"> los factores y subfactores que conforman el complemento específico para evitar las diferentes interpretaciones subjetivas, </w:t>
      </w:r>
      <w:r>
        <w:rPr>
          <w:rFonts w:ascii="Arial" w:eastAsia="Times New Roman" w:hAnsi="Arial" w:cs="Arial"/>
          <w:sz w:val="21"/>
          <w:szCs w:val="21"/>
          <w:lang w:eastAsia="es-ES"/>
        </w:rPr>
        <w:t>fijándose</w:t>
      </w:r>
      <w:r w:rsidRPr="00B91CE4">
        <w:rPr>
          <w:rFonts w:ascii="Arial" w:eastAsia="Times New Roman" w:hAnsi="Arial" w:cs="Arial"/>
          <w:sz w:val="21"/>
          <w:szCs w:val="21"/>
          <w:lang w:eastAsia="es-ES"/>
        </w:rPr>
        <w:t xml:space="preserve"> un sistema objetivo de valoración de los distintos factores y subfactores que permitan definir los elementos </w:t>
      </w:r>
      <w:r>
        <w:rPr>
          <w:rFonts w:ascii="Arial" w:eastAsia="Times New Roman" w:hAnsi="Arial" w:cs="Arial"/>
          <w:sz w:val="21"/>
          <w:szCs w:val="21"/>
          <w:lang w:eastAsia="es-ES"/>
        </w:rPr>
        <w:t>retributivos</w:t>
      </w:r>
      <w:r w:rsidRPr="00B91CE4">
        <w:rPr>
          <w:rFonts w:ascii="Arial" w:eastAsia="Times New Roman" w:hAnsi="Arial" w:cs="Arial"/>
          <w:sz w:val="21"/>
          <w:szCs w:val="21"/>
          <w:lang w:eastAsia="es-ES"/>
        </w:rPr>
        <w:t xml:space="preserve"> y el valor asignado</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w:t>
      </w:r>
      <w:r>
        <w:rPr>
          <w:rFonts w:ascii="Arial" w:eastAsia="Times New Roman" w:hAnsi="Arial" w:cs="Arial"/>
          <w:sz w:val="21"/>
          <w:szCs w:val="21"/>
          <w:lang w:eastAsia="es-ES"/>
        </w:rPr>
        <w:t>En la fijación de</w:t>
      </w:r>
      <w:r w:rsidRPr="00B91CE4">
        <w:rPr>
          <w:rFonts w:ascii="Arial" w:eastAsia="Times New Roman" w:hAnsi="Arial" w:cs="Arial"/>
          <w:sz w:val="21"/>
          <w:szCs w:val="21"/>
          <w:lang w:eastAsia="es-ES"/>
        </w:rPr>
        <w:t xml:space="preserve"> las retribuciones </w:t>
      </w:r>
      <w:r>
        <w:rPr>
          <w:rFonts w:ascii="Arial" w:eastAsia="Times New Roman" w:hAnsi="Arial" w:cs="Arial"/>
          <w:sz w:val="21"/>
          <w:szCs w:val="21"/>
          <w:lang w:eastAsia="es-ES"/>
        </w:rPr>
        <w:t>complementarias deberá realizarse</w:t>
      </w:r>
      <w:r w:rsidRPr="00B91CE4">
        <w:rPr>
          <w:rFonts w:ascii="Arial" w:eastAsia="Times New Roman" w:hAnsi="Arial" w:cs="Arial"/>
          <w:sz w:val="21"/>
          <w:szCs w:val="21"/>
          <w:lang w:eastAsia="es-ES"/>
        </w:rPr>
        <w:t xml:space="preserve"> un análisis previo y una valoración objetiva de los puestos</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w:t>
      </w:r>
      <w:r>
        <w:rPr>
          <w:rFonts w:ascii="Arial" w:eastAsia="Times New Roman" w:hAnsi="Arial" w:cs="Arial"/>
          <w:sz w:val="21"/>
          <w:szCs w:val="21"/>
          <w:lang w:eastAsia="es-ES"/>
        </w:rPr>
        <w:t>estableciendo</w:t>
      </w:r>
      <w:r w:rsidRPr="00B91CE4">
        <w:rPr>
          <w:rFonts w:ascii="Arial" w:eastAsia="Times New Roman" w:hAnsi="Arial" w:cs="Arial"/>
          <w:sz w:val="21"/>
          <w:szCs w:val="21"/>
          <w:lang w:eastAsia="es-ES"/>
        </w:rPr>
        <w:t xml:space="preserve"> niveles de complemento de destino y </w:t>
      </w:r>
      <w:r>
        <w:rPr>
          <w:rFonts w:ascii="Arial" w:eastAsia="Times New Roman" w:hAnsi="Arial" w:cs="Arial"/>
          <w:sz w:val="21"/>
          <w:szCs w:val="21"/>
          <w:lang w:eastAsia="es-ES"/>
        </w:rPr>
        <w:t xml:space="preserve">de </w:t>
      </w:r>
      <w:r w:rsidRPr="00B91CE4">
        <w:rPr>
          <w:rFonts w:ascii="Arial" w:eastAsia="Times New Roman" w:hAnsi="Arial" w:cs="Arial"/>
          <w:sz w:val="21"/>
          <w:szCs w:val="21"/>
          <w:lang w:eastAsia="es-ES"/>
        </w:rPr>
        <w:t>complemento específico ajustados a esa evaluación.</w:t>
      </w:r>
    </w:p>
    <w:p w14:paraId="0D6411E3" w14:textId="4A310668" w:rsidR="00B91CE4" w:rsidRPr="00B91CE4" w:rsidRDefault="00B91CE4"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11" w:name="_Toc99107094"/>
      <w:r w:rsidRPr="00B91CE4">
        <w:rPr>
          <w:rFonts w:ascii="Arial" w:eastAsia="Times New Roman" w:hAnsi="Arial" w:cs="Arial"/>
          <w:b/>
          <w:bCs/>
          <w:color w:val="9D2235" w:themeColor="accent1"/>
          <w:sz w:val="28"/>
          <w:szCs w:val="28"/>
          <w:lang w:eastAsia="es-ES"/>
        </w:rPr>
        <w:t>Incumplimientos de recomendaciones del Institut Valencià de Cultura</w:t>
      </w:r>
      <w:bookmarkEnd w:id="411"/>
    </w:p>
    <w:p w14:paraId="7F322F0B" w14:textId="0A0DB510" w:rsidR="00B91CE4" w:rsidRPr="00B91CE4" w:rsidRDefault="00B91CE4" w:rsidP="00AC1A12">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4"/>
          <w:szCs w:val="24"/>
          <w:lang w:eastAsia="es-ES"/>
        </w:rPr>
      </w:pPr>
      <w:r w:rsidRPr="00B91CE4">
        <w:rPr>
          <w:rFonts w:ascii="Arial" w:eastAsia="Times New Roman" w:hAnsi="Arial" w:cs="Arial"/>
          <w:b/>
          <w:bCs/>
          <w:color w:val="9D2235" w:themeColor="accent1"/>
          <w:sz w:val="24"/>
          <w:szCs w:val="24"/>
          <w:lang w:eastAsia="es-ES"/>
        </w:rPr>
        <w:t>Expediente: 2020/G01_01/000117 [21-22/2019]. Institut Valencià de Cultura. Irregularidades en la gestión de personal</w:t>
      </w:r>
    </w:p>
    <w:p w14:paraId="255391FE" w14:textId="77777777" w:rsidR="00ED6F04" w:rsidRPr="00B91CE4" w:rsidRDefault="00ED6F04" w:rsidP="00ED6F04">
      <w:pPr>
        <w:spacing w:after="240" w:line="276" w:lineRule="auto"/>
        <w:jc w:val="both"/>
        <w:rPr>
          <w:rFonts w:ascii="Arial" w:eastAsia="Times New Roman" w:hAnsi="Arial" w:cs="Arial"/>
          <w:sz w:val="21"/>
          <w:szCs w:val="21"/>
          <w:lang w:eastAsia="es-ES"/>
        </w:rPr>
      </w:pPr>
      <w:r w:rsidRPr="00B91CE4">
        <w:rPr>
          <w:rFonts w:ascii="Arial" w:eastAsia="Times New Roman" w:hAnsi="Arial" w:cs="Arial"/>
          <w:b/>
          <w:bCs/>
          <w:sz w:val="21"/>
          <w:szCs w:val="21"/>
          <w:lang w:eastAsia="es-ES"/>
        </w:rPr>
        <w:t>Descripción:</w:t>
      </w:r>
      <w:r w:rsidRPr="00B91CE4">
        <w:rPr>
          <w:rFonts w:ascii="Arial" w:eastAsia="Times New Roman" w:hAnsi="Arial" w:cs="Arial"/>
          <w:sz w:val="21"/>
          <w:szCs w:val="21"/>
          <w:lang w:eastAsia="es-ES"/>
        </w:rPr>
        <w:t xml:space="preserve"> Los hechos denunciados se concretan en nombramientos provisionales para ocupar puestos de libre designación</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sin haberse convocado para su cobertura definitiva en el plazo legalmente establecido. Cambio de adscripción orgánica de dos puestos de trabajo para favorecer intereses personales, restricción de la libre concurrencia en una convocatoria de mejora de empleo, y </w:t>
      </w:r>
      <w:r w:rsidRPr="002B4668">
        <w:rPr>
          <w:rFonts w:ascii="Arial" w:eastAsia="Times New Roman" w:hAnsi="Arial" w:cs="Arial"/>
          <w:sz w:val="21"/>
          <w:szCs w:val="21"/>
          <w:lang w:eastAsia="es-ES"/>
        </w:rPr>
        <w:t>p</w:t>
      </w:r>
      <w:r w:rsidRPr="00B91CE4">
        <w:rPr>
          <w:rFonts w:ascii="Arial" w:eastAsia="Times New Roman" w:hAnsi="Arial" w:cs="Arial"/>
          <w:sz w:val="21"/>
          <w:szCs w:val="21"/>
          <w:lang w:eastAsia="es-ES"/>
        </w:rPr>
        <w:t>ropuesta de adscripción de un puesto de trabajo al nuevo Institut Valencià de Conservació Restauració i Investigació (IVCR+I).</w:t>
      </w:r>
    </w:p>
    <w:p w14:paraId="1214813D" w14:textId="77777777" w:rsidR="00ED6F04" w:rsidRPr="00B91CE4" w:rsidRDefault="00ED6F04" w:rsidP="00B65854">
      <w:pPr>
        <w:spacing w:after="240" w:line="276" w:lineRule="auto"/>
        <w:jc w:val="both"/>
        <w:rPr>
          <w:rFonts w:ascii="Arial" w:eastAsia="Times New Roman" w:hAnsi="Arial" w:cs="Arial"/>
          <w:sz w:val="21"/>
          <w:szCs w:val="21"/>
          <w:lang w:eastAsia="es-ES"/>
        </w:rPr>
      </w:pPr>
      <w:r w:rsidRPr="00B91CE4">
        <w:rPr>
          <w:rFonts w:ascii="Arial" w:eastAsia="Times New Roman" w:hAnsi="Arial" w:cs="Arial"/>
          <w:sz w:val="21"/>
          <w:szCs w:val="21"/>
          <w:lang w:eastAsia="es-ES"/>
        </w:rPr>
        <w:t>Tras la instrucción del oportuno procedimiento de investigación</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se alcanzaron las siguientes conclusiones:</w:t>
      </w:r>
    </w:p>
    <w:p w14:paraId="37AEAAF9" w14:textId="77777777" w:rsidR="00ED6F04" w:rsidRPr="00B91CE4" w:rsidRDefault="00ED6F04" w:rsidP="00B65854">
      <w:pPr>
        <w:numPr>
          <w:ilvl w:val="0"/>
          <w:numId w:val="132"/>
        </w:numPr>
        <w:spacing w:after="120" w:line="276" w:lineRule="auto"/>
        <w:ind w:left="714" w:hanging="357"/>
        <w:jc w:val="both"/>
        <w:rPr>
          <w:rFonts w:ascii="Arial" w:eastAsia="Times New Roman" w:hAnsi="Arial" w:cs="Arial"/>
          <w:sz w:val="21"/>
          <w:szCs w:val="21"/>
          <w:lang w:eastAsia="es-ES"/>
        </w:rPr>
      </w:pPr>
      <w:r w:rsidRPr="00B91CE4">
        <w:rPr>
          <w:rFonts w:ascii="Arial" w:eastAsia="Times New Roman" w:hAnsi="Arial" w:cs="Arial"/>
          <w:sz w:val="21"/>
          <w:szCs w:val="21"/>
          <w:lang w:eastAsia="es-ES"/>
        </w:rPr>
        <w:t xml:space="preserve">El Institut Valencià de Cultura se retrasó, más de dos años, en aprobar y publicar la Relación de Puestos de Trabajo. </w:t>
      </w:r>
    </w:p>
    <w:p w14:paraId="42E1D392" w14:textId="77777777" w:rsidR="00ED6F04" w:rsidRPr="00B91CE4" w:rsidRDefault="00ED6F04" w:rsidP="00B65854">
      <w:pPr>
        <w:numPr>
          <w:ilvl w:val="0"/>
          <w:numId w:val="132"/>
        </w:numPr>
        <w:spacing w:after="120" w:line="276" w:lineRule="auto"/>
        <w:ind w:left="714" w:hanging="357"/>
        <w:jc w:val="both"/>
        <w:rPr>
          <w:rFonts w:ascii="Arial" w:eastAsia="Times New Roman" w:hAnsi="Arial" w:cs="Arial"/>
          <w:sz w:val="21"/>
          <w:szCs w:val="21"/>
          <w:lang w:eastAsia="es-ES"/>
        </w:rPr>
      </w:pPr>
      <w:r w:rsidRPr="00B91CE4">
        <w:rPr>
          <w:rFonts w:ascii="Arial" w:eastAsia="Times New Roman" w:hAnsi="Arial" w:cs="Arial"/>
          <w:sz w:val="21"/>
          <w:szCs w:val="21"/>
          <w:lang w:eastAsia="es-ES"/>
        </w:rPr>
        <w:t>El Institut Valencià de Cultura superó el límite temporal, establecido en seis meses, para la convocatoria pública de los puestos de libre designación ocupados provisionalmente.</w:t>
      </w:r>
    </w:p>
    <w:p w14:paraId="6C7E5BF5" w14:textId="77777777" w:rsidR="00ED6F04" w:rsidRPr="00B91CE4" w:rsidRDefault="00ED6F04" w:rsidP="00B65854">
      <w:pPr>
        <w:numPr>
          <w:ilvl w:val="0"/>
          <w:numId w:val="132"/>
        </w:numPr>
        <w:spacing w:after="120" w:line="276" w:lineRule="auto"/>
        <w:ind w:left="714" w:hanging="357"/>
        <w:jc w:val="both"/>
        <w:rPr>
          <w:rFonts w:ascii="Arial" w:eastAsia="Times New Roman" w:hAnsi="Arial" w:cs="Arial"/>
          <w:sz w:val="21"/>
          <w:szCs w:val="21"/>
          <w:lang w:eastAsia="es-ES"/>
        </w:rPr>
      </w:pPr>
      <w:r w:rsidRPr="00B91CE4">
        <w:rPr>
          <w:rFonts w:ascii="Arial" w:eastAsia="Times New Roman" w:hAnsi="Arial" w:cs="Arial"/>
          <w:sz w:val="21"/>
          <w:szCs w:val="21"/>
          <w:lang w:eastAsia="es-ES"/>
        </w:rPr>
        <w:t>El cambio de adscripción de los puestos no fue acordado por el órgano competente, le correspondía al Consejo de Dirección del IVC</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a tenor de lo establecido en el artículo 8.2 f) del Decreto 5/2013</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y no al director general, vicio invalidante que fue convalidado por el acuerdo del Consejo de Dirección de 10 de mayo de 2019.</w:t>
      </w:r>
    </w:p>
    <w:p w14:paraId="469AB0A0" w14:textId="77777777" w:rsidR="00ED6F04" w:rsidRPr="00B91CE4" w:rsidRDefault="00ED6F04" w:rsidP="00B65854">
      <w:pPr>
        <w:numPr>
          <w:ilvl w:val="0"/>
          <w:numId w:val="132"/>
        </w:numPr>
        <w:spacing w:after="120" w:line="276" w:lineRule="auto"/>
        <w:ind w:left="714" w:hanging="357"/>
        <w:jc w:val="both"/>
        <w:rPr>
          <w:rFonts w:ascii="Arial" w:eastAsia="Times New Roman" w:hAnsi="Arial" w:cs="Arial"/>
          <w:sz w:val="21"/>
          <w:szCs w:val="21"/>
          <w:lang w:eastAsia="es-ES"/>
        </w:rPr>
      </w:pPr>
      <w:r w:rsidRPr="00B91CE4">
        <w:rPr>
          <w:rFonts w:ascii="Arial" w:eastAsia="Times New Roman" w:hAnsi="Arial" w:cs="Arial"/>
          <w:sz w:val="21"/>
          <w:szCs w:val="21"/>
          <w:lang w:eastAsia="es-ES"/>
        </w:rPr>
        <w:t>El cambio de adscripción de los puestos no contó con la adecuada y suficiente motivación fundamentada en el interés general.</w:t>
      </w:r>
    </w:p>
    <w:p w14:paraId="3776D63F" w14:textId="77777777" w:rsidR="00ED6F04" w:rsidRPr="00B91CE4" w:rsidRDefault="00ED6F04" w:rsidP="00B65854">
      <w:pPr>
        <w:numPr>
          <w:ilvl w:val="0"/>
          <w:numId w:val="132"/>
        </w:numPr>
        <w:spacing w:after="120" w:line="276" w:lineRule="auto"/>
        <w:ind w:left="714" w:hanging="357"/>
        <w:jc w:val="both"/>
        <w:rPr>
          <w:rFonts w:ascii="Arial" w:eastAsia="Times New Roman" w:hAnsi="Arial" w:cs="Arial"/>
          <w:sz w:val="21"/>
          <w:szCs w:val="21"/>
          <w:lang w:eastAsia="es-ES"/>
        </w:rPr>
      </w:pPr>
      <w:r w:rsidRPr="00B91CE4">
        <w:rPr>
          <w:rFonts w:ascii="Arial" w:eastAsia="Times New Roman" w:hAnsi="Arial" w:cs="Arial"/>
          <w:sz w:val="21"/>
          <w:szCs w:val="21"/>
          <w:lang w:eastAsia="es-ES"/>
        </w:rPr>
        <w:t xml:space="preserve">La propuesta de adscripción del puesto n.º 11 del IVC al nuevo Institut Valencià de Conservació Restauració i Investigació (IVCR+I), </w:t>
      </w:r>
      <w:r w:rsidRPr="00AD4E35">
        <w:rPr>
          <w:rFonts w:ascii="Arial" w:eastAsia="Times New Roman" w:hAnsi="Arial" w:cs="Arial"/>
          <w:sz w:val="21"/>
          <w:szCs w:val="21"/>
          <w:lang w:eastAsia="es-ES"/>
        </w:rPr>
        <w:t>no contó con la suficiente motivación y argumentación acreditativa respecto a las funciones relacionadas</w:t>
      </w:r>
      <w:r w:rsidRPr="00B91CE4">
        <w:rPr>
          <w:rFonts w:ascii="Arial" w:eastAsia="Times New Roman" w:hAnsi="Arial" w:cs="Arial"/>
          <w:sz w:val="21"/>
          <w:szCs w:val="21"/>
          <w:lang w:eastAsia="es-ES"/>
        </w:rPr>
        <w:t xml:space="preserve"> con la conservación y restauración.</w:t>
      </w:r>
    </w:p>
    <w:p w14:paraId="65060CD8" w14:textId="77777777" w:rsidR="00ED6F04" w:rsidRPr="00B91CE4" w:rsidRDefault="00ED6F04" w:rsidP="00ED6F04">
      <w:pPr>
        <w:numPr>
          <w:ilvl w:val="0"/>
          <w:numId w:val="132"/>
        </w:numPr>
        <w:spacing w:after="240" w:line="276" w:lineRule="auto"/>
        <w:jc w:val="both"/>
        <w:rPr>
          <w:rFonts w:ascii="Arial" w:eastAsia="Times New Roman" w:hAnsi="Arial" w:cs="Arial"/>
          <w:sz w:val="21"/>
          <w:szCs w:val="21"/>
          <w:lang w:eastAsia="es-ES"/>
        </w:rPr>
      </w:pPr>
      <w:r w:rsidRPr="00B91CE4">
        <w:rPr>
          <w:rFonts w:ascii="Arial" w:eastAsia="Times New Roman" w:hAnsi="Arial" w:cs="Arial"/>
          <w:sz w:val="21"/>
          <w:szCs w:val="21"/>
          <w:lang w:eastAsia="es-ES"/>
        </w:rPr>
        <w:t>Según la información facilitada por el IVC</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los puestos transferidos al IVCR+I fueron 32 puestos y, sin embargo, según la documentación remitida por el IVCR+I</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los puestos transferidos fueron 33.</w:t>
      </w:r>
    </w:p>
    <w:p w14:paraId="7D3438BA" w14:textId="3427B221" w:rsidR="00ED6F04" w:rsidRPr="00B91CE4" w:rsidRDefault="00ED6F04" w:rsidP="00ED6F04">
      <w:pPr>
        <w:spacing w:after="240" w:line="276" w:lineRule="auto"/>
        <w:jc w:val="both"/>
        <w:rPr>
          <w:rFonts w:ascii="Arial" w:eastAsia="Times New Roman" w:hAnsi="Arial" w:cs="Arial"/>
          <w:sz w:val="21"/>
          <w:szCs w:val="21"/>
          <w:lang w:eastAsia="es-ES"/>
        </w:rPr>
      </w:pPr>
      <w:r w:rsidRPr="00B91CE4">
        <w:rPr>
          <w:rFonts w:ascii="Arial" w:eastAsia="Times New Roman" w:hAnsi="Arial" w:cs="Arial"/>
          <w:sz w:val="21"/>
          <w:szCs w:val="21"/>
          <w:lang w:eastAsia="es-ES"/>
        </w:rPr>
        <w:t>Se recomendó instruir el oportuno expediente en orden a determinar la exigencia de responsabilidad que corresponda</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w:t>
      </w:r>
      <w:r>
        <w:rPr>
          <w:rFonts w:ascii="Arial" w:eastAsia="Times New Roman" w:hAnsi="Arial" w:cs="Arial"/>
          <w:sz w:val="21"/>
          <w:szCs w:val="21"/>
          <w:lang w:eastAsia="es-ES"/>
        </w:rPr>
        <w:t>A</w:t>
      </w:r>
      <w:r w:rsidRPr="00B91CE4">
        <w:rPr>
          <w:rFonts w:ascii="Arial" w:eastAsia="Times New Roman" w:hAnsi="Arial" w:cs="Arial"/>
          <w:sz w:val="21"/>
          <w:szCs w:val="21"/>
          <w:lang w:eastAsia="es-ES"/>
        </w:rPr>
        <w:t>dicionalmente</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la dirección del IVC deberá establecer las directrices e instrucciones internas que garanticen que las convocatorias públicas de puestos de la RPT ocupados provisionalmente se tramiten respetando los plazos legales, sin que dichos nombramientos provisionales puedan exceder</w:t>
      </w:r>
      <w:r>
        <w:rPr>
          <w:rFonts w:ascii="Arial" w:eastAsia="Times New Roman" w:hAnsi="Arial" w:cs="Arial"/>
          <w:sz w:val="21"/>
          <w:szCs w:val="21"/>
          <w:lang w:eastAsia="es-ES"/>
        </w:rPr>
        <w:t xml:space="preserve"> de</w:t>
      </w:r>
      <w:r w:rsidRPr="00B91CE4">
        <w:rPr>
          <w:rFonts w:ascii="Arial" w:eastAsia="Times New Roman" w:hAnsi="Arial" w:cs="Arial"/>
          <w:sz w:val="21"/>
          <w:szCs w:val="21"/>
          <w:lang w:eastAsia="es-ES"/>
        </w:rPr>
        <w:t xml:space="preserve"> los plazos máximos previstos en la normativa de aplicación. Y se reitera el requerimiento efectuado por la Inspección General de Servicios</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no atendido por el IVC</w:t>
      </w:r>
      <w:r>
        <w:rPr>
          <w:rFonts w:ascii="Arial" w:eastAsia="Times New Roman" w:hAnsi="Arial" w:cs="Arial"/>
          <w:sz w:val="21"/>
          <w:szCs w:val="21"/>
          <w:lang w:eastAsia="es-ES"/>
        </w:rPr>
        <w:t>,</w:t>
      </w:r>
      <w:r w:rsidRPr="00B91CE4">
        <w:rPr>
          <w:rFonts w:ascii="Arial" w:eastAsia="Times New Roman" w:hAnsi="Arial" w:cs="Arial"/>
          <w:sz w:val="21"/>
          <w:szCs w:val="21"/>
          <w:lang w:eastAsia="es-ES"/>
        </w:rPr>
        <w:t xml:space="preserve"> en relación con la insuficiente motivación y argumentación de las funciones del puesto n</w:t>
      </w:r>
      <w:r>
        <w:rPr>
          <w:rFonts w:ascii="Arial" w:eastAsia="Times New Roman" w:hAnsi="Arial" w:cs="Arial"/>
          <w:sz w:val="21"/>
          <w:szCs w:val="21"/>
          <w:lang w:eastAsia="es-ES"/>
        </w:rPr>
        <w:t>úm.</w:t>
      </w:r>
      <w:r w:rsidRPr="00B91CE4">
        <w:rPr>
          <w:rFonts w:ascii="Arial" w:eastAsia="Times New Roman" w:hAnsi="Arial" w:cs="Arial"/>
          <w:sz w:val="21"/>
          <w:szCs w:val="21"/>
          <w:lang w:eastAsia="es-ES"/>
        </w:rPr>
        <w:t>11, relacionadas con la conservación y restauración que sirvió de base para proponer la adscripción del mencionado puesto del Institut Valencià de Cultura (IVC) al Institut Valencià de Conservació, Restauració e Investigació ( IVCR+I).</w:t>
      </w:r>
    </w:p>
    <w:p w14:paraId="47D5441F" w14:textId="77777777" w:rsidR="00B91CE4" w:rsidRPr="00B91CE4" w:rsidRDefault="00B91CE4" w:rsidP="00AC1A12">
      <w:pPr>
        <w:pStyle w:val="Prrafodelista"/>
        <w:keepNext/>
        <w:numPr>
          <w:ilvl w:val="1"/>
          <w:numId w:val="17"/>
        </w:numPr>
        <w:spacing w:before="360" w:after="240" w:line="276" w:lineRule="auto"/>
        <w:ind w:left="851" w:hanging="851"/>
        <w:jc w:val="both"/>
        <w:outlineLvl w:val="1"/>
        <w:rPr>
          <w:rFonts w:ascii="Arial" w:eastAsia="Times New Roman" w:hAnsi="Arial" w:cs="Arial"/>
          <w:b/>
          <w:color w:val="9D2235" w:themeColor="accent1"/>
          <w:sz w:val="32"/>
          <w:szCs w:val="32"/>
        </w:rPr>
      </w:pPr>
      <w:bookmarkStart w:id="412" w:name="_Toc95672336"/>
      <w:bookmarkStart w:id="413" w:name="_Toc99107095"/>
      <w:r w:rsidRPr="00B91CE4">
        <w:rPr>
          <w:rFonts w:ascii="Arial" w:eastAsia="Times New Roman" w:hAnsi="Arial" w:cs="Arial"/>
          <w:b/>
          <w:color w:val="9D2235" w:themeColor="accent1"/>
          <w:sz w:val="32"/>
          <w:szCs w:val="32"/>
        </w:rPr>
        <w:t>Colaboración con otras instituciones</w:t>
      </w:r>
      <w:bookmarkEnd w:id="412"/>
      <w:bookmarkEnd w:id="413"/>
    </w:p>
    <w:p w14:paraId="43F5F4D6" w14:textId="77777777" w:rsidR="00ED6F04" w:rsidRPr="005A543B" w:rsidRDefault="00ED6F04" w:rsidP="00ED6F04">
      <w:pPr>
        <w:spacing w:after="240" w:line="276" w:lineRule="auto"/>
        <w:jc w:val="both"/>
        <w:rPr>
          <w:rFonts w:ascii="Arial" w:hAnsi="Arial"/>
          <w:sz w:val="21"/>
          <w:szCs w:val="21"/>
        </w:rPr>
      </w:pPr>
      <w:r w:rsidRPr="005A543B">
        <w:rPr>
          <w:rFonts w:ascii="Arial" w:hAnsi="Arial"/>
          <w:sz w:val="21"/>
          <w:szCs w:val="21"/>
        </w:rPr>
        <w:t>Se entiende en todo caso que las funciones de la Agencia lo son, sin perjuicio de las que ejercen, de acuerdo con la normativa reguladora específica, la Sindicatura de Comptes, el Síndic de Greuges, el Consejo de Transparencia, Acceso a la Información Pública y Buen Gobierno, la Intervención General de la Generalitat, la Inspección General de Servicios, los órganos competentes en materia de incompatibilidades y conflictos de intereses y los órganos de control, supervisión y protectorado de las entidades incluidas en el ámbito de actuación correspondiente, y que actúa en todo caso en colaboración con estas instituciones y órganos. La Agencia aportará toda la información de que disponga y proporcionará el apoyo necesario a la institución u órgano que lleve a cabo la investigación o fiscalización correspondiente.</w:t>
      </w:r>
    </w:p>
    <w:p w14:paraId="4DBE8B3C" w14:textId="77777777" w:rsidR="00ED6F04" w:rsidRPr="005A543B" w:rsidRDefault="00ED6F04" w:rsidP="00ED6F04">
      <w:pPr>
        <w:spacing w:after="240" w:line="276" w:lineRule="auto"/>
        <w:jc w:val="both"/>
        <w:rPr>
          <w:rFonts w:ascii="Arial" w:hAnsi="Arial"/>
          <w:sz w:val="21"/>
          <w:szCs w:val="21"/>
        </w:rPr>
      </w:pPr>
      <w:r w:rsidRPr="005A543B">
        <w:rPr>
          <w:rFonts w:ascii="Arial" w:hAnsi="Arial"/>
          <w:sz w:val="21"/>
          <w:szCs w:val="21"/>
        </w:rPr>
        <w:t>En cumplimiento de sus tareas</w:t>
      </w:r>
      <w:r>
        <w:rPr>
          <w:rFonts w:ascii="Arial" w:hAnsi="Arial"/>
          <w:sz w:val="21"/>
          <w:szCs w:val="21"/>
        </w:rPr>
        <w:t>,</w:t>
      </w:r>
      <w:r w:rsidRPr="005A543B">
        <w:rPr>
          <w:rFonts w:ascii="Arial" w:hAnsi="Arial"/>
          <w:sz w:val="21"/>
          <w:szCs w:val="21"/>
        </w:rPr>
        <w:t xml:space="preserve"> la Agencia podrá proporcionar la colaboración, la asistencia y el intercambio de información con otras instituciones, órganos o entidades públicas mediante planes y programas conjuntos, convenios y protocolos de colaboración funcional, en el marco de la normativa aplicable.</w:t>
      </w:r>
    </w:p>
    <w:p w14:paraId="21F0604E" w14:textId="77777777" w:rsidR="00ED6F04" w:rsidRPr="005A543B" w:rsidRDefault="00ED6F04" w:rsidP="00ED6F04">
      <w:pPr>
        <w:spacing w:after="240" w:line="276" w:lineRule="auto"/>
        <w:jc w:val="both"/>
        <w:rPr>
          <w:rFonts w:ascii="Arial" w:hAnsi="Arial"/>
          <w:sz w:val="21"/>
          <w:szCs w:val="21"/>
        </w:rPr>
      </w:pPr>
      <w:r w:rsidRPr="005A543B">
        <w:rPr>
          <w:rFonts w:ascii="Arial" w:hAnsi="Arial"/>
          <w:sz w:val="21"/>
          <w:szCs w:val="21"/>
        </w:rPr>
        <w:t>La Agencia no tiene competencias en las funciones y materias que corresponden a la autoridad judicial, el ministerio fiscal y la policía judicial</w:t>
      </w:r>
      <w:r>
        <w:rPr>
          <w:rFonts w:ascii="Arial" w:hAnsi="Arial"/>
          <w:sz w:val="21"/>
          <w:szCs w:val="21"/>
        </w:rPr>
        <w:t>,</w:t>
      </w:r>
      <w:r w:rsidRPr="005A543B">
        <w:rPr>
          <w:rFonts w:ascii="Arial" w:hAnsi="Arial"/>
          <w:sz w:val="21"/>
          <w:szCs w:val="21"/>
        </w:rPr>
        <w:t xml:space="preserve"> ni puede investigar los mismos hechos que han sido objeto de sus investigaciones. En caso de que la autoridad judicial o el ministerio fiscal inicien un procedimiento para determinar el relieve penal de unos hechos</w:t>
      </w:r>
      <w:r>
        <w:rPr>
          <w:rFonts w:ascii="Arial" w:hAnsi="Arial"/>
          <w:sz w:val="21"/>
          <w:szCs w:val="21"/>
        </w:rPr>
        <w:t>,</w:t>
      </w:r>
      <w:r w:rsidRPr="005A543B">
        <w:rPr>
          <w:rFonts w:ascii="Arial" w:hAnsi="Arial"/>
          <w:sz w:val="21"/>
          <w:szCs w:val="21"/>
        </w:rPr>
        <w:t xml:space="preserve"> que constituyen al mismo tiempo el objeto de actuaciones de investigación de la Agencia, esta deberá </w:t>
      </w:r>
      <w:r w:rsidRPr="005A543B">
        <w:rPr>
          <w:rFonts w:ascii="Arial" w:hAnsi="Arial"/>
          <w:b/>
          <w:bCs/>
          <w:sz w:val="21"/>
          <w:szCs w:val="21"/>
        </w:rPr>
        <w:t>interrumpir</w:t>
      </w:r>
      <w:r w:rsidRPr="005A543B">
        <w:rPr>
          <w:rFonts w:ascii="Arial" w:hAnsi="Arial"/>
          <w:sz w:val="21"/>
          <w:szCs w:val="21"/>
        </w:rPr>
        <w:t xml:space="preserve"> sus actuaciones y aportar inmediatamente toda la información de la que dispone, además de proporcionar el apoyo necesario, siendo un órgano de </w:t>
      </w:r>
      <w:r w:rsidRPr="005A543B">
        <w:rPr>
          <w:rFonts w:ascii="Arial" w:hAnsi="Arial"/>
          <w:b/>
          <w:bCs/>
          <w:sz w:val="21"/>
          <w:szCs w:val="21"/>
        </w:rPr>
        <w:t>apoyo y colaboración</w:t>
      </w:r>
      <w:r w:rsidRPr="005A543B">
        <w:rPr>
          <w:rFonts w:ascii="Arial" w:hAnsi="Arial"/>
          <w:sz w:val="21"/>
          <w:szCs w:val="21"/>
        </w:rPr>
        <w:t xml:space="preserve"> con la autoridad judicial y el ministerio fiscal cuando sea requerida. La Agencia solicitará a la fiscalía información periódica respecto del trámite en que se encuentran las actuaciones iniciadas a instancia suya.</w:t>
      </w:r>
    </w:p>
    <w:p w14:paraId="1DAB4C35" w14:textId="77777777" w:rsidR="00ED6F04" w:rsidRPr="005A543B" w:rsidRDefault="00ED6F04" w:rsidP="00ED6F04">
      <w:pPr>
        <w:spacing w:after="240" w:line="276" w:lineRule="auto"/>
        <w:jc w:val="both"/>
        <w:rPr>
          <w:rFonts w:ascii="Arial" w:eastAsia="Times New Roman" w:hAnsi="Arial"/>
          <w:sz w:val="21"/>
          <w:szCs w:val="21"/>
          <w:lang w:eastAsia="es-ES"/>
        </w:rPr>
      </w:pPr>
      <w:r w:rsidRPr="005A543B">
        <w:rPr>
          <w:rFonts w:ascii="Arial" w:eastAsia="Times New Roman" w:hAnsi="Arial"/>
          <w:sz w:val="21"/>
          <w:szCs w:val="21"/>
          <w:lang w:eastAsia="es-ES"/>
        </w:rPr>
        <w:t>Dentro de este entorno competencial, uno de los ámbitos de la actuación principales de la</w:t>
      </w:r>
      <w:r w:rsidRPr="005A543B">
        <w:rPr>
          <w:rFonts w:ascii="Arial" w:eastAsia="Times New Roman" w:hAnsi="Arial"/>
          <w:b/>
          <w:bCs/>
          <w:sz w:val="21"/>
          <w:szCs w:val="21"/>
          <w:lang w:eastAsia="es-ES"/>
        </w:rPr>
        <w:t xml:space="preserve"> </w:t>
      </w:r>
      <w:r w:rsidRPr="005A543B">
        <w:rPr>
          <w:rFonts w:ascii="Arial" w:eastAsia="Times New Roman" w:hAnsi="Arial"/>
          <w:color w:val="000000"/>
          <w:sz w:val="21"/>
          <w:szCs w:val="21"/>
          <w:lang w:eastAsia="es-ES"/>
        </w:rPr>
        <w:t xml:space="preserve">Agencia, </w:t>
      </w:r>
      <w:r w:rsidRPr="005A543B">
        <w:rPr>
          <w:rFonts w:ascii="Arial" w:eastAsia="Times New Roman" w:hAnsi="Arial"/>
          <w:sz w:val="21"/>
          <w:szCs w:val="21"/>
          <w:lang w:eastAsia="es-ES"/>
        </w:rPr>
        <w:t xml:space="preserve">lo constituye su colaboración con la fiscalía y con autoridades judiciales en las actuaciones que </w:t>
      </w:r>
      <w:r>
        <w:rPr>
          <w:rFonts w:ascii="Arial" w:eastAsia="Times New Roman" w:hAnsi="Arial"/>
          <w:sz w:val="21"/>
          <w:szCs w:val="21"/>
          <w:lang w:eastAsia="es-ES"/>
        </w:rPr>
        <w:t>e</w:t>
      </w:r>
      <w:r w:rsidRPr="005A543B">
        <w:rPr>
          <w:rFonts w:ascii="Arial" w:eastAsia="Times New Roman" w:hAnsi="Arial"/>
          <w:sz w:val="21"/>
          <w:szCs w:val="21"/>
          <w:lang w:eastAsia="es-ES"/>
        </w:rPr>
        <w:t>stas desarrollan en el ámbito de la investigación criminal.</w:t>
      </w:r>
      <w:r>
        <w:rPr>
          <w:rFonts w:ascii="Arial" w:eastAsia="Times New Roman" w:hAnsi="Arial"/>
          <w:sz w:val="21"/>
          <w:szCs w:val="21"/>
          <w:lang w:eastAsia="es-ES"/>
        </w:rPr>
        <w:t xml:space="preserve"> </w:t>
      </w:r>
      <w:r w:rsidRPr="005A543B">
        <w:rPr>
          <w:rFonts w:ascii="Arial" w:eastAsia="Times New Roman" w:hAnsi="Arial"/>
          <w:color w:val="000000"/>
          <w:sz w:val="21"/>
          <w:szCs w:val="21"/>
          <w:lang w:eastAsia="es-ES"/>
        </w:rPr>
        <w:t xml:space="preserve">Para ello, la intervención de la Agencia se realiza al amparo de lo dispuesto en el artículo 5 de </w:t>
      </w:r>
      <w:r w:rsidRPr="00AD4E35">
        <w:rPr>
          <w:rFonts w:ascii="Arial" w:eastAsia="Times New Roman" w:hAnsi="Arial"/>
          <w:color w:val="000000"/>
          <w:sz w:val="21"/>
          <w:szCs w:val="21"/>
          <w:lang w:eastAsia="es-ES"/>
        </w:rPr>
        <w:t>la Ley 11/2016, de 28 de noviembre, de la Generalitat, de la Agencia de Prevención y Lucha contra el Fraude y la Corrupción de la Comunitat Valenciana,</w:t>
      </w:r>
      <w:r w:rsidRPr="005A543B">
        <w:rPr>
          <w:rFonts w:ascii="Arial" w:eastAsia="Times New Roman" w:hAnsi="Arial"/>
          <w:color w:val="000000"/>
          <w:sz w:val="21"/>
          <w:szCs w:val="21"/>
          <w:lang w:eastAsia="es-ES"/>
        </w:rPr>
        <w:t xml:space="preserve"> que prevé que la misma </w:t>
      </w:r>
      <w:r w:rsidRPr="005A543B">
        <w:rPr>
          <w:rFonts w:ascii="Arial" w:eastAsia="Times New Roman" w:hAnsi="Arial"/>
          <w:b/>
          <w:bCs/>
          <w:color w:val="000000"/>
          <w:sz w:val="21"/>
          <w:szCs w:val="21"/>
          <w:lang w:eastAsia="es-ES"/>
        </w:rPr>
        <w:t>pueda proporcionar el apoyo necesario a la autoridad judicial y al Ministerio Fiscal, siendo un órgano de apoyo y colaboración cuando sea requerida.</w:t>
      </w:r>
    </w:p>
    <w:p w14:paraId="4F9745C0" w14:textId="77777777" w:rsidR="00ED6F04" w:rsidRPr="005A543B" w:rsidRDefault="00ED6F04" w:rsidP="00ED6F04">
      <w:pPr>
        <w:spacing w:after="240" w:line="276" w:lineRule="auto"/>
        <w:jc w:val="both"/>
        <w:rPr>
          <w:rFonts w:ascii="Arial" w:eastAsia="Times New Roman" w:hAnsi="Arial"/>
          <w:i/>
          <w:iCs/>
          <w:sz w:val="21"/>
          <w:szCs w:val="21"/>
          <w:lang w:eastAsia="es-ES"/>
        </w:rPr>
      </w:pPr>
      <w:r w:rsidRPr="005A543B">
        <w:rPr>
          <w:rFonts w:ascii="Arial" w:eastAsia="Times New Roman" w:hAnsi="Arial"/>
          <w:color w:val="000000"/>
          <w:sz w:val="21"/>
          <w:szCs w:val="21"/>
          <w:lang w:eastAsia="es-ES"/>
        </w:rPr>
        <w:t xml:space="preserve">En dicho sentido, </w:t>
      </w:r>
      <w:r w:rsidRPr="00AD4E35">
        <w:rPr>
          <w:rFonts w:ascii="Arial" w:eastAsia="Times New Roman" w:hAnsi="Arial"/>
          <w:color w:val="000000"/>
          <w:sz w:val="21"/>
          <w:szCs w:val="21"/>
          <w:lang w:eastAsia="es-ES"/>
        </w:rPr>
        <w:t>el Reglamento de funcionamiento y régimen interior de la Agencia de 27</w:t>
      </w:r>
      <w:r w:rsidRPr="005A543B">
        <w:rPr>
          <w:rFonts w:ascii="Arial" w:eastAsia="Times New Roman" w:hAnsi="Arial"/>
          <w:color w:val="000000"/>
          <w:sz w:val="21"/>
          <w:szCs w:val="21"/>
          <w:lang w:eastAsia="es-ES"/>
        </w:rPr>
        <w:t xml:space="preserve"> de junio de 2019 (DOCV núm. 8582, de 02.07.2019) establece en su artículo 10, apartado 3</w:t>
      </w:r>
      <w:r>
        <w:rPr>
          <w:rFonts w:ascii="Arial" w:eastAsia="Times New Roman" w:hAnsi="Arial"/>
          <w:color w:val="000000"/>
          <w:sz w:val="21"/>
          <w:szCs w:val="21"/>
          <w:lang w:eastAsia="es-ES"/>
        </w:rPr>
        <w:t>,</w:t>
      </w:r>
      <w:r w:rsidRPr="005A543B">
        <w:rPr>
          <w:rFonts w:ascii="Arial" w:eastAsia="Times New Roman" w:hAnsi="Arial"/>
          <w:color w:val="000000"/>
          <w:sz w:val="21"/>
          <w:szCs w:val="21"/>
          <w:lang w:eastAsia="es-ES"/>
        </w:rPr>
        <w:t xml:space="preserve"> que </w:t>
      </w:r>
      <w:r w:rsidRPr="006967F6">
        <w:rPr>
          <w:rFonts w:ascii="Arial" w:eastAsia="Times New Roman" w:hAnsi="Arial"/>
          <w:color w:val="000000"/>
          <w:sz w:val="21"/>
          <w:szCs w:val="21"/>
          <w:lang w:eastAsia="es-ES"/>
        </w:rPr>
        <w:t xml:space="preserve">“En el contexto de la realización de diligencias de investigación penal, instrucción de causas y celebración de juicios, relacionados con las funciones de la Agencia y su ámbito de actuación, esta podrá colaborar con el Ministerio Fiscal, los Juzgados y los Tribunales, cuando así se requiera, </w:t>
      </w:r>
      <w:r w:rsidRPr="006967F6">
        <w:rPr>
          <w:rFonts w:ascii="Arial" w:eastAsia="Times New Roman" w:hAnsi="Arial"/>
          <w:b/>
          <w:bCs/>
          <w:color w:val="000000"/>
          <w:sz w:val="21"/>
          <w:szCs w:val="21"/>
          <w:lang w:eastAsia="es-ES"/>
        </w:rPr>
        <w:t>mediante la asistencia técnica y emisión de informes periciales por personal funcionario a su servicio, especializado en materia jurídico-administrativa, económica, contable y de control administrativo, y con conocimiento profundo de las administraciones y su sector público y los procedimientos administrativos.”</w:t>
      </w:r>
    </w:p>
    <w:p w14:paraId="795BAEF0" w14:textId="77777777" w:rsidR="00ED6F04" w:rsidRPr="005A543B" w:rsidRDefault="00ED6F04" w:rsidP="00ED6F04">
      <w:pPr>
        <w:spacing w:after="240" w:line="276" w:lineRule="auto"/>
        <w:jc w:val="both"/>
        <w:rPr>
          <w:rFonts w:ascii="Arial" w:hAnsi="Arial"/>
          <w:sz w:val="21"/>
          <w:szCs w:val="21"/>
        </w:rPr>
      </w:pPr>
      <w:r w:rsidRPr="005A543B">
        <w:rPr>
          <w:rFonts w:ascii="Arial" w:hAnsi="Arial"/>
          <w:sz w:val="21"/>
          <w:szCs w:val="21"/>
        </w:rPr>
        <w:t xml:space="preserve">En cumplimiento de la citada previsión normativa, han sido elaborados informes periciales requeridos por distintos órganos jurisdiccionales y por la fiscalía, concluidos y entregados en los ejercicios 2020 y 2021. </w:t>
      </w:r>
    </w:p>
    <w:p w14:paraId="4D53255F" w14:textId="77777777" w:rsidR="00ED6F04" w:rsidRPr="005A543B" w:rsidRDefault="00ED6F04" w:rsidP="00ED6F04">
      <w:pPr>
        <w:spacing w:after="240" w:line="276" w:lineRule="auto"/>
        <w:jc w:val="both"/>
        <w:rPr>
          <w:rFonts w:ascii="Arial" w:hAnsi="Arial"/>
          <w:sz w:val="21"/>
          <w:szCs w:val="21"/>
        </w:rPr>
      </w:pPr>
      <w:r w:rsidRPr="005A543B">
        <w:rPr>
          <w:rFonts w:ascii="Arial" w:hAnsi="Arial"/>
          <w:sz w:val="21"/>
          <w:szCs w:val="21"/>
        </w:rPr>
        <w:t>De esta manera</w:t>
      </w:r>
      <w:r>
        <w:rPr>
          <w:rFonts w:ascii="Arial" w:hAnsi="Arial"/>
          <w:sz w:val="21"/>
          <w:szCs w:val="21"/>
        </w:rPr>
        <w:t>,</w:t>
      </w:r>
      <w:r w:rsidRPr="005A543B">
        <w:rPr>
          <w:rFonts w:ascii="Arial" w:hAnsi="Arial"/>
          <w:sz w:val="21"/>
          <w:szCs w:val="21"/>
        </w:rPr>
        <w:t xml:space="preserve"> la Agencia</w:t>
      </w:r>
      <w:r>
        <w:rPr>
          <w:rFonts w:ascii="Arial" w:hAnsi="Arial"/>
          <w:sz w:val="21"/>
          <w:szCs w:val="21"/>
        </w:rPr>
        <w:t>,</w:t>
      </w:r>
      <w:r w:rsidRPr="005A543B">
        <w:rPr>
          <w:rFonts w:ascii="Arial" w:hAnsi="Arial"/>
          <w:sz w:val="21"/>
          <w:szCs w:val="21"/>
        </w:rPr>
        <w:t xml:space="preserve"> hasta la fecha</w:t>
      </w:r>
      <w:r>
        <w:rPr>
          <w:rFonts w:ascii="Arial" w:hAnsi="Arial"/>
          <w:sz w:val="21"/>
          <w:szCs w:val="21"/>
        </w:rPr>
        <w:t>,</w:t>
      </w:r>
      <w:r w:rsidRPr="005A543B">
        <w:rPr>
          <w:rFonts w:ascii="Arial" w:hAnsi="Arial"/>
          <w:sz w:val="21"/>
          <w:szCs w:val="21"/>
        </w:rPr>
        <w:t xml:space="preserve"> </w:t>
      </w:r>
      <w:r w:rsidRPr="005A543B">
        <w:rPr>
          <w:rFonts w:ascii="Arial" w:hAnsi="Arial"/>
          <w:b/>
          <w:bCs/>
          <w:sz w:val="21"/>
          <w:szCs w:val="21"/>
        </w:rPr>
        <w:t>ha aceptado su designación como perito judicial en 12 procedimientos judiciales</w:t>
      </w:r>
      <w:r>
        <w:rPr>
          <w:rFonts w:ascii="Arial" w:hAnsi="Arial"/>
          <w:b/>
          <w:bCs/>
          <w:sz w:val="21"/>
          <w:szCs w:val="21"/>
        </w:rPr>
        <w:t>:</w:t>
      </w:r>
      <w:r w:rsidRPr="005A543B">
        <w:rPr>
          <w:rFonts w:ascii="Arial" w:hAnsi="Arial"/>
          <w:b/>
          <w:bCs/>
          <w:sz w:val="21"/>
          <w:szCs w:val="21"/>
        </w:rPr>
        <w:t xml:space="preserve"> 7 de ellos en la anualidad 2020 y los 5 restantes en la anualidad 2021</w:t>
      </w:r>
      <w:r w:rsidRPr="005A543B">
        <w:rPr>
          <w:rFonts w:ascii="Arial" w:hAnsi="Arial"/>
          <w:sz w:val="21"/>
          <w:szCs w:val="21"/>
        </w:rPr>
        <w:t>.</w:t>
      </w:r>
    </w:p>
    <w:p w14:paraId="09CD94D7" w14:textId="77777777" w:rsidR="00ED6F04" w:rsidRPr="005A543B" w:rsidRDefault="00ED6F04" w:rsidP="00ED6F04">
      <w:pPr>
        <w:spacing w:after="240" w:line="276" w:lineRule="auto"/>
        <w:jc w:val="both"/>
        <w:rPr>
          <w:rFonts w:ascii="Arial" w:hAnsi="Arial"/>
          <w:sz w:val="21"/>
          <w:szCs w:val="21"/>
        </w:rPr>
      </w:pPr>
      <w:r w:rsidRPr="007219D8">
        <w:rPr>
          <w:rFonts w:ascii="Arial" w:eastAsia="NSimSun" w:hAnsi="Arial" w:cs="Arial"/>
          <w:kern w:val="2"/>
          <w:sz w:val="21"/>
          <w:szCs w:val="21"/>
          <w:lang w:eastAsia="zh-CN" w:bidi="hi-IN"/>
        </w:rPr>
        <w:t xml:space="preserve">Los citados informes-dictámenes se solicitaron en </w:t>
      </w:r>
      <w:r>
        <w:rPr>
          <w:rFonts w:ascii="Arial" w:eastAsia="NSimSun" w:hAnsi="Arial" w:cs="Arial"/>
          <w:kern w:val="2"/>
          <w:sz w:val="21"/>
          <w:szCs w:val="21"/>
          <w:lang w:eastAsia="zh-CN" w:bidi="hi-IN"/>
        </w:rPr>
        <w:t>siete</w:t>
      </w:r>
      <w:r w:rsidRPr="007219D8">
        <w:rPr>
          <w:rFonts w:ascii="Arial" w:eastAsia="NSimSun" w:hAnsi="Arial" w:cs="Arial"/>
          <w:kern w:val="2"/>
          <w:sz w:val="21"/>
          <w:szCs w:val="21"/>
          <w:lang w:eastAsia="zh-CN" w:bidi="hi-IN"/>
        </w:rPr>
        <w:t xml:space="preserve"> ocasiones por Juzgados de Instrucción de </w:t>
      </w:r>
      <w:r w:rsidRPr="00AD4E35">
        <w:rPr>
          <w:rFonts w:ascii="Arial" w:eastAsia="NSimSun" w:hAnsi="Arial" w:cs="Arial"/>
          <w:kern w:val="2"/>
          <w:sz w:val="21"/>
          <w:szCs w:val="21"/>
          <w:lang w:eastAsia="zh-CN" w:bidi="hi-IN"/>
        </w:rPr>
        <w:t>Valencia</w:t>
      </w:r>
      <w:r>
        <w:rPr>
          <w:rFonts w:ascii="Arial" w:eastAsia="NSimSun" w:hAnsi="Arial" w:cs="Arial"/>
          <w:kern w:val="2"/>
          <w:sz w:val="21"/>
          <w:szCs w:val="21"/>
          <w:lang w:eastAsia="zh-CN" w:bidi="hi-IN"/>
        </w:rPr>
        <w:t>;</w:t>
      </w:r>
      <w:r w:rsidRPr="00AD4E35">
        <w:rPr>
          <w:rFonts w:ascii="Arial" w:eastAsia="NSimSun" w:hAnsi="Arial" w:cs="Arial"/>
          <w:kern w:val="2"/>
          <w:sz w:val="21"/>
          <w:szCs w:val="21"/>
          <w:lang w:eastAsia="zh-CN" w:bidi="hi-IN"/>
        </w:rPr>
        <w:t xml:space="preserve"> </w:t>
      </w:r>
      <w:r>
        <w:rPr>
          <w:rFonts w:ascii="Arial" w:eastAsia="NSimSun" w:hAnsi="Arial" w:cs="Arial"/>
          <w:kern w:val="2"/>
          <w:sz w:val="21"/>
          <w:szCs w:val="21"/>
          <w:lang w:eastAsia="zh-CN" w:bidi="hi-IN"/>
        </w:rPr>
        <w:t>en una,</w:t>
      </w:r>
      <w:r w:rsidRPr="00AD4E35">
        <w:rPr>
          <w:rFonts w:ascii="Arial" w:eastAsia="NSimSun" w:hAnsi="Arial" w:cs="Arial"/>
          <w:kern w:val="2"/>
          <w:sz w:val="21"/>
          <w:szCs w:val="21"/>
          <w:lang w:eastAsia="zh-CN" w:bidi="hi-IN"/>
        </w:rPr>
        <w:t xml:space="preserve"> por un Juzgado de Instrucción de Castellón</w:t>
      </w:r>
      <w:r>
        <w:rPr>
          <w:rFonts w:ascii="Arial" w:eastAsia="NSimSun" w:hAnsi="Arial" w:cs="Arial"/>
          <w:kern w:val="2"/>
          <w:sz w:val="21"/>
          <w:szCs w:val="21"/>
          <w:lang w:eastAsia="zh-CN" w:bidi="hi-IN"/>
        </w:rPr>
        <w:t>;</w:t>
      </w:r>
      <w:r w:rsidRPr="00AD4E35">
        <w:rPr>
          <w:rFonts w:ascii="Arial" w:eastAsia="NSimSun" w:hAnsi="Arial" w:cs="Arial"/>
          <w:kern w:val="2"/>
          <w:sz w:val="21"/>
          <w:szCs w:val="21"/>
          <w:lang w:eastAsia="zh-CN" w:bidi="hi-IN"/>
        </w:rPr>
        <w:t xml:space="preserve"> </w:t>
      </w:r>
      <w:r>
        <w:rPr>
          <w:rFonts w:ascii="Arial" w:eastAsia="NSimSun" w:hAnsi="Arial" w:cs="Arial"/>
          <w:kern w:val="2"/>
          <w:sz w:val="21"/>
          <w:szCs w:val="21"/>
          <w:lang w:eastAsia="zh-CN" w:bidi="hi-IN"/>
        </w:rPr>
        <w:t>otra,</w:t>
      </w:r>
      <w:r w:rsidRPr="00AD4E35">
        <w:rPr>
          <w:rFonts w:ascii="Arial" w:eastAsia="NSimSun" w:hAnsi="Arial" w:cs="Arial"/>
          <w:kern w:val="2"/>
          <w:sz w:val="21"/>
          <w:szCs w:val="21"/>
          <w:lang w:eastAsia="zh-CN" w:bidi="hi-IN"/>
        </w:rPr>
        <w:t xml:space="preserve"> por un Juzgado de Instrucción de </w:t>
      </w:r>
      <w:r>
        <w:rPr>
          <w:rFonts w:ascii="Arial" w:eastAsia="NSimSun" w:hAnsi="Arial" w:cs="Arial"/>
          <w:kern w:val="2"/>
          <w:sz w:val="21"/>
          <w:szCs w:val="21"/>
          <w:lang w:eastAsia="zh-CN" w:bidi="hi-IN"/>
        </w:rPr>
        <w:t>Elche;</w:t>
      </w:r>
      <w:r w:rsidRPr="00AD4E35">
        <w:rPr>
          <w:rFonts w:ascii="Arial" w:eastAsia="NSimSun" w:hAnsi="Arial" w:cs="Arial"/>
          <w:kern w:val="2"/>
          <w:sz w:val="21"/>
          <w:szCs w:val="21"/>
          <w:lang w:eastAsia="zh-CN" w:bidi="hi-IN"/>
        </w:rPr>
        <w:t xml:space="preserve"> </w:t>
      </w:r>
      <w:r>
        <w:rPr>
          <w:rFonts w:ascii="Arial" w:eastAsia="NSimSun" w:hAnsi="Arial" w:cs="Arial"/>
          <w:kern w:val="2"/>
          <w:sz w:val="21"/>
          <w:szCs w:val="21"/>
          <w:lang w:eastAsia="zh-CN" w:bidi="hi-IN"/>
        </w:rPr>
        <w:t>en otra,</w:t>
      </w:r>
      <w:r w:rsidRPr="00AD4E35">
        <w:rPr>
          <w:rFonts w:ascii="Arial" w:eastAsia="NSimSun" w:hAnsi="Arial" w:cs="Arial"/>
          <w:kern w:val="2"/>
          <w:sz w:val="21"/>
          <w:szCs w:val="21"/>
          <w:lang w:eastAsia="zh-CN" w:bidi="hi-IN"/>
        </w:rPr>
        <w:t xml:space="preserve"> por un Juzgado de Instrucción de Orihuela</w:t>
      </w:r>
      <w:r>
        <w:rPr>
          <w:rFonts w:ascii="Arial" w:eastAsia="NSimSun" w:hAnsi="Arial" w:cs="Arial"/>
          <w:kern w:val="2"/>
          <w:sz w:val="21"/>
          <w:szCs w:val="21"/>
          <w:lang w:eastAsia="zh-CN" w:bidi="hi-IN"/>
        </w:rPr>
        <w:t>; en otra,</w:t>
      </w:r>
      <w:r w:rsidRPr="00AD4E35">
        <w:rPr>
          <w:rFonts w:ascii="Arial" w:eastAsia="NSimSun" w:hAnsi="Arial" w:cs="Arial"/>
          <w:kern w:val="2"/>
          <w:sz w:val="21"/>
          <w:szCs w:val="21"/>
          <w:lang w:eastAsia="zh-CN" w:bidi="hi-IN"/>
        </w:rPr>
        <w:t xml:space="preserve"> por un Juzgado de </w:t>
      </w:r>
      <w:r>
        <w:rPr>
          <w:rFonts w:ascii="Arial" w:eastAsia="NSimSun" w:hAnsi="Arial" w:cs="Arial"/>
          <w:kern w:val="2"/>
          <w:sz w:val="21"/>
          <w:szCs w:val="21"/>
          <w:lang w:eastAsia="zh-CN" w:bidi="hi-IN"/>
        </w:rPr>
        <w:t>P</w:t>
      </w:r>
      <w:r w:rsidRPr="00AD4E35">
        <w:rPr>
          <w:rFonts w:ascii="Arial" w:eastAsia="NSimSun" w:hAnsi="Arial" w:cs="Arial"/>
          <w:kern w:val="2"/>
          <w:sz w:val="21"/>
          <w:szCs w:val="21"/>
          <w:lang w:eastAsia="zh-CN" w:bidi="hi-IN"/>
        </w:rPr>
        <w:t xml:space="preserve">rimera </w:t>
      </w:r>
      <w:r>
        <w:rPr>
          <w:rFonts w:ascii="Arial" w:eastAsia="NSimSun" w:hAnsi="Arial" w:cs="Arial"/>
          <w:kern w:val="2"/>
          <w:sz w:val="21"/>
          <w:szCs w:val="21"/>
          <w:lang w:eastAsia="zh-CN" w:bidi="hi-IN"/>
        </w:rPr>
        <w:t>I</w:t>
      </w:r>
      <w:r w:rsidRPr="00AD4E35">
        <w:rPr>
          <w:rFonts w:ascii="Arial" w:eastAsia="NSimSun" w:hAnsi="Arial" w:cs="Arial"/>
          <w:kern w:val="2"/>
          <w:sz w:val="21"/>
          <w:szCs w:val="21"/>
          <w:lang w:eastAsia="zh-CN" w:bidi="hi-IN"/>
        </w:rPr>
        <w:t xml:space="preserve">nstancia e </w:t>
      </w:r>
      <w:r>
        <w:rPr>
          <w:rFonts w:ascii="Arial" w:eastAsia="NSimSun" w:hAnsi="Arial" w:cs="Arial"/>
          <w:kern w:val="2"/>
          <w:sz w:val="21"/>
          <w:szCs w:val="21"/>
          <w:lang w:eastAsia="zh-CN" w:bidi="hi-IN"/>
        </w:rPr>
        <w:t>I</w:t>
      </w:r>
      <w:r w:rsidRPr="00AD4E35">
        <w:rPr>
          <w:rFonts w:ascii="Arial" w:eastAsia="NSimSun" w:hAnsi="Arial" w:cs="Arial"/>
          <w:kern w:val="2"/>
          <w:sz w:val="21"/>
          <w:szCs w:val="21"/>
          <w:lang w:eastAsia="zh-CN" w:bidi="hi-IN"/>
        </w:rPr>
        <w:t>nstrucción de Sagunto</w:t>
      </w:r>
      <w:r>
        <w:rPr>
          <w:rFonts w:ascii="Arial" w:eastAsia="NSimSun" w:hAnsi="Arial" w:cs="Arial"/>
          <w:kern w:val="2"/>
          <w:sz w:val="21"/>
          <w:szCs w:val="21"/>
          <w:lang w:eastAsia="zh-CN" w:bidi="hi-IN"/>
        </w:rPr>
        <w:t>;</w:t>
      </w:r>
      <w:r w:rsidRPr="00AD4E35">
        <w:rPr>
          <w:rFonts w:ascii="Arial" w:eastAsia="NSimSun" w:hAnsi="Arial" w:cs="Arial"/>
          <w:kern w:val="2"/>
          <w:sz w:val="21"/>
          <w:szCs w:val="21"/>
          <w:lang w:eastAsia="zh-CN" w:bidi="hi-IN"/>
        </w:rPr>
        <w:t xml:space="preserve"> y </w:t>
      </w:r>
      <w:r>
        <w:rPr>
          <w:rFonts w:ascii="Arial" w:eastAsia="NSimSun" w:hAnsi="Arial" w:cs="Arial"/>
          <w:kern w:val="2"/>
          <w:sz w:val="21"/>
          <w:szCs w:val="21"/>
          <w:lang w:eastAsia="zh-CN" w:bidi="hi-IN"/>
        </w:rPr>
        <w:t>finalmente también en otra ocasión por</w:t>
      </w:r>
      <w:r w:rsidRPr="00AD4E35">
        <w:rPr>
          <w:rFonts w:ascii="Arial" w:eastAsia="NSimSun" w:hAnsi="Arial" w:cs="Arial"/>
          <w:kern w:val="2"/>
          <w:sz w:val="21"/>
          <w:szCs w:val="21"/>
          <w:lang w:eastAsia="zh-CN" w:bidi="hi-IN"/>
        </w:rPr>
        <w:t xml:space="preserve"> la </w:t>
      </w:r>
      <w:r>
        <w:rPr>
          <w:rFonts w:ascii="Arial" w:eastAsia="NSimSun" w:hAnsi="Arial" w:cs="Arial"/>
          <w:kern w:val="2"/>
          <w:sz w:val="21"/>
          <w:szCs w:val="21"/>
          <w:lang w:eastAsia="zh-CN" w:bidi="hi-IN"/>
        </w:rPr>
        <w:t>F</w:t>
      </w:r>
      <w:r w:rsidRPr="00AD4E35">
        <w:rPr>
          <w:rFonts w:ascii="Arial" w:eastAsia="NSimSun" w:hAnsi="Arial" w:cs="Arial"/>
          <w:kern w:val="2"/>
          <w:sz w:val="21"/>
          <w:szCs w:val="21"/>
          <w:lang w:eastAsia="zh-CN" w:bidi="hi-IN"/>
        </w:rPr>
        <w:t xml:space="preserve">iscalía </w:t>
      </w:r>
      <w:r>
        <w:rPr>
          <w:rFonts w:ascii="Arial" w:eastAsia="NSimSun" w:hAnsi="Arial" w:cs="Arial"/>
          <w:kern w:val="2"/>
          <w:sz w:val="21"/>
          <w:szCs w:val="21"/>
          <w:lang w:eastAsia="zh-CN" w:bidi="hi-IN"/>
        </w:rPr>
        <w:t>P</w:t>
      </w:r>
      <w:r w:rsidRPr="00AD4E35">
        <w:rPr>
          <w:rFonts w:ascii="Arial" w:eastAsia="NSimSun" w:hAnsi="Arial" w:cs="Arial"/>
          <w:kern w:val="2"/>
          <w:sz w:val="21"/>
          <w:szCs w:val="21"/>
          <w:lang w:eastAsia="zh-CN" w:bidi="hi-IN"/>
        </w:rPr>
        <w:t>rovincial de Valencia, Sección de Delitos Económicos</w:t>
      </w:r>
      <w:r w:rsidRPr="005A543B">
        <w:rPr>
          <w:rFonts w:ascii="Arial" w:hAnsi="Arial"/>
          <w:sz w:val="21"/>
          <w:szCs w:val="21"/>
        </w:rPr>
        <w:t>.</w:t>
      </w:r>
    </w:p>
    <w:p w14:paraId="2ED3C217" w14:textId="77777777" w:rsidR="00ED6F04" w:rsidRPr="005A543B" w:rsidRDefault="00ED6F04" w:rsidP="00ED6F04">
      <w:pPr>
        <w:spacing w:after="240" w:line="276" w:lineRule="auto"/>
        <w:jc w:val="both"/>
        <w:rPr>
          <w:rFonts w:ascii="Arial" w:hAnsi="Arial"/>
          <w:sz w:val="21"/>
          <w:szCs w:val="21"/>
        </w:rPr>
      </w:pPr>
      <w:r w:rsidRPr="005A543B">
        <w:rPr>
          <w:rFonts w:ascii="Arial" w:hAnsi="Arial"/>
          <w:sz w:val="21"/>
          <w:szCs w:val="21"/>
        </w:rPr>
        <w:t xml:space="preserve">Durante el año 2021 se han entregado los </w:t>
      </w:r>
      <w:r>
        <w:rPr>
          <w:rFonts w:ascii="Arial" w:hAnsi="Arial"/>
          <w:sz w:val="21"/>
          <w:szCs w:val="21"/>
        </w:rPr>
        <w:t xml:space="preserve">cinco </w:t>
      </w:r>
      <w:r w:rsidRPr="005A543B">
        <w:rPr>
          <w:rFonts w:ascii="Arial" w:hAnsi="Arial"/>
          <w:sz w:val="21"/>
          <w:szCs w:val="21"/>
        </w:rPr>
        <w:t xml:space="preserve">dictámenes periciales encomendados, finalizando el ejercicio sin que ningún informe pericial </w:t>
      </w:r>
      <w:r>
        <w:rPr>
          <w:rFonts w:ascii="Arial" w:hAnsi="Arial"/>
          <w:sz w:val="21"/>
          <w:szCs w:val="21"/>
        </w:rPr>
        <w:t>solicitado</w:t>
      </w:r>
      <w:r w:rsidRPr="005A543B">
        <w:rPr>
          <w:rFonts w:ascii="Arial" w:hAnsi="Arial"/>
          <w:sz w:val="21"/>
          <w:szCs w:val="21"/>
        </w:rPr>
        <w:t xml:space="preserve"> por los órganos judiciales esté pendiente de emisión ni </w:t>
      </w:r>
      <w:r>
        <w:rPr>
          <w:rFonts w:ascii="Arial" w:hAnsi="Arial"/>
          <w:sz w:val="21"/>
          <w:szCs w:val="21"/>
        </w:rPr>
        <w:t xml:space="preserve">de </w:t>
      </w:r>
      <w:r w:rsidRPr="005A543B">
        <w:rPr>
          <w:rFonts w:ascii="Arial" w:hAnsi="Arial"/>
          <w:sz w:val="21"/>
          <w:szCs w:val="21"/>
        </w:rPr>
        <w:t xml:space="preserve">remisión </w:t>
      </w:r>
      <w:r>
        <w:rPr>
          <w:rFonts w:ascii="Arial" w:hAnsi="Arial"/>
          <w:sz w:val="21"/>
          <w:szCs w:val="21"/>
        </w:rPr>
        <w:t>a los mismos</w:t>
      </w:r>
      <w:r w:rsidRPr="005A543B">
        <w:rPr>
          <w:rFonts w:ascii="Arial" w:hAnsi="Arial"/>
          <w:sz w:val="21"/>
          <w:szCs w:val="21"/>
        </w:rPr>
        <w:t xml:space="preserve">. </w:t>
      </w:r>
    </w:p>
    <w:p w14:paraId="41495B86" w14:textId="0CC9B8DC" w:rsidR="00D16448" w:rsidRDefault="00ED6F04" w:rsidP="00ED6F04">
      <w:pPr>
        <w:spacing w:after="240" w:line="276" w:lineRule="auto"/>
        <w:jc w:val="both"/>
        <w:rPr>
          <w:rFonts w:ascii="Arial" w:eastAsia="Times New Roman" w:hAnsi="Arial" w:cs="Arial"/>
          <w:sz w:val="21"/>
          <w:szCs w:val="21"/>
          <w:lang w:eastAsia="es-ES"/>
        </w:rPr>
      </w:pPr>
      <w:r w:rsidRPr="005A543B">
        <w:rPr>
          <w:rFonts w:ascii="Arial" w:hAnsi="Arial"/>
          <w:sz w:val="21"/>
          <w:szCs w:val="21"/>
        </w:rPr>
        <w:t xml:space="preserve">De los </w:t>
      </w:r>
      <w:r>
        <w:rPr>
          <w:rFonts w:ascii="Arial" w:hAnsi="Arial"/>
          <w:sz w:val="21"/>
          <w:szCs w:val="21"/>
        </w:rPr>
        <w:t>doce</w:t>
      </w:r>
      <w:r w:rsidRPr="005A543B">
        <w:rPr>
          <w:rFonts w:ascii="Arial" w:hAnsi="Arial"/>
          <w:sz w:val="21"/>
          <w:szCs w:val="21"/>
        </w:rPr>
        <w:t xml:space="preserve"> informes periciales emitidos hasta el momento, dos de </w:t>
      </w:r>
      <w:r>
        <w:rPr>
          <w:rFonts w:ascii="Arial" w:hAnsi="Arial"/>
          <w:sz w:val="21"/>
          <w:szCs w:val="21"/>
        </w:rPr>
        <w:t>ellos</w:t>
      </w:r>
      <w:r w:rsidRPr="005A543B">
        <w:rPr>
          <w:rFonts w:ascii="Arial" w:hAnsi="Arial"/>
          <w:sz w:val="21"/>
          <w:szCs w:val="21"/>
        </w:rPr>
        <w:t xml:space="preserve"> se han ratificado en fase de instrucción</w:t>
      </w:r>
      <w:r>
        <w:rPr>
          <w:rFonts w:ascii="Arial" w:hAnsi="Arial"/>
          <w:sz w:val="21"/>
          <w:szCs w:val="21"/>
        </w:rPr>
        <w:t xml:space="preserve">, habiéndose sometido </w:t>
      </w:r>
      <w:r w:rsidRPr="005A543B">
        <w:rPr>
          <w:rFonts w:ascii="Arial" w:hAnsi="Arial"/>
          <w:sz w:val="21"/>
          <w:szCs w:val="21"/>
        </w:rPr>
        <w:t>los funcionarios de esta Agencia que actúan como peritos</w:t>
      </w:r>
      <w:r>
        <w:rPr>
          <w:rFonts w:ascii="Arial" w:hAnsi="Arial"/>
          <w:sz w:val="21"/>
          <w:szCs w:val="21"/>
        </w:rPr>
        <w:t xml:space="preserve"> </w:t>
      </w:r>
      <w:r w:rsidRPr="005A543B">
        <w:rPr>
          <w:rFonts w:ascii="Arial" w:hAnsi="Arial"/>
          <w:sz w:val="21"/>
          <w:szCs w:val="21"/>
        </w:rPr>
        <w:t xml:space="preserve">a las preguntas y aclaraciones solicitadas por las partes </w:t>
      </w:r>
      <w:r>
        <w:rPr>
          <w:rFonts w:ascii="Arial" w:hAnsi="Arial"/>
          <w:sz w:val="21"/>
          <w:szCs w:val="21"/>
        </w:rPr>
        <w:t>en el proceso y la autoridad judicial</w:t>
      </w:r>
      <w:r w:rsidRPr="005A543B">
        <w:rPr>
          <w:rFonts w:ascii="Arial" w:hAnsi="Arial"/>
          <w:sz w:val="21"/>
          <w:szCs w:val="21"/>
        </w:rPr>
        <w:t>.</w:t>
      </w:r>
    </w:p>
    <w:p w14:paraId="6CE8EC48" w14:textId="6571B0C9" w:rsidR="00B91CE4" w:rsidRPr="00B91CE4" w:rsidRDefault="00263D20" w:rsidP="00AC1A12">
      <w:pPr>
        <w:pStyle w:val="Prrafodelista"/>
        <w:keepNext/>
        <w:numPr>
          <w:ilvl w:val="1"/>
          <w:numId w:val="17"/>
        </w:numPr>
        <w:spacing w:before="360" w:after="240" w:line="276" w:lineRule="auto"/>
        <w:ind w:left="851" w:hanging="851"/>
        <w:jc w:val="both"/>
        <w:outlineLvl w:val="1"/>
        <w:rPr>
          <w:rFonts w:ascii="Arial" w:eastAsia="Times New Roman" w:hAnsi="Arial" w:cs="Arial"/>
          <w:b/>
          <w:color w:val="9D2235" w:themeColor="accent1"/>
          <w:sz w:val="32"/>
          <w:szCs w:val="32"/>
        </w:rPr>
      </w:pPr>
      <w:bookmarkStart w:id="414" w:name="_Toc95672337"/>
      <w:bookmarkStart w:id="415" w:name="_Toc99107096"/>
      <w:r>
        <w:rPr>
          <w:rFonts w:ascii="Arial" w:eastAsia="Times New Roman" w:hAnsi="Arial" w:cs="Arial"/>
          <w:b/>
          <w:color w:val="9D2235" w:themeColor="accent1"/>
          <w:sz w:val="32"/>
          <w:szCs w:val="32"/>
        </w:rPr>
        <w:t>S</w:t>
      </w:r>
      <w:r w:rsidR="00B91CE4" w:rsidRPr="00B91CE4">
        <w:rPr>
          <w:rFonts w:ascii="Arial" w:eastAsia="Times New Roman" w:hAnsi="Arial" w:cs="Arial"/>
          <w:b/>
          <w:color w:val="9D2235" w:themeColor="accent1"/>
          <w:sz w:val="32"/>
          <w:szCs w:val="32"/>
        </w:rPr>
        <w:t>istemas de información</w:t>
      </w:r>
      <w:bookmarkEnd w:id="414"/>
      <w:bookmarkEnd w:id="415"/>
    </w:p>
    <w:p w14:paraId="21572B60" w14:textId="77777777" w:rsidR="00ED6F04" w:rsidRPr="00B91CE4" w:rsidRDefault="00ED6F04" w:rsidP="00ED6F04">
      <w:pPr>
        <w:spacing w:after="240" w:line="276" w:lineRule="auto"/>
        <w:jc w:val="both"/>
        <w:rPr>
          <w:rFonts w:ascii="Arial" w:eastAsia="NSimSun" w:hAnsi="Arial" w:cs="Arial"/>
          <w:kern w:val="2"/>
          <w:sz w:val="21"/>
          <w:szCs w:val="21"/>
          <w:lang w:eastAsia="zh-CN" w:bidi="hi-IN"/>
        </w:rPr>
      </w:pPr>
      <w:r w:rsidRPr="00B91CE4">
        <w:rPr>
          <w:rFonts w:ascii="Arial" w:eastAsia="NSimSun" w:hAnsi="Arial" w:cs="Arial"/>
          <w:kern w:val="2"/>
          <w:sz w:val="21"/>
          <w:szCs w:val="21"/>
          <w:lang w:eastAsia="zh-CN" w:bidi="hi-IN"/>
        </w:rPr>
        <w:t xml:space="preserve">Tras las tres olas de COVID sufridas en el ejercicio 2021, la consolidación del teletrabajo y la práctica inexistencia de incidencias de acceso </w:t>
      </w:r>
      <w:r w:rsidRPr="00AD4E35">
        <w:rPr>
          <w:rFonts w:ascii="Arial" w:eastAsia="NSimSun" w:hAnsi="Arial" w:cs="Arial"/>
          <w:kern w:val="2"/>
          <w:sz w:val="21"/>
          <w:szCs w:val="21"/>
          <w:lang w:eastAsia="zh-CN" w:bidi="hi-IN"/>
        </w:rPr>
        <w:t>durante este tiempo ha puesto</w:t>
      </w:r>
      <w:r w:rsidRPr="00B91CE4">
        <w:rPr>
          <w:rFonts w:ascii="Arial" w:eastAsia="NSimSun" w:hAnsi="Arial" w:cs="Arial"/>
          <w:kern w:val="2"/>
          <w:sz w:val="21"/>
          <w:szCs w:val="21"/>
          <w:lang w:eastAsia="zh-CN" w:bidi="hi-IN"/>
        </w:rPr>
        <w:t xml:space="preserve"> de manifiesto la robustez, integridad y seguridad de la Red Privada Virtual desplegada en la Agencia. El acceso a la red de la Agencia en movilidad</w:t>
      </w:r>
      <w:r>
        <w:rPr>
          <w:rFonts w:ascii="Arial" w:eastAsia="NSimSun" w:hAnsi="Arial" w:cs="Arial"/>
          <w:kern w:val="2"/>
          <w:sz w:val="21"/>
          <w:szCs w:val="21"/>
          <w:lang w:eastAsia="zh-CN" w:bidi="hi-IN"/>
        </w:rPr>
        <w:t>,</w:t>
      </w:r>
      <w:r w:rsidRPr="00B91CE4">
        <w:rPr>
          <w:rFonts w:ascii="Arial" w:eastAsia="NSimSun" w:hAnsi="Arial" w:cs="Arial"/>
          <w:kern w:val="2"/>
          <w:sz w:val="21"/>
          <w:szCs w:val="21"/>
          <w:lang w:eastAsia="zh-CN" w:bidi="hi-IN"/>
        </w:rPr>
        <w:t xml:space="preserve"> mediante mecanismos de autenticación y confidencialidad seguros</w:t>
      </w:r>
      <w:r>
        <w:rPr>
          <w:rFonts w:ascii="Arial" w:eastAsia="NSimSun" w:hAnsi="Arial" w:cs="Arial"/>
          <w:kern w:val="2"/>
          <w:sz w:val="21"/>
          <w:szCs w:val="21"/>
          <w:lang w:eastAsia="zh-CN" w:bidi="hi-IN"/>
        </w:rPr>
        <w:t>,</w:t>
      </w:r>
      <w:r w:rsidRPr="00B91CE4">
        <w:rPr>
          <w:rFonts w:ascii="Arial" w:eastAsia="NSimSun" w:hAnsi="Arial" w:cs="Arial"/>
          <w:kern w:val="2"/>
          <w:sz w:val="21"/>
          <w:szCs w:val="21"/>
          <w:lang w:eastAsia="zh-CN" w:bidi="hi-IN"/>
        </w:rPr>
        <w:t xml:space="preserve"> ha facilitado las tareas de las diferentes Direcciones y ha permitido la continuidad del trabajo, independientemente de la ubicación física de sus usuarios, logrando así una plena independencia del lugar y del horario de trabajo.</w:t>
      </w:r>
    </w:p>
    <w:p w14:paraId="2827C889" w14:textId="77777777" w:rsidR="00ED6F04" w:rsidRPr="00B91CE4" w:rsidRDefault="00ED6F04" w:rsidP="00ED6F04">
      <w:pPr>
        <w:spacing w:after="240" w:line="276" w:lineRule="auto"/>
        <w:jc w:val="both"/>
        <w:rPr>
          <w:rFonts w:ascii="Arial" w:eastAsia="NSimSun" w:hAnsi="Arial" w:cs="Arial"/>
          <w:kern w:val="2"/>
          <w:sz w:val="21"/>
          <w:szCs w:val="21"/>
          <w:lang w:eastAsia="zh-CN" w:bidi="hi-IN"/>
        </w:rPr>
      </w:pPr>
      <w:r w:rsidRPr="00B91CE4">
        <w:rPr>
          <w:rFonts w:ascii="Arial" w:eastAsia="NSimSun" w:hAnsi="Arial" w:cs="Arial"/>
          <w:kern w:val="2"/>
          <w:sz w:val="21"/>
          <w:szCs w:val="21"/>
          <w:lang w:eastAsia="zh-CN" w:bidi="hi-IN"/>
        </w:rPr>
        <w:t>Durante 2021</w:t>
      </w:r>
      <w:r>
        <w:rPr>
          <w:rFonts w:ascii="Arial" w:eastAsia="NSimSun" w:hAnsi="Arial" w:cs="Arial"/>
          <w:kern w:val="2"/>
          <w:sz w:val="21"/>
          <w:szCs w:val="21"/>
          <w:lang w:eastAsia="zh-CN" w:bidi="hi-IN"/>
        </w:rPr>
        <w:t>,</w:t>
      </w:r>
      <w:r w:rsidRPr="00B91CE4">
        <w:rPr>
          <w:rFonts w:ascii="Arial" w:eastAsia="NSimSun" w:hAnsi="Arial" w:cs="Arial"/>
          <w:kern w:val="2"/>
          <w:sz w:val="21"/>
          <w:szCs w:val="21"/>
          <w:lang w:eastAsia="zh-CN" w:bidi="hi-IN"/>
        </w:rPr>
        <w:t xml:space="preserve"> se ha conseguido un porcentaje de disponibilidad de los servicios online prestados por la Agencia superior al 99%</w:t>
      </w:r>
      <w:r>
        <w:rPr>
          <w:rFonts w:ascii="Arial" w:eastAsia="NSimSun" w:hAnsi="Arial" w:cs="Arial"/>
          <w:kern w:val="2"/>
          <w:sz w:val="21"/>
          <w:szCs w:val="21"/>
          <w:lang w:eastAsia="zh-CN" w:bidi="hi-IN"/>
        </w:rPr>
        <w:t>. C</w:t>
      </w:r>
      <w:r w:rsidRPr="00B91CE4">
        <w:rPr>
          <w:rFonts w:ascii="Arial" w:eastAsia="NSimSun" w:hAnsi="Arial" w:cs="Arial"/>
          <w:kern w:val="2"/>
          <w:sz w:val="21"/>
          <w:szCs w:val="21"/>
          <w:lang w:eastAsia="zh-CN" w:bidi="hi-IN"/>
        </w:rPr>
        <w:t>oncretamente</w:t>
      </w:r>
      <w:r>
        <w:rPr>
          <w:rFonts w:ascii="Arial" w:eastAsia="NSimSun" w:hAnsi="Arial" w:cs="Arial"/>
          <w:kern w:val="2"/>
          <w:sz w:val="21"/>
          <w:szCs w:val="21"/>
          <w:lang w:eastAsia="zh-CN" w:bidi="hi-IN"/>
        </w:rPr>
        <w:t>,</w:t>
      </w:r>
      <w:r w:rsidRPr="00B91CE4">
        <w:rPr>
          <w:rFonts w:ascii="Arial" w:eastAsia="NSimSun" w:hAnsi="Arial" w:cs="Arial"/>
          <w:kern w:val="2"/>
          <w:sz w:val="21"/>
          <w:szCs w:val="21"/>
          <w:lang w:eastAsia="zh-CN" w:bidi="hi-IN"/>
        </w:rPr>
        <w:t xml:space="preserve"> el Buzón de denuncias</w:t>
      </w:r>
      <w:r>
        <w:rPr>
          <w:rFonts w:ascii="Arial" w:eastAsia="NSimSun" w:hAnsi="Arial" w:cs="Arial"/>
          <w:kern w:val="2"/>
          <w:sz w:val="21"/>
          <w:szCs w:val="21"/>
          <w:lang w:eastAsia="zh-CN" w:bidi="hi-IN"/>
        </w:rPr>
        <w:t>,</w:t>
      </w:r>
      <w:r w:rsidRPr="00B91CE4">
        <w:rPr>
          <w:rFonts w:ascii="Arial" w:eastAsia="NSimSun" w:hAnsi="Arial" w:cs="Arial"/>
          <w:kern w:val="2"/>
          <w:sz w:val="21"/>
          <w:szCs w:val="21"/>
          <w:lang w:eastAsia="zh-CN" w:bidi="hi-IN"/>
        </w:rPr>
        <w:t xml:space="preserve"> con un 99,57%</w:t>
      </w:r>
      <w:r>
        <w:rPr>
          <w:rFonts w:ascii="Arial" w:eastAsia="NSimSun" w:hAnsi="Arial" w:cs="Arial"/>
          <w:kern w:val="2"/>
          <w:sz w:val="21"/>
          <w:szCs w:val="21"/>
          <w:lang w:eastAsia="zh-CN" w:bidi="hi-IN"/>
        </w:rPr>
        <w:t>,</w:t>
      </w:r>
      <w:r w:rsidRPr="00B91CE4">
        <w:rPr>
          <w:rFonts w:ascii="Arial" w:eastAsia="NSimSun" w:hAnsi="Arial" w:cs="Arial"/>
          <w:kern w:val="2"/>
          <w:sz w:val="21"/>
          <w:szCs w:val="21"/>
          <w:lang w:eastAsia="zh-CN" w:bidi="hi-IN"/>
        </w:rPr>
        <w:t xml:space="preserve"> ha sido el servicio que más tiempo ha permanecido activo</w:t>
      </w:r>
      <w:r>
        <w:rPr>
          <w:rFonts w:ascii="Arial" w:eastAsia="NSimSun" w:hAnsi="Arial" w:cs="Arial"/>
          <w:kern w:val="2"/>
          <w:sz w:val="21"/>
          <w:szCs w:val="21"/>
          <w:lang w:eastAsia="zh-CN" w:bidi="hi-IN"/>
        </w:rPr>
        <w:t>. T</w:t>
      </w:r>
      <w:r w:rsidRPr="00B91CE4">
        <w:rPr>
          <w:rFonts w:ascii="Arial" w:eastAsia="NSimSun" w:hAnsi="Arial" w:cs="Arial"/>
          <w:kern w:val="2"/>
          <w:sz w:val="21"/>
          <w:szCs w:val="21"/>
          <w:lang w:eastAsia="zh-CN" w:bidi="hi-IN"/>
        </w:rPr>
        <w:t>ras él, la sede electrónica con un 99,43%</w:t>
      </w:r>
      <w:r>
        <w:rPr>
          <w:rFonts w:ascii="Arial" w:eastAsia="NSimSun" w:hAnsi="Arial" w:cs="Arial"/>
          <w:kern w:val="2"/>
          <w:sz w:val="21"/>
          <w:szCs w:val="21"/>
          <w:lang w:eastAsia="zh-CN" w:bidi="hi-IN"/>
        </w:rPr>
        <w:t>,</w:t>
      </w:r>
      <w:r w:rsidRPr="00B91CE4">
        <w:rPr>
          <w:rFonts w:ascii="Arial" w:eastAsia="NSimSun" w:hAnsi="Arial" w:cs="Arial"/>
          <w:kern w:val="2"/>
          <w:sz w:val="21"/>
          <w:szCs w:val="21"/>
          <w:lang w:eastAsia="zh-CN" w:bidi="hi-IN"/>
        </w:rPr>
        <w:t xml:space="preserve"> y la web con un 99,12%</w:t>
      </w:r>
      <w:r>
        <w:rPr>
          <w:rFonts w:ascii="Arial" w:eastAsia="NSimSun" w:hAnsi="Arial" w:cs="Arial"/>
          <w:kern w:val="2"/>
          <w:sz w:val="21"/>
          <w:szCs w:val="21"/>
          <w:lang w:eastAsia="zh-CN" w:bidi="hi-IN"/>
        </w:rPr>
        <w:t>,</w:t>
      </w:r>
      <w:r w:rsidRPr="00B91CE4">
        <w:rPr>
          <w:rFonts w:ascii="Arial" w:eastAsia="NSimSun" w:hAnsi="Arial" w:cs="Arial"/>
          <w:kern w:val="2"/>
          <w:sz w:val="21"/>
          <w:szCs w:val="21"/>
          <w:lang w:eastAsia="zh-CN" w:bidi="hi-IN"/>
        </w:rPr>
        <w:t xml:space="preserve"> han permitido el acceso a los servicios externos de la Agencia sin ninguna discontinuidad</w:t>
      </w:r>
      <w:r>
        <w:rPr>
          <w:rFonts w:ascii="Arial" w:eastAsia="NSimSun" w:hAnsi="Arial" w:cs="Arial"/>
          <w:kern w:val="2"/>
          <w:sz w:val="21"/>
          <w:szCs w:val="21"/>
          <w:lang w:eastAsia="zh-CN" w:bidi="hi-IN"/>
        </w:rPr>
        <w:t xml:space="preserve"> en los servicios.</w:t>
      </w:r>
    </w:p>
    <w:p w14:paraId="1944EE43" w14:textId="77777777" w:rsidR="00ED6F04" w:rsidRPr="00B91CE4" w:rsidRDefault="00ED6F04" w:rsidP="00ED6F04">
      <w:pPr>
        <w:spacing w:after="240" w:line="276" w:lineRule="auto"/>
        <w:jc w:val="both"/>
        <w:rPr>
          <w:rFonts w:ascii="Arial" w:eastAsia="NSimSun" w:hAnsi="Arial" w:cs="Arial"/>
          <w:kern w:val="2"/>
          <w:sz w:val="21"/>
          <w:szCs w:val="21"/>
          <w:lang w:eastAsia="zh-CN" w:bidi="hi-IN"/>
        </w:rPr>
      </w:pPr>
      <w:r w:rsidRPr="00B91CE4">
        <w:rPr>
          <w:rFonts w:ascii="Arial" w:eastAsia="NSimSun" w:hAnsi="Arial" w:cs="Arial"/>
          <w:kern w:val="2"/>
          <w:sz w:val="21"/>
          <w:szCs w:val="21"/>
          <w:lang w:eastAsia="zh-CN" w:bidi="hi-IN"/>
        </w:rPr>
        <w:t>Con el objeto de garantizar y mantener los niveles de seguridad requeridos por la actividad de la Agencia, se ha realizado la renovación de las licencias de antivirus y de copias de seguridad con las que hacer frente a cualquier incidente que pudiera ocasionar una pérdida o deterioro de los datos, de acuerdo con los Puntos y Tiempos de Recuperación Objetivo adecuados a los activos que se protegen.</w:t>
      </w:r>
    </w:p>
    <w:p w14:paraId="0475468D" w14:textId="77777777" w:rsidR="00ED6F04" w:rsidRPr="00B91CE4" w:rsidRDefault="00ED6F04" w:rsidP="00ED6F04">
      <w:pPr>
        <w:spacing w:after="240" w:line="276" w:lineRule="auto"/>
        <w:jc w:val="both"/>
        <w:rPr>
          <w:rFonts w:ascii="Arial" w:eastAsia="NSimSun" w:hAnsi="Arial" w:cs="Arial"/>
          <w:kern w:val="2"/>
          <w:sz w:val="21"/>
          <w:szCs w:val="21"/>
          <w:lang w:eastAsia="zh-CN" w:bidi="hi-IN"/>
        </w:rPr>
      </w:pPr>
      <w:r w:rsidRPr="00B91CE4">
        <w:rPr>
          <w:rFonts w:ascii="Arial" w:eastAsia="NSimSun" w:hAnsi="Arial" w:cs="Arial"/>
          <w:kern w:val="2"/>
          <w:sz w:val="21"/>
          <w:szCs w:val="21"/>
          <w:lang w:eastAsia="zh-CN" w:bidi="hi-IN"/>
        </w:rPr>
        <w:t xml:space="preserve">En relación con la seguridad perimetral, </w:t>
      </w:r>
      <w:r w:rsidRPr="00B91CE4">
        <w:rPr>
          <w:rFonts w:ascii="Arial" w:eastAsia="NSimSun" w:hAnsi="Arial" w:cs="Arial"/>
          <w:b/>
          <w:bCs/>
          <w:kern w:val="2"/>
          <w:sz w:val="21"/>
          <w:szCs w:val="21"/>
          <w:lang w:eastAsia="zh-CN" w:bidi="hi-IN"/>
        </w:rPr>
        <w:t>durante el ejercicio 2021</w:t>
      </w:r>
      <w:r>
        <w:rPr>
          <w:rFonts w:ascii="Arial" w:eastAsia="NSimSun" w:hAnsi="Arial" w:cs="Arial"/>
          <w:b/>
          <w:bCs/>
          <w:kern w:val="2"/>
          <w:sz w:val="21"/>
          <w:szCs w:val="21"/>
          <w:lang w:eastAsia="zh-CN" w:bidi="hi-IN"/>
        </w:rPr>
        <w:t>,</w:t>
      </w:r>
      <w:r w:rsidRPr="00B91CE4">
        <w:rPr>
          <w:rFonts w:ascii="Arial" w:eastAsia="NSimSun" w:hAnsi="Arial" w:cs="Arial"/>
          <w:b/>
          <w:bCs/>
          <w:kern w:val="2"/>
          <w:sz w:val="21"/>
          <w:szCs w:val="21"/>
          <w:lang w:eastAsia="zh-CN" w:bidi="hi-IN"/>
        </w:rPr>
        <w:t xml:space="preserve"> se detectaron y bloquearon un total de 6.123 intentos de intrusión y de actividades maliciosas</w:t>
      </w:r>
      <w:r w:rsidRPr="00B91CE4">
        <w:rPr>
          <w:rFonts w:ascii="Arial" w:eastAsia="NSimSun" w:hAnsi="Arial" w:cs="Arial"/>
          <w:kern w:val="2"/>
          <w:sz w:val="21"/>
          <w:szCs w:val="21"/>
          <w:lang w:eastAsia="zh-CN" w:bidi="hi-IN"/>
        </w:rPr>
        <w:t xml:space="preserve"> dirigidas contra los Sistemas de Información de la Agencia. También, </w:t>
      </w:r>
      <w:r w:rsidRPr="00B91CE4">
        <w:rPr>
          <w:rFonts w:ascii="Arial" w:eastAsia="NSimSun" w:hAnsi="Arial" w:cs="Arial"/>
          <w:b/>
          <w:bCs/>
          <w:kern w:val="2"/>
          <w:sz w:val="21"/>
          <w:szCs w:val="21"/>
          <w:lang w:eastAsia="zh-CN" w:bidi="hi-IN"/>
        </w:rPr>
        <w:t>fueron bloqueados hasta 784 intentos de conexión mediante “botnets” o redes de computadoras secuestradas</w:t>
      </w:r>
      <w:r w:rsidRPr="00B91CE4">
        <w:rPr>
          <w:rFonts w:ascii="Arial" w:eastAsia="NSimSun" w:hAnsi="Arial" w:cs="Arial"/>
          <w:kern w:val="2"/>
          <w:sz w:val="21"/>
          <w:szCs w:val="21"/>
          <w:lang w:eastAsia="zh-CN" w:bidi="hi-IN"/>
        </w:rPr>
        <w:t>. A nivel de alertas generadas por el antivirus, se han contabilizado un total de 537 detecciones</w:t>
      </w:r>
      <w:r>
        <w:rPr>
          <w:rFonts w:ascii="Arial" w:eastAsia="NSimSun" w:hAnsi="Arial" w:cs="Arial"/>
          <w:kern w:val="2"/>
          <w:sz w:val="21"/>
          <w:szCs w:val="21"/>
          <w:lang w:eastAsia="zh-CN" w:bidi="hi-IN"/>
        </w:rPr>
        <w:t>,</w:t>
      </w:r>
      <w:r w:rsidRPr="00B91CE4">
        <w:rPr>
          <w:rFonts w:ascii="Arial" w:eastAsia="NSimSun" w:hAnsi="Arial" w:cs="Arial"/>
          <w:kern w:val="2"/>
          <w:sz w:val="21"/>
          <w:szCs w:val="21"/>
          <w:lang w:eastAsia="zh-CN" w:bidi="hi-IN"/>
        </w:rPr>
        <w:t xml:space="preserve"> relacionadas en su mayor parte con la presencia de componentes de riesgo en páginas web (malware, cookies).</w:t>
      </w:r>
    </w:p>
    <w:p w14:paraId="22204A45" w14:textId="77777777" w:rsidR="00ED6F04" w:rsidRPr="00B91CE4" w:rsidRDefault="00ED6F04" w:rsidP="00ED6F04">
      <w:pPr>
        <w:spacing w:after="240" w:line="276" w:lineRule="auto"/>
        <w:jc w:val="both"/>
        <w:rPr>
          <w:rFonts w:ascii="Arial" w:eastAsia="NSimSun" w:hAnsi="Arial" w:cs="Arial"/>
          <w:kern w:val="2"/>
          <w:sz w:val="21"/>
          <w:szCs w:val="21"/>
          <w:lang w:eastAsia="zh-CN" w:bidi="hi-IN"/>
        </w:rPr>
      </w:pPr>
      <w:r w:rsidRPr="00B91CE4">
        <w:rPr>
          <w:rFonts w:ascii="Arial" w:eastAsia="NSimSun" w:hAnsi="Arial" w:cs="Arial"/>
          <w:kern w:val="2"/>
          <w:sz w:val="21"/>
          <w:szCs w:val="21"/>
          <w:lang w:eastAsia="zh-CN" w:bidi="hi-IN"/>
        </w:rPr>
        <w:t>Por otra parte, en búsqueda de una mejora en el plan de continuidad de los sistemas y una mejor eficiencia en su funcionamiento</w:t>
      </w:r>
      <w:r>
        <w:rPr>
          <w:rFonts w:ascii="Arial" w:eastAsia="NSimSun" w:hAnsi="Arial" w:cs="Arial"/>
          <w:kern w:val="2"/>
          <w:sz w:val="21"/>
          <w:szCs w:val="21"/>
          <w:lang w:eastAsia="zh-CN" w:bidi="hi-IN"/>
        </w:rPr>
        <w:t>,</w:t>
      </w:r>
      <w:r w:rsidRPr="00B91CE4">
        <w:rPr>
          <w:rFonts w:ascii="Arial" w:eastAsia="NSimSun" w:hAnsi="Arial" w:cs="Arial"/>
          <w:kern w:val="2"/>
          <w:sz w:val="21"/>
          <w:szCs w:val="21"/>
          <w:lang w:eastAsia="zh-CN" w:bidi="hi-IN"/>
        </w:rPr>
        <w:t xml:space="preserve"> se han realizado modificaciones en el ámbito de la Virtualización, optimizando los tiempos de respuesta ante incidentes mediante la monitorización continua del estado de los servidores físicos, máquinas virtuales y otros parámetros de la red.</w:t>
      </w:r>
    </w:p>
    <w:p w14:paraId="4BCDF1A3" w14:textId="77777777" w:rsidR="00ED6F04" w:rsidRPr="00B91CE4" w:rsidRDefault="00ED6F04" w:rsidP="00ED6F04">
      <w:pPr>
        <w:spacing w:after="240" w:line="276" w:lineRule="auto"/>
        <w:jc w:val="both"/>
        <w:rPr>
          <w:rFonts w:ascii="Arial" w:eastAsia="NSimSun" w:hAnsi="Arial" w:cs="Arial"/>
          <w:kern w:val="2"/>
          <w:sz w:val="21"/>
          <w:szCs w:val="21"/>
          <w:lang w:eastAsia="zh-CN" w:bidi="hi-IN"/>
        </w:rPr>
      </w:pPr>
      <w:r w:rsidRPr="00B91CE4">
        <w:rPr>
          <w:rFonts w:ascii="Arial" w:eastAsia="NSimSun" w:hAnsi="Arial" w:cs="Arial"/>
          <w:kern w:val="2"/>
          <w:sz w:val="21"/>
          <w:szCs w:val="21"/>
          <w:lang w:eastAsia="zh-CN" w:bidi="hi-IN"/>
        </w:rPr>
        <w:t>A nivel de comunicaciones, tras la finalización del Acuerdo Marco CESSTIC, la Agencia licitó sus servicios de voz y datos en movilidad, realizando la portabilidad de todas sus líneas y adecuando el número y tipo de estas a las necesidades actuales, obteniendo una mejor eficiencia técnica y económica en este apartado.</w:t>
      </w:r>
    </w:p>
    <w:p w14:paraId="36BBD960" w14:textId="77777777" w:rsidR="00ED6F04" w:rsidRPr="00B91CE4" w:rsidRDefault="00ED6F04" w:rsidP="00ED6F04">
      <w:pPr>
        <w:spacing w:after="240" w:line="276" w:lineRule="auto"/>
        <w:jc w:val="both"/>
        <w:rPr>
          <w:rFonts w:ascii="Arial" w:eastAsia="NSimSun" w:hAnsi="Arial" w:cs="Arial"/>
          <w:kern w:val="2"/>
          <w:sz w:val="21"/>
          <w:szCs w:val="21"/>
          <w:lang w:eastAsia="zh-CN" w:bidi="hi-IN"/>
        </w:rPr>
      </w:pPr>
      <w:r w:rsidRPr="00B91CE4">
        <w:rPr>
          <w:rFonts w:ascii="Arial" w:eastAsia="NSimSun" w:hAnsi="Arial" w:cs="Arial"/>
          <w:kern w:val="2"/>
          <w:sz w:val="21"/>
          <w:szCs w:val="21"/>
          <w:lang w:eastAsia="zh-CN" w:bidi="hi-IN"/>
        </w:rPr>
        <w:t>La electrónica de red de la sede de la Agencia ha sido objeto de su revisión, actualización a últimas versiones y ampliación para dotar de nuevos puestos físicos de trabajo. Del mismo modo</w:t>
      </w:r>
      <w:r>
        <w:rPr>
          <w:rFonts w:ascii="Arial" w:eastAsia="NSimSun" w:hAnsi="Arial" w:cs="Arial"/>
          <w:kern w:val="2"/>
          <w:sz w:val="21"/>
          <w:szCs w:val="21"/>
          <w:lang w:eastAsia="zh-CN" w:bidi="hi-IN"/>
        </w:rPr>
        <w:t>,</w:t>
      </w:r>
      <w:r w:rsidRPr="00B91CE4">
        <w:rPr>
          <w:rFonts w:ascii="Arial" w:eastAsia="NSimSun" w:hAnsi="Arial" w:cs="Arial"/>
          <w:kern w:val="2"/>
          <w:sz w:val="21"/>
          <w:szCs w:val="21"/>
          <w:lang w:eastAsia="zh-CN" w:bidi="hi-IN"/>
        </w:rPr>
        <w:t xml:space="preserve"> se ha renovado su soporte y mantenimiento para disponer de las últimas versiones que solucionen todas las posibles brechas de seguridad o de funcionamiento y cumplir con ello con las obligaciones establecidas por el Esquema Nacional de Seguridad.</w:t>
      </w:r>
    </w:p>
    <w:p w14:paraId="5F8F0593" w14:textId="77777777" w:rsidR="00ED6F04" w:rsidRPr="00B91CE4" w:rsidRDefault="00ED6F04" w:rsidP="00ED6F04">
      <w:pPr>
        <w:spacing w:after="240" w:line="276" w:lineRule="auto"/>
        <w:jc w:val="both"/>
        <w:rPr>
          <w:rFonts w:ascii="Arial" w:eastAsia="NSimSun" w:hAnsi="Arial" w:cs="Arial"/>
          <w:kern w:val="2"/>
          <w:sz w:val="21"/>
          <w:szCs w:val="21"/>
          <w:lang w:eastAsia="zh-CN" w:bidi="hi-IN"/>
        </w:rPr>
      </w:pPr>
      <w:r w:rsidRPr="00B91CE4">
        <w:rPr>
          <w:rFonts w:ascii="Arial" w:eastAsia="NSimSun" w:hAnsi="Arial" w:cs="Arial"/>
          <w:kern w:val="2"/>
          <w:sz w:val="21"/>
          <w:szCs w:val="21"/>
          <w:lang w:eastAsia="zh-CN" w:bidi="hi-IN"/>
        </w:rPr>
        <w:t xml:space="preserve">A nivel interno, se ha prestado colaboración en operativos e investigaciones de la Dirección de Análisis </w:t>
      </w:r>
      <w:r>
        <w:rPr>
          <w:rFonts w:ascii="Arial" w:eastAsia="NSimSun" w:hAnsi="Arial" w:cs="Arial"/>
          <w:kern w:val="2"/>
          <w:sz w:val="21"/>
          <w:szCs w:val="21"/>
          <w:lang w:eastAsia="zh-CN" w:bidi="hi-IN"/>
        </w:rPr>
        <w:t xml:space="preserve">e Investigación, </w:t>
      </w:r>
      <w:r w:rsidRPr="00B91CE4">
        <w:rPr>
          <w:rFonts w:ascii="Arial" w:eastAsia="NSimSun" w:hAnsi="Arial" w:cs="Arial"/>
          <w:kern w:val="2"/>
          <w:sz w:val="21"/>
          <w:szCs w:val="21"/>
          <w:lang w:eastAsia="zh-CN" w:bidi="hi-IN"/>
        </w:rPr>
        <w:t>mediante la emisión de informes técnicos</w:t>
      </w:r>
      <w:r>
        <w:rPr>
          <w:rFonts w:ascii="Arial" w:eastAsia="NSimSun" w:hAnsi="Arial" w:cs="Arial"/>
          <w:kern w:val="2"/>
          <w:sz w:val="21"/>
          <w:szCs w:val="21"/>
          <w:lang w:eastAsia="zh-CN" w:bidi="hi-IN"/>
        </w:rPr>
        <w:t>,</w:t>
      </w:r>
      <w:r w:rsidRPr="00B91CE4">
        <w:rPr>
          <w:rFonts w:ascii="Arial" w:eastAsia="NSimSun" w:hAnsi="Arial" w:cs="Arial"/>
          <w:kern w:val="2"/>
          <w:sz w:val="21"/>
          <w:szCs w:val="21"/>
          <w:lang w:eastAsia="zh-CN" w:bidi="hi-IN"/>
        </w:rPr>
        <w:t xml:space="preserve"> y </w:t>
      </w:r>
      <w:r>
        <w:rPr>
          <w:rFonts w:ascii="Arial" w:eastAsia="NSimSun" w:hAnsi="Arial" w:cs="Arial"/>
          <w:kern w:val="2"/>
          <w:sz w:val="21"/>
          <w:szCs w:val="21"/>
          <w:lang w:eastAsia="zh-CN" w:bidi="hi-IN"/>
        </w:rPr>
        <w:t xml:space="preserve">también </w:t>
      </w:r>
      <w:r w:rsidRPr="00B91CE4">
        <w:rPr>
          <w:rFonts w:ascii="Arial" w:eastAsia="NSimSun" w:hAnsi="Arial" w:cs="Arial"/>
          <w:kern w:val="2"/>
          <w:sz w:val="21"/>
          <w:szCs w:val="21"/>
          <w:lang w:eastAsia="zh-CN" w:bidi="hi-IN"/>
        </w:rPr>
        <w:t xml:space="preserve">participando en la recogida de documentación, así como en la resolución de otras incidencias menores </w:t>
      </w:r>
      <w:r>
        <w:rPr>
          <w:rFonts w:ascii="Arial" w:eastAsia="NSimSun" w:hAnsi="Arial" w:cs="Arial"/>
          <w:kern w:val="2"/>
          <w:sz w:val="21"/>
          <w:szCs w:val="21"/>
          <w:lang w:eastAsia="zh-CN" w:bidi="hi-IN"/>
        </w:rPr>
        <w:t>realizadas</w:t>
      </w:r>
      <w:r w:rsidRPr="00B91CE4">
        <w:rPr>
          <w:rFonts w:ascii="Arial" w:eastAsia="NSimSun" w:hAnsi="Arial" w:cs="Arial"/>
          <w:kern w:val="2"/>
          <w:sz w:val="21"/>
          <w:szCs w:val="21"/>
          <w:lang w:eastAsia="zh-CN" w:bidi="hi-IN"/>
        </w:rPr>
        <w:t xml:space="preserve"> por el resto del personal de la Agencia en el Gestor de Peticiones, donde se registraron un total de 198 tiques de soporte. En relación con la Administración electrónica</w:t>
      </w:r>
      <w:r>
        <w:rPr>
          <w:rFonts w:ascii="Arial" w:eastAsia="NSimSun" w:hAnsi="Arial" w:cs="Arial"/>
          <w:kern w:val="2"/>
          <w:sz w:val="21"/>
          <w:szCs w:val="21"/>
          <w:lang w:eastAsia="zh-CN" w:bidi="hi-IN"/>
        </w:rPr>
        <w:t>,</w:t>
      </w:r>
      <w:r w:rsidRPr="00B91CE4">
        <w:rPr>
          <w:rFonts w:ascii="Arial" w:eastAsia="NSimSun" w:hAnsi="Arial" w:cs="Arial"/>
          <w:kern w:val="2"/>
          <w:sz w:val="21"/>
          <w:szCs w:val="21"/>
          <w:lang w:eastAsia="zh-CN" w:bidi="hi-IN"/>
        </w:rPr>
        <w:t xml:space="preserve"> hasta un total de 11 nuevos procedimientos han sido incorporados al catálogo de tipologías disponible en la Agencia, destacando los relacionados con Expediente sancionador y Asesoramiento a denunciantes.</w:t>
      </w:r>
    </w:p>
    <w:p w14:paraId="0CD5C01B" w14:textId="77777777" w:rsidR="00ED6F04" w:rsidRPr="00B91CE4" w:rsidRDefault="00ED6F04" w:rsidP="00ED6F04">
      <w:pPr>
        <w:spacing w:after="240" w:line="276" w:lineRule="auto"/>
        <w:jc w:val="both"/>
        <w:rPr>
          <w:rFonts w:ascii="Arial" w:eastAsia="NSimSun" w:hAnsi="Arial" w:cs="Arial"/>
          <w:kern w:val="2"/>
          <w:sz w:val="21"/>
          <w:szCs w:val="21"/>
          <w:lang w:eastAsia="zh-CN" w:bidi="hi-IN"/>
        </w:rPr>
      </w:pPr>
      <w:r w:rsidRPr="00B91CE4">
        <w:rPr>
          <w:rFonts w:ascii="Arial" w:eastAsia="NSimSun" w:hAnsi="Arial" w:cs="Arial"/>
          <w:kern w:val="2"/>
          <w:sz w:val="21"/>
          <w:szCs w:val="21"/>
          <w:lang w:eastAsia="zh-CN" w:bidi="hi-IN"/>
        </w:rPr>
        <w:t>El uso del registro electrónico a través de la sede ha continuado su consolidación, aumentando el número de registros respecto a años anteriores</w:t>
      </w:r>
      <w:r>
        <w:rPr>
          <w:rFonts w:ascii="Arial" w:eastAsia="NSimSun" w:hAnsi="Arial" w:cs="Arial"/>
          <w:kern w:val="2"/>
          <w:sz w:val="21"/>
          <w:szCs w:val="21"/>
          <w:lang w:eastAsia="zh-CN" w:bidi="hi-IN"/>
        </w:rPr>
        <w:t>,</w:t>
      </w:r>
      <w:r w:rsidRPr="00B91CE4">
        <w:rPr>
          <w:rFonts w:ascii="Arial" w:eastAsia="NSimSun" w:hAnsi="Arial" w:cs="Arial"/>
          <w:kern w:val="2"/>
          <w:sz w:val="21"/>
          <w:szCs w:val="21"/>
          <w:lang w:eastAsia="zh-CN" w:bidi="hi-IN"/>
        </w:rPr>
        <w:t xml:space="preserve"> no sólo a nivel electrónico sino también de forma presencial.</w:t>
      </w:r>
    </w:p>
    <w:p w14:paraId="7F378E44" w14:textId="2F2F3DFC" w:rsidR="00ED6F04" w:rsidRPr="00B91CE4" w:rsidRDefault="00ED6F04" w:rsidP="00ED6F04">
      <w:pPr>
        <w:pStyle w:val="Descripcin"/>
        <w:keepNext/>
        <w:jc w:val="center"/>
        <w:rPr>
          <w:rFonts w:ascii="Arial" w:hAnsi="Arial" w:cs="Arial"/>
          <w:smallCaps w:val="0"/>
          <w:sz w:val="18"/>
          <w:szCs w:val="18"/>
        </w:rPr>
      </w:pPr>
      <w:bookmarkStart w:id="416" w:name="_Toc95676806"/>
      <w:bookmarkStart w:id="417" w:name="_Toc99107156"/>
      <w:r w:rsidRPr="00B91CE4">
        <w:rPr>
          <w:rFonts w:ascii="Arial" w:hAnsi="Arial" w:cs="Arial"/>
          <w:smallCaps w:val="0"/>
          <w:color w:val="9D2235" w:themeColor="accent1"/>
          <w:sz w:val="18"/>
          <w:szCs w:val="18"/>
        </w:rPr>
        <w:t xml:space="preserve">Tabla </w:t>
      </w:r>
      <w:r w:rsidRPr="00B91CE4">
        <w:rPr>
          <w:rFonts w:ascii="Arial" w:hAnsi="Arial" w:cs="Arial"/>
          <w:smallCaps w:val="0"/>
          <w:color w:val="9D2235" w:themeColor="accent1"/>
          <w:sz w:val="18"/>
          <w:szCs w:val="18"/>
        </w:rPr>
        <w:fldChar w:fldCharType="begin" w:fldLock="1"/>
      </w:r>
      <w:r w:rsidRPr="00B91CE4">
        <w:rPr>
          <w:rFonts w:ascii="Arial" w:hAnsi="Arial" w:cs="Arial"/>
          <w:smallCaps w:val="0"/>
          <w:color w:val="9D2235" w:themeColor="accent1"/>
          <w:sz w:val="18"/>
          <w:szCs w:val="18"/>
        </w:rPr>
        <w:instrText xml:space="preserve"> SEQ Tabla \* ARABIC </w:instrText>
      </w:r>
      <w:r w:rsidRPr="00B91CE4">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18</w:t>
      </w:r>
      <w:r w:rsidRPr="00B91CE4">
        <w:rPr>
          <w:rFonts w:ascii="Arial" w:hAnsi="Arial" w:cs="Arial"/>
          <w:smallCaps w:val="0"/>
          <w:color w:val="9D2235" w:themeColor="accent1"/>
          <w:sz w:val="18"/>
          <w:szCs w:val="18"/>
        </w:rPr>
        <w:fldChar w:fldCharType="end"/>
      </w:r>
      <w:r w:rsidRPr="00B91CE4">
        <w:rPr>
          <w:rFonts w:ascii="Arial" w:hAnsi="Arial" w:cs="Arial"/>
          <w:smallCaps w:val="0"/>
          <w:color w:val="9D2235" w:themeColor="accent1"/>
          <w:sz w:val="18"/>
          <w:szCs w:val="18"/>
        </w:rPr>
        <w:t xml:space="preserve">. </w:t>
      </w:r>
      <w:r w:rsidRPr="00B91CE4">
        <w:rPr>
          <w:rFonts w:ascii="Arial" w:hAnsi="Arial" w:cs="Arial"/>
          <w:smallCaps w:val="0"/>
          <w:sz w:val="18"/>
          <w:szCs w:val="18"/>
        </w:rPr>
        <w:t>Cuadro resumen registros de entrada AVAF</w:t>
      </w:r>
      <w:bookmarkEnd w:id="416"/>
      <w:bookmarkEnd w:id="417"/>
    </w:p>
    <w:tbl>
      <w:tblPr>
        <w:tblStyle w:val="Tablaconcuadrcula4"/>
        <w:tblW w:w="0" w:type="auto"/>
        <w:jc w:val="center"/>
        <w:tblLayout w:type="fixed"/>
        <w:tblLook w:val="04A0" w:firstRow="1" w:lastRow="0" w:firstColumn="1" w:lastColumn="0" w:noHBand="0" w:noVBand="1"/>
      </w:tblPr>
      <w:tblGrid>
        <w:gridCol w:w="5103"/>
        <w:gridCol w:w="851"/>
        <w:gridCol w:w="851"/>
      </w:tblGrid>
      <w:tr w:rsidR="00ED6F04" w:rsidRPr="00B91CE4" w14:paraId="40AEADE0" w14:textId="77777777" w:rsidTr="009F574A">
        <w:trPr>
          <w:jc w:val="center"/>
        </w:trPr>
        <w:tc>
          <w:tcPr>
            <w:tcW w:w="5103" w:type="dxa"/>
            <w:tcBorders>
              <w:top w:val="nil"/>
              <w:left w:val="nil"/>
              <w:bottom w:val="single" w:sz="4" w:space="0" w:color="auto"/>
              <w:right w:val="single" w:sz="4" w:space="0" w:color="auto"/>
            </w:tcBorders>
          </w:tcPr>
          <w:p w14:paraId="1159CB54" w14:textId="77777777" w:rsidR="00ED6F04" w:rsidRPr="00B91CE4" w:rsidRDefault="00ED6F04" w:rsidP="009F574A">
            <w:pPr>
              <w:spacing w:line="276" w:lineRule="auto"/>
              <w:jc w:val="center"/>
              <w:rPr>
                <w:rFonts w:ascii="Arial" w:eastAsia="NSimSun" w:hAnsi="Arial" w:cs="Arial"/>
                <w:kern w:val="2"/>
                <w:sz w:val="18"/>
                <w:szCs w:val="18"/>
                <w:lang w:eastAsia="zh-CN" w:bidi="hi-IN"/>
              </w:rPr>
            </w:pPr>
          </w:p>
        </w:tc>
        <w:tc>
          <w:tcPr>
            <w:tcW w:w="851" w:type="dxa"/>
            <w:tcBorders>
              <w:left w:val="single" w:sz="4" w:space="0" w:color="auto"/>
            </w:tcBorders>
            <w:shd w:val="clear" w:color="auto" w:fill="E5DEDB"/>
          </w:tcPr>
          <w:p w14:paraId="3CDA1C79" w14:textId="77777777" w:rsidR="00ED6F04" w:rsidRPr="00B91CE4" w:rsidRDefault="00ED6F04" w:rsidP="009F574A">
            <w:pPr>
              <w:spacing w:line="276" w:lineRule="auto"/>
              <w:jc w:val="center"/>
              <w:rPr>
                <w:rFonts w:ascii="Arial" w:eastAsia="NSimSun" w:hAnsi="Arial" w:cs="Arial"/>
                <w:b/>
                <w:bCs/>
                <w:kern w:val="2"/>
                <w:sz w:val="18"/>
                <w:szCs w:val="18"/>
                <w:lang w:eastAsia="zh-CN" w:bidi="hi-IN"/>
              </w:rPr>
            </w:pPr>
            <w:r w:rsidRPr="00B91CE4">
              <w:rPr>
                <w:rFonts w:ascii="Arial" w:eastAsia="NSimSun" w:hAnsi="Arial" w:cs="Arial"/>
                <w:b/>
                <w:bCs/>
                <w:kern w:val="2"/>
                <w:sz w:val="18"/>
                <w:szCs w:val="18"/>
                <w:lang w:eastAsia="zh-CN" w:bidi="hi-IN"/>
              </w:rPr>
              <w:t>2020</w:t>
            </w:r>
          </w:p>
        </w:tc>
        <w:tc>
          <w:tcPr>
            <w:tcW w:w="851" w:type="dxa"/>
            <w:shd w:val="clear" w:color="auto" w:fill="E5DEDB"/>
          </w:tcPr>
          <w:p w14:paraId="16832853" w14:textId="77777777" w:rsidR="00ED6F04" w:rsidRPr="00B91CE4" w:rsidRDefault="00ED6F04" w:rsidP="009F574A">
            <w:pPr>
              <w:spacing w:line="276" w:lineRule="auto"/>
              <w:jc w:val="center"/>
              <w:rPr>
                <w:rFonts w:ascii="Arial" w:eastAsia="NSimSun" w:hAnsi="Arial" w:cs="Arial"/>
                <w:b/>
                <w:bCs/>
                <w:kern w:val="2"/>
                <w:sz w:val="18"/>
                <w:szCs w:val="18"/>
                <w:lang w:eastAsia="zh-CN" w:bidi="hi-IN"/>
              </w:rPr>
            </w:pPr>
            <w:r w:rsidRPr="00B91CE4">
              <w:rPr>
                <w:rFonts w:ascii="Arial" w:eastAsia="NSimSun" w:hAnsi="Arial" w:cs="Arial"/>
                <w:b/>
                <w:bCs/>
                <w:kern w:val="2"/>
                <w:sz w:val="18"/>
                <w:szCs w:val="18"/>
                <w:lang w:eastAsia="zh-CN" w:bidi="hi-IN"/>
              </w:rPr>
              <w:t>2021</w:t>
            </w:r>
          </w:p>
        </w:tc>
      </w:tr>
      <w:tr w:rsidR="00ED6F04" w:rsidRPr="00B91CE4" w14:paraId="59757135" w14:textId="77777777" w:rsidTr="009F574A">
        <w:trPr>
          <w:jc w:val="center"/>
        </w:trPr>
        <w:tc>
          <w:tcPr>
            <w:tcW w:w="5103" w:type="dxa"/>
            <w:tcBorders>
              <w:top w:val="single" w:sz="4" w:space="0" w:color="auto"/>
            </w:tcBorders>
          </w:tcPr>
          <w:p w14:paraId="08514D49" w14:textId="77777777" w:rsidR="00ED6F04" w:rsidRPr="00B91CE4" w:rsidRDefault="00ED6F04" w:rsidP="009F574A">
            <w:pPr>
              <w:spacing w:line="276" w:lineRule="auto"/>
              <w:jc w:val="center"/>
              <w:rPr>
                <w:rFonts w:ascii="Arial" w:eastAsia="NSimSun" w:hAnsi="Arial" w:cs="Arial"/>
                <w:kern w:val="2"/>
                <w:sz w:val="18"/>
                <w:szCs w:val="18"/>
                <w:lang w:eastAsia="zh-CN" w:bidi="hi-IN"/>
              </w:rPr>
            </w:pPr>
            <w:r w:rsidRPr="00B91CE4">
              <w:rPr>
                <w:rFonts w:ascii="Arial" w:eastAsia="NSimSun" w:hAnsi="Arial" w:cs="Arial"/>
                <w:kern w:val="2"/>
                <w:sz w:val="18"/>
                <w:szCs w:val="18"/>
                <w:lang w:eastAsia="zh-CN" w:bidi="hi-IN"/>
              </w:rPr>
              <w:t>Registros de entrada telemático a través de sede electrónica</w:t>
            </w:r>
          </w:p>
        </w:tc>
        <w:tc>
          <w:tcPr>
            <w:tcW w:w="851" w:type="dxa"/>
          </w:tcPr>
          <w:p w14:paraId="320E9401" w14:textId="77777777" w:rsidR="00ED6F04" w:rsidRPr="00B91CE4" w:rsidRDefault="00ED6F04" w:rsidP="009F574A">
            <w:pPr>
              <w:spacing w:line="276" w:lineRule="auto"/>
              <w:jc w:val="center"/>
              <w:rPr>
                <w:rFonts w:ascii="Arial" w:eastAsia="NSimSun" w:hAnsi="Arial" w:cs="Arial"/>
                <w:kern w:val="2"/>
                <w:sz w:val="18"/>
                <w:szCs w:val="18"/>
                <w:lang w:eastAsia="zh-CN" w:bidi="hi-IN"/>
              </w:rPr>
            </w:pPr>
            <w:r w:rsidRPr="00B91CE4">
              <w:rPr>
                <w:rFonts w:ascii="Arial" w:eastAsia="NSimSun" w:hAnsi="Arial" w:cs="Arial"/>
                <w:kern w:val="2"/>
                <w:sz w:val="18"/>
                <w:szCs w:val="18"/>
                <w:lang w:eastAsia="zh-CN" w:bidi="hi-IN"/>
              </w:rPr>
              <w:t>634</w:t>
            </w:r>
          </w:p>
        </w:tc>
        <w:tc>
          <w:tcPr>
            <w:tcW w:w="851" w:type="dxa"/>
          </w:tcPr>
          <w:p w14:paraId="7450C3D3" w14:textId="77777777" w:rsidR="00ED6F04" w:rsidRPr="00B91CE4" w:rsidRDefault="00ED6F04" w:rsidP="009F574A">
            <w:pPr>
              <w:spacing w:line="276" w:lineRule="auto"/>
              <w:jc w:val="center"/>
              <w:rPr>
                <w:rFonts w:ascii="Arial" w:eastAsia="NSimSun" w:hAnsi="Arial" w:cs="Arial"/>
                <w:kern w:val="2"/>
                <w:sz w:val="18"/>
                <w:szCs w:val="18"/>
                <w:lang w:eastAsia="zh-CN" w:bidi="hi-IN"/>
              </w:rPr>
            </w:pPr>
            <w:r w:rsidRPr="00B91CE4">
              <w:rPr>
                <w:rFonts w:ascii="Arial" w:eastAsia="NSimSun" w:hAnsi="Arial" w:cs="Arial"/>
                <w:kern w:val="2"/>
                <w:sz w:val="18"/>
                <w:szCs w:val="18"/>
                <w:lang w:eastAsia="zh-CN" w:bidi="hi-IN"/>
              </w:rPr>
              <w:t>875</w:t>
            </w:r>
          </w:p>
        </w:tc>
      </w:tr>
      <w:tr w:rsidR="00ED6F04" w:rsidRPr="00B91CE4" w14:paraId="04DCCAD2" w14:textId="77777777" w:rsidTr="009F574A">
        <w:trPr>
          <w:jc w:val="center"/>
        </w:trPr>
        <w:tc>
          <w:tcPr>
            <w:tcW w:w="5103" w:type="dxa"/>
          </w:tcPr>
          <w:p w14:paraId="0984EC54" w14:textId="77777777" w:rsidR="00ED6F04" w:rsidRPr="00B91CE4" w:rsidRDefault="00ED6F04" w:rsidP="009F574A">
            <w:pPr>
              <w:spacing w:line="276" w:lineRule="auto"/>
              <w:jc w:val="center"/>
              <w:rPr>
                <w:rFonts w:ascii="Arial" w:eastAsia="NSimSun" w:hAnsi="Arial" w:cs="Arial"/>
                <w:kern w:val="2"/>
                <w:sz w:val="18"/>
                <w:szCs w:val="18"/>
                <w:lang w:eastAsia="zh-CN" w:bidi="hi-IN"/>
              </w:rPr>
            </w:pPr>
            <w:r w:rsidRPr="00B91CE4">
              <w:rPr>
                <w:rFonts w:ascii="Arial" w:eastAsia="NSimSun" w:hAnsi="Arial" w:cs="Arial"/>
                <w:kern w:val="2"/>
                <w:sz w:val="18"/>
                <w:szCs w:val="18"/>
                <w:lang w:eastAsia="zh-CN" w:bidi="hi-IN"/>
              </w:rPr>
              <w:t>Registros presenciales</w:t>
            </w:r>
          </w:p>
        </w:tc>
        <w:tc>
          <w:tcPr>
            <w:tcW w:w="851" w:type="dxa"/>
          </w:tcPr>
          <w:p w14:paraId="4B6AFF79" w14:textId="77777777" w:rsidR="00ED6F04" w:rsidRPr="00B91CE4" w:rsidRDefault="00ED6F04" w:rsidP="009F574A">
            <w:pPr>
              <w:spacing w:line="276" w:lineRule="auto"/>
              <w:jc w:val="center"/>
              <w:rPr>
                <w:rFonts w:ascii="Arial" w:eastAsia="NSimSun" w:hAnsi="Arial" w:cs="Arial"/>
                <w:kern w:val="2"/>
                <w:sz w:val="18"/>
                <w:szCs w:val="18"/>
                <w:lang w:eastAsia="zh-CN" w:bidi="hi-IN"/>
              </w:rPr>
            </w:pPr>
            <w:r w:rsidRPr="00B91CE4">
              <w:rPr>
                <w:rFonts w:ascii="Arial" w:eastAsia="NSimSun" w:hAnsi="Arial" w:cs="Arial"/>
                <w:kern w:val="2"/>
                <w:sz w:val="18"/>
                <w:szCs w:val="18"/>
                <w:lang w:eastAsia="zh-CN" w:bidi="hi-IN"/>
              </w:rPr>
              <w:t>398</w:t>
            </w:r>
          </w:p>
        </w:tc>
        <w:tc>
          <w:tcPr>
            <w:tcW w:w="851" w:type="dxa"/>
          </w:tcPr>
          <w:p w14:paraId="62D79E32" w14:textId="77777777" w:rsidR="00ED6F04" w:rsidRPr="00B91CE4" w:rsidRDefault="00ED6F04" w:rsidP="009F574A">
            <w:pPr>
              <w:spacing w:line="276" w:lineRule="auto"/>
              <w:jc w:val="center"/>
              <w:rPr>
                <w:rFonts w:ascii="Arial" w:eastAsia="NSimSun" w:hAnsi="Arial" w:cs="Arial"/>
                <w:kern w:val="2"/>
                <w:sz w:val="18"/>
                <w:szCs w:val="18"/>
                <w:lang w:eastAsia="zh-CN" w:bidi="hi-IN"/>
              </w:rPr>
            </w:pPr>
            <w:r w:rsidRPr="00B91CE4">
              <w:rPr>
                <w:rFonts w:ascii="Arial" w:eastAsia="NSimSun" w:hAnsi="Arial" w:cs="Arial"/>
                <w:kern w:val="2"/>
                <w:sz w:val="18"/>
                <w:szCs w:val="18"/>
                <w:lang w:eastAsia="zh-CN" w:bidi="hi-IN"/>
              </w:rPr>
              <w:t>461</w:t>
            </w:r>
          </w:p>
        </w:tc>
      </w:tr>
    </w:tbl>
    <w:p w14:paraId="255D87EC" w14:textId="77777777" w:rsidR="00ED6F04" w:rsidRDefault="00ED6F04" w:rsidP="00ED6F04">
      <w:pPr>
        <w:spacing w:after="120" w:line="276" w:lineRule="auto"/>
        <w:jc w:val="both"/>
        <w:rPr>
          <w:rFonts w:ascii="Arial" w:eastAsia="NSimSun" w:hAnsi="Arial" w:cs="Arial"/>
          <w:kern w:val="2"/>
          <w:sz w:val="21"/>
          <w:szCs w:val="21"/>
          <w:lang w:eastAsia="zh-CN" w:bidi="hi-IN"/>
        </w:rPr>
      </w:pPr>
    </w:p>
    <w:p w14:paraId="103433F7" w14:textId="77777777" w:rsidR="00ED6F04" w:rsidRPr="00B91CE4" w:rsidRDefault="00ED6F04" w:rsidP="00ED6F04">
      <w:pPr>
        <w:spacing w:after="240" w:line="276" w:lineRule="auto"/>
        <w:jc w:val="both"/>
        <w:rPr>
          <w:rFonts w:ascii="Arial" w:eastAsia="NSimSun" w:hAnsi="Arial" w:cs="Arial"/>
          <w:kern w:val="2"/>
          <w:sz w:val="21"/>
          <w:szCs w:val="21"/>
          <w:lang w:eastAsia="zh-CN" w:bidi="hi-IN"/>
        </w:rPr>
      </w:pPr>
      <w:r w:rsidRPr="00B91CE4">
        <w:rPr>
          <w:rFonts w:ascii="Arial" w:eastAsia="NSimSun" w:hAnsi="Arial" w:cs="Arial"/>
          <w:kern w:val="2"/>
          <w:sz w:val="21"/>
          <w:szCs w:val="21"/>
          <w:lang w:eastAsia="zh-CN" w:bidi="hi-IN"/>
        </w:rPr>
        <w:t>Por último, cabe destacar el incremento que se ha producido en la práctica de notificaciones a través de nuestra sede electrónica con respecto al año anterior, lo que intrínsicamente supone un mayor conocimiento de las actividades de la Agencia y de sus mecanismos de intercambio de información por los ciudadanos y administraciones</w:t>
      </w:r>
      <w:r>
        <w:rPr>
          <w:rFonts w:ascii="Arial" w:eastAsia="NSimSun" w:hAnsi="Arial" w:cs="Arial"/>
          <w:kern w:val="2"/>
          <w:sz w:val="21"/>
          <w:szCs w:val="21"/>
          <w:lang w:eastAsia="zh-CN" w:bidi="hi-IN"/>
        </w:rPr>
        <w:t xml:space="preserve"> públicas.</w:t>
      </w:r>
    </w:p>
    <w:p w14:paraId="3DBA4C4B" w14:textId="7209A1D9" w:rsidR="00ED6F04" w:rsidRPr="00B91CE4" w:rsidRDefault="00ED6F04" w:rsidP="00ED6F04">
      <w:pPr>
        <w:pStyle w:val="Descripcin"/>
        <w:keepNext/>
        <w:jc w:val="center"/>
        <w:rPr>
          <w:rFonts w:ascii="Arial" w:hAnsi="Arial" w:cs="Arial"/>
          <w:smallCaps w:val="0"/>
          <w:sz w:val="18"/>
          <w:szCs w:val="18"/>
        </w:rPr>
      </w:pPr>
      <w:bookmarkStart w:id="418" w:name="_Toc95676807"/>
      <w:bookmarkStart w:id="419" w:name="_Toc99107157"/>
      <w:r w:rsidRPr="00B91CE4">
        <w:rPr>
          <w:rFonts w:ascii="Arial" w:hAnsi="Arial" w:cs="Arial"/>
          <w:smallCaps w:val="0"/>
          <w:color w:val="9D2235" w:themeColor="accent1"/>
          <w:sz w:val="18"/>
          <w:szCs w:val="18"/>
        </w:rPr>
        <w:t xml:space="preserve">Tabla </w:t>
      </w:r>
      <w:r w:rsidRPr="00B91CE4">
        <w:rPr>
          <w:rFonts w:ascii="Arial" w:hAnsi="Arial" w:cs="Arial"/>
          <w:smallCaps w:val="0"/>
          <w:color w:val="9D2235" w:themeColor="accent1"/>
          <w:sz w:val="18"/>
          <w:szCs w:val="18"/>
        </w:rPr>
        <w:fldChar w:fldCharType="begin" w:fldLock="1"/>
      </w:r>
      <w:r w:rsidRPr="00B91CE4">
        <w:rPr>
          <w:rFonts w:ascii="Arial" w:hAnsi="Arial" w:cs="Arial"/>
          <w:smallCaps w:val="0"/>
          <w:color w:val="9D2235" w:themeColor="accent1"/>
          <w:sz w:val="18"/>
          <w:szCs w:val="18"/>
        </w:rPr>
        <w:instrText xml:space="preserve"> SEQ Tabla \* ARABIC </w:instrText>
      </w:r>
      <w:r w:rsidRPr="00B91CE4">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19</w:t>
      </w:r>
      <w:r w:rsidRPr="00B91CE4">
        <w:rPr>
          <w:rFonts w:ascii="Arial" w:hAnsi="Arial" w:cs="Arial"/>
          <w:smallCaps w:val="0"/>
          <w:color w:val="9D2235" w:themeColor="accent1"/>
          <w:sz w:val="18"/>
          <w:szCs w:val="18"/>
        </w:rPr>
        <w:fldChar w:fldCharType="end"/>
      </w:r>
      <w:r w:rsidRPr="00B91CE4">
        <w:rPr>
          <w:rFonts w:ascii="Arial" w:hAnsi="Arial" w:cs="Arial"/>
          <w:smallCaps w:val="0"/>
          <w:color w:val="9D2235" w:themeColor="accent1"/>
          <w:sz w:val="18"/>
          <w:szCs w:val="18"/>
        </w:rPr>
        <w:t xml:space="preserve">. </w:t>
      </w:r>
      <w:r w:rsidRPr="00B91CE4">
        <w:rPr>
          <w:rFonts w:ascii="Arial" w:hAnsi="Arial" w:cs="Arial"/>
          <w:smallCaps w:val="0"/>
          <w:sz w:val="18"/>
          <w:szCs w:val="18"/>
        </w:rPr>
        <w:t>Cuadro resumen notificaciones sede AVAF</w:t>
      </w:r>
      <w:bookmarkEnd w:id="418"/>
      <w:bookmarkEnd w:id="419"/>
    </w:p>
    <w:tbl>
      <w:tblPr>
        <w:tblStyle w:val="Tablaconcuadrcula4"/>
        <w:tblW w:w="0" w:type="auto"/>
        <w:jc w:val="center"/>
        <w:tblLook w:val="04A0" w:firstRow="1" w:lastRow="0" w:firstColumn="1" w:lastColumn="0" w:noHBand="0" w:noVBand="1"/>
      </w:tblPr>
      <w:tblGrid>
        <w:gridCol w:w="1701"/>
        <w:gridCol w:w="851"/>
        <w:gridCol w:w="851"/>
      </w:tblGrid>
      <w:tr w:rsidR="00ED6F04" w:rsidRPr="00B91CE4" w14:paraId="2BA69457" w14:textId="77777777" w:rsidTr="009F574A">
        <w:trPr>
          <w:jc w:val="center"/>
        </w:trPr>
        <w:tc>
          <w:tcPr>
            <w:tcW w:w="1701" w:type="dxa"/>
            <w:tcBorders>
              <w:top w:val="nil"/>
              <w:left w:val="nil"/>
              <w:bottom w:val="single" w:sz="4" w:space="0" w:color="auto"/>
              <w:right w:val="single" w:sz="4" w:space="0" w:color="auto"/>
            </w:tcBorders>
          </w:tcPr>
          <w:p w14:paraId="2F0DB09D" w14:textId="77777777" w:rsidR="00ED6F04" w:rsidRPr="00B91CE4" w:rsidRDefault="00ED6F04" w:rsidP="009F574A">
            <w:pPr>
              <w:spacing w:line="276" w:lineRule="auto"/>
              <w:jc w:val="both"/>
              <w:rPr>
                <w:rFonts w:ascii="Arial" w:eastAsia="NSimSun" w:hAnsi="Arial" w:cs="Arial"/>
                <w:kern w:val="2"/>
                <w:sz w:val="18"/>
                <w:szCs w:val="18"/>
                <w:lang w:eastAsia="zh-CN" w:bidi="hi-IN"/>
              </w:rPr>
            </w:pPr>
          </w:p>
        </w:tc>
        <w:tc>
          <w:tcPr>
            <w:tcW w:w="851" w:type="dxa"/>
            <w:tcBorders>
              <w:left w:val="single" w:sz="4" w:space="0" w:color="auto"/>
            </w:tcBorders>
            <w:shd w:val="clear" w:color="auto" w:fill="E5DEDB"/>
          </w:tcPr>
          <w:p w14:paraId="3B3D48EF" w14:textId="77777777" w:rsidR="00ED6F04" w:rsidRPr="00B91CE4" w:rsidRDefault="00ED6F04" w:rsidP="009F574A">
            <w:pPr>
              <w:spacing w:line="276" w:lineRule="auto"/>
              <w:jc w:val="right"/>
              <w:rPr>
                <w:rFonts w:ascii="Arial" w:eastAsia="NSimSun" w:hAnsi="Arial" w:cs="Arial"/>
                <w:b/>
                <w:bCs/>
                <w:kern w:val="2"/>
                <w:sz w:val="18"/>
                <w:szCs w:val="18"/>
                <w:lang w:eastAsia="zh-CN" w:bidi="hi-IN"/>
              </w:rPr>
            </w:pPr>
            <w:r w:rsidRPr="00B91CE4">
              <w:rPr>
                <w:rFonts w:ascii="Arial" w:eastAsia="NSimSun" w:hAnsi="Arial" w:cs="Arial"/>
                <w:b/>
                <w:bCs/>
                <w:kern w:val="2"/>
                <w:sz w:val="18"/>
                <w:szCs w:val="18"/>
                <w:lang w:eastAsia="zh-CN" w:bidi="hi-IN"/>
              </w:rPr>
              <w:t>2020</w:t>
            </w:r>
          </w:p>
        </w:tc>
        <w:tc>
          <w:tcPr>
            <w:tcW w:w="851" w:type="dxa"/>
            <w:shd w:val="clear" w:color="auto" w:fill="E5DEDB"/>
          </w:tcPr>
          <w:p w14:paraId="3923C0C2" w14:textId="77777777" w:rsidR="00ED6F04" w:rsidRPr="00B91CE4" w:rsidRDefault="00ED6F04" w:rsidP="009F574A">
            <w:pPr>
              <w:spacing w:line="276" w:lineRule="auto"/>
              <w:jc w:val="right"/>
              <w:rPr>
                <w:rFonts w:ascii="Arial" w:eastAsia="NSimSun" w:hAnsi="Arial" w:cs="Arial"/>
                <w:b/>
                <w:bCs/>
                <w:kern w:val="2"/>
                <w:sz w:val="18"/>
                <w:szCs w:val="18"/>
                <w:lang w:eastAsia="zh-CN" w:bidi="hi-IN"/>
              </w:rPr>
            </w:pPr>
            <w:r w:rsidRPr="00B91CE4">
              <w:rPr>
                <w:rFonts w:ascii="Arial" w:eastAsia="NSimSun" w:hAnsi="Arial" w:cs="Arial"/>
                <w:b/>
                <w:bCs/>
                <w:kern w:val="2"/>
                <w:sz w:val="18"/>
                <w:szCs w:val="18"/>
                <w:lang w:eastAsia="zh-CN" w:bidi="hi-IN"/>
              </w:rPr>
              <w:t>2021</w:t>
            </w:r>
          </w:p>
        </w:tc>
      </w:tr>
      <w:tr w:rsidR="00ED6F04" w:rsidRPr="00B91CE4" w14:paraId="544E5DBF" w14:textId="77777777" w:rsidTr="009F574A">
        <w:trPr>
          <w:jc w:val="center"/>
        </w:trPr>
        <w:tc>
          <w:tcPr>
            <w:tcW w:w="1701" w:type="dxa"/>
            <w:tcBorders>
              <w:top w:val="single" w:sz="4" w:space="0" w:color="auto"/>
            </w:tcBorders>
          </w:tcPr>
          <w:p w14:paraId="30959A7C" w14:textId="77777777" w:rsidR="00ED6F04" w:rsidRPr="00B91CE4" w:rsidRDefault="00ED6F04" w:rsidP="009F574A">
            <w:pPr>
              <w:spacing w:line="276" w:lineRule="auto"/>
              <w:jc w:val="both"/>
              <w:rPr>
                <w:rFonts w:ascii="Arial" w:eastAsia="NSimSun" w:hAnsi="Arial" w:cs="Arial"/>
                <w:kern w:val="2"/>
                <w:sz w:val="18"/>
                <w:szCs w:val="18"/>
                <w:lang w:eastAsia="zh-CN" w:bidi="hi-IN"/>
              </w:rPr>
            </w:pPr>
            <w:r w:rsidRPr="00B91CE4">
              <w:rPr>
                <w:rFonts w:ascii="Arial" w:eastAsia="NSimSun" w:hAnsi="Arial" w:cs="Arial"/>
                <w:kern w:val="2"/>
                <w:sz w:val="18"/>
                <w:szCs w:val="18"/>
                <w:lang w:eastAsia="zh-CN" w:bidi="hi-IN"/>
              </w:rPr>
              <w:t>Notificaciones</w:t>
            </w:r>
          </w:p>
        </w:tc>
        <w:tc>
          <w:tcPr>
            <w:tcW w:w="851" w:type="dxa"/>
          </w:tcPr>
          <w:p w14:paraId="76544875" w14:textId="77777777" w:rsidR="00ED6F04" w:rsidRPr="00B91CE4" w:rsidRDefault="00ED6F04" w:rsidP="009F574A">
            <w:pPr>
              <w:spacing w:line="276" w:lineRule="auto"/>
              <w:jc w:val="right"/>
              <w:rPr>
                <w:rFonts w:ascii="Arial" w:eastAsia="NSimSun" w:hAnsi="Arial" w:cs="Arial"/>
                <w:kern w:val="2"/>
                <w:sz w:val="18"/>
                <w:szCs w:val="18"/>
                <w:lang w:eastAsia="zh-CN" w:bidi="hi-IN"/>
              </w:rPr>
            </w:pPr>
            <w:r w:rsidRPr="00B91CE4">
              <w:rPr>
                <w:rFonts w:ascii="Arial" w:eastAsia="NSimSun" w:hAnsi="Arial" w:cs="Arial"/>
                <w:kern w:val="2"/>
                <w:sz w:val="18"/>
                <w:szCs w:val="18"/>
                <w:lang w:eastAsia="zh-CN" w:bidi="hi-IN"/>
              </w:rPr>
              <w:t>886</w:t>
            </w:r>
          </w:p>
        </w:tc>
        <w:tc>
          <w:tcPr>
            <w:tcW w:w="851" w:type="dxa"/>
          </w:tcPr>
          <w:p w14:paraId="1A6CA04D" w14:textId="77777777" w:rsidR="00ED6F04" w:rsidRPr="00B91CE4" w:rsidRDefault="00ED6F04" w:rsidP="009F574A">
            <w:pPr>
              <w:spacing w:line="276" w:lineRule="auto"/>
              <w:jc w:val="right"/>
              <w:rPr>
                <w:rFonts w:ascii="Arial" w:eastAsia="NSimSun" w:hAnsi="Arial" w:cs="Arial"/>
                <w:kern w:val="2"/>
                <w:sz w:val="18"/>
                <w:szCs w:val="18"/>
                <w:lang w:eastAsia="zh-CN" w:bidi="hi-IN"/>
              </w:rPr>
            </w:pPr>
            <w:r w:rsidRPr="00B91CE4">
              <w:rPr>
                <w:rFonts w:ascii="Arial" w:eastAsia="NSimSun" w:hAnsi="Arial" w:cs="Arial"/>
                <w:kern w:val="2"/>
                <w:sz w:val="18"/>
                <w:szCs w:val="18"/>
                <w:lang w:eastAsia="zh-CN" w:bidi="hi-IN"/>
              </w:rPr>
              <w:t>1.817</w:t>
            </w:r>
          </w:p>
        </w:tc>
      </w:tr>
    </w:tbl>
    <w:p w14:paraId="33377BD7" w14:textId="77777777" w:rsidR="00ED6F04" w:rsidRPr="00B91CE4" w:rsidRDefault="00ED6F04" w:rsidP="00B91CE4">
      <w:pPr>
        <w:spacing w:after="240" w:line="276" w:lineRule="auto"/>
        <w:jc w:val="both"/>
        <w:rPr>
          <w:rFonts w:ascii="Arial" w:eastAsia="NSimSun" w:hAnsi="Arial" w:cs="Arial"/>
          <w:kern w:val="2"/>
          <w:sz w:val="21"/>
          <w:szCs w:val="21"/>
          <w:lang w:eastAsia="zh-CN" w:bidi="hi-IN"/>
        </w:rPr>
      </w:pPr>
    </w:p>
    <w:p w14:paraId="3D7508FF" w14:textId="4DE70464" w:rsidR="00B91CE4" w:rsidRDefault="00B91CE4" w:rsidP="000D5E0B">
      <w:pPr>
        <w:spacing w:after="240" w:line="276" w:lineRule="auto"/>
        <w:jc w:val="both"/>
        <w:rPr>
          <w:rFonts w:ascii="Arial" w:eastAsia="Times New Roman" w:hAnsi="Arial" w:cs="Arial"/>
          <w:sz w:val="21"/>
          <w:szCs w:val="21"/>
          <w:lang w:eastAsia="es-ES"/>
        </w:rPr>
      </w:pPr>
    </w:p>
    <w:p w14:paraId="2FED02FE" w14:textId="77777777" w:rsidR="00417226" w:rsidRPr="00973028" w:rsidRDefault="00CB1947" w:rsidP="00C1460B">
      <w:pPr>
        <w:spacing w:after="240" w:line="276" w:lineRule="auto"/>
        <w:rPr>
          <w:rFonts w:ascii="Arial" w:hAnsi="Arial" w:cs="Arial"/>
          <w:sz w:val="20"/>
          <w:szCs w:val="20"/>
        </w:rPr>
      </w:pPr>
      <w:bookmarkStart w:id="420" w:name="_Hlk95929301"/>
      <w:r w:rsidRPr="00973028">
        <w:rPr>
          <w:rFonts w:ascii="Arial" w:hAnsi="Arial" w:cs="Arial"/>
          <w:color w:val="000000" w:themeColor="text1"/>
          <w:sz w:val="21"/>
          <w:szCs w:val="21"/>
        </w:rPr>
        <w:br w:type="page"/>
      </w:r>
    </w:p>
    <w:p w14:paraId="5A4E8DA6" w14:textId="77777777" w:rsidR="003B06CF" w:rsidRPr="00973028" w:rsidRDefault="003B06CF" w:rsidP="003B06CF">
      <w:pPr>
        <w:keepNext/>
        <w:spacing w:after="0" w:line="276" w:lineRule="auto"/>
        <w:rPr>
          <w:rFonts w:ascii="Arial" w:eastAsia="Times New Roman" w:hAnsi="Arial" w:cs="Arial"/>
          <w:b/>
          <w:bCs/>
          <w:smallCaps/>
          <w:color w:val="9D2235"/>
          <w:spacing w:val="-14"/>
          <w:sz w:val="20"/>
          <w:szCs w:val="20"/>
          <w:lang w:eastAsia="es-ES"/>
        </w:rPr>
      </w:pPr>
      <w:bookmarkStart w:id="421" w:name="_Toc67646217"/>
      <w:bookmarkEnd w:id="420"/>
    </w:p>
    <w:p w14:paraId="129CFE76" w14:textId="77777777" w:rsidR="003B06CF" w:rsidRDefault="003B06CF" w:rsidP="003B06CF">
      <w:pPr>
        <w:keepNext/>
        <w:spacing w:after="0" w:line="276" w:lineRule="auto"/>
        <w:rPr>
          <w:rFonts w:ascii="Arial" w:eastAsia="Times New Roman" w:hAnsi="Arial" w:cs="Arial"/>
          <w:b/>
          <w:bCs/>
          <w:smallCaps/>
          <w:color w:val="9D2235"/>
          <w:spacing w:val="-14"/>
          <w:sz w:val="20"/>
          <w:szCs w:val="20"/>
          <w:lang w:eastAsia="es-ES"/>
        </w:rPr>
      </w:pPr>
    </w:p>
    <w:p w14:paraId="2BDAB096" w14:textId="77777777" w:rsidR="003B06CF" w:rsidRPr="00973028" w:rsidRDefault="003B06CF" w:rsidP="003B06CF">
      <w:pPr>
        <w:keepNext/>
        <w:spacing w:after="0" w:line="276" w:lineRule="auto"/>
        <w:rPr>
          <w:rFonts w:ascii="Arial" w:eastAsia="Times New Roman" w:hAnsi="Arial" w:cs="Arial"/>
          <w:b/>
          <w:bCs/>
          <w:smallCaps/>
          <w:color w:val="9D2235"/>
          <w:spacing w:val="-14"/>
          <w:sz w:val="20"/>
          <w:szCs w:val="20"/>
          <w:lang w:eastAsia="es-ES"/>
        </w:rPr>
      </w:pPr>
    </w:p>
    <w:p w14:paraId="229C657E" w14:textId="7D4F0953" w:rsidR="004522FD" w:rsidRPr="00C63EB4" w:rsidRDefault="003B06CF" w:rsidP="00C63EB4">
      <w:pPr>
        <w:pStyle w:val="Prrafodelista"/>
        <w:numPr>
          <w:ilvl w:val="0"/>
          <w:numId w:val="17"/>
        </w:numPr>
        <w:spacing w:after="0" w:line="240" w:lineRule="auto"/>
        <w:ind w:left="0" w:firstLine="0"/>
        <w:outlineLvl w:val="0"/>
        <w:rPr>
          <w:rFonts w:ascii="Arial" w:eastAsia="Times New Roman" w:hAnsi="Arial" w:cs="Arial"/>
          <w:b/>
          <w:bCs/>
          <w:color w:val="94070A"/>
          <w:spacing w:val="-14"/>
          <w:sz w:val="80"/>
          <w:szCs w:val="80"/>
          <w:lang w:eastAsia="es-ES"/>
        </w:rPr>
      </w:pPr>
      <w:r w:rsidRPr="00C63EB4">
        <w:rPr>
          <w:rFonts w:ascii="Arial" w:eastAsia="Times New Roman" w:hAnsi="Arial" w:cs="Arial"/>
          <w:b/>
          <w:bCs/>
          <w:color w:val="9D2235"/>
          <w:spacing w:val="-24"/>
          <w:kern w:val="2"/>
          <w:sz w:val="80"/>
          <w:szCs w:val="80"/>
          <w:lang w:eastAsia="es-ES"/>
        </w:rPr>
        <w:br/>
      </w:r>
      <w:bookmarkStart w:id="422" w:name="_Toc99107097"/>
      <w:r w:rsidR="00B930CE" w:rsidRPr="00C63EB4">
        <w:rPr>
          <w:rFonts w:ascii="Arial" w:eastAsia="Times New Roman" w:hAnsi="Arial" w:cs="Arial"/>
          <w:b/>
          <w:bCs/>
          <w:color w:val="9D2235"/>
          <w:spacing w:val="-24"/>
          <w:kern w:val="2"/>
          <w:sz w:val="80"/>
          <w:szCs w:val="80"/>
          <w:lang w:eastAsia="es-ES"/>
        </w:rPr>
        <w:t xml:space="preserve">Prevención, </w:t>
      </w:r>
      <w:bookmarkStart w:id="423" w:name="_Hlk98918649"/>
      <w:r w:rsidR="00B930CE" w:rsidRPr="00C63EB4">
        <w:rPr>
          <w:rFonts w:ascii="Arial" w:eastAsia="Times New Roman" w:hAnsi="Arial" w:cs="Arial"/>
          <w:b/>
          <w:bCs/>
          <w:color w:val="9D2235"/>
          <w:spacing w:val="-24"/>
          <w:kern w:val="2"/>
          <w:sz w:val="80"/>
          <w:szCs w:val="80"/>
          <w:lang w:eastAsia="es-ES"/>
        </w:rPr>
        <w:br/>
      </w:r>
      <w:bookmarkEnd w:id="423"/>
      <w:r w:rsidR="00B930CE" w:rsidRPr="00C63EB4">
        <w:rPr>
          <w:rFonts w:ascii="Arial" w:eastAsia="Times New Roman" w:hAnsi="Arial" w:cs="Arial"/>
          <w:b/>
          <w:bCs/>
          <w:color w:val="9D2235"/>
          <w:spacing w:val="-24"/>
          <w:kern w:val="2"/>
          <w:sz w:val="80"/>
          <w:szCs w:val="80"/>
          <w:lang w:eastAsia="es-ES"/>
        </w:rPr>
        <w:t>formación y documentación</w:t>
      </w:r>
      <w:bookmarkEnd w:id="421"/>
      <w:bookmarkEnd w:id="422"/>
      <w:r w:rsidR="00C63EB4" w:rsidRPr="00C63EB4">
        <w:rPr>
          <w:rFonts w:ascii="Arial" w:eastAsia="Times New Roman" w:hAnsi="Arial" w:cs="Arial"/>
          <w:b/>
          <w:bCs/>
          <w:color w:val="9D2235"/>
          <w:spacing w:val="-24"/>
          <w:kern w:val="2"/>
          <w:sz w:val="80"/>
          <w:szCs w:val="80"/>
          <w:lang w:eastAsia="es-ES"/>
        </w:rPr>
        <w:t xml:space="preserve"> </w:t>
      </w:r>
      <w:r w:rsidR="00C63EB4">
        <w:rPr>
          <w:rFonts w:ascii="Arial" w:eastAsia="Times New Roman" w:hAnsi="Arial" w:cs="Arial"/>
          <w:b/>
          <w:bCs/>
          <w:color w:val="9D2235"/>
          <w:spacing w:val="-24"/>
          <w:kern w:val="2"/>
          <w:sz w:val="80"/>
          <w:szCs w:val="80"/>
          <w:lang w:eastAsia="es-ES"/>
        </w:rPr>
        <w:br/>
      </w:r>
    </w:p>
    <w:p w14:paraId="2A1B72FD" w14:textId="1704C632" w:rsidR="00B9275E" w:rsidRPr="00973028" w:rsidRDefault="00B9275E" w:rsidP="00AC1A12">
      <w:pPr>
        <w:pStyle w:val="Prrafodelista"/>
        <w:numPr>
          <w:ilvl w:val="1"/>
          <w:numId w:val="17"/>
        </w:numPr>
        <w:spacing w:before="360" w:after="240" w:line="276" w:lineRule="auto"/>
        <w:ind w:left="851" w:hanging="851"/>
        <w:jc w:val="both"/>
        <w:outlineLvl w:val="1"/>
        <w:rPr>
          <w:rFonts w:ascii="Arial" w:eastAsia="Times New Roman" w:hAnsi="Arial" w:cs="Arial"/>
          <w:b/>
          <w:color w:val="9D2235" w:themeColor="accent1"/>
          <w:spacing w:val="-14"/>
          <w:sz w:val="32"/>
          <w:szCs w:val="32"/>
          <w:lang w:eastAsia="es-ES"/>
        </w:rPr>
      </w:pPr>
      <w:bookmarkStart w:id="424" w:name="_Toc99107098"/>
      <w:r w:rsidRPr="00973028">
        <w:rPr>
          <w:rFonts w:ascii="Arial" w:eastAsia="Times New Roman" w:hAnsi="Arial" w:cs="Arial"/>
          <w:b/>
          <w:color w:val="9D2235" w:themeColor="accent1"/>
          <w:sz w:val="32"/>
          <w:szCs w:val="32"/>
        </w:rPr>
        <w:t>Introducción</w:t>
      </w:r>
      <w:bookmarkEnd w:id="424"/>
    </w:p>
    <w:p w14:paraId="4879EC3D" w14:textId="575DADD3" w:rsidR="00B2697F" w:rsidRPr="00B2697F" w:rsidRDefault="00B2697F" w:rsidP="00B2697F">
      <w:pPr>
        <w:spacing w:after="240" w:line="276" w:lineRule="auto"/>
        <w:jc w:val="both"/>
        <w:rPr>
          <w:rFonts w:ascii="Arial" w:eastAsia="Times New Roman" w:hAnsi="Arial" w:cs="Arial"/>
          <w:sz w:val="21"/>
          <w:szCs w:val="21"/>
          <w:lang w:eastAsia="es-ES"/>
        </w:rPr>
      </w:pPr>
      <w:r w:rsidRPr="00B2697F">
        <w:rPr>
          <w:rFonts w:ascii="Arial" w:eastAsia="Times New Roman" w:hAnsi="Arial" w:cs="Arial"/>
          <w:sz w:val="21"/>
          <w:szCs w:val="21"/>
          <w:lang w:eastAsia="es-ES"/>
        </w:rPr>
        <w:t xml:space="preserve">Este capítulo de la Memoria está destinado a describir las actividades de la Dirección de Prevención, Formación y Documentación y de los </w:t>
      </w:r>
      <w:r w:rsidR="004A2723">
        <w:rPr>
          <w:rFonts w:ascii="Arial" w:eastAsia="Times New Roman" w:hAnsi="Arial" w:cs="Arial"/>
          <w:sz w:val="21"/>
          <w:szCs w:val="21"/>
          <w:lang w:eastAsia="es-ES"/>
        </w:rPr>
        <w:t>S</w:t>
      </w:r>
      <w:r w:rsidRPr="00B2697F">
        <w:rPr>
          <w:rFonts w:ascii="Arial" w:eastAsia="Times New Roman" w:hAnsi="Arial" w:cs="Arial"/>
          <w:sz w:val="21"/>
          <w:szCs w:val="21"/>
          <w:lang w:eastAsia="es-ES"/>
        </w:rPr>
        <w:t>ervicios adscritos orgánicamente a la misma.</w:t>
      </w:r>
    </w:p>
    <w:p w14:paraId="0868CBB0" w14:textId="32B3B2CF" w:rsidR="00B2697F" w:rsidRPr="00B2697F" w:rsidRDefault="00B2697F" w:rsidP="00B2697F">
      <w:pPr>
        <w:spacing w:after="240" w:line="276" w:lineRule="auto"/>
        <w:jc w:val="both"/>
        <w:rPr>
          <w:rFonts w:ascii="Arial" w:eastAsia="Times New Roman" w:hAnsi="Arial" w:cs="Arial"/>
          <w:sz w:val="21"/>
          <w:szCs w:val="21"/>
          <w:lang w:eastAsia="es-ES"/>
        </w:rPr>
      </w:pPr>
      <w:r w:rsidRPr="00B2697F">
        <w:rPr>
          <w:rFonts w:ascii="Arial" w:eastAsia="Times New Roman" w:hAnsi="Arial" w:cs="Arial"/>
          <w:sz w:val="21"/>
          <w:szCs w:val="21"/>
          <w:lang w:eastAsia="es-ES"/>
        </w:rPr>
        <w:t xml:space="preserve">En la Memoria correspondiente a los años 2019 y 2020, resumimos las actuaciones de esta </w:t>
      </w:r>
      <w:r w:rsidR="004A2723">
        <w:rPr>
          <w:rFonts w:ascii="Arial" w:eastAsia="Times New Roman" w:hAnsi="Arial" w:cs="Arial"/>
          <w:sz w:val="21"/>
          <w:szCs w:val="21"/>
          <w:lang w:eastAsia="es-ES"/>
        </w:rPr>
        <w:t>D</w:t>
      </w:r>
      <w:r w:rsidRPr="00B2697F">
        <w:rPr>
          <w:rFonts w:ascii="Arial" w:eastAsia="Times New Roman" w:hAnsi="Arial" w:cs="Arial"/>
          <w:sz w:val="21"/>
          <w:szCs w:val="21"/>
          <w:lang w:eastAsia="es-ES"/>
        </w:rPr>
        <w:t xml:space="preserve">irección con la descripción sucinta de las gestiones realizadas y de las tareas asignadas pendientes de ejecución hasta completar el equipo humano necesario al efecto. </w:t>
      </w:r>
    </w:p>
    <w:p w14:paraId="375AC527" w14:textId="3AD88422" w:rsidR="00B2697F" w:rsidRPr="00B2697F" w:rsidRDefault="00B2697F" w:rsidP="00B2697F">
      <w:pPr>
        <w:spacing w:after="240" w:line="276" w:lineRule="auto"/>
        <w:jc w:val="both"/>
        <w:rPr>
          <w:rFonts w:ascii="Arial" w:eastAsia="Times New Roman" w:hAnsi="Arial" w:cs="Arial"/>
          <w:sz w:val="21"/>
          <w:szCs w:val="21"/>
          <w:lang w:eastAsia="es-ES"/>
        </w:rPr>
      </w:pPr>
      <w:r w:rsidRPr="00B2697F">
        <w:rPr>
          <w:rFonts w:ascii="Arial" w:eastAsia="Times New Roman" w:hAnsi="Arial" w:cs="Arial"/>
          <w:sz w:val="21"/>
          <w:szCs w:val="21"/>
          <w:lang w:eastAsia="es-ES"/>
        </w:rPr>
        <w:t xml:space="preserve">En este ejercicio, durante el primer semestre, el </w:t>
      </w:r>
      <w:r w:rsidR="004A2723">
        <w:rPr>
          <w:rFonts w:ascii="Arial" w:eastAsia="Times New Roman" w:hAnsi="Arial" w:cs="Arial"/>
          <w:sz w:val="21"/>
          <w:szCs w:val="21"/>
          <w:lang w:eastAsia="es-ES"/>
        </w:rPr>
        <w:t>S</w:t>
      </w:r>
      <w:r w:rsidRPr="00B2697F">
        <w:rPr>
          <w:rFonts w:ascii="Arial" w:eastAsia="Times New Roman" w:hAnsi="Arial" w:cs="Arial"/>
          <w:sz w:val="21"/>
          <w:szCs w:val="21"/>
          <w:lang w:eastAsia="es-ES"/>
        </w:rPr>
        <w:t xml:space="preserve">ervicio de </w:t>
      </w:r>
      <w:r w:rsidR="004A2723">
        <w:rPr>
          <w:rFonts w:ascii="Arial" w:eastAsia="Times New Roman" w:hAnsi="Arial" w:cs="Arial"/>
          <w:sz w:val="21"/>
          <w:szCs w:val="21"/>
          <w:lang w:eastAsia="es-ES"/>
        </w:rPr>
        <w:t>P</w:t>
      </w:r>
      <w:r w:rsidRPr="00B2697F">
        <w:rPr>
          <w:rFonts w:ascii="Arial" w:eastAsia="Times New Roman" w:hAnsi="Arial" w:cs="Arial"/>
          <w:sz w:val="21"/>
          <w:szCs w:val="21"/>
          <w:lang w:eastAsia="es-ES"/>
        </w:rPr>
        <w:t xml:space="preserve">revención funcionó con la directora de </w:t>
      </w:r>
      <w:r w:rsidR="004A2723">
        <w:rPr>
          <w:rFonts w:ascii="Arial" w:eastAsia="Times New Roman" w:hAnsi="Arial" w:cs="Arial"/>
          <w:sz w:val="21"/>
          <w:szCs w:val="21"/>
          <w:lang w:eastAsia="es-ES"/>
        </w:rPr>
        <w:t>P</w:t>
      </w:r>
      <w:r w:rsidRPr="00B2697F">
        <w:rPr>
          <w:rFonts w:ascii="Arial" w:eastAsia="Times New Roman" w:hAnsi="Arial" w:cs="Arial"/>
          <w:sz w:val="21"/>
          <w:szCs w:val="21"/>
          <w:lang w:eastAsia="es-ES"/>
        </w:rPr>
        <w:t xml:space="preserve">revención, </w:t>
      </w:r>
      <w:r w:rsidR="004A2723">
        <w:rPr>
          <w:rFonts w:ascii="Arial" w:eastAsia="Times New Roman" w:hAnsi="Arial" w:cs="Arial"/>
          <w:sz w:val="21"/>
          <w:szCs w:val="21"/>
          <w:lang w:eastAsia="es-ES"/>
        </w:rPr>
        <w:t>F</w:t>
      </w:r>
      <w:r w:rsidRPr="00B2697F">
        <w:rPr>
          <w:rFonts w:ascii="Arial" w:eastAsia="Times New Roman" w:hAnsi="Arial" w:cs="Arial"/>
          <w:sz w:val="21"/>
          <w:szCs w:val="21"/>
          <w:lang w:eastAsia="es-ES"/>
        </w:rPr>
        <w:t xml:space="preserve">ormación y </w:t>
      </w:r>
      <w:r w:rsidR="004A2723">
        <w:rPr>
          <w:rFonts w:ascii="Arial" w:eastAsia="Times New Roman" w:hAnsi="Arial" w:cs="Arial"/>
          <w:sz w:val="21"/>
          <w:szCs w:val="21"/>
          <w:lang w:eastAsia="es-ES"/>
        </w:rPr>
        <w:t>D</w:t>
      </w:r>
      <w:r w:rsidRPr="00B2697F">
        <w:rPr>
          <w:rFonts w:ascii="Arial" w:eastAsia="Times New Roman" w:hAnsi="Arial" w:cs="Arial"/>
          <w:sz w:val="21"/>
          <w:szCs w:val="21"/>
          <w:lang w:eastAsia="es-ES"/>
        </w:rPr>
        <w:t xml:space="preserve">ocumentación, la titular de la jefatura y una técnica de </w:t>
      </w:r>
      <w:r w:rsidR="00A70AEE">
        <w:rPr>
          <w:rFonts w:ascii="Arial" w:eastAsia="Times New Roman" w:hAnsi="Arial" w:cs="Arial"/>
          <w:sz w:val="21"/>
          <w:szCs w:val="21"/>
          <w:lang w:eastAsia="es-ES"/>
        </w:rPr>
        <w:t>P</w:t>
      </w:r>
      <w:r w:rsidRPr="00B2697F">
        <w:rPr>
          <w:rFonts w:ascii="Arial" w:eastAsia="Times New Roman" w:hAnsi="Arial" w:cs="Arial"/>
          <w:sz w:val="21"/>
          <w:szCs w:val="21"/>
          <w:lang w:eastAsia="es-ES"/>
        </w:rPr>
        <w:t xml:space="preserve">revención </w:t>
      </w:r>
      <w:r w:rsidR="00A70AEE">
        <w:rPr>
          <w:rFonts w:ascii="Arial" w:eastAsia="Times New Roman" w:hAnsi="Arial" w:cs="Arial"/>
          <w:sz w:val="21"/>
          <w:szCs w:val="21"/>
          <w:lang w:eastAsia="es-ES"/>
        </w:rPr>
        <w:t>G</w:t>
      </w:r>
      <w:r w:rsidRPr="00B2697F">
        <w:rPr>
          <w:rFonts w:ascii="Arial" w:eastAsia="Times New Roman" w:hAnsi="Arial" w:cs="Arial"/>
          <w:sz w:val="21"/>
          <w:szCs w:val="21"/>
          <w:lang w:eastAsia="es-ES"/>
        </w:rPr>
        <w:t xml:space="preserve">eneral, incorporándose en comisión de servicios durante el segundo semestre una técnica de </w:t>
      </w:r>
      <w:r w:rsidR="00A70AEE">
        <w:rPr>
          <w:rFonts w:ascii="Arial" w:eastAsia="Times New Roman" w:hAnsi="Arial" w:cs="Arial"/>
          <w:sz w:val="21"/>
          <w:szCs w:val="21"/>
          <w:lang w:eastAsia="es-ES"/>
        </w:rPr>
        <w:t>P</w:t>
      </w:r>
      <w:r w:rsidRPr="00B2697F">
        <w:rPr>
          <w:rFonts w:ascii="Arial" w:eastAsia="Times New Roman" w:hAnsi="Arial" w:cs="Arial"/>
          <w:sz w:val="21"/>
          <w:szCs w:val="21"/>
          <w:lang w:eastAsia="es-ES"/>
        </w:rPr>
        <w:t xml:space="preserve">revención </w:t>
      </w:r>
      <w:r w:rsidR="00A70AEE">
        <w:rPr>
          <w:rFonts w:ascii="Arial" w:eastAsia="Times New Roman" w:hAnsi="Arial" w:cs="Arial"/>
          <w:sz w:val="21"/>
          <w:szCs w:val="21"/>
          <w:lang w:eastAsia="es-ES"/>
        </w:rPr>
        <w:t>J</w:t>
      </w:r>
      <w:r w:rsidRPr="00B2697F">
        <w:rPr>
          <w:rFonts w:ascii="Arial" w:eastAsia="Times New Roman" w:hAnsi="Arial" w:cs="Arial"/>
          <w:sz w:val="21"/>
          <w:szCs w:val="21"/>
          <w:lang w:eastAsia="es-ES"/>
        </w:rPr>
        <w:t xml:space="preserve">urídica, quedando vacantes y sin cubrir en el </w:t>
      </w:r>
      <w:r w:rsidR="004A2723">
        <w:rPr>
          <w:rFonts w:ascii="Arial" w:eastAsia="Times New Roman" w:hAnsi="Arial" w:cs="Arial"/>
          <w:sz w:val="21"/>
          <w:szCs w:val="21"/>
          <w:lang w:eastAsia="es-ES"/>
        </w:rPr>
        <w:t>S</w:t>
      </w:r>
      <w:r w:rsidRPr="00B2697F">
        <w:rPr>
          <w:rFonts w:ascii="Arial" w:eastAsia="Times New Roman" w:hAnsi="Arial" w:cs="Arial"/>
          <w:sz w:val="21"/>
          <w:szCs w:val="21"/>
          <w:lang w:eastAsia="es-ES"/>
        </w:rPr>
        <w:t xml:space="preserve">ervicio dos puestos de técnico/a y uno de soporte administrativo. Por lo que respecta al </w:t>
      </w:r>
      <w:r w:rsidR="004A2723">
        <w:rPr>
          <w:rFonts w:ascii="Arial" w:eastAsia="Times New Roman" w:hAnsi="Arial" w:cs="Arial"/>
          <w:sz w:val="21"/>
          <w:szCs w:val="21"/>
          <w:lang w:eastAsia="es-ES"/>
        </w:rPr>
        <w:t>S</w:t>
      </w:r>
      <w:r w:rsidRPr="00B2697F">
        <w:rPr>
          <w:rFonts w:ascii="Arial" w:eastAsia="Times New Roman" w:hAnsi="Arial" w:cs="Arial"/>
          <w:sz w:val="21"/>
          <w:szCs w:val="21"/>
          <w:lang w:eastAsia="es-ES"/>
        </w:rPr>
        <w:t xml:space="preserve">ervicio de </w:t>
      </w:r>
      <w:r w:rsidR="004A2723">
        <w:rPr>
          <w:rFonts w:ascii="Arial" w:eastAsia="Times New Roman" w:hAnsi="Arial" w:cs="Arial"/>
          <w:sz w:val="21"/>
          <w:szCs w:val="21"/>
          <w:lang w:eastAsia="es-ES"/>
        </w:rPr>
        <w:t>F</w:t>
      </w:r>
      <w:r w:rsidRPr="00B2697F">
        <w:rPr>
          <w:rFonts w:ascii="Arial" w:eastAsia="Times New Roman" w:hAnsi="Arial" w:cs="Arial"/>
          <w:sz w:val="21"/>
          <w:szCs w:val="21"/>
          <w:lang w:eastAsia="es-ES"/>
        </w:rPr>
        <w:t xml:space="preserve">ormación, durante el primer semestre, el </w:t>
      </w:r>
      <w:r w:rsidR="004A2723">
        <w:rPr>
          <w:rFonts w:ascii="Arial" w:eastAsia="Times New Roman" w:hAnsi="Arial" w:cs="Arial"/>
          <w:sz w:val="21"/>
          <w:szCs w:val="21"/>
          <w:lang w:eastAsia="es-ES"/>
        </w:rPr>
        <w:t>S</w:t>
      </w:r>
      <w:r w:rsidRPr="00B2697F">
        <w:rPr>
          <w:rFonts w:ascii="Arial" w:eastAsia="Times New Roman" w:hAnsi="Arial" w:cs="Arial"/>
          <w:sz w:val="21"/>
          <w:szCs w:val="21"/>
          <w:lang w:eastAsia="es-ES"/>
        </w:rPr>
        <w:t xml:space="preserve">ervicio funcionó con la directora, el jefe del </w:t>
      </w:r>
      <w:r w:rsidR="004A2723">
        <w:rPr>
          <w:rFonts w:ascii="Arial" w:eastAsia="Times New Roman" w:hAnsi="Arial" w:cs="Arial"/>
          <w:sz w:val="21"/>
          <w:szCs w:val="21"/>
          <w:lang w:eastAsia="es-ES"/>
        </w:rPr>
        <w:t>S</w:t>
      </w:r>
      <w:r w:rsidRPr="00B2697F">
        <w:rPr>
          <w:rFonts w:ascii="Arial" w:eastAsia="Times New Roman" w:hAnsi="Arial" w:cs="Arial"/>
          <w:sz w:val="21"/>
          <w:szCs w:val="21"/>
          <w:lang w:eastAsia="es-ES"/>
        </w:rPr>
        <w:t xml:space="preserve">ervicio, dos técnicas de </w:t>
      </w:r>
      <w:r w:rsidR="00A70AEE">
        <w:rPr>
          <w:rFonts w:ascii="Arial" w:eastAsia="Times New Roman" w:hAnsi="Arial" w:cs="Arial"/>
          <w:sz w:val="21"/>
          <w:szCs w:val="21"/>
          <w:lang w:eastAsia="es-ES"/>
        </w:rPr>
        <w:t>F</w:t>
      </w:r>
      <w:r w:rsidRPr="00B2697F">
        <w:rPr>
          <w:rFonts w:ascii="Arial" w:eastAsia="Times New Roman" w:hAnsi="Arial" w:cs="Arial"/>
          <w:sz w:val="21"/>
          <w:szCs w:val="21"/>
          <w:lang w:eastAsia="es-ES"/>
        </w:rPr>
        <w:t xml:space="preserve">ormación y un jefe de </w:t>
      </w:r>
      <w:r w:rsidR="00A70AEE">
        <w:rPr>
          <w:rFonts w:ascii="Arial" w:eastAsia="Times New Roman" w:hAnsi="Arial" w:cs="Arial"/>
          <w:sz w:val="21"/>
          <w:szCs w:val="21"/>
          <w:lang w:eastAsia="es-ES"/>
        </w:rPr>
        <w:t>N</w:t>
      </w:r>
      <w:r w:rsidRPr="00B2697F">
        <w:rPr>
          <w:rFonts w:ascii="Arial" w:eastAsia="Times New Roman" w:hAnsi="Arial" w:cs="Arial"/>
          <w:sz w:val="21"/>
          <w:szCs w:val="21"/>
          <w:lang w:eastAsia="es-ES"/>
        </w:rPr>
        <w:t xml:space="preserve">egociado (este último compartido con </w:t>
      </w:r>
      <w:r w:rsidR="004A2723">
        <w:rPr>
          <w:rFonts w:ascii="Arial" w:eastAsia="Times New Roman" w:hAnsi="Arial" w:cs="Arial"/>
          <w:sz w:val="21"/>
          <w:szCs w:val="21"/>
          <w:lang w:eastAsia="es-ES"/>
        </w:rPr>
        <w:t>P</w:t>
      </w:r>
      <w:r w:rsidRPr="00B2697F">
        <w:rPr>
          <w:rFonts w:ascii="Arial" w:eastAsia="Times New Roman" w:hAnsi="Arial" w:cs="Arial"/>
          <w:sz w:val="21"/>
          <w:szCs w:val="21"/>
          <w:lang w:eastAsia="es-ES"/>
        </w:rPr>
        <w:t xml:space="preserve">revención). A su vez, en el </w:t>
      </w:r>
      <w:r w:rsidR="004A2723">
        <w:rPr>
          <w:rFonts w:ascii="Arial" w:eastAsia="Times New Roman" w:hAnsi="Arial" w:cs="Arial"/>
          <w:sz w:val="21"/>
          <w:szCs w:val="21"/>
          <w:lang w:eastAsia="es-ES"/>
        </w:rPr>
        <w:t>S</w:t>
      </w:r>
      <w:r w:rsidRPr="00B2697F">
        <w:rPr>
          <w:rFonts w:ascii="Arial" w:eastAsia="Times New Roman" w:hAnsi="Arial" w:cs="Arial"/>
          <w:sz w:val="21"/>
          <w:szCs w:val="21"/>
          <w:lang w:eastAsia="es-ES"/>
        </w:rPr>
        <w:t xml:space="preserve">ervicio de </w:t>
      </w:r>
      <w:r w:rsidR="004A2723">
        <w:rPr>
          <w:rFonts w:ascii="Arial" w:eastAsia="Times New Roman" w:hAnsi="Arial" w:cs="Arial"/>
          <w:sz w:val="21"/>
          <w:szCs w:val="21"/>
          <w:lang w:eastAsia="es-ES"/>
        </w:rPr>
        <w:t>D</w:t>
      </w:r>
      <w:r w:rsidRPr="00B2697F">
        <w:rPr>
          <w:rFonts w:ascii="Arial" w:eastAsia="Times New Roman" w:hAnsi="Arial" w:cs="Arial"/>
          <w:sz w:val="21"/>
          <w:szCs w:val="21"/>
          <w:lang w:eastAsia="es-ES"/>
        </w:rPr>
        <w:t xml:space="preserve">ocumentación e </w:t>
      </w:r>
      <w:r w:rsidR="004A2723">
        <w:rPr>
          <w:rFonts w:ascii="Arial" w:eastAsia="Times New Roman" w:hAnsi="Arial" w:cs="Arial"/>
          <w:sz w:val="21"/>
          <w:szCs w:val="21"/>
          <w:lang w:eastAsia="es-ES"/>
        </w:rPr>
        <w:t>I</w:t>
      </w:r>
      <w:r w:rsidRPr="00B2697F">
        <w:rPr>
          <w:rFonts w:ascii="Arial" w:eastAsia="Times New Roman" w:hAnsi="Arial" w:cs="Arial"/>
          <w:sz w:val="21"/>
          <w:szCs w:val="21"/>
          <w:lang w:eastAsia="es-ES"/>
        </w:rPr>
        <w:t xml:space="preserve">nformes, funcionó con su jefatura, y un jefe de </w:t>
      </w:r>
      <w:r w:rsidR="00A70AEE">
        <w:rPr>
          <w:rFonts w:ascii="Arial" w:eastAsia="Times New Roman" w:hAnsi="Arial" w:cs="Arial"/>
          <w:sz w:val="21"/>
          <w:szCs w:val="21"/>
          <w:lang w:eastAsia="es-ES"/>
        </w:rPr>
        <w:t>N</w:t>
      </w:r>
      <w:r w:rsidRPr="00B2697F">
        <w:rPr>
          <w:rFonts w:ascii="Arial" w:eastAsia="Times New Roman" w:hAnsi="Arial" w:cs="Arial"/>
          <w:sz w:val="21"/>
          <w:szCs w:val="21"/>
          <w:lang w:eastAsia="es-ES"/>
        </w:rPr>
        <w:t xml:space="preserve">egociado. Durante el segundo semestre de 2021, el puesto de director/a de </w:t>
      </w:r>
      <w:r w:rsidR="004A2723">
        <w:rPr>
          <w:rFonts w:ascii="Arial" w:eastAsia="Times New Roman" w:hAnsi="Arial" w:cs="Arial"/>
          <w:sz w:val="21"/>
          <w:szCs w:val="21"/>
          <w:lang w:eastAsia="es-ES"/>
        </w:rPr>
        <w:t>P</w:t>
      </w:r>
      <w:r w:rsidRPr="00B2697F">
        <w:rPr>
          <w:rFonts w:ascii="Arial" w:eastAsia="Times New Roman" w:hAnsi="Arial" w:cs="Arial"/>
          <w:sz w:val="21"/>
          <w:szCs w:val="21"/>
          <w:lang w:eastAsia="es-ES"/>
        </w:rPr>
        <w:t xml:space="preserve">revención, </w:t>
      </w:r>
      <w:r w:rsidR="004A2723">
        <w:rPr>
          <w:rFonts w:ascii="Arial" w:eastAsia="Times New Roman" w:hAnsi="Arial" w:cs="Arial"/>
          <w:sz w:val="21"/>
          <w:szCs w:val="21"/>
          <w:lang w:eastAsia="es-ES"/>
        </w:rPr>
        <w:t>F</w:t>
      </w:r>
      <w:r w:rsidRPr="00B2697F">
        <w:rPr>
          <w:rFonts w:ascii="Arial" w:eastAsia="Times New Roman" w:hAnsi="Arial" w:cs="Arial"/>
          <w:sz w:val="21"/>
          <w:szCs w:val="21"/>
          <w:lang w:eastAsia="es-ES"/>
        </w:rPr>
        <w:t xml:space="preserve">ormación y </w:t>
      </w:r>
      <w:r w:rsidR="004A2723">
        <w:rPr>
          <w:rFonts w:ascii="Arial" w:eastAsia="Times New Roman" w:hAnsi="Arial" w:cs="Arial"/>
          <w:sz w:val="21"/>
          <w:szCs w:val="21"/>
          <w:lang w:eastAsia="es-ES"/>
        </w:rPr>
        <w:t>D</w:t>
      </w:r>
      <w:r w:rsidRPr="00B2697F">
        <w:rPr>
          <w:rFonts w:ascii="Arial" w:eastAsia="Times New Roman" w:hAnsi="Arial" w:cs="Arial"/>
          <w:sz w:val="21"/>
          <w:szCs w:val="21"/>
          <w:lang w:eastAsia="es-ES"/>
        </w:rPr>
        <w:t xml:space="preserve">ocumentación quedó vacante, por lo que las tres jefaturas de </w:t>
      </w:r>
      <w:r w:rsidR="004A2723">
        <w:rPr>
          <w:rFonts w:ascii="Arial" w:eastAsia="Times New Roman" w:hAnsi="Arial" w:cs="Arial"/>
          <w:sz w:val="21"/>
          <w:szCs w:val="21"/>
          <w:lang w:eastAsia="es-ES"/>
        </w:rPr>
        <w:t>S</w:t>
      </w:r>
      <w:r w:rsidRPr="00B2697F">
        <w:rPr>
          <w:rFonts w:ascii="Arial" w:eastAsia="Times New Roman" w:hAnsi="Arial" w:cs="Arial"/>
          <w:sz w:val="21"/>
          <w:szCs w:val="21"/>
          <w:lang w:eastAsia="es-ES"/>
        </w:rPr>
        <w:t xml:space="preserve">ervicio, de manera coordinada, e informando puntualmente al </w:t>
      </w:r>
      <w:r w:rsidR="004A2723">
        <w:rPr>
          <w:rFonts w:ascii="Arial" w:eastAsia="Times New Roman" w:hAnsi="Arial" w:cs="Arial"/>
          <w:sz w:val="21"/>
          <w:szCs w:val="21"/>
          <w:lang w:eastAsia="es-ES"/>
        </w:rPr>
        <w:t>d</w:t>
      </w:r>
      <w:r w:rsidRPr="00B2697F">
        <w:rPr>
          <w:rFonts w:ascii="Arial" w:eastAsia="Times New Roman" w:hAnsi="Arial" w:cs="Arial"/>
          <w:sz w:val="21"/>
          <w:szCs w:val="21"/>
          <w:lang w:eastAsia="es-ES"/>
        </w:rPr>
        <w:t xml:space="preserve">irector de la Agencia, han ejercido asimismo funciones adicionales a las propias consistentes en la creación y elaboración de iniciativas y propuestas, supervisión directa de su personal, representación institucional de la Agencia, asistencia a reuniones y </w:t>
      </w:r>
      <w:r w:rsidR="00400971">
        <w:rPr>
          <w:rFonts w:ascii="Arial" w:eastAsia="Times New Roman" w:hAnsi="Arial" w:cs="Arial"/>
          <w:sz w:val="21"/>
          <w:szCs w:val="21"/>
          <w:lang w:eastAsia="es-ES"/>
        </w:rPr>
        <w:t>c</w:t>
      </w:r>
      <w:r w:rsidRPr="00B2697F">
        <w:rPr>
          <w:rFonts w:ascii="Arial" w:eastAsia="Times New Roman" w:hAnsi="Arial" w:cs="Arial"/>
          <w:sz w:val="21"/>
          <w:szCs w:val="21"/>
          <w:lang w:eastAsia="es-ES"/>
        </w:rPr>
        <w:t>ongresos, encuentros de la Red de Oficinas y Agencias Antifraude, EPAC, etc.</w:t>
      </w:r>
    </w:p>
    <w:p w14:paraId="304A3512" w14:textId="226369B6" w:rsidR="00B2697F" w:rsidRPr="00B2697F" w:rsidRDefault="00B2697F" w:rsidP="00B2697F">
      <w:pPr>
        <w:spacing w:after="240" w:line="276" w:lineRule="auto"/>
        <w:jc w:val="both"/>
        <w:rPr>
          <w:rFonts w:ascii="Arial" w:eastAsia="Times New Roman" w:hAnsi="Arial" w:cs="Arial"/>
          <w:sz w:val="21"/>
          <w:szCs w:val="21"/>
          <w:lang w:eastAsia="es-ES"/>
        </w:rPr>
      </w:pPr>
      <w:r w:rsidRPr="00B2697F">
        <w:rPr>
          <w:rFonts w:ascii="Arial" w:eastAsia="Times New Roman" w:hAnsi="Arial" w:cs="Arial"/>
          <w:sz w:val="21"/>
          <w:szCs w:val="21"/>
          <w:lang w:eastAsia="es-ES"/>
        </w:rPr>
        <w:t xml:space="preserve">Las acciones ejecutadas durante este año, cuyo resumen pasamos a exponer, se han podido realizar gracias a la progresiva incorporación de nuevo personal. No en vano, los recursos humanos, así como su necesaria formación y especialización en una materia tan compleja y novedosa como la prevención del fraude y la corrupción, resultan imprescindibles para desarrollar con el máximo rigor y calidad las heterogéneas funciones asignadas a esta </w:t>
      </w:r>
      <w:r w:rsidR="00400971">
        <w:rPr>
          <w:rFonts w:ascii="Arial" w:eastAsia="Times New Roman" w:hAnsi="Arial" w:cs="Arial"/>
          <w:sz w:val="21"/>
          <w:szCs w:val="21"/>
          <w:lang w:eastAsia="es-ES"/>
        </w:rPr>
        <w:t>D</w:t>
      </w:r>
      <w:r w:rsidRPr="00B2697F">
        <w:rPr>
          <w:rFonts w:ascii="Arial" w:eastAsia="Times New Roman" w:hAnsi="Arial" w:cs="Arial"/>
          <w:sz w:val="21"/>
          <w:szCs w:val="21"/>
          <w:lang w:eastAsia="es-ES"/>
        </w:rPr>
        <w:t xml:space="preserve">irección. </w:t>
      </w:r>
    </w:p>
    <w:p w14:paraId="29E2CD74" w14:textId="5ADB23C3" w:rsidR="00B2697F" w:rsidRPr="00B2697F" w:rsidRDefault="00B2697F" w:rsidP="00B2697F">
      <w:pPr>
        <w:spacing w:after="240" w:line="276" w:lineRule="auto"/>
        <w:jc w:val="both"/>
        <w:rPr>
          <w:rFonts w:ascii="Arial" w:eastAsia="Times New Roman" w:hAnsi="Arial" w:cs="Arial"/>
          <w:sz w:val="21"/>
          <w:szCs w:val="21"/>
          <w:lang w:eastAsia="es-ES"/>
        </w:rPr>
      </w:pPr>
      <w:r w:rsidRPr="00B2697F">
        <w:rPr>
          <w:rFonts w:ascii="Arial" w:eastAsia="Times New Roman" w:hAnsi="Arial" w:cs="Arial"/>
          <w:sz w:val="21"/>
          <w:szCs w:val="21"/>
          <w:lang w:eastAsia="es-ES"/>
        </w:rPr>
        <w:t>La provisión definitiva de todos los puestos de trabajo asignados a esta área, prevista durante el ejercicio 2021, no se ha producido. Esperamos que pueda llevarse a cabo durante los primeros meses del ejercicio 2022</w:t>
      </w:r>
      <w:r w:rsidR="00400971">
        <w:rPr>
          <w:rFonts w:ascii="Arial" w:eastAsia="Times New Roman" w:hAnsi="Arial" w:cs="Arial"/>
          <w:sz w:val="21"/>
          <w:szCs w:val="21"/>
          <w:lang w:eastAsia="es-ES"/>
        </w:rPr>
        <w:t>,</w:t>
      </w:r>
      <w:r w:rsidRPr="00B2697F">
        <w:rPr>
          <w:rFonts w:ascii="Arial" w:eastAsia="Times New Roman" w:hAnsi="Arial" w:cs="Arial"/>
          <w:sz w:val="21"/>
          <w:szCs w:val="21"/>
          <w:lang w:eastAsia="es-ES"/>
        </w:rPr>
        <w:t xml:space="preserve"> con el fin </w:t>
      </w:r>
      <w:r w:rsidR="00EF6585" w:rsidRPr="00CD7A5C">
        <w:rPr>
          <w:rFonts w:ascii="Arial" w:eastAsia="Times New Roman" w:hAnsi="Arial" w:cs="Arial"/>
          <w:sz w:val="21"/>
          <w:szCs w:val="21"/>
          <w:lang w:eastAsia="es-ES"/>
        </w:rPr>
        <w:t>de</w:t>
      </w:r>
      <w:r w:rsidR="00EF6585">
        <w:rPr>
          <w:rFonts w:ascii="Arial" w:eastAsia="Times New Roman" w:hAnsi="Arial" w:cs="Arial"/>
          <w:sz w:val="21"/>
          <w:szCs w:val="21"/>
          <w:lang w:eastAsia="es-ES"/>
        </w:rPr>
        <w:t xml:space="preserve"> </w:t>
      </w:r>
      <w:r w:rsidRPr="00B2697F">
        <w:rPr>
          <w:rFonts w:ascii="Arial" w:eastAsia="Times New Roman" w:hAnsi="Arial" w:cs="Arial"/>
          <w:sz w:val="21"/>
          <w:szCs w:val="21"/>
          <w:lang w:eastAsia="es-ES"/>
        </w:rPr>
        <w:t>desarrollar plenamente nuestras funciones y, de este modo, consolidar el papel prioritario de la Agencia en el ámbito de la prevención y del fomento de la integridad pública.</w:t>
      </w:r>
    </w:p>
    <w:p w14:paraId="7CF0B3C7" w14:textId="4B91D023" w:rsidR="00B2697F" w:rsidRPr="00B2697F" w:rsidRDefault="00B2697F" w:rsidP="00B2697F">
      <w:pPr>
        <w:spacing w:after="240" w:line="276" w:lineRule="auto"/>
        <w:jc w:val="both"/>
        <w:rPr>
          <w:rFonts w:ascii="Arial" w:eastAsia="Times New Roman" w:hAnsi="Arial" w:cs="Arial"/>
          <w:sz w:val="21"/>
          <w:szCs w:val="21"/>
          <w:lang w:eastAsia="es-ES"/>
        </w:rPr>
      </w:pPr>
      <w:r w:rsidRPr="00B2697F">
        <w:rPr>
          <w:rFonts w:ascii="Arial" w:eastAsia="Times New Roman" w:hAnsi="Arial" w:cs="Arial"/>
          <w:sz w:val="21"/>
          <w:szCs w:val="21"/>
          <w:lang w:eastAsia="es-ES"/>
        </w:rPr>
        <w:t>Por parte del personal integrante de la DPFD</w:t>
      </w:r>
      <w:r w:rsidR="00400971">
        <w:rPr>
          <w:rFonts w:ascii="Arial" w:eastAsia="Times New Roman" w:hAnsi="Arial" w:cs="Arial"/>
          <w:sz w:val="21"/>
          <w:szCs w:val="21"/>
          <w:lang w:eastAsia="es-ES"/>
        </w:rPr>
        <w:t>,</w:t>
      </w:r>
      <w:r w:rsidRPr="00B2697F">
        <w:rPr>
          <w:rFonts w:ascii="Arial" w:eastAsia="Times New Roman" w:hAnsi="Arial" w:cs="Arial"/>
          <w:sz w:val="21"/>
          <w:szCs w:val="21"/>
          <w:lang w:eastAsia="es-ES"/>
        </w:rPr>
        <w:t xml:space="preserve"> queremos agradecer en esta </w:t>
      </w:r>
      <w:r w:rsidR="00400971">
        <w:rPr>
          <w:rFonts w:ascii="Arial" w:eastAsia="Times New Roman" w:hAnsi="Arial" w:cs="Arial"/>
          <w:sz w:val="21"/>
          <w:szCs w:val="21"/>
          <w:lang w:eastAsia="es-ES"/>
        </w:rPr>
        <w:t>M</w:t>
      </w:r>
      <w:r w:rsidRPr="00B2697F">
        <w:rPr>
          <w:rFonts w:ascii="Arial" w:eastAsia="Times New Roman" w:hAnsi="Arial" w:cs="Arial"/>
          <w:sz w:val="21"/>
          <w:szCs w:val="21"/>
          <w:lang w:eastAsia="es-ES"/>
        </w:rPr>
        <w:t xml:space="preserve">emoria los conocimientos y aportaciones realizados durante el primer semestre del ejercicio por la persona titular de la </w:t>
      </w:r>
      <w:r w:rsidR="00400971">
        <w:rPr>
          <w:rFonts w:ascii="Arial" w:eastAsia="Times New Roman" w:hAnsi="Arial" w:cs="Arial"/>
          <w:sz w:val="21"/>
          <w:szCs w:val="21"/>
          <w:lang w:eastAsia="es-ES"/>
        </w:rPr>
        <w:t>D</w:t>
      </w:r>
      <w:r w:rsidRPr="00B2697F">
        <w:rPr>
          <w:rFonts w:ascii="Arial" w:eastAsia="Times New Roman" w:hAnsi="Arial" w:cs="Arial"/>
          <w:sz w:val="21"/>
          <w:szCs w:val="21"/>
          <w:lang w:eastAsia="es-ES"/>
        </w:rPr>
        <w:t>irección del área en ese tiempo.</w:t>
      </w:r>
    </w:p>
    <w:p w14:paraId="392DD4ED" w14:textId="594DE755" w:rsidR="00B2697F" w:rsidRPr="00B2697F" w:rsidRDefault="00B2697F" w:rsidP="00F11285">
      <w:pPr>
        <w:spacing w:after="240" w:line="276" w:lineRule="auto"/>
        <w:jc w:val="both"/>
        <w:rPr>
          <w:rFonts w:ascii="Arial" w:eastAsia="Times New Roman" w:hAnsi="Arial" w:cs="Arial"/>
          <w:sz w:val="21"/>
          <w:szCs w:val="21"/>
          <w:lang w:eastAsia="es-ES"/>
        </w:rPr>
      </w:pPr>
      <w:r w:rsidRPr="00B2697F">
        <w:rPr>
          <w:rFonts w:ascii="Arial" w:eastAsia="Times New Roman" w:hAnsi="Arial" w:cs="Arial"/>
          <w:sz w:val="21"/>
          <w:szCs w:val="21"/>
          <w:lang w:eastAsia="es-ES"/>
        </w:rPr>
        <w:t>De acuerdo con el artículo 19 del Reglamento de la Agencia</w:t>
      </w:r>
      <w:r w:rsidR="00EF6585">
        <w:rPr>
          <w:rFonts w:ascii="Arial" w:eastAsia="Times New Roman" w:hAnsi="Arial" w:cs="Arial"/>
          <w:sz w:val="21"/>
          <w:szCs w:val="21"/>
          <w:lang w:eastAsia="es-ES"/>
        </w:rPr>
        <w:t>,</w:t>
      </w:r>
      <w:r w:rsidRPr="00B2697F">
        <w:rPr>
          <w:rFonts w:ascii="Arial" w:eastAsia="Times New Roman" w:hAnsi="Arial" w:cs="Arial"/>
          <w:sz w:val="21"/>
          <w:szCs w:val="21"/>
          <w:lang w:eastAsia="es-ES"/>
        </w:rPr>
        <w:t xml:space="preserve"> la Dirección de Prevención, Formación y Documentación tiene las funciones siguientes: </w:t>
      </w:r>
    </w:p>
    <w:p w14:paraId="2E4E56D9" w14:textId="0D384129"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Dirigir, coordinar y supervisar el funcionamiento y la organización de las unidades dependientes. </w:t>
      </w:r>
    </w:p>
    <w:p w14:paraId="0E669901" w14:textId="3DBE5919"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Asesorar en la elaboración y en el establecimiento de los elementos que integran las estrategias de integridad pública, así como en la confección y la evaluación de los planes de prevención. </w:t>
      </w:r>
    </w:p>
    <w:p w14:paraId="11086A7F" w14:textId="2A448CC7"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Evaluar la eficacia de los instrumentos jurídicos y las medidas existentes en materia de prevención y lucha contra el fraude y la corrupción. </w:t>
      </w:r>
    </w:p>
    <w:p w14:paraId="0AEA4748" w14:textId="54B2248A"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Proponer criterios previos, claros y estables de control de la acción pública, así como mejoras en procedimientos y prácticas administrativas. </w:t>
      </w:r>
    </w:p>
    <w:p w14:paraId="58BD5106" w14:textId="6B7421D9"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Desarrollar estudios y análisis de riesgos. </w:t>
      </w:r>
    </w:p>
    <w:p w14:paraId="71DA3209" w14:textId="2075D2F4"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Gestionar y analizar cualquier tipo de información y documentación publicada sobre las materias propias de la Agencia, así como elaborar los informes, las estadísticas, las publicaciones y los estudios técnicos pertinentes. </w:t>
      </w:r>
    </w:p>
    <w:p w14:paraId="5ABE81D2" w14:textId="3A3C385A"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Promover estudios e investigaciones en relación con el fraude, con las causas que lo originan y con el impacto social y político que genera. </w:t>
      </w:r>
    </w:p>
    <w:p w14:paraId="59874D8C" w14:textId="4D96E170"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Formular propuestas y recomendaciones en materia de integridad, ética pública, prevención y lucha contra la corrupción, sobre disposiciones normativas vigentes o en trámite de aprobación. </w:t>
      </w:r>
    </w:p>
    <w:p w14:paraId="36B6E228" w14:textId="00E4A855"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Dar respuesta a las consultas no vinculantes en materia de prevención del fraude, la corrupción y las buenas prácticas. </w:t>
      </w:r>
    </w:p>
    <w:p w14:paraId="210EDA65" w14:textId="793A4622"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Elaborar y gestionar acciones y guías formativas especializadas en materia de integridad y ética pública, así como de prevención del fraude y de la corrupción. </w:t>
      </w:r>
    </w:p>
    <w:p w14:paraId="51DD2191" w14:textId="27077963"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Elaborar y gestionar acciones formativas para el personal adscrito a la Agencia porque dispone de la capacidad técnica y la formación continua debida. </w:t>
      </w:r>
    </w:p>
    <w:p w14:paraId="2B5D9F74" w14:textId="4D33675D"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Proponer, preparar y realizar los programas de sensibilización de la Agencia. </w:t>
      </w:r>
    </w:p>
    <w:p w14:paraId="41BAEE92" w14:textId="4E2956DB"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Ejecutar y desarrollar herramientas para almacenar, gestionar y poner a disposición, de manera accesible y en formato abierto, los recursos de información en el ámbito de la lucha contra el fraude, la corrupción, la defensa de la ética pública y la integridad, para fomentar la difusión de manera fácil, gratuita, libre, completa, permanente, reutilizable y continuamente actualizada. </w:t>
      </w:r>
    </w:p>
    <w:p w14:paraId="3B5F312E" w14:textId="70141DE1"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Establecer la política de gestión de documentos de acuerdo con la normativa vigente y con los estándares, recomendaciones y buenas prácticas nacionales e internacionales aplicables para la gestión documental y la Norma técnica de interoperabilidad del Catálogo de estándares, que garantizan la autenticidad, la integridad, la confidencialidad, la disponibilidad y la trazabilidad de los documentos y los expedientes electrónicos que se generan, que permiten la protección, la recuperación y la conservación física y lógica de los mismos y de su contexto. </w:t>
      </w:r>
    </w:p>
    <w:p w14:paraId="4DEE78E4" w14:textId="570A2093" w:rsidR="00B2697F" w:rsidRPr="00CD7A5C" w:rsidRDefault="00B2697F" w:rsidP="00F11285">
      <w:pPr>
        <w:pStyle w:val="Prrafodelista"/>
        <w:numPr>
          <w:ilvl w:val="0"/>
          <w:numId w:val="148"/>
        </w:numPr>
        <w:spacing w:after="120" w:line="276" w:lineRule="auto"/>
        <w:ind w:left="714" w:hanging="357"/>
        <w:contextualSpacing w:val="0"/>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 xml:space="preserve">Elaborar y proponer el código ético y de conducta del personal de la Agencia. </w:t>
      </w:r>
    </w:p>
    <w:p w14:paraId="50A0B219" w14:textId="0F5FD6BE" w:rsidR="00B2697F" w:rsidRPr="00CD7A5C" w:rsidRDefault="00B2697F" w:rsidP="00E501D4">
      <w:pPr>
        <w:pStyle w:val="Prrafodelista"/>
        <w:numPr>
          <w:ilvl w:val="0"/>
          <w:numId w:val="148"/>
        </w:numPr>
        <w:spacing w:after="240" w:line="276" w:lineRule="auto"/>
        <w:jc w:val="both"/>
        <w:rPr>
          <w:rFonts w:ascii="Arial" w:eastAsia="Times New Roman" w:hAnsi="Arial" w:cs="Arial"/>
          <w:sz w:val="21"/>
          <w:szCs w:val="21"/>
          <w:lang w:eastAsia="es-ES"/>
        </w:rPr>
      </w:pPr>
      <w:r w:rsidRPr="00CD7A5C">
        <w:rPr>
          <w:rFonts w:ascii="Arial" w:eastAsia="Times New Roman" w:hAnsi="Arial" w:cs="Arial"/>
          <w:sz w:val="21"/>
          <w:szCs w:val="21"/>
          <w:lang w:eastAsia="es-ES"/>
        </w:rPr>
        <w:t>Las otras que le asigne el director o directora de la Agencia.</w:t>
      </w:r>
    </w:p>
    <w:p w14:paraId="6AD506FC" w14:textId="1857B10A" w:rsidR="007C27F4" w:rsidRDefault="00B2697F" w:rsidP="00B2697F">
      <w:pPr>
        <w:spacing w:after="240" w:line="276" w:lineRule="auto"/>
        <w:jc w:val="both"/>
        <w:rPr>
          <w:rFonts w:ascii="Arial" w:eastAsia="Times New Roman" w:hAnsi="Arial" w:cs="Arial"/>
          <w:sz w:val="21"/>
          <w:szCs w:val="21"/>
          <w:lang w:eastAsia="es-ES"/>
        </w:rPr>
      </w:pPr>
      <w:r w:rsidRPr="00B2697F">
        <w:rPr>
          <w:rFonts w:ascii="Arial" w:eastAsia="Times New Roman" w:hAnsi="Arial" w:cs="Arial"/>
          <w:sz w:val="21"/>
          <w:szCs w:val="21"/>
          <w:lang w:eastAsia="es-ES"/>
        </w:rPr>
        <w:t xml:space="preserve">A continuación, pasamos a describir las actuaciones de los </w:t>
      </w:r>
      <w:r w:rsidR="004A2723">
        <w:rPr>
          <w:rFonts w:ascii="Arial" w:eastAsia="Times New Roman" w:hAnsi="Arial" w:cs="Arial"/>
          <w:sz w:val="21"/>
          <w:szCs w:val="21"/>
          <w:lang w:eastAsia="es-ES"/>
        </w:rPr>
        <w:t>S</w:t>
      </w:r>
      <w:r w:rsidRPr="00B2697F">
        <w:rPr>
          <w:rFonts w:ascii="Arial" w:eastAsia="Times New Roman" w:hAnsi="Arial" w:cs="Arial"/>
          <w:sz w:val="21"/>
          <w:szCs w:val="21"/>
          <w:lang w:eastAsia="es-ES"/>
        </w:rPr>
        <w:t xml:space="preserve">ervicios de </w:t>
      </w:r>
      <w:r w:rsidR="004A2723">
        <w:rPr>
          <w:rFonts w:ascii="Arial" w:eastAsia="Times New Roman" w:hAnsi="Arial" w:cs="Arial"/>
          <w:sz w:val="21"/>
          <w:szCs w:val="21"/>
          <w:lang w:eastAsia="es-ES"/>
        </w:rPr>
        <w:t>P</w:t>
      </w:r>
      <w:r w:rsidRPr="00B2697F">
        <w:rPr>
          <w:rFonts w:ascii="Arial" w:eastAsia="Times New Roman" w:hAnsi="Arial" w:cs="Arial"/>
          <w:sz w:val="21"/>
          <w:szCs w:val="21"/>
          <w:lang w:eastAsia="es-ES"/>
        </w:rPr>
        <w:t xml:space="preserve">revención, </w:t>
      </w:r>
      <w:r w:rsidR="004A2723">
        <w:rPr>
          <w:rFonts w:ascii="Arial" w:eastAsia="Times New Roman" w:hAnsi="Arial" w:cs="Arial"/>
          <w:sz w:val="21"/>
          <w:szCs w:val="21"/>
          <w:lang w:eastAsia="es-ES"/>
        </w:rPr>
        <w:t>F</w:t>
      </w:r>
      <w:r w:rsidRPr="00B2697F">
        <w:rPr>
          <w:rFonts w:ascii="Arial" w:eastAsia="Times New Roman" w:hAnsi="Arial" w:cs="Arial"/>
          <w:sz w:val="21"/>
          <w:szCs w:val="21"/>
          <w:lang w:eastAsia="es-ES"/>
        </w:rPr>
        <w:t xml:space="preserve">ormación y </w:t>
      </w:r>
      <w:r w:rsidR="004A2723">
        <w:rPr>
          <w:rFonts w:ascii="Arial" w:eastAsia="Times New Roman" w:hAnsi="Arial" w:cs="Arial"/>
          <w:sz w:val="21"/>
          <w:szCs w:val="21"/>
          <w:lang w:eastAsia="es-ES"/>
        </w:rPr>
        <w:t>D</w:t>
      </w:r>
      <w:r w:rsidRPr="00B2697F">
        <w:rPr>
          <w:rFonts w:ascii="Arial" w:eastAsia="Times New Roman" w:hAnsi="Arial" w:cs="Arial"/>
          <w:sz w:val="21"/>
          <w:szCs w:val="21"/>
          <w:lang w:eastAsia="es-ES"/>
        </w:rPr>
        <w:t xml:space="preserve">ocumentación e </w:t>
      </w:r>
      <w:r w:rsidR="004A2723">
        <w:rPr>
          <w:rFonts w:ascii="Arial" w:eastAsia="Times New Roman" w:hAnsi="Arial" w:cs="Arial"/>
          <w:sz w:val="21"/>
          <w:szCs w:val="21"/>
          <w:lang w:eastAsia="es-ES"/>
        </w:rPr>
        <w:t>I</w:t>
      </w:r>
      <w:r w:rsidRPr="00B2697F">
        <w:rPr>
          <w:rFonts w:ascii="Arial" w:eastAsia="Times New Roman" w:hAnsi="Arial" w:cs="Arial"/>
          <w:sz w:val="21"/>
          <w:szCs w:val="21"/>
          <w:lang w:eastAsia="es-ES"/>
        </w:rPr>
        <w:t xml:space="preserve">nformes, adscritos orgánicamente a esta </w:t>
      </w:r>
      <w:r w:rsidR="00297B34">
        <w:rPr>
          <w:rFonts w:ascii="Arial" w:eastAsia="Times New Roman" w:hAnsi="Arial" w:cs="Arial"/>
          <w:sz w:val="21"/>
          <w:szCs w:val="21"/>
          <w:lang w:eastAsia="es-ES"/>
        </w:rPr>
        <w:t>D</w:t>
      </w:r>
      <w:r w:rsidRPr="00B2697F">
        <w:rPr>
          <w:rFonts w:ascii="Arial" w:eastAsia="Times New Roman" w:hAnsi="Arial" w:cs="Arial"/>
          <w:sz w:val="21"/>
          <w:szCs w:val="21"/>
          <w:lang w:eastAsia="es-ES"/>
        </w:rPr>
        <w:t>irección.</w:t>
      </w:r>
    </w:p>
    <w:p w14:paraId="4A0DE54B" w14:textId="3989F4CD" w:rsidR="007C27F4" w:rsidRPr="007C27F4" w:rsidRDefault="007C27F4" w:rsidP="00AC1A12">
      <w:pPr>
        <w:pStyle w:val="Prrafodelista"/>
        <w:numPr>
          <w:ilvl w:val="1"/>
          <w:numId w:val="17"/>
        </w:numPr>
        <w:spacing w:before="360" w:after="240" w:line="276" w:lineRule="auto"/>
        <w:ind w:left="851" w:hanging="851"/>
        <w:jc w:val="both"/>
        <w:outlineLvl w:val="1"/>
        <w:rPr>
          <w:rFonts w:ascii="Arial" w:eastAsia="Times New Roman" w:hAnsi="Arial" w:cs="Arial"/>
          <w:b/>
          <w:color w:val="9D2235" w:themeColor="accent1"/>
          <w:sz w:val="32"/>
          <w:szCs w:val="32"/>
        </w:rPr>
      </w:pPr>
      <w:bookmarkStart w:id="425" w:name="_Toc99107099"/>
      <w:r w:rsidRPr="007C27F4">
        <w:rPr>
          <w:rFonts w:ascii="Arial" w:eastAsia="Times New Roman" w:hAnsi="Arial" w:cs="Arial"/>
          <w:b/>
          <w:color w:val="9D2235" w:themeColor="accent1"/>
          <w:sz w:val="32"/>
          <w:szCs w:val="32"/>
        </w:rPr>
        <w:t>Prevención</w:t>
      </w:r>
      <w:bookmarkEnd w:id="425"/>
    </w:p>
    <w:p w14:paraId="12225367" w14:textId="77777777" w:rsidR="007C27F4" w:rsidRPr="007C27F4" w:rsidRDefault="007C27F4"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26" w:name="_Toc99107100"/>
      <w:r w:rsidRPr="007C27F4">
        <w:rPr>
          <w:rFonts w:ascii="Arial" w:eastAsia="Times New Roman" w:hAnsi="Arial" w:cs="Arial"/>
          <w:b/>
          <w:bCs/>
          <w:color w:val="9D2235" w:themeColor="accent1"/>
          <w:sz w:val="28"/>
          <w:szCs w:val="28"/>
          <w:lang w:eastAsia="es-ES"/>
        </w:rPr>
        <w:t>Misión</w:t>
      </w:r>
      <w:bookmarkEnd w:id="426"/>
    </w:p>
    <w:p w14:paraId="32D9FA70" w14:textId="77777777" w:rsidR="00D05B08" w:rsidRPr="00573EB7" w:rsidRDefault="00D05B08" w:rsidP="00D05B08">
      <w:pPr>
        <w:spacing w:after="240" w:line="276" w:lineRule="auto"/>
        <w:jc w:val="both"/>
        <w:rPr>
          <w:rFonts w:ascii="Arial" w:hAnsi="Arial" w:cs="Arial"/>
          <w:sz w:val="21"/>
          <w:szCs w:val="21"/>
        </w:rPr>
      </w:pPr>
      <w:r w:rsidRPr="00573EB7">
        <w:rPr>
          <w:rFonts w:ascii="Arial" w:hAnsi="Arial" w:cs="Arial"/>
          <w:sz w:val="21"/>
          <w:szCs w:val="21"/>
        </w:rPr>
        <w:t>El Servicio de Prevención está destinado a cumplir el mandato encomendado a la Agencia de promover la integridad y la ética públicas para el fomento de las buenas prácticas y para la prevención de los riesgos de la corrupción, en particular, de posibles casos de uso o destino irregular de fondos públicos y de conductas opuestas a la integridad o contrarias a los principios de objetividad, eficacia y sumisión plena a la ley y al derecho.</w:t>
      </w:r>
    </w:p>
    <w:p w14:paraId="6F69586D" w14:textId="77777777" w:rsidR="00D05B08" w:rsidRPr="00573EB7" w:rsidRDefault="00D05B08" w:rsidP="00D05B08">
      <w:pPr>
        <w:spacing w:after="240" w:line="276" w:lineRule="auto"/>
        <w:jc w:val="both"/>
        <w:rPr>
          <w:rFonts w:ascii="Arial" w:hAnsi="Arial" w:cs="Arial"/>
          <w:sz w:val="21"/>
          <w:szCs w:val="21"/>
        </w:rPr>
      </w:pPr>
      <w:r w:rsidRPr="00573EB7">
        <w:rPr>
          <w:rFonts w:ascii="Arial" w:hAnsi="Arial" w:cs="Arial"/>
          <w:sz w:val="21"/>
          <w:szCs w:val="21"/>
        </w:rPr>
        <w:t>La prevención se centra, fundamentalmente, en las siguientes materias: contratación del sector público, prestación y gestión de servicios públicos, subvenciones, urbanismo, función pública y procesos de toma de decisiones.</w:t>
      </w:r>
    </w:p>
    <w:p w14:paraId="0118B649" w14:textId="73E828A0" w:rsidR="007C27F4" w:rsidRDefault="00D05B08" w:rsidP="00D05B08">
      <w:pPr>
        <w:spacing w:after="240" w:line="276" w:lineRule="auto"/>
        <w:jc w:val="both"/>
        <w:rPr>
          <w:rFonts w:ascii="Arial" w:eastAsia="Times New Roman" w:hAnsi="Arial" w:cs="Arial"/>
          <w:sz w:val="21"/>
          <w:szCs w:val="21"/>
          <w:lang w:eastAsia="es-ES"/>
        </w:rPr>
      </w:pPr>
      <w:r w:rsidRPr="00573EB7">
        <w:rPr>
          <w:rFonts w:ascii="Arial" w:hAnsi="Arial" w:cs="Arial"/>
          <w:sz w:val="21"/>
          <w:szCs w:val="21"/>
        </w:rPr>
        <w:t>Las funciones de la Agencia vinculadas a las tareas propias del Servicio de Prevención están descritas en el artículo 4 de la Ley 11/2016, de 28 de noviembre</w:t>
      </w:r>
      <w:r w:rsidR="00297B34">
        <w:rPr>
          <w:rFonts w:ascii="Arial" w:hAnsi="Arial" w:cs="Arial"/>
          <w:sz w:val="21"/>
          <w:szCs w:val="21"/>
        </w:rPr>
        <w:t>,</w:t>
      </w:r>
      <w:r w:rsidRPr="00573EB7">
        <w:rPr>
          <w:rFonts w:ascii="Arial" w:hAnsi="Arial" w:cs="Arial"/>
          <w:sz w:val="21"/>
          <w:szCs w:val="21"/>
        </w:rPr>
        <w:t xml:space="preserve"> y desarrolladas en los artículos 19 y 27 del Reglamento de régimen interior y funcionamiento de la Agencia</w:t>
      </w:r>
      <w:r w:rsidR="00297B34">
        <w:rPr>
          <w:rFonts w:ascii="Arial" w:hAnsi="Arial" w:cs="Arial"/>
          <w:sz w:val="21"/>
          <w:szCs w:val="21"/>
        </w:rPr>
        <w:t>,</w:t>
      </w:r>
      <w:r w:rsidRPr="00573EB7">
        <w:rPr>
          <w:rFonts w:ascii="Arial" w:hAnsi="Arial" w:cs="Arial"/>
          <w:sz w:val="21"/>
          <w:szCs w:val="21"/>
        </w:rPr>
        <w:t xml:space="preserve"> enumeradas en el apartado anterior.</w:t>
      </w:r>
    </w:p>
    <w:p w14:paraId="067FEA04" w14:textId="4BE27269" w:rsidR="007C27F4" w:rsidRPr="007C27F4" w:rsidRDefault="007C27F4"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27" w:name="_Toc99107101"/>
      <w:r w:rsidRPr="007C27F4">
        <w:rPr>
          <w:rFonts w:ascii="Arial" w:eastAsia="Times New Roman" w:hAnsi="Arial" w:cs="Arial"/>
          <w:b/>
          <w:bCs/>
          <w:color w:val="9D2235" w:themeColor="accent1"/>
          <w:sz w:val="28"/>
          <w:szCs w:val="28"/>
          <w:lang w:eastAsia="es-ES"/>
        </w:rPr>
        <w:t>Desarrollo del Plan Estratégico de Prevención</w:t>
      </w:r>
      <w:bookmarkEnd w:id="427"/>
    </w:p>
    <w:p w14:paraId="602E44D1" w14:textId="653E47EB" w:rsidR="00D05B08" w:rsidRPr="00D05B08" w:rsidRDefault="00D05B08" w:rsidP="00D05B08">
      <w:pPr>
        <w:spacing w:after="240" w:line="276" w:lineRule="auto"/>
        <w:jc w:val="both"/>
        <w:rPr>
          <w:rFonts w:ascii="Arial" w:eastAsia="Times New Roman" w:hAnsi="Arial" w:cs="Arial"/>
          <w:sz w:val="21"/>
          <w:szCs w:val="21"/>
          <w:lang w:eastAsia="es-ES"/>
        </w:rPr>
      </w:pPr>
      <w:r w:rsidRPr="00D05B08">
        <w:rPr>
          <w:rFonts w:ascii="Arial" w:eastAsia="Times New Roman" w:hAnsi="Arial" w:cs="Arial"/>
          <w:sz w:val="21"/>
          <w:szCs w:val="21"/>
          <w:lang w:eastAsia="es-ES"/>
        </w:rPr>
        <w:t xml:space="preserve">En la </w:t>
      </w:r>
      <w:r w:rsidR="00297B34">
        <w:rPr>
          <w:rFonts w:ascii="Arial" w:eastAsia="Times New Roman" w:hAnsi="Arial" w:cs="Arial"/>
          <w:sz w:val="21"/>
          <w:szCs w:val="21"/>
          <w:lang w:eastAsia="es-ES"/>
        </w:rPr>
        <w:t>M</w:t>
      </w:r>
      <w:r w:rsidRPr="00D05B08">
        <w:rPr>
          <w:rFonts w:ascii="Arial" w:eastAsia="Times New Roman" w:hAnsi="Arial" w:cs="Arial"/>
          <w:sz w:val="21"/>
          <w:szCs w:val="21"/>
          <w:lang w:eastAsia="es-ES"/>
        </w:rPr>
        <w:t>emoria anual de la AVAF correspondiente al ejercicio 2019</w:t>
      </w:r>
      <w:r w:rsidR="00297B34">
        <w:rPr>
          <w:rFonts w:ascii="Arial" w:eastAsia="Times New Roman" w:hAnsi="Arial" w:cs="Arial"/>
          <w:sz w:val="21"/>
          <w:szCs w:val="21"/>
          <w:lang w:eastAsia="es-ES"/>
        </w:rPr>
        <w:t>,</w:t>
      </w:r>
      <w:r w:rsidRPr="00D05B08">
        <w:rPr>
          <w:rFonts w:ascii="Arial" w:eastAsia="Times New Roman" w:hAnsi="Arial" w:cs="Arial"/>
          <w:sz w:val="21"/>
          <w:szCs w:val="21"/>
          <w:lang w:eastAsia="es-ES"/>
        </w:rPr>
        <w:t xml:space="preserve"> presentamos el Plan Estratégico del Servicio de Prevención, de carácter plurianual (2020-2024), aprobado por el director de la Agencia, en </w:t>
      </w:r>
      <w:r w:rsidR="00D53DAD">
        <w:rPr>
          <w:rFonts w:ascii="Arial" w:eastAsia="Times New Roman" w:hAnsi="Arial" w:cs="Arial"/>
          <w:sz w:val="21"/>
          <w:szCs w:val="21"/>
          <w:lang w:eastAsia="es-ES"/>
        </w:rPr>
        <w:t>R</w:t>
      </w:r>
      <w:r w:rsidRPr="00D05B08">
        <w:rPr>
          <w:rFonts w:ascii="Arial" w:eastAsia="Times New Roman" w:hAnsi="Arial" w:cs="Arial"/>
          <w:sz w:val="21"/>
          <w:szCs w:val="21"/>
          <w:lang w:eastAsia="es-ES"/>
        </w:rPr>
        <w:t>esolución de 11 de diciembre de 2019.</w:t>
      </w:r>
    </w:p>
    <w:p w14:paraId="6A130228" w14:textId="373B410D" w:rsidR="00D05B08" w:rsidRPr="00D05B08" w:rsidRDefault="00D05B08" w:rsidP="00D05B08">
      <w:pPr>
        <w:spacing w:after="240" w:line="276" w:lineRule="auto"/>
        <w:jc w:val="both"/>
        <w:rPr>
          <w:rFonts w:ascii="Arial" w:eastAsia="Times New Roman" w:hAnsi="Arial" w:cs="Arial"/>
          <w:sz w:val="21"/>
          <w:szCs w:val="21"/>
          <w:lang w:eastAsia="es-ES"/>
        </w:rPr>
      </w:pPr>
      <w:r w:rsidRPr="00D05B08">
        <w:rPr>
          <w:rFonts w:ascii="Arial" w:eastAsia="Times New Roman" w:hAnsi="Arial" w:cs="Arial"/>
          <w:sz w:val="21"/>
          <w:szCs w:val="21"/>
          <w:lang w:eastAsia="es-ES"/>
        </w:rPr>
        <w:t xml:space="preserve">El plan estratégico ha servido de hoja de ruta durante los ejercicios 2020 y 2021 para el cumplimiento ordenado de las funciones asignadas a la Agencia en el ámbito de la prevención, la integridad y la ética públicas. Así, desde el Servicio de Prevención, se han ido ejecutando los objetivos operativos marcados por el plan, realizándose un seguimiento periódico de su cumplimiento (y ello pese a no contar con dos de los cuatro técnicos/as necesarios al efecto). Asimismo, algunos de los objetivos han sido actualizados para su adaptación a las necesidades que han ido surgiendo, especialmente en relación al contexto motivado, entre otras, por las exigencias de la Unión Europea relativas a la necesidad de que toda entidad decisora o ejecutora de fondos europeos Next Generation vinculados al Plan de Recuperación, Transformación y Resiliencia, para recibir dichos fondos, </w:t>
      </w:r>
      <w:r w:rsidR="00297B34">
        <w:rPr>
          <w:rFonts w:ascii="Arial" w:eastAsia="Times New Roman" w:hAnsi="Arial" w:cs="Arial"/>
          <w:sz w:val="21"/>
          <w:szCs w:val="21"/>
          <w:lang w:eastAsia="es-ES"/>
        </w:rPr>
        <w:t>de contar</w:t>
      </w:r>
      <w:r w:rsidRPr="00D05B08">
        <w:rPr>
          <w:rFonts w:ascii="Arial" w:eastAsia="Times New Roman" w:hAnsi="Arial" w:cs="Arial"/>
          <w:sz w:val="21"/>
          <w:szCs w:val="21"/>
          <w:lang w:eastAsia="es-ES"/>
        </w:rPr>
        <w:t xml:space="preserve"> plan</w:t>
      </w:r>
      <w:r w:rsidR="00297B34">
        <w:rPr>
          <w:rFonts w:ascii="Arial" w:eastAsia="Times New Roman" w:hAnsi="Arial" w:cs="Arial"/>
          <w:sz w:val="21"/>
          <w:szCs w:val="21"/>
          <w:lang w:eastAsia="es-ES"/>
        </w:rPr>
        <w:t>es</w:t>
      </w:r>
      <w:r w:rsidRPr="00D05B08">
        <w:rPr>
          <w:rFonts w:ascii="Arial" w:eastAsia="Times New Roman" w:hAnsi="Arial" w:cs="Arial"/>
          <w:sz w:val="21"/>
          <w:szCs w:val="21"/>
          <w:lang w:eastAsia="es-ES"/>
        </w:rPr>
        <w:t xml:space="preserve"> de medidas antifraude que permita</w:t>
      </w:r>
      <w:r w:rsidR="00297B34">
        <w:rPr>
          <w:rFonts w:ascii="Arial" w:eastAsia="Times New Roman" w:hAnsi="Arial" w:cs="Arial"/>
          <w:sz w:val="21"/>
          <w:szCs w:val="21"/>
          <w:lang w:eastAsia="es-ES"/>
        </w:rPr>
        <w:t>n</w:t>
      </w:r>
      <w:r w:rsidRPr="00D05B08">
        <w:rPr>
          <w:rFonts w:ascii="Arial" w:eastAsia="Times New Roman" w:hAnsi="Arial" w:cs="Arial"/>
          <w:sz w:val="21"/>
          <w:szCs w:val="21"/>
          <w:lang w:eastAsia="es-ES"/>
        </w:rPr>
        <w:t xml:space="preserve"> proteger del fraude, la corrupción y los conflictos de interés, implementando medidas de prevención, detección, persecución y corrección del mismo. </w:t>
      </w:r>
    </w:p>
    <w:p w14:paraId="76469883" w14:textId="6B16FD12" w:rsidR="00D05B08" w:rsidRPr="00D05B08" w:rsidRDefault="00D05B08" w:rsidP="00D05B08">
      <w:pPr>
        <w:spacing w:after="240" w:line="276" w:lineRule="auto"/>
        <w:jc w:val="both"/>
        <w:rPr>
          <w:rFonts w:ascii="Arial" w:eastAsia="Times New Roman" w:hAnsi="Arial" w:cs="Arial"/>
          <w:sz w:val="21"/>
          <w:szCs w:val="21"/>
          <w:lang w:eastAsia="es-ES"/>
        </w:rPr>
      </w:pPr>
      <w:r w:rsidRPr="00D05B08">
        <w:rPr>
          <w:rFonts w:ascii="Arial" w:eastAsia="Times New Roman" w:hAnsi="Arial" w:cs="Arial"/>
          <w:sz w:val="21"/>
          <w:szCs w:val="21"/>
          <w:lang w:eastAsia="es-ES"/>
        </w:rPr>
        <w:t xml:space="preserve">En coherencia con la </w:t>
      </w:r>
      <w:r w:rsidRPr="00D05B08">
        <w:rPr>
          <w:rFonts w:ascii="Arial" w:eastAsia="Times New Roman" w:hAnsi="Arial" w:cs="Arial"/>
          <w:bCs/>
          <w:sz w:val="21"/>
          <w:szCs w:val="21"/>
          <w:lang w:eastAsia="es-ES"/>
        </w:rPr>
        <w:t>filosofía</w:t>
      </w:r>
      <w:r w:rsidRPr="00D05B08">
        <w:rPr>
          <w:rFonts w:ascii="Arial" w:eastAsia="Times New Roman" w:hAnsi="Arial" w:cs="Arial"/>
          <w:sz w:val="21"/>
          <w:szCs w:val="21"/>
          <w:lang w:eastAsia="es-ES"/>
        </w:rPr>
        <w:t xml:space="preserve"> del plan de conseguir cocrear una cultura de la integridad pública y de la prevención del fraude y la corrupción real y efectiva en la Comunitat Valenciana, el plan se presentó a los miembros del Consejo de Participación de la AVAF, como órgano consultivo y representativo de las inquietudes de la sociedad civil, teniendo una excelente acogida y siendo avalado por dicho órgano, en su sesión de 11 de junio de 2020. Asimismo, los principales materiales elaborados por el Servicio de Prevención fueron presentados por su jefatura a dicho órgano consultivo en las sesiones celebradas durante 2021.</w:t>
      </w:r>
    </w:p>
    <w:p w14:paraId="559C6D47" w14:textId="4E4982A3" w:rsidR="00D05B08" w:rsidRPr="00B2697F" w:rsidRDefault="00D05B08" w:rsidP="00D05B08">
      <w:pPr>
        <w:spacing w:after="240" w:line="276" w:lineRule="auto"/>
        <w:jc w:val="both"/>
        <w:rPr>
          <w:rFonts w:ascii="Arial" w:eastAsia="Times New Roman" w:hAnsi="Arial" w:cs="Arial"/>
          <w:sz w:val="21"/>
          <w:szCs w:val="21"/>
          <w:lang w:eastAsia="es-ES"/>
        </w:rPr>
      </w:pPr>
      <w:r w:rsidRPr="00D05B08">
        <w:rPr>
          <w:rFonts w:ascii="Arial" w:eastAsia="Times New Roman" w:hAnsi="Arial" w:cs="Arial"/>
          <w:sz w:val="21"/>
          <w:szCs w:val="21"/>
          <w:lang w:eastAsia="es-ES"/>
        </w:rPr>
        <w:t>Recordamos aquí las once líneas estratégicas de actuación del plan (sin perjuicio de los múltiples objetivos estratégicos y operativos definidos para cada una de ellas)</w:t>
      </w:r>
      <w:r w:rsidR="00CD7A5C">
        <w:rPr>
          <w:rFonts w:ascii="Arial" w:eastAsia="Times New Roman" w:hAnsi="Arial" w:cs="Arial"/>
          <w:sz w:val="21"/>
          <w:szCs w:val="21"/>
          <w:lang w:eastAsia="es-ES"/>
        </w:rPr>
        <w:t>,</w:t>
      </w:r>
      <w:r w:rsidRPr="00D05B08">
        <w:rPr>
          <w:rFonts w:ascii="Arial" w:eastAsia="Times New Roman" w:hAnsi="Arial" w:cs="Arial"/>
          <w:sz w:val="21"/>
          <w:szCs w:val="21"/>
          <w:lang w:eastAsia="es-ES"/>
        </w:rPr>
        <w:t xml:space="preserve"> para después sintetizar las principales actuaciones realizadas durante el 2021 en algunas de ellas:</w:t>
      </w:r>
    </w:p>
    <w:p w14:paraId="07491714" w14:textId="77777777" w:rsidR="007C27F4" w:rsidRPr="007C27F4" w:rsidRDefault="007C27F4" w:rsidP="001B2B95">
      <w:pPr>
        <w:spacing w:after="240" w:line="276" w:lineRule="auto"/>
        <w:jc w:val="center"/>
        <w:rPr>
          <w:rFonts w:ascii="Arial" w:eastAsia="Times New Roman" w:hAnsi="Arial" w:cs="Arial"/>
          <w:b/>
          <w:sz w:val="21"/>
          <w:szCs w:val="21"/>
          <w:lang w:eastAsia="es-ES"/>
        </w:rPr>
      </w:pPr>
      <w:r w:rsidRPr="007C27F4">
        <w:rPr>
          <w:rFonts w:ascii="Arial" w:eastAsia="Times New Roman" w:hAnsi="Arial" w:cs="Arial"/>
          <w:b/>
          <w:sz w:val="21"/>
          <w:szCs w:val="21"/>
          <w:lang w:eastAsia="es-ES"/>
        </w:rPr>
        <w:t>LÍNEAS ESTRATÉGICAS</w:t>
      </w:r>
    </w:p>
    <w:p w14:paraId="2C722E0E" w14:textId="34AE6BAE" w:rsidR="001B2B95" w:rsidRPr="001B2B95" w:rsidRDefault="001B2B95" w:rsidP="001B2B95">
      <w:pPr>
        <w:pStyle w:val="Descripcin"/>
        <w:keepNext/>
        <w:rPr>
          <w:rFonts w:ascii="Arial" w:hAnsi="Arial" w:cs="Arial"/>
          <w:smallCaps w:val="0"/>
          <w:sz w:val="18"/>
          <w:szCs w:val="18"/>
        </w:rPr>
      </w:pPr>
      <w:bookmarkStart w:id="428" w:name="_Toc99107158"/>
      <w:r w:rsidRPr="001B2B95">
        <w:rPr>
          <w:rFonts w:ascii="Arial" w:hAnsi="Arial" w:cs="Arial"/>
          <w:smallCaps w:val="0"/>
          <w:color w:val="9D2235" w:themeColor="accent1"/>
          <w:sz w:val="18"/>
          <w:szCs w:val="18"/>
        </w:rPr>
        <w:t xml:space="preserve">Tabla </w:t>
      </w:r>
      <w:r w:rsidRPr="001B2B95">
        <w:rPr>
          <w:rFonts w:ascii="Arial" w:hAnsi="Arial" w:cs="Arial"/>
          <w:smallCaps w:val="0"/>
          <w:color w:val="9D2235" w:themeColor="accent1"/>
          <w:sz w:val="18"/>
          <w:szCs w:val="18"/>
        </w:rPr>
        <w:fldChar w:fldCharType="begin" w:fldLock="1"/>
      </w:r>
      <w:r w:rsidRPr="001B2B95">
        <w:rPr>
          <w:rFonts w:ascii="Arial" w:hAnsi="Arial" w:cs="Arial"/>
          <w:smallCaps w:val="0"/>
          <w:color w:val="9D2235" w:themeColor="accent1"/>
          <w:sz w:val="18"/>
          <w:szCs w:val="18"/>
        </w:rPr>
        <w:instrText xml:space="preserve"> SEQ Tabla \* ARABIC </w:instrText>
      </w:r>
      <w:r w:rsidRPr="001B2B95">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20</w:t>
      </w:r>
      <w:r w:rsidRPr="001B2B95">
        <w:rPr>
          <w:rFonts w:ascii="Arial" w:hAnsi="Arial" w:cs="Arial"/>
          <w:smallCaps w:val="0"/>
          <w:color w:val="9D2235" w:themeColor="accent1"/>
          <w:sz w:val="18"/>
          <w:szCs w:val="18"/>
        </w:rPr>
        <w:fldChar w:fldCharType="end"/>
      </w:r>
      <w:r w:rsidRPr="001B2B95">
        <w:rPr>
          <w:rFonts w:ascii="Arial" w:hAnsi="Arial" w:cs="Arial"/>
          <w:smallCaps w:val="0"/>
          <w:color w:val="9D2235" w:themeColor="accent1"/>
          <w:sz w:val="18"/>
          <w:szCs w:val="18"/>
        </w:rPr>
        <w:t xml:space="preserve">. </w:t>
      </w:r>
      <w:r w:rsidRPr="001B2B95">
        <w:rPr>
          <w:rFonts w:ascii="Arial" w:hAnsi="Arial" w:cs="Arial"/>
          <w:smallCaps w:val="0"/>
          <w:sz w:val="18"/>
          <w:szCs w:val="18"/>
        </w:rPr>
        <w:t>Líneas estratégicas del Servicio de Prevención</w:t>
      </w:r>
      <w:bookmarkEnd w:id="428"/>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696"/>
        <w:gridCol w:w="7798"/>
      </w:tblGrid>
      <w:tr w:rsidR="001B2B95" w:rsidRPr="000159D9" w14:paraId="632C1839" w14:textId="77777777" w:rsidTr="001B2B95">
        <w:trPr>
          <w:tblCellSpacing w:w="0" w:type="dxa"/>
        </w:trPr>
        <w:tc>
          <w:tcPr>
            <w:tcW w:w="0" w:type="auto"/>
            <w:shd w:val="clear" w:color="auto" w:fill="9D2235"/>
            <w:tcMar>
              <w:top w:w="57" w:type="dxa"/>
              <w:left w:w="57" w:type="dxa"/>
              <w:bottom w:w="57" w:type="dxa"/>
              <w:right w:w="0" w:type="dxa"/>
            </w:tcMar>
            <w:hideMark/>
          </w:tcPr>
          <w:p w14:paraId="071877FC" w14:textId="77777777" w:rsidR="001B2B95" w:rsidRPr="000159D9" w:rsidRDefault="001B2B95" w:rsidP="00464D24">
            <w:pPr>
              <w:spacing w:before="100" w:beforeAutospacing="1" w:after="142" w:line="276" w:lineRule="auto"/>
              <w:rPr>
                <w:rFonts w:ascii="Arial" w:eastAsia="Times New Roman" w:hAnsi="Arial" w:cs="Arial"/>
                <w:color w:val="FFFFFF"/>
                <w:sz w:val="21"/>
                <w:szCs w:val="21"/>
                <w:lang w:eastAsia="es-ES"/>
              </w:rPr>
            </w:pPr>
            <w:r w:rsidRPr="000159D9">
              <w:rPr>
                <w:rFonts w:ascii="Arial" w:eastAsia="Times New Roman" w:hAnsi="Arial" w:cs="Arial"/>
                <w:b/>
                <w:bCs/>
                <w:color w:val="FFFFFF"/>
                <w:sz w:val="21"/>
                <w:szCs w:val="21"/>
                <w:lang w:eastAsia="es-ES"/>
              </w:rPr>
              <w:t>L. E.1</w:t>
            </w:r>
          </w:p>
        </w:tc>
        <w:tc>
          <w:tcPr>
            <w:tcW w:w="0" w:type="auto"/>
            <w:shd w:val="clear" w:color="auto" w:fill="9D2235"/>
            <w:tcMar>
              <w:top w:w="57" w:type="dxa"/>
              <w:left w:w="57" w:type="dxa"/>
              <w:bottom w:w="57" w:type="dxa"/>
              <w:right w:w="57" w:type="dxa"/>
            </w:tcMar>
            <w:hideMark/>
          </w:tcPr>
          <w:p w14:paraId="50BFA50F" w14:textId="77777777" w:rsidR="001B2B95" w:rsidRPr="00E46283" w:rsidRDefault="001B2B95" w:rsidP="00464D24">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eastAsia="es-ES"/>
              </w:rPr>
            </w:pPr>
            <w:r w:rsidRPr="00E46283">
              <w:rPr>
                <w:rFonts w:ascii="Arial" w:eastAsia="Calibri" w:hAnsi="Arial" w:cs="Tahoma"/>
                <w:color w:val="FFFFFF"/>
                <w:sz w:val="21"/>
                <w:szCs w:val="21"/>
                <w:lang w:eastAsia="es-ES"/>
              </w:rPr>
              <w:t>Reunir un equipo técnico especializado en las funciones de Prevención.</w:t>
            </w:r>
          </w:p>
        </w:tc>
      </w:tr>
      <w:tr w:rsidR="001B2B95" w:rsidRPr="000159D9" w14:paraId="068384C4" w14:textId="77777777" w:rsidTr="001B2B95">
        <w:trPr>
          <w:tblCellSpacing w:w="0" w:type="dxa"/>
        </w:trPr>
        <w:tc>
          <w:tcPr>
            <w:tcW w:w="0" w:type="auto"/>
            <w:shd w:val="clear" w:color="auto" w:fill="5B6770"/>
            <w:tcMar>
              <w:top w:w="0" w:type="dxa"/>
              <w:left w:w="57" w:type="dxa"/>
              <w:bottom w:w="57" w:type="dxa"/>
              <w:right w:w="0" w:type="dxa"/>
            </w:tcMar>
            <w:hideMark/>
          </w:tcPr>
          <w:p w14:paraId="2DAA3280" w14:textId="77777777" w:rsidR="001B2B95" w:rsidRPr="000159D9" w:rsidRDefault="001B2B95" w:rsidP="00464D24">
            <w:pPr>
              <w:spacing w:before="100" w:beforeAutospacing="1" w:after="142" w:line="276" w:lineRule="auto"/>
              <w:rPr>
                <w:rFonts w:ascii="Arial" w:eastAsia="Times New Roman" w:hAnsi="Arial" w:cs="Arial"/>
                <w:b/>
                <w:bCs/>
                <w:color w:val="FFFFFF"/>
                <w:sz w:val="21"/>
                <w:szCs w:val="21"/>
                <w:lang w:eastAsia="es-ES"/>
              </w:rPr>
            </w:pPr>
            <w:r w:rsidRPr="000159D9">
              <w:rPr>
                <w:rFonts w:ascii="Arial" w:eastAsia="Times New Roman" w:hAnsi="Arial" w:cs="Arial"/>
                <w:b/>
                <w:bCs/>
                <w:color w:val="FFFFFF"/>
                <w:sz w:val="21"/>
                <w:szCs w:val="21"/>
                <w:lang w:eastAsia="es-ES"/>
              </w:rPr>
              <w:t>L.E.2</w:t>
            </w:r>
          </w:p>
        </w:tc>
        <w:tc>
          <w:tcPr>
            <w:tcW w:w="0" w:type="auto"/>
            <w:shd w:val="clear" w:color="auto" w:fill="5B6770"/>
            <w:tcMar>
              <w:top w:w="0" w:type="dxa"/>
              <w:left w:w="57" w:type="dxa"/>
              <w:bottom w:w="57" w:type="dxa"/>
              <w:right w:w="57" w:type="dxa"/>
            </w:tcMar>
            <w:hideMark/>
          </w:tcPr>
          <w:p w14:paraId="756032A3" w14:textId="77777777" w:rsidR="001B2B95" w:rsidRPr="00E46283" w:rsidRDefault="001B2B95" w:rsidP="00464D24">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eastAsia="es-ES"/>
              </w:rPr>
            </w:pPr>
            <w:r w:rsidRPr="00E46283">
              <w:rPr>
                <w:rFonts w:ascii="Arial" w:eastAsia="Calibri" w:hAnsi="Arial" w:cs="Tahoma"/>
                <w:color w:val="FFFFFF"/>
                <w:sz w:val="21"/>
                <w:szCs w:val="21"/>
                <w:lang w:eastAsia="es-ES"/>
              </w:rPr>
              <w:t>Elaborar y publicar recomendaciones generales sobre prevención, marcos de integridad y ética públicas.</w:t>
            </w:r>
          </w:p>
        </w:tc>
      </w:tr>
      <w:tr w:rsidR="001B2B95" w:rsidRPr="000159D9" w14:paraId="3D8E9A22" w14:textId="77777777" w:rsidTr="001B2B95">
        <w:trPr>
          <w:tblCellSpacing w:w="0" w:type="dxa"/>
        </w:trPr>
        <w:tc>
          <w:tcPr>
            <w:tcW w:w="0" w:type="auto"/>
            <w:shd w:val="clear" w:color="auto" w:fill="9D2235"/>
            <w:tcMar>
              <w:top w:w="0" w:type="dxa"/>
              <w:left w:w="57" w:type="dxa"/>
              <w:bottom w:w="57" w:type="dxa"/>
              <w:right w:w="0" w:type="dxa"/>
            </w:tcMar>
            <w:hideMark/>
          </w:tcPr>
          <w:p w14:paraId="7E88F5E4" w14:textId="77777777" w:rsidR="001B2B95" w:rsidRPr="000159D9" w:rsidRDefault="001B2B95" w:rsidP="00464D24">
            <w:pPr>
              <w:spacing w:before="100" w:beforeAutospacing="1" w:after="142" w:line="276" w:lineRule="auto"/>
              <w:rPr>
                <w:rFonts w:ascii="Arial" w:eastAsia="Times New Roman" w:hAnsi="Arial" w:cs="Arial"/>
                <w:b/>
                <w:bCs/>
                <w:color w:val="FFFFFF"/>
                <w:sz w:val="21"/>
                <w:szCs w:val="21"/>
                <w:lang w:eastAsia="es-ES"/>
              </w:rPr>
            </w:pPr>
            <w:r w:rsidRPr="000159D9">
              <w:rPr>
                <w:rFonts w:ascii="Arial" w:eastAsia="Times New Roman" w:hAnsi="Arial" w:cs="Arial"/>
                <w:b/>
                <w:bCs/>
                <w:color w:val="FFFFFF"/>
                <w:sz w:val="21"/>
                <w:szCs w:val="21"/>
                <w:lang w:eastAsia="es-ES"/>
              </w:rPr>
              <w:t>L.E.3</w:t>
            </w:r>
          </w:p>
        </w:tc>
        <w:tc>
          <w:tcPr>
            <w:tcW w:w="0" w:type="auto"/>
            <w:shd w:val="clear" w:color="auto" w:fill="9D2235"/>
            <w:tcMar>
              <w:top w:w="0" w:type="dxa"/>
              <w:left w:w="57" w:type="dxa"/>
              <w:bottom w:w="57" w:type="dxa"/>
              <w:right w:w="57" w:type="dxa"/>
            </w:tcMar>
            <w:hideMark/>
          </w:tcPr>
          <w:p w14:paraId="674E2FDA" w14:textId="77777777" w:rsidR="001B2B95" w:rsidRPr="00E46283" w:rsidRDefault="001B2B95" w:rsidP="00464D24">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eastAsia="es-ES"/>
              </w:rPr>
            </w:pPr>
            <w:r w:rsidRPr="00E46283">
              <w:rPr>
                <w:rFonts w:ascii="Arial" w:eastAsia="Calibri" w:hAnsi="Arial" w:cs="Tahoma"/>
                <w:color w:val="FFFFFF"/>
                <w:sz w:val="21"/>
                <w:szCs w:val="21"/>
                <w:lang w:eastAsia="es-ES"/>
              </w:rPr>
              <w:t>Elaborar recomendaciones específicas en los expedientes derivados por el área de análisis e investigación.</w:t>
            </w:r>
          </w:p>
        </w:tc>
      </w:tr>
      <w:tr w:rsidR="001B2B95" w:rsidRPr="000159D9" w14:paraId="08810175" w14:textId="77777777" w:rsidTr="001B2B95">
        <w:trPr>
          <w:tblCellSpacing w:w="0" w:type="dxa"/>
        </w:trPr>
        <w:tc>
          <w:tcPr>
            <w:tcW w:w="0" w:type="auto"/>
            <w:shd w:val="clear" w:color="auto" w:fill="5B6770"/>
            <w:tcMar>
              <w:top w:w="0" w:type="dxa"/>
              <w:left w:w="57" w:type="dxa"/>
              <w:bottom w:w="57" w:type="dxa"/>
              <w:right w:w="0" w:type="dxa"/>
            </w:tcMar>
            <w:hideMark/>
          </w:tcPr>
          <w:p w14:paraId="22BBDF53" w14:textId="77777777" w:rsidR="001B2B95" w:rsidRPr="000159D9" w:rsidRDefault="001B2B95" w:rsidP="00464D24">
            <w:pPr>
              <w:spacing w:before="100" w:beforeAutospacing="1" w:after="142" w:line="276" w:lineRule="auto"/>
              <w:rPr>
                <w:rFonts w:ascii="Arial" w:eastAsia="Times New Roman" w:hAnsi="Arial" w:cs="Arial"/>
                <w:b/>
                <w:bCs/>
                <w:color w:val="FFFFFF"/>
                <w:sz w:val="21"/>
                <w:szCs w:val="21"/>
                <w:lang w:eastAsia="es-ES"/>
              </w:rPr>
            </w:pPr>
            <w:r w:rsidRPr="000159D9">
              <w:rPr>
                <w:rFonts w:ascii="Arial" w:eastAsia="Times New Roman" w:hAnsi="Arial" w:cs="Arial"/>
                <w:b/>
                <w:bCs/>
                <w:color w:val="FFFFFF"/>
                <w:sz w:val="21"/>
                <w:szCs w:val="21"/>
                <w:lang w:eastAsia="es-ES"/>
              </w:rPr>
              <w:t>L.E.4</w:t>
            </w:r>
          </w:p>
        </w:tc>
        <w:tc>
          <w:tcPr>
            <w:tcW w:w="0" w:type="auto"/>
            <w:shd w:val="clear" w:color="auto" w:fill="5B6770"/>
            <w:tcMar>
              <w:top w:w="0" w:type="dxa"/>
              <w:left w:w="57" w:type="dxa"/>
              <w:bottom w:w="57" w:type="dxa"/>
              <w:right w:w="57" w:type="dxa"/>
            </w:tcMar>
            <w:hideMark/>
          </w:tcPr>
          <w:p w14:paraId="1C7325E2" w14:textId="77777777" w:rsidR="001B2B95" w:rsidRPr="00E46283" w:rsidRDefault="001B2B95" w:rsidP="00464D24">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eastAsia="es-ES"/>
              </w:rPr>
            </w:pPr>
            <w:r w:rsidRPr="00E46283">
              <w:rPr>
                <w:rFonts w:ascii="Arial" w:eastAsia="Calibri" w:hAnsi="Arial" w:cs="Tahoma"/>
                <w:color w:val="FFFFFF"/>
                <w:sz w:val="21"/>
                <w:szCs w:val="21"/>
                <w:lang w:eastAsia="es-ES"/>
              </w:rPr>
              <w:t>Identificar sectores de riesgo contrastado de corrupción.</w:t>
            </w:r>
          </w:p>
        </w:tc>
      </w:tr>
      <w:tr w:rsidR="001B2B95" w:rsidRPr="000159D9" w14:paraId="29393573" w14:textId="77777777" w:rsidTr="001B2B95">
        <w:trPr>
          <w:tblCellSpacing w:w="0" w:type="dxa"/>
        </w:trPr>
        <w:tc>
          <w:tcPr>
            <w:tcW w:w="0" w:type="auto"/>
            <w:shd w:val="clear" w:color="auto" w:fill="9D2235"/>
            <w:tcMar>
              <w:top w:w="0" w:type="dxa"/>
              <w:left w:w="57" w:type="dxa"/>
              <w:bottom w:w="57" w:type="dxa"/>
              <w:right w:w="0" w:type="dxa"/>
            </w:tcMar>
            <w:hideMark/>
          </w:tcPr>
          <w:p w14:paraId="58219B60" w14:textId="77777777" w:rsidR="001B2B95" w:rsidRPr="000159D9" w:rsidRDefault="001B2B95" w:rsidP="00464D24">
            <w:pPr>
              <w:spacing w:before="100" w:beforeAutospacing="1" w:after="142" w:line="276" w:lineRule="auto"/>
              <w:rPr>
                <w:rFonts w:ascii="Arial" w:eastAsia="Times New Roman" w:hAnsi="Arial" w:cs="Arial"/>
                <w:b/>
                <w:bCs/>
                <w:color w:val="FFFFFF"/>
                <w:sz w:val="21"/>
                <w:szCs w:val="21"/>
                <w:lang w:eastAsia="es-ES"/>
              </w:rPr>
            </w:pPr>
            <w:r w:rsidRPr="000159D9">
              <w:rPr>
                <w:rFonts w:ascii="Arial" w:eastAsia="Times New Roman" w:hAnsi="Arial" w:cs="Arial"/>
                <w:b/>
                <w:bCs/>
                <w:color w:val="FFFFFF"/>
                <w:sz w:val="21"/>
                <w:szCs w:val="21"/>
                <w:lang w:eastAsia="es-ES"/>
              </w:rPr>
              <w:t>L.E.5</w:t>
            </w:r>
          </w:p>
        </w:tc>
        <w:tc>
          <w:tcPr>
            <w:tcW w:w="0" w:type="auto"/>
            <w:shd w:val="clear" w:color="auto" w:fill="9D2235"/>
            <w:tcMar>
              <w:top w:w="0" w:type="dxa"/>
              <w:left w:w="57" w:type="dxa"/>
              <w:bottom w:w="57" w:type="dxa"/>
              <w:right w:w="57" w:type="dxa"/>
            </w:tcMar>
            <w:hideMark/>
          </w:tcPr>
          <w:p w14:paraId="1C52A2B8" w14:textId="77777777" w:rsidR="001B2B95" w:rsidRPr="00E46283" w:rsidRDefault="001B2B95" w:rsidP="00464D24">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eastAsia="es-ES"/>
              </w:rPr>
            </w:pPr>
            <w:r w:rsidRPr="00E46283">
              <w:rPr>
                <w:rFonts w:ascii="Arial" w:eastAsia="Calibri" w:hAnsi="Arial" w:cs="Tahoma"/>
                <w:color w:val="FFFFFF"/>
                <w:sz w:val="21"/>
                <w:szCs w:val="21"/>
                <w:lang w:eastAsia="es-ES"/>
              </w:rPr>
              <w:t>Diseñar una estrategia de integridad pública como marco y base de elaboración de herramientas de fomento de marcos de integridad y prevención exportables a las organizaciones.</w:t>
            </w:r>
          </w:p>
        </w:tc>
      </w:tr>
      <w:tr w:rsidR="001B2B95" w:rsidRPr="000159D9" w14:paraId="055CCC8A" w14:textId="77777777" w:rsidTr="001B2B95">
        <w:trPr>
          <w:tblCellSpacing w:w="0" w:type="dxa"/>
        </w:trPr>
        <w:tc>
          <w:tcPr>
            <w:tcW w:w="0" w:type="auto"/>
            <w:shd w:val="clear" w:color="auto" w:fill="5B6770"/>
            <w:tcMar>
              <w:top w:w="0" w:type="dxa"/>
              <w:left w:w="57" w:type="dxa"/>
              <w:bottom w:w="57" w:type="dxa"/>
              <w:right w:w="0" w:type="dxa"/>
            </w:tcMar>
            <w:hideMark/>
          </w:tcPr>
          <w:p w14:paraId="12C456FE" w14:textId="77777777" w:rsidR="001B2B95" w:rsidRPr="000159D9" w:rsidRDefault="001B2B95" w:rsidP="00464D24">
            <w:pPr>
              <w:spacing w:before="100" w:beforeAutospacing="1" w:after="142" w:line="276" w:lineRule="auto"/>
              <w:rPr>
                <w:rFonts w:ascii="Arial" w:eastAsia="Times New Roman" w:hAnsi="Arial" w:cs="Arial"/>
                <w:b/>
                <w:bCs/>
                <w:color w:val="FFFFFF"/>
                <w:sz w:val="21"/>
                <w:szCs w:val="21"/>
                <w:lang w:eastAsia="es-ES"/>
              </w:rPr>
            </w:pPr>
            <w:r w:rsidRPr="000159D9">
              <w:rPr>
                <w:rFonts w:ascii="Arial" w:eastAsia="Times New Roman" w:hAnsi="Arial" w:cs="Arial"/>
                <w:b/>
                <w:bCs/>
                <w:color w:val="FFFFFF"/>
                <w:sz w:val="21"/>
                <w:szCs w:val="21"/>
                <w:lang w:eastAsia="es-ES"/>
              </w:rPr>
              <w:t>L.E.6</w:t>
            </w:r>
          </w:p>
        </w:tc>
        <w:tc>
          <w:tcPr>
            <w:tcW w:w="0" w:type="auto"/>
            <w:shd w:val="clear" w:color="auto" w:fill="5B6770"/>
            <w:tcMar>
              <w:top w:w="0" w:type="dxa"/>
              <w:left w:w="57" w:type="dxa"/>
              <w:bottom w:w="57" w:type="dxa"/>
              <w:right w:w="57" w:type="dxa"/>
            </w:tcMar>
            <w:hideMark/>
          </w:tcPr>
          <w:p w14:paraId="114A1C6D" w14:textId="77777777" w:rsidR="001B2B95" w:rsidRPr="00E46283" w:rsidRDefault="001B2B95" w:rsidP="00464D24">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eastAsia="es-ES"/>
              </w:rPr>
            </w:pPr>
            <w:r w:rsidRPr="00E46283">
              <w:rPr>
                <w:rFonts w:ascii="Arial" w:eastAsia="Calibri" w:hAnsi="Arial" w:cs="Tahoma"/>
                <w:color w:val="FFFFFF"/>
                <w:sz w:val="21"/>
                <w:szCs w:val="21"/>
                <w:lang w:eastAsia="es-ES"/>
              </w:rPr>
              <w:t xml:space="preserve">Elaborar Herramientas de fomento de marcos de integridad y prevención (I): </w:t>
            </w:r>
          </w:p>
          <w:p w14:paraId="63314661" w14:textId="77777777" w:rsidR="001B2B95" w:rsidRPr="00E46283" w:rsidRDefault="001B2B95" w:rsidP="00464D24">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eastAsia="es-ES"/>
              </w:rPr>
            </w:pPr>
            <w:r w:rsidRPr="00E46283">
              <w:rPr>
                <w:rFonts w:ascii="Arial" w:eastAsia="Calibri" w:hAnsi="Arial" w:cs="Tahoma"/>
                <w:color w:val="FFFFFF"/>
                <w:sz w:val="21"/>
                <w:szCs w:val="21"/>
                <w:lang w:eastAsia="es-ES"/>
              </w:rPr>
              <w:t>- Metodología general y exportable de análisis de riesgos.</w:t>
            </w:r>
          </w:p>
          <w:p w14:paraId="7465EDB2" w14:textId="77777777" w:rsidR="001B2B95" w:rsidRPr="00E46283" w:rsidRDefault="001B2B95" w:rsidP="00464D24">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eastAsia="es-ES"/>
              </w:rPr>
            </w:pPr>
          </w:p>
        </w:tc>
      </w:tr>
      <w:tr w:rsidR="001B2B95" w:rsidRPr="000159D9" w14:paraId="7BFF6E33" w14:textId="77777777" w:rsidTr="001B2B95">
        <w:trPr>
          <w:tblCellSpacing w:w="0" w:type="dxa"/>
        </w:trPr>
        <w:tc>
          <w:tcPr>
            <w:tcW w:w="0" w:type="auto"/>
            <w:shd w:val="clear" w:color="auto" w:fill="9D2235"/>
            <w:tcMar>
              <w:top w:w="0" w:type="dxa"/>
              <w:left w:w="57" w:type="dxa"/>
              <w:bottom w:w="57" w:type="dxa"/>
              <w:right w:w="0" w:type="dxa"/>
            </w:tcMar>
            <w:hideMark/>
          </w:tcPr>
          <w:p w14:paraId="541F7BCF" w14:textId="77777777" w:rsidR="001B2B95" w:rsidRPr="000159D9" w:rsidRDefault="001B2B95" w:rsidP="00464D24">
            <w:pPr>
              <w:spacing w:before="100" w:beforeAutospacing="1" w:after="142" w:line="276" w:lineRule="auto"/>
              <w:rPr>
                <w:rFonts w:ascii="Arial" w:eastAsia="Times New Roman" w:hAnsi="Arial" w:cs="Arial"/>
                <w:b/>
                <w:bCs/>
                <w:color w:val="FFFFFF"/>
                <w:sz w:val="21"/>
                <w:szCs w:val="21"/>
                <w:lang w:eastAsia="es-ES"/>
              </w:rPr>
            </w:pPr>
            <w:r w:rsidRPr="000159D9">
              <w:rPr>
                <w:rFonts w:ascii="Arial" w:eastAsia="Times New Roman" w:hAnsi="Arial" w:cs="Arial"/>
                <w:b/>
                <w:bCs/>
                <w:color w:val="FFFFFF"/>
                <w:sz w:val="21"/>
                <w:szCs w:val="21"/>
                <w:lang w:eastAsia="es-ES"/>
              </w:rPr>
              <w:t>L.E.7</w:t>
            </w:r>
          </w:p>
        </w:tc>
        <w:tc>
          <w:tcPr>
            <w:tcW w:w="0" w:type="auto"/>
            <w:shd w:val="clear" w:color="auto" w:fill="9D2235"/>
            <w:tcMar>
              <w:top w:w="0" w:type="dxa"/>
              <w:left w:w="57" w:type="dxa"/>
              <w:bottom w:w="57" w:type="dxa"/>
              <w:right w:w="57" w:type="dxa"/>
            </w:tcMar>
            <w:hideMark/>
          </w:tcPr>
          <w:p w14:paraId="56DD9E72" w14:textId="77777777" w:rsidR="001B2B95" w:rsidRPr="00E46283" w:rsidRDefault="001B2B95" w:rsidP="00464D24">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eastAsia="es-ES"/>
              </w:rPr>
            </w:pPr>
            <w:r w:rsidRPr="00E46283">
              <w:rPr>
                <w:rFonts w:ascii="Arial" w:eastAsia="Calibri" w:hAnsi="Arial" w:cs="Tahoma"/>
                <w:color w:val="FFFFFF"/>
                <w:sz w:val="21"/>
                <w:szCs w:val="21"/>
                <w:lang w:eastAsia="es-ES"/>
              </w:rPr>
              <w:t>Elaborar Herramientas de fomento de marcos de integridad y prevención (II):</w:t>
            </w:r>
          </w:p>
          <w:p w14:paraId="0F146AFC" w14:textId="77777777" w:rsidR="001B2B95" w:rsidRPr="00E46283" w:rsidRDefault="001B2B95" w:rsidP="00464D24">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eastAsia="es-ES"/>
              </w:rPr>
            </w:pPr>
            <w:r w:rsidRPr="00E46283">
              <w:rPr>
                <w:rFonts w:ascii="Arial" w:eastAsia="Calibri" w:hAnsi="Arial" w:cs="Tahoma"/>
                <w:color w:val="FFFFFF"/>
                <w:sz w:val="21"/>
                <w:szCs w:val="21"/>
                <w:lang w:eastAsia="es-ES"/>
              </w:rPr>
              <w:t>- Contenido mínimo de los Planes de Prevención de corrupción.</w:t>
            </w:r>
          </w:p>
          <w:p w14:paraId="1D590AC8" w14:textId="77777777" w:rsidR="001B2B95" w:rsidRPr="00E46283" w:rsidRDefault="001B2B95" w:rsidP="00464D24">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eastAsia="es-ES"/>
              </w:rPr>
            </w:pPr>
            <w:r w:rsidRPr="00E46283">
              <w:rPr>
                <w:rFonts w:ascii="Arial" w:eastAsia="Calibri" w:hAnsi="Arial" w:cs="Tahoma"/>
                <w:color w:val="FFFFFF"/>
                <w:sz w:val="21"/>
                <w:szCs w:val="21"/>
                <w:lang w:eastAsia="es-ES"/>
              </w:rPr>
              <w:t>- Elaboración de un código ético.</w:t>
            </w:r>
          </w:p>
        </w:tc>
      </w:tr>
      <w:tr w:rsidR="001B2B95" w:rsidRPr="000159D9" w14:paraId="38D628CA" w14:textId="77777777" w:rsidTr="001B2B95">
        <w:trPr>
          <w:tblCellSpacing w:w="0" w:type="dxa"/>
        </w:trPr>
        <w:tc>
          <w:tcPr>
            <w:tcW w:w="0" w:type="auto"/>
            <w:shd w:val="clear" w:color="auto" w:fill="5B6770"/>
            <w:tcMar>
              <w:top w:w="0" w:type="dxa"/>
              <w:left w:w="57" w:type="dxa"/>
              <w:bottom w:w="57" w:type="dxa"/>
              <w:right w:w="0" w:type="dxa"/>
            </w:tcMar>
            <w:hideMark/>
          </w:tcPr>
          <w:p w14:paraId="113388AD" w14:textId="77777777" w:rsidR="001B2B95" w:rsidRPr="000159D9" w:rsidRDefault="001B2B95" w:rsidP="00464D24">
            <w:pPr>
              <w:spacing w:before="100" w:beforeAutospacing="1" w:after="142" w:line="276" w:lineRule="auto"/>
              <w:rPr>
                <w:rFonts w:ascii="Arial" w:eastAsia="Times New Roman" w:hAnsi="Arial" w:cs="Arial"/>
                <w:b/>
                <w:bCs/>
                <w:color w:val="FFFFFF"/>
                <w:sz w:val="21"/>
                <w:szCs w:val="21"/>
                <w:lang w:eastAsia="es-ES"/>
              </w:rPr>
            </w:pPr>
            <w:r w:rsidRPr="000159D9">
              <w:rPr>
                <w:rFonts w:ascii="Arial" w:eastAsia="Times New Roman" w:hAnsi="Arial" w:cs="Arial"/>
                <w:b/>
                <w:bCs/>
                <w:color w:val="FFFFFF"/>
                <w:sz w:val="21"/>
                <w:szCs w:val="21"/>
                <w:lang w:eastAsia="es-ES"/>
              </w:rPr>
              <w:t>L.E.8</w:t>
            </w:r>
          </w:p>
        </w:tc>
        <w:tc>
          <w:tcPr>
            <w:tcW w:w="0" w:type="auto"/>
            <w:shd w:val="clear" w:color="auto" w:fill="5B6770"/>
            <w:tcMar>
              <w:top w:w="0" w:type="dxa"/>
              <w:left w:w="57" w:type="dxa"/>
              <w:bottom w:w="57" w:type="dxa"/>
              <w:right w:w="57" w:type="dxa"/>
            </w:tcMar>
            <w:hideMark/>
          </w:tcPr>
          <w:p w14:paraId="010F08ED" w14:textId="77777777" w:rsidR="001B2B95" w:rsidRPr="00E46283" w:rsidRDefault="001B2B95" w:rsidP="00464D24">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eastAsia="es-ES"/>
              </w:rPr>
            </w:pPr>
            <w:r w:rsidRPr="00E46283">
              <w:rPr>
                <w:rFonts w:ascii="Arial" w:eastAsia="Calibri" w:hAnsi="Arial" w:cs="Tahoma"/>
                <w:color w:val="FFFFFF"/>
                <w:sz w:val="21"/>
                <w:szCs w:val="21"/>
                <w:lang w:eastAsia="es-ES"/>
              </w:rPr>
              <w:t>Realizar investigaciones, estudios y publicaciones sobre sectores específicos de riesgo de fraude y corrupción en la Comunitat Valenciana.</w:t>
            </w:r>
          </w:p>
        </w:tc>
      </w:tr>
      <w:tr w:rsidR="001B2B95" w:rsidRPr="000159D9" w14:paraId="3C9206A0" w14:textId="77777777" w:rsidTr="001B2B95">
        <w:trPr>
          <w:trHeight w:val="600"/>
          <w:tblCellSpacing w:w="0" w:type="dxa"/>
        </w:trPr>
        <w:tc>
          <w:tcPr>
            <w:tcW w:w="0" w:type="auto"/>
            <w:shd w:val="clear" w:color="auto" w:fill="9D2235"/>
            <w:tcMar>
              <w:top w:w="0" w:type="dxa"/>
              <w:left w:w="57" w:type="dxa"/>
              <w:bottom w:w="57" w:type="dxa"/>
              <w:right w:w="0" w:type="dxa"/>
            </w:tcMar>
            <w:hideMark/>
          </w:tcPr>
          <w:p w14:paraId="0AE7AC2C" w14:textId="77777777" w:rsidR="001B2B95" w:rsidRPr="000159D9" w:rsidRDefault="001B2B95" w:rsidP="00464D24">
            <w:pPr>
              <w:spacing w:before="100" w:beforeAutospacing="1" w:after="142" w:line="276" w:lineRule="auto"/>
              <w:rPr>
                <w:rFonts w:ascii="Arial" w:eastAsia="Times New Roman" w:hAnsi="Arial" w:cs="Arial"/>
                <w:b/>
                <w:bCs/>
                <w:color w:val="FFFFFF"/>
                <w:sz w:val="21"/>
                <w:szCs w:val="21"/>
                <w:lang w:eastAsia="es-ES"/>
              </w:rPr>
            </w:pPr>
            <w:bookmarkStart w:id="429" w:name="_Hlk62569562"/>
            <w:r w:rsidRPr="000159D9">
              <w:rPr>
                <w:rFonts w:ascii="Arial" w:eastAsia="Times New Roman" w:hAnsi="Arial" w:cs="Arial"/>
                <w:b/>
                <w:bCs/>
                <w:color w:val="FFFFFF"/>
                <w:sz w:val="21"/>
                <w:szCs w:val="21"/>
                <w:lang w:eastAsia="es-ES"/>
              </w:rPr>
              <w:t>L.E.9</w:t>
            </w:r>
          </w:p>
        </w:tc>
        <w:tc>
          <w:tcPr>
            <w:tcW w:w="0" w:type="auto"/>
            <w:shd w:val="clear" w:color="auto" w:fill="9D2235"/>
            <w:tcMar>
              <w:top w:w="0" w:type="dxa"/>
              <w:left w:w="57" w:type="dxa"/>
              <w:bottom w:w="57" w:type="dxa"/>
              <w:right w:w="57" w:type="dxa"/>
            </w:tcMar>
            <w:hideMark/>
          </w:tcPr>
          <w:p w14:paraId="74C4CA4E" w14:textId="77777777" w:rsidR="001B2B95" w:rsidRPr="00E46283" w:rsidRDefault="001B2B95" w:rsidP="00464D24">
            <w:pPr>
              <w:widowControl w:val="0"/>
              <w:suppressAutoHyphens/>
              <w:autoSpaceDN w:val="0"/>
              <w:spacing w:after="240" w:line="276" w:lineRule="auto"/>
              <w:jc w:val="both"/>
              <w:textAlignment w:val="baseline"/>
              <w:rPr>
                <w:rFonts w:ascii="Times New Roman" w:eastAsia="Calibri" w:hAnsi="Times New Roman" w:cs="Times New Roman"/>
                <w:color w:val="FFFFFF"/>
                <w:sz w:val="21"/>
                <w:szCs w:val="21"/>
                <w:lang w:eastAsia="es-ES"/>
              </w:rPr>
            </w:pPr>
            <w:r w:rsidRPr="00E46283">
              <w:rPr>
                <w:rFonts w:ascii="Arial" w:eastAsia="Calibri" w:hAnsi="Arial" w:cs="Tahoma"/>
                <w:color w:val="FFFFFF"/>
                <w:sz w:val="21"/>
                <w:szCs w:val="21"/>
                <w:lang w:eastAsia="es-ES"/>
              </w:rPr>
              <w:t>Efectuar alegaciones o sugerencias durante los procesos de elaboración de normas que afecten al ámbito subjetivo de la Agencia.</w:t>
            </w:r>
          </w:p>
        </w:tc>
      </w:tr>
      <w:tr w:rsidR="001B2B95" w:rsidRPr="000159D9" w14:paraId="56DB980E" w14:textId="77777777" w:rsidTr="001B2B95">
        <w:trPr>
          <w:trHeight w:val="600"/>
          <w:tblCellSpacing w:w="0" w:type="dxa"/>
        </w:trPr>
        <w:tc>
          <w:tcPr>
            <w:tcW w:w="0" w:type="auto"/>
            <w:shd w:val="clear" w:color="auto" w:fill="5B6770"/>
            <w:tcMar>
              <w:top w:w="0" w:type="dxa"/>
              <w:left w:w="57" w:type="dxa"/>
              <w:bottom w:w="57" w:type="dxa"/>
              <w:right w:w="0" w:type="dxa"/>
            </w:tcMar>
          </w:tcPr>
          <w:p w14:paraId="4914FE5E" w14:textId="77777777" w:rsidR="001B2B95" w:rsidRPr="000159D9" w:rsidRDefault="001B2B95" w:rsidP="00464D24">
            <w:pPr>
              <w:spacing w:before="100" w:beforeAutospacing="1" w:after="142" w:line="276" w:lineRule="auto"/>
              <w:rPr>
                <w:rFonts w:ascii="Arial" w:eastAsia="Times New Roman" w:hAnsi="Arial" w:cs="Arial"/>
                <w:b/>
                <w:bCs/>
                <w:color w:val="FFFFFF"/>
                <w:sz w:val="21"/>
                <w:szCs w:val="21"/>
                <w:lang w:eastAsia="es-ES"/>
              </w:rPr>
            </w:pPr>
            <w:r w:rsidRPr="000159D9">
              <w:rPr>
                <w:rFonts w:ascii="Arial" w:eastAsia="Times New Roman" w:hAnsi="Arial" w:cs="Arial"/>
                <w:b/>
                <w:bCs/>
                <w:color w:val="FFFFFF"/>
                <w:sz w:val="21"/>
                <w:szCs w:val="21"/>
                <w:lang w:eastAsia="es-ES"/>
              </w:rPr>
              <w:t>L.E.10</w:t>
            </w:r>
          </w:p>
        </w:tc>
        <w:tc>
          <w:tcPr>
            <w:tcW w:w="0" w:type="auto"/>
            <w:shd w:val="clear" w:color="auto" w:fill="5B6770"/>
            <w:tcMar>
              <w:top w:w="0" w:type="dxa"/>
              <w:left w:w="57" w:type="dxa"/>
              <w:bottom w:w="57" w:type="dxa"/>
              <w:right w:w="57" w:type="dxa"/>
            </w:tcMar>
          </w:tcPr>
          <w:p w14:paraId="456F389C" w14:textId="77777777" w:rsidR="001B2B95" w:rsidRPr="00E46283" w:rsidRDefault="001B2B95" w:rsidP="00464D24">
            <w:pPr>
              <w:widowControl w:val="0"/>
              <w:suppressAutoHyphens/>
              <w:autoSpaceDN w:val="0"/>
              <w:spacing w:after="240" w:line="276" w:lineRule="auto"/>
              <w:jc w:val="both"/>
              <w:textAlignment w:val="baseline"/>
              <w:rPr>
                <w:rFonts w:ascii="Arial" w:eastAsia="Calibri" w:hAnsi="Arial" w:cs="Tahoma"/>
                <w:color w:val="FFFFFF"/>
                <w:sz w:val="21"/>
                <w:szCs w:val="21"/>
                <w:lang w:eastAsia="es-ES"/>
              </w:rPr>
            </w:pPr>
            <w:r w:rsidRPr="00E46283">
              <w:rPr>
                <w:rFonts w:ascii="Arial" w:eastAsia="Calibri" w:hAnsi="Arial" w:cs="Tahoma"/>
                <w:color w:val="FFFFFF"/>
                <w:sz w:val="21"/>
                <w:szCs w:val="21"/>
                <w:lang w:eastAsia="es-ES"/>
              </w:rPr>
              <w:t>Prestar asesoramiento y dar respuesta a consultas sobre prevención del fraude, la corrupción y el fomento de la integridad pública.</w:t>
            </w:r>
          </w:p>
        </w:tc>
      </w:tr>
      <w:tr w:rsidR="001B2B95" w:rsidRPr="000159D9" w14:paraId="6CF59F29" w14:textId="77777777" w:rsidTr="001B2B95">
        <w:trPr>
          <w:trHeight w:val="600"/>
          <w:tblCellSpacing w:w="0" w:type="dxa"/>
        </w:trPr>
        <w:tc>
          <w:tcPr>
            <w:tcW w:w="0" w:type="auto"/>
            <w:shd w:val="clear" w:color="auto" w:fill="9D2235"/>
            <w:tcMar>
              <w:top w:w="0" w:type="dxa"/>
              <w:left w:w="57" w:type="dxa"/>
              <w:bottom w:w="57" w:type="dxa"/>
              <w:right w:w="0" w:type="dxa"/>
            </w:tcMar>
          </w:tcPr>
          <w:p w14:paraId="416533B1" w14:textId="77777777" w:rsidR="001B2B95" w:rsidRPr="000159D9" w:rsidRDefault="001B2B95" w:rsidP="00464D24">
            <w:pPr>
              <w:spacing w:before="100" w:beforeAutospacing="1" w:after="142" w:line="276" w:lineRule="auto"/>
              <w:rPr>
                <w:rFonts w:ascii="Arial" w:eastAsia="Times New Roman" w:hAnsi="Arial" w:cs="Arial"/>
                <w:b/>
                <w:bCs/>
                <w:color w:val="FFFFFF"/>
                <w:sz w:val="21"/>
                <w:szCs w:val="21"/>
                <w:lang w:eastAsia="es-ES"/>
              </w:rPr>
            </w:pPr>
            <w:r w:rsidRPr="000159D9">
              <w:rPr>
                <w:rFonts w:ascii="Arial" w:eastAsia="Times New Roman" w:hAnsi="Arial" w:cs="Arial"/>
                <w:b/>
                <w:bCs/>
                <w:color w:val="FFFFFF"/>
                <w:sz w:val="21"/>
                <w:szCs w:val="21"/>
                <w:lang w:eastAsia="es-ES"/>
              </w:rPr>
              <w:t>L.E.11</w:t>
            </w:r>
          </w:p>
        </w:tc>
        <w:tc>
          <w:tcPr>
            <w:tcW w:w="0" w:type="auto"/>
            <w:shd w:val="clear" w:color="auto" w:fill="9D2235"/>
            <w:tcMar>
              <w:top w:w="0" w:type="dxa"/>
              <w:left w:w="57" w:type="dxa"/>
              <w:bottom w:w="57" w:type="dxa"/>
              <w:right w:w="57" w:type="dxa"/>
            </w:tcMar>
          </w:tcPr>
          <w:p w14:paraId="627CE8A3" w14:textId="77777777" w:rsidR="001B2B95" w:rsidRPr="00E46283" w:rsidRDefault="001B2B95" w:rsidP="00464D24">
            <w:pPr>
              <w:widowControl w:val="0"/>
              <w:suppressAutoHyphens/>
              <w:autoSpaceDN w:val="0"/>
              <w:spacing w:after="240" w:line="276" w:lineRule="auto"/>
              <w:jc w:val="both"/>
              <w:textAlignment w:val="baseline"/>
              <w:rPr>
                <w:rFonts w:ascii="Arial" w:eastAsia="Calibri" w:hAnsi="Arial" w:cs="Tahoma"/>
                <w:color w:val="FFFFFF"/>
                <w:sz w:val="21"/>
                <w:szCs w:val="21"/>
                <w:lang w:eastAsia="es-ES"/>
              </w:rPr>
            </w:pPr>
            <w:r w:rsidRPr="00E46283">
              <w:rPr>
                <w:rFonts w:ascii="Arial" w:eastAsia="Calibri" w:hAnsi="Arial" w:cs="Tahoma"/>
                <w:color w:val="FFFFFF"/>
                <w:sz w:val="21"/>
                <w:szCs w:val="21"/>
                <w:lang w:eastAsia="es-ES"/>
              </w:rPr>
              <w:t>Colaborar con personas, entidades interesadas, universidades y organismos de control en investigaciones de Prevención, su difusión, así como a proponer criterios previos, claros y estables de control de la acción pública.</w:t>
            </w:r>
          </w:p>
        </w:tc>
      </w:tr>
      <w:bookmarkEnd w:id="429"/>
    </w:tbl>
    <w:p w14:paraId="65C07347" w14:textId="23134F20" w:rsidR="007C27F4" w:rsidRDefault="007C27F4" w:rsidP="007C27F4">
      <w:pPr>
        <w:spacing w:after="240" w:line="276" w:lineRule="auto"/>
        <w:jc w:val="both"/>
        <w:rPr>
          <w:rFonts w:ascii="Arial" w:eastAsia="Times New Roman" w:hAnsi="Arial" w:cs="Arial"/>
          <w:sz w:val="21"/>
          <w:szCs w:val="21"/>
          <w:lang w:eastAsia="es-ES"/>
        </w:rPr>
      </w:pPr>
    </w:p>
    <w:p w14:paraId="06195AEA" w14:textId="0A1EE9F1" w:rsidR="001B2B95" w:rsidRPr="001B2B95" w:rsidRDefault="001B2B95"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30" w:name="_Toc99107102"/>
      <w:r w:rsidRPr="001B2B95">
        <w:rPr>
          <w:rFonts w:ascii="Arial" w:eastAsia="Times New Roman" w:hAnsi="Arial" w:cs="Arial"/>
          <w:b/>
          <w:bCs/>
          <w:color w:val="9D2235" w:themeColor="accent1"/>
          <w:sz w:val="28"/>
          <w:szCs w:val="28"/>
          <w:lang w:eastAsia="es-ES"/>
        </w:rPr>
        <w:t>Recomendaciones, guías y manuales</w:t>
      </w:r>
      <w:bookmarkEnd w:id="430"/>
    </w:p>
    <w:p w14:paraId="759642A3" w14:textId="6E08BB88" w:rsidR="00D05B08" w:rsidRPr="00D05B08" w:rsidRDefault="00D05B08" w:rsidP="00D05B08">
      <w:pPr>
        <w:spacing w:after="240" w:line="276" w:lineRule="auto"/>
        <w:jc w:val="both"/>
        <w:rPr>
          <w:rFonts w:ascii="Arial" w:eastAsia="Times New Roman" w:hAnsi="Arial" w:cs="Arial"/>
          <w:sz w:val="21"/>
          <w:szCs w:val="21"/>
          <w:lang w:eastAsia="es-ES"/>
        </w:rPr>
      </w:pPr>
      <w:r w:rsidRPr="00D05B08">
        <w:rPr>
          <w:rFonts w:ascii="Arial" w:eastAsia="Times New Roman" w:hAnsi="Arial" w:cs="Arial"/>
          <w:sz w:val="21"/>
          <w:szCs w:val="21"/>
          <w:lang w:eastAsia="es-ES"/>
        </w:rPr>
        <w:t>En el ámbito de las funciones de asesoramiento preventivo de la AVAF, el Plan Estratégico del Servicio contempla la elaboración y puesta a disposición de instituciones y ciudadanía en general</w:t>
      </w:r>
      <w:r w:rsidR="00CD7A5C">
        <w:rPr>
          <w:rFonts w:ascii="Arial" w:eastAsia="Times New Roman" w:hAnsi="Arial" w:cs="Arial"/>
          <w:sz w:val="21"/>
          <w:szCs w:val="21"/>
          <w:lang w:eastAsia="es-ES"/>
        </w:rPr>
        <w:t>,</w:t>
      </w:r>
      <w:r w:rsidRPr="00D05B08">
        <w:rPr>
          <w:rFonts w:ascii="Arial" w:eastAsia="Times New Roman" w:hAnsi="Arial" w:cs="Arial"/>
          <w:sz w:val="21"/>
          <w:szCs w:val="21"/>
          <w:lang w:eastAsia="es-ES"/>
        </w:rPr>
        <w:t xml:space="preserve"> tanto de recomendaciones generales sobre prevención como de otros materiales de interés en función de cada contexto</w:t>
      </w:r>
      <w:r w:rsidR="00CD7A5C">
        <w:rPr>
          <w:rFonts w:ascii="Arial" w:eastAsia="Times New Roman" w:hAnsi="Arial" w:cs="Arial"/>
          <w:sz w:val="21"/>
          <w:szCs w:val="21"/>
          <w:lang w:eastAsia="es-ES"/>
        </w:rPr>
        <w:t>,</w:t>
      </w:r>
      <w:r w:rsidRPr="00D05B08">
        <w:rPr>
          <w:rFonts w:ascii="Arial" w:eastAsia="Times New Roman" w:hAnsi="Arial" w:cs="Arial"/>
          <w:sz w:val="21"/>
          <w:szCs w:val="21"/>
          <w:lang w:eastAsia="es-ES"/>
        </w:rPr>
        <w:t xml:space="preserve"> que faciliten la implementación de marcos de integridad y ética públicos, contribuyendo así a disipar dudas en materia de prevención del fraude, la corrupción y la integridad pública.</w:t>
      </w:r>
    </w:p>
    <w:p w14:paraId="20876698" w14:textId="6448CD5D" w:rsidR="00D05B08" w:rsidRPr="00D05B08" w:rsidRDefault="00D05B08" w:rsidP="00D05B08">
      <w:pPr>
        <w:spacing w:after="240" w:line="276" w:lineRule="auto"/>
        <w:jc w:val="both"/>
        <w:rPr>
          <w:rFonts w:ascii="Arial" w:eastAsia="Times New Roman" w:hAnsi="Arial" w:cs="Arial"/>
          <w:sz w:val="21"/>
          <w:szCs w:val="21"/>
          <w:lang w:eastAsia="es-ES"/>
        </w:rPr>
      </w:pPr>
      <w:r w:rsidRPr="00D05B08">
        <w:rPr>
          <w:rFonts w:ascii="Arial" w:eastAsia="Times New Roman" w:hAnsi="Arial" w:cs="Arial"/>
          <w:sz w:val="21"/>
          <w:szCs w:val="21"/>
          <w:lang w:eastAsia="es-ES"/>
        </w:rPr>
        <w:t xml:space="preserve">Durante 2021 se han realizado trabajos de estudio, sistematización y redacción de una propuesta de </w:t>
      </w:r>
      <w:r w:rsidRPr="00D05B08">
        <w:rPr>
          <w:rFonts w:ascii="Arial" w:eastAsia="Times New Roman" w:hAnsi="Arial" w:cs="Arial"/>
          <w:b/>
          <w:bCs/>
          <w:sz w:val="21"/>
          <w:szCs w:val="21"/>
          <w:lang w:eastAsia="es-ES"/>
        </w:rPr>
        <w:t>Recomendación general</w:t>
      </w:r>
      <w:r w:rsidRPr="002010D7">
        <w:rPr>
          <w:rFonts w:ascii="Arial" w:eastAsia="Times New Roman" w:hAnsi="Arial" w:cs="Arial"/>
          <w:sz w:val="21"/>
          <w:szCs w:val="21"/>
          <w:lang w:eastAsia="es-ES"/>
        </w:rPr>
        <w:t xml:space="preserve">, que será publicada durante el primer </w:t>
      </w:r>
      <w:r w:rsidR="002010D7" w:rsidRPr="002010D7">
        <w:rPr>
          <w:rFonts w:ascii="Arial" w:eastAsia="Times New Roman" w:hAnsi="Arial" w:cs="Arial"/>
          <w:sz w:val="21"/>
          <w:szCs w:val="21"/>
          <w:lang w:eastAsia="es-ES"/>
        </w:rPr>
        <w:t>semestre</w:t>
      </w:r>
      <w:r w:rsidRPr="002010D7">
        <w:rPr>
          <w:rFonts w:ascii="Arial" w:eastAsia="Times New Roman" w:hAnsi="Arial" w:cs="Arial"/>
          <w:sz w:val="21"/>
          <w:szCs w:val="21"/>
          <w:lang w:eastAsia="es-ES"/>
        </w:rPr>
        <w:t xml:space="preserve"> de 2022, relacionada con la prevención de</w:t>
      </w:r>
      <w:r w:rsidRPr="00D05B08">
        <w:rPr>
          <w:rFonts w:ascii="Arial" w:eastAsia="Times New Roman" w:hAnsi="Arial" w:cs="Arial"/>
          <w:sz w:val="21"/>
          <w:szCs w:val="21"/>
          <w:lang w:eastAsia="es-ES"/>
        </w:rPr>
        <w:t xml:space="preserve"> la corrupción durante la fase de ejecución de los contratos del sector público, abordando aspectos tales como la contratación de emergencia</w:t>
      </w:r>
      <w:r w:rsidR="00297B34">
        <w:rPr>
          <w:rFonts w:ascii="Arial" w:eastAsia="Times New Roman" w:hAnsi="Arial" w:cs="Arial"/>
          <w:sz w:val="21"/>
          <w:szCs w:val="21"/>
          <w:lang w:eastAsia="es-ES"/>
        </w:rPr>
        <w:t>,</w:t>
      </w:r>
      <w:r w:rsidRPr="00D05B08">
        <w:rPr>
          <w:rFonts w:ascii="Arial" w:eastAsia="Times New Roman" w:hAnsi="Arial" w:cs="Arial"/>
          <w:sz w:val="21"/>
          <w:szCs w:val="21"/>
          <w:lang w:eastAsia="es-ES"/>
        </w:rPr>
        <w:t xml:space="preserve"> en el aún presente contexto socio-económico consecuencia de la pandemia SARS2/COVID19, o los riesgos motivados por fugas de información y ciberataques, entre otros muchos. </w:t>
      </w:r>
    </w:p>
    <w:p w14:paraId="0577A6F8" w14:textId="2EEF14AD" w:rsidR="00D05B08" w:rsidRPr="00D05B08" w:rsidRDefault="00D05B08" w:rsidP="00D05B08">
      <w:pPr>
        <w:spacing w:after="240" w:line="276" w:lineRule="auto"/>
        <w:jc w:val="both"/>
        <w:rPr>
          <w:rFonts w:ascii="Arial" w:eastAsia="Times New Roman" w:hAnsi="Arial" w:cs="Arial"/>
          <w:sz w:val="21"/>
          <w:szCs w:val="21"/>
          <w:lang w:eastAsia="es-ES"/>
        </w:rPr>
      </w:pPr>
      <w:r w:rsidRPr="00D05B08">
        <w:rPr>
          <w:rFonts w:ascii="Arial" w:eastAsia="Times New Roman" w:hAnsi="Arial" w:cs="Arial"/>
          <w:sz w:val="21"/>
          <w:szCs w:val="21"/>
          <w:lang w:eastAsia="es-ES"/>
        </w:rPr>
        <w:t>La misión de servicio público de cualquier entidad pública está orientada a la consecución del interés general en su concreto ámbito competencial. De ahí</w:t>
      </w:r>
      <w:r w:rsidR="00CD7A5C">
        <w:rPr>
          <w:rFonts w:ascii="Arial" w:eastAsia="Times New Roman" w:hAnsi="Arial" w:cs="Arial"/>
          <w:sz w:val="21"/>
          <w:szCs w:val="21"/>
          <w:lang w:eastAsia="es-ES"/>
        </w:rPr>
        <w:t>,</w:t>
      </w:r>
      <w:r w:rsidRPr="00D05B08">
        <w:rPr>
          <w:rFonts w:ascii="Arial" w:eastAsia="Times New Roman" w:hAnsi="Arial" w:cs="Arial"/>
          <w:sz w:val="21"/>
          <w:szCs w:val="21"/>
          <w:lang w:eastAsia="es-ES"/>
        </w:rPr>
        <w:t xml:space="preserve"> la extraordinaria importancia de que </w:t>
      </w:r>
      <w:r w:rsidR="00297B34">
        <w:rPr>
          <w:rFonts w:ascii="Arial" w:eastAsia="Times New Roman" w:hAnsi="Arial" w:cs="Arial"/>
          <w:sz w:val="21"/>
          <w:szCs w:val="21"/>
          <w:lang w:eastAsia="es-ES"/>
        </w:rPr>
        <w:t xml:space="preserve">se </w:t>
      </w:r>
      <w:r w:rsidRPr="00D05B08">
        <w:rPr>
          <w:rFonts w:ascii="Arial" w:eastAsia="Times New Roman" w:hAnsi="Arial" w:cs="Arial"/>
          <w:sz w:val="21"/>
          <w:szCs w:val="21"/>
          <w:lang w:eastAsia="es-ES"/>
        </w:rPr>
        <w:t xml:space="preserve">practique la cultura de la integridad pública a todos los niveles de cada organización, y ello pasa necesariamente por contar con los principales marcos de integridad: planes de integridad, códigos éticos, canales de comunicaciones y denuncias y prácticas formativas, todos ellos tendentes a minimizar los riesgos e irregularidades (tanto penales como administrativos) derivados de prácticas contrarias al interés general, mediante la prevención y detección del fraude, la corrupción y los conflictos de interés, y la adopción de medidas tendentes a su corrección. Por ello, el ejercicio 2021 ha culminado con la elaboración, por parte del Servicio de Prevención, de </w:t>
      </w:r>
      <w:r w:rsidRPr="00D05B08">
        <w:rPr>
          <w:rFonts w:ascii="Arial" w:eastAsia="Times New Roman" w:hAnsi="Arial" w:cs="Arial"/>
          <w:b/>
          <w:bCs/>
          <w:sz w:val="21"/>
          <w:szCs w:val="21"/>
          <w:lang w:eastAsia="es-ES"/>
        </w:rPr>
        <w:t>dos nuevos tipos de materiales preventivos</w:t>
      </w:r>
      <w:r w:rsidRPr="00D05B08">
        <w:rPr>
          <w:rFonts w:ascii="Arial" w:eastAsia="Times New Roman" w:hAnsi="Arial" w:cs="Arial"/>
          <w:sz w:val="21"/>
          <w:szCs w:val="21"/>
          <w:lang w:eastAsia="es-ES"/>
        </w:rPr>
        <w:t xml:space="preserve"> que la Agencia ha puesto a disposición de cualquier entidad o persona interesada: la primera </w:t>
      </w:r>
      <w:r w:rsidRPr="00D05B08">
        <w:rPr>
          <w:rFonts w:ascii="Arial" w:eastAsia="Times New Roman" w:hAnsi="Arial" w:cs="Arial"/>
          <w:b/>
          <w:bCs/>
          <w:sz w:val="21"/>
          <w:szCs w:val="21"/>
          <w:lang w:eastAsia="es-ES"/>
        </w:rPr>
        <w:t>Guía AVAF</w:t>
      </w:r>
      <w:r w:rsidRPr="00D05B08">
        <w:rPr>
          <w:rFonts w:ascii="Arial" w:eastAsia="Times New Roman" w:hAnsi="Arial" w:cs="Arial"/>
          <w:b/>
          <w:sz w:val="21"/>
          <w:szCs w:val="21"/>
          <w:lang w:eastAsia="es-ES"/>
        </w:rPr>
        <w:t>: El Plan de Integridad Pública: Hoja de Ruta y Anexos Facilitadores</w:t>
      </w:r>
      <w:r w:rsidRPr="00D05B08">
        <w:rPr>
          <w:rFonts w:ascii="Arial" w:eastAsia="Times New Roman" w:hAnsi="Arial" w:cs="Arial"/>
          <w:sz w:val="21"/>
          <w:szCs w:val="21"/>
          <w:lang w:eastAsia="es-ES"/>
        </w:rPr>
        <w:t>,</w:t>
      </w:r>
      <w:r w:rsidRPr="00D05B08">
        <w:rPr>
          <w:rFonts w:ascii="Arial" w:eastAsia="Times New Roman" w:hAnsi="Arial" w:cs="Arial"/>
          <w:b/>
          <w:bCs/>
          <w:sz w:val="21"/>
          <w:szCs w:val="21"/>
          <w:lang w:eastAsia="es-ES"/>
        </w:rPr>
        <w:t xml:space="preserve"> </w:t>
      </w:r>
      <w:r w:rsidRPr="00297B34">
        <w:rPr>
          <w:rFonts w:ascii="Arial" w:eastAsia="Times New Roman" w:hAnsi="Arial" w:cs="Arial"/>
          <w:sz w:val="16"/>
          <w:szCs w:val="16"/>
          <w:lang w:eastAsia="es-ES"/>
        </w:rPr>
        <w:t>[</w:t>
      </w:r>
      <w:hyperlink r:id="rId486" w:history="1">
        <w:r w:rsidRPr="00297B34">
          <w:rPr>
            <w:rStyle w:val="Hipervnculo"/>
            <w:rFonts w:ascii="Arial" w:eastAsia="Times New Roman" w:hAnsi="Arial" w:cs="Arial"/>
            <w:sz w:val="16"/>
            <w:szCs w:val="16"/>
            <w:lang w:eastAsia="es-ES"/>
          </w:rPr>
          <w:t>https://www.antifraucv.es/wp-content/uploads/2021/11/Guia_avaf_plan_de_integridad_publica.pdf</w:t>
        </w:r>
      </w:hyperlink>
      <w:r w:rsidRPr="00297B34">
        <w:rPr>
          <w:rFonts w:ascii="Arial" w:eastAsia="Times New Roman" w:hAnsi="Arial" w:cs="Arial"/>
          <w:sz w:val="16"/>
          <w:szCs w:val="16"/>
          <w:lang w:eastAsia="es-ES"/>
        </w:rPr>
        <w:t>]</w:t>
      </w:r>
      <w:r w:rsidR="00297B34">
        <w:rPr>
          <w:rFonts w:ascii="Arial" w:eastAsia="Times New Roman" w:hAnsi="Arial" w:cs="Arial"/>
          <w:sz w:val="18"/>
          <w:szCs w:val="18"/>
          <w:lang w:eastAsia="es-ES"/>
        </w:rPr>
        <w:t>;</w:t>
      </w:r>
      <w:r w:rsidRPr="00D05B08">
        <w:rPr>
          <w:rFonts w:ascii="Arial" w:eastAsia="Times New Roman" w:hAnsi="Arial" w:cs="Arial"/>
          <w:sz w:val="21"/>
          <w:szCs w:val="21"/>
          <w:lang w:eastAsia="es-ES"/>
        </w:rPr>
        <w:t xml:space="preserve"> y el </w:t>
      </w:r>
      <w:bookmarkStart w:id="431" w:name="_Hlk94877682"/>
      <w:r w:rsidRPr="00D05B08">
        <w:rPr>
          <w:rFonts w:ascii="Arial" w:eastAsia="Times New Roman" w:hAnsi="Arial" w:cs="Arial"/>
          <w:b/>
          <w:bCs/>
          <w:sz w:val="21"/>
          <w:szCs w:val="21"/>
          <w:lang w:eastAsia="es-ES"/>
        </w:rPr>
        <w:t>primer anual didáctico visual: Los conflictos de interés en clave de integridad</w:t>
      </w:r>
      <w:r w:rsidRPr="00D05B08">
        <w:rPr>
          <w:rFonts w:ascii="Arial" w:eastAsia="Times New Roman" w:hAnsi="Arial" w:cs="Arial"/>
          <w:sz w:val="21"/>
          <w:szCs w:val="21"/>
          <w:lang w:eastAsia="es-ES"/>
        </w:rPr>
        <w:t xml:space="preserve"> </w:t>
      </w:r>
      <w:r w:rsidRPr="00297B34">
        <w:rPr>
          <w:rFonts w:ascii="Arial" w:eastAsia="Times New Roman" w:hAnsi="Arial" w:cs="Arial"/>
          <w:sz w:val="17"/>
          <w:szCs w:val="17"/>
          <w:lang w:eastAsia="es-ES"/>
        </w:rPr>
        <w:t>[</w:t>
      </w:r>
      <w:hyperlink r:id="rId487" w:history="1">
        <w:r w:rsidRPr="00297B34">
          <w:rPr>
            <w:rStyle w:val="Hipervnculo"/>
            <w:rFonts w:ascii="Arial" w:eastAsia="Times New Roman" w:hAnsi="Arial" w:cs="Arial"/>
            <w:sz w:val="17"/>
            <w:szCs w:val="17"/>
            <w:lang w:eastAsia="es-ES"/>
          </w:rPr>
          <w:t>https://www.antifraucv.es/wp-content/uploads/2021/11/Manual-Didactivo-Visual.pdfjunto</w:t>
        </w:r>
      </w:hyperlink>
      <w:r w:rsidRPr="00297B34">
        <w:rPr>
          <w:rFonts w:ascii="Arial" w:eastAsia="Times New Roman" w:hAnsi="Arial" w:cs="Arial"/>
          <w:sz w:val="17"/>
          <w:szCs w:val="17"/>
          <w:lang w:eastAsia="es-ES"/>
        </w:rPr>
        <w:t>]</w:t>
      </w:r>
      <w:r w:rsidR="00297B34">
        <w:rPr>
          <w:rFonts w:ascii="Arial" w:eastAsia="Times New Roman" w:hAnsi="Arial" w:cs="Arial"/>
          <w:sz w:val="18"/>
          <w:szCs w:val="18"/>
          <w:lang w:eastAsia="es-ES"/>
        </w:rPr>
        <w:t>,</w:t>
      </w:r>
      <w:r w:rsidRPr="00D05B08">
        <w:rPr>
          <w:rFonts w:ascii="Arial" w:eastAsia="Times New Roman" w:hAnsi="Arial" w:cs="Arial"/>
          <w:sz w:val="21"/>
          <w:szCs w:val="21"/>
          <w:lang w:eastAsia="es-ES"/>
        </w:rPr>
        <w:t xml:space="preserve"> </w:t>
      </w:r>
      <w:bookmarkEnd w:id="431"/>
      <w:r w:rsidRPr="00D05B08">
        <w:rPr>
          <w:rFonts w:ascii="Arial" w:eastAsia="Times New Roman" w:hAnsi="Arial" w:cs="Arial"/>
          <w:sz w:val="21"/>
          <w:szCs w:val="21"/>
          <w:lang w:eastAsia="es-ES"/>
        </w:rPr>
        <w:t>con</w:t>
      </w:r>
      <w:bookmarkStart w:id="432" w:name="_Hlk94877748"/>
      <w:r w:rsidR="00297B34">
        <w:rPr>
          <w:rFonts w:ascii="Arial" w:eastAsia="Times New Roman" w:hAnsi="Arial" w:cs="Arial"/>
          <w:sz w:val="21"/>
          <w:szCs w:val="21"/>
          <w:lang w:eastAsia="es-ES"/>
        </w:rPr>
        <w:t xml:space="preserve"> </w:t>
      </w:r>
      <w:r w:rsidRPr="00D05B08">
        <w:rPr>
          <w:rFonts w:ascii="Arial" w:eastAsia="Times New Roman" w:hAnsi="Arial" w:cs="Arial"/>
          <w:b/>
          <w:bCs/>
          <w:sz w:val="21"/>
          <w:szCs w:val="21"/>
          <w:lang w:eastAsia="es-ES"/>
        </w:rPr>
        <w:t>catálogos de riesgos</w:t>
      </w:r>
      <w:r w:rsidRPr="00D05B08">
        <w:rPr>
          <w:rFonts w:ascii="Arial" w:eastAsia="Times New Roman" w:hAnsi="Arial" w:cs="Arial"/>
          <w:sz w:val="21"/>
          <w:szCs w:val="21"/>
          <w:lang w:eastAsia="es-ES"/>
        </w:rPr>
        <w:t xml:space="preserve"> </w:t>
      </w:r>
      <w:r w:rsidRPr="00CD7A5C">
        <w:rPr>
          <w:rFonts w:ascii="Arial" w:eastAsia="Times New Roman" w:hAnsi="Arial" w:cs="Arial"/>
          <w:sz w:val="18"/>
          <w:szCs w:val="18"/>
          <w:lang w:eastAsia="es-ES"/>
        </w:rPr>
        <w:t>[</w:t>
      </w:r>
      <w:hyperlink r:id="rId488" w:history="1">
        <w:r w:rsidRPr="00CD7A5C">
          <w:rPr>
            <w:rStyle w:val="Hipervnculo"/>
            <w:rFonts w:ascii="Arial" w:eastAsia="Times New Roman" w:hAnsi="Arial" w:cs="Arial"/>
            <w:sz w:val="18"/>
            <w:szCs w:val="18"/>
            <w:lang w:eastAsia="es-ES"/>
          </w:rPr>
          <w:t>https://www.antifraucv.es/wp-content/uploads/2021/12/Catalogo-de-riesgos.pdf</w:t>
        </w:r>
      </w:hyperlink>
      <w:r w:rsidRPr="00CD7A5C">
        <w:rPr>
          <w:rFonts w:ascii="Arial" w:eastAsia="Times New Roman" w:hAnsi="Arial" w:cs="Arial"/>
          <w:sz w:val="18"/>
          <w:szCs w:val="18"/>
          <w:lang w:eastAsia="es-ES"/>
        </w:rPr>
        <w:t>]</w:t>
      </w:r>
    </w:p>
    <w:bookmarkEnd w:id="432"/>
    <w:p w14:paraId="5E7E1147" w14:textId="6930AC07" w:rsidR="00D36963" w:rsidRPr="004E039B" w:rsidRDefault="00D36963" w:rsidP="00D36963">
      <w:pPr>
        <w:pStyle w:val="Standard"/>
        <w:spacing w:after="240" w:line="276" w:lineRule="auto"/>
        <w:jc w:val="both"/>
        <w:rPr>
          <w:rFonts w:ascii="Arial" w:hAnsi="Arial"/>
          <w:sz w:val="18"/>
          <w:szCs w:val="18"/>
        </w:rPr>
      </w:pPr>
      <w:r w:rsidRPr="00652460">
        <w:rPr>
          <w:rFonts w:ascii="Arial" w:hAnsi="Arial"/>
          <w:b/>
          <w:noProof/>
          <w:sz w:val="21"/>
          <w:szCs w:val="21"/>
        </w:rPr>
        <mc:AlternateContent>
          <mc:Choice Requires="wps">
            <w:drawing>
              <wp:anchor distT="45720" distB="45720" distL="114300" distR="114300" simplePos="0" relativeHeight="252003328" behindDoc="0" locked="0" layoutInCell="1" allowOverlap="1" wp14:anchorId="2569A77D" wp14:editId="6A4B6EFB">
                <wp:simplePos x="0" y="0"/>
                <wp:positionH relativeFrom="margin">
                  <wp:posOffset>-4445</wp:posOffset>
                </wp:positionH>
                <wp:positionV relativeFrom="paragraph">
                  <wp:posOffset>442595</wp:posOffset>
                </wp:positionV>
                <wp:extent cx="2133600" cy="2412365"/>
                <wp:effectExtent l="0" t="0" r="0" b="6985"/>
                <wp:wrapSquare wrapText="bothSides"/>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412365"/>
                        </a:xfrm>
                        <a:prstGeom prst="rect">
                          <a:avLst/>
                        </a:prstGeom>
                        <a:solidFill>
                          <a:srgbClr val="FFFFFF"/>
                        </a:solidFill>
                        <a:ln w="9525">
                          <a:noFill/>
                          <a:miter lim="800000"/>
                          <a:headEnd/>
                          <a:tailEnd/>
                        </a:ln>
                      </wps:spPr>
                      <wps:txbx>
                        <w:txbxContent>
                          <w:p w14:paraId="2A2FEEC7" w14:textId="77777777" w:rsidR="00D36963" w:rsidRDefault="00D36963" w:rsidP="007F6D65">
                            <w:pPr>
                              <w:keepNext/>
                              <w:jc w:val="center"/>
                            </w:pPr>
                            <w:r>
                              <w:rPr>
                                <w:noProof/>
                              </w:rPr>
                              <w:drawing>
                                <wp:inline distT="0" distB="0" distL="0" distR="0" wp14:anchorId="2595F9E0" wp14:editId="059FCCBD">
                                  <wp:extent cx="1440180" cy="1736665"/>
                                  <wp:effectExtent l="0" t="0" r="7620" b="0"/>
                                  <wp:docPr id="93" name="Imagen 93" descr="https://www.antifraucv.es/wp-content/uploads/2022/01/banner_guia-av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https://www.antifraucv.es/wp-content/uploads/2022/01/banner_guia-avaf.jpg"/>
                                          <pic:cNvPicPr>
                                            <a:picLocks noChangeAspect="1"/>
                                          </pic:cNvPicPr>
                                        </pic:nvPicPr>
                                        <pic:blipFill rotWithShape="1">
                                          <a:blip r:embed="rId489" cstate="print">
                                            <a:extLst>
                                              <a:ext uri="{28A0092B-C50C-407E-A947-70E740481C1C}">
                                                <a14:useLocalDpi xmlns:a14="http://schemas.microsoft.com/office/drawing/2010/main" val="0"/>
                                              </a:ext>
                                            </a:extLst>
                                          </a:blip>
                                          <a:srcRect l="22813" r="23213"/>
                                          <a:stretch/>
                                        </pic:blipFill>
                                        <pic:spPr bwMode="auto">
                                          <a:xfrm>
                                            <a:off x="0" y="0"/>
                                            <a:ext cx="1469783" cy="1772362"/>
                                          </a:xfrm>
                                          <a:prstGeom prst="rect">
                                            <a:avLst/>
                                          </a:prstGeom>
                                          <a:noFill/>
                                          <a:ln>
                                            <a:noFill/>
                                          </a:ln>
                                          <a:extLst>
                                            <a:ext uri="{53640926-AAD7-44D8-BBD7-CCE9431645EC}">
                                              <a14:shadowObscured xmlns:a14="http://schemas.microsoft.com/office/drawing/2010/main"/>
                                            </a:ext>
                                          </a:extLst>
                                        </pic:spPr>
                                      </pic:pic>
                                    </a:graphicData>
                                  </a:graphic>
                                </wp:inline>
                              </w:drawing>
                            </w:r>
                          </w:p>
                          <w:p w14:paraId="0BE81267" w14:textId="79D109F1" w:rsidR="00D36963" w:rsidRPr="00D36963" w:rsidRDefault="00D36963" w:rsidP="007F6D65">
                            <w:pPr>
                              <w:pStyle w:val="Descripcin"/>
                              <w:jc w:val="center"/>
                              <w:rPr>
                                <w:rFonts w:ascii="Arial" w:hAnsi="Arial" w:cs="Arial"/>
                                <w:smallCaps w:val="0"/>
                                <w:sz w:val="18"/>
                                <w:szCs w:val="18"/>
                              </w:rPr>
                            </w:pPr>
                            <w:bookmarkStart w:id="433" w:name="_Toc99099132"/>
                            <w:r w:rsidRPr="00D36963">
                              <w:rPr>
                                <w:rFonts w:ascii="Arial" w:hAnsi="Arial" w:cs="Arial"/>
                                <w:smallCaps w:val="0"/>
                                <w:color w:val="9D2235" w:themeColor="accent1"/>
                                <w:sz w:val="18"/>
                                <w:szCs w:val="18"/>
                              </w:rPr>
                              <w:t xml:space="preserve">Imagen </w:t>
                            </w:r>
                            <w:r w:rsidRPr="00D36963">
                              <w:rPr>
                                <w:rFonts w:ascii="Arial" w:hAnsi="Arial" w:cs="Arial"/>
                                <w:smallCaps w:val="0"/>
                                <w:color w:val="9D2235" w:themeColor="accent1"/>
                                <w:sz w:val="18"/>
                                <w:szCs w:val="18"/>
                              </w:rPr>
                              <w:fldChar w:fldCharType="begin"/>
                            </w:r>
                            <w:r w:rsidRPr="00D36963">
                              <w:rPr>
                                <w:rFonts w:ascii="Arial" w:hAnsi="Arial" w:cs="Arial"/>
                                <w:smallCaps w:val="0"/>
                                <w:color w:val="9D2235" w:themeColor="accent1"/>
                                <w:sz w:val="18"/>
                                <w:szCs w:val="18"/>
                              </w:rPr>
                              <w:instrText xml:space="preserve"> SEQ Imagen \* ARABIC </w:instrText>
                            </w:r>
                            <w:r w:rsidRPr="00D36963">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8</w:t>
                            </w:r>
                            <w:r w:rsidRPr="00D36963">
                              <w:rPr>
                                <w:rFonts w:ascii="Arial" w:hAnsi="Arial" w:cs="Arial"/>
                                <w:smallCaps w:val="0"/>
                                <w:color w:val="9D2235" w:themeColor="accent1"/>
                                <w:sz w:val="18"/>
                                <w:szCs w:val="18"/>
                              </w:rPr>
                              <w:fldChar w:fldCharType="end"/>
                            </w:r>
                            <w:r w:rsidRPr="00D36963">
                              <w:rPr>
                                <w:rFonts w:ascii="Arial" w:hAnsi="Arial" w:cs="Arial"/>
                                <w:smallCaps w:val="0"/>
                                <w:sz w:val="18"/>
                                <w:szCs w:val="18"/>
                              </w:rPr>
                              <w:t>. Guía AVAF. El Plan de Integridad Pública: Hoja de Ruta y Anexos Facilitadores</w:t>
                            </w:r>
                            <w:bookmarkEnd w:id="433"/>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69A77D" id="Cuadro de texto 2" o:spid="_x0000_s1039" type="#_x0000_t202" style="position:absolute;left:0;text-align:left;margin-left:-.35pt;margin-top:34.85pt;width:168pt;height:189.95pt;z-index:252003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" stroked="f">
                <v:textbox>
                  <w:txbxContent>
                    <w:p w14:paraId="2A2FEEC7" w14:textId="77777777" w:rsidR="00D36963" w:rsidRDefault="00D36963" w:rsidP="007F6D65">
                      <w:pPr>
                        <w:keepNext/>
                        <w:jc w:val="center"/>
                      </w:pPr>
                      <w:r>
                        <w:rPr>
                          <w:noProof/>
                        </w:rPr>
                        <w:drawing>
                          <wp:inline distT="0" distB="0" distL="0" distR="0" wp14:anchorId="2595F9E0" wp14:editId="059FCCBD">
                            <wp:extent cx="1440180" cy="1736665"/>
                            <wp:effectExtent l="0" t="0" r="7620" b="0"/>
                            <wp:docPr id="93" name="Imagen 93" descr="https://www.antifraucv.es/wp-content/uploads/2022/01/banner_guia-av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https://www.antifraucv.es/wp-content/uploads/2022/01/banner_guia-avaf.jpg"/>
                                    <pic:cNvPicPr>
                                      <a:picLocks noChangeAspect="1"/>
                                    </pic:cNvPicPr>
                                  </pic:nvPicPr>
                                  <pic:blipFill rotWithShape="1">
                                    <a:blip r:embed="rId490" cstate="print">
                                      <a:extLst>
                                        <a:ext uri="{28A0092B-C50C-407E-A947-70E740481C1C}">
                                          <a14:useLocalDpi xmlns:a14="http://schemas.microsoft.com/office/drawing/2010/main" val="0"/>
                                        </a:ext>
                                      </a:extLst>
                                    </a:blip>
                                    <a:srcRect l="22813" r="23213"/>
                                    <a:stretch/>
                                  </pic:blipFill>
                                  <pic:spPr bwMode="auto">
                                    <a:xfrm>
                                      <a:off x="0" y="0"/>
                                      <a:ext cx="1469783" cy="1772362"/>
                                    </a:xfrm>
                                    <a:prstGeom prst="rect">
                                      <a:avLst/>
                                    </a:prstGeom>
                                    <a:noFill/>
                                    <a:ln>
                                      <a:noFill/>
                                    </a:ln>
                                    <a:extLst>
                                      <a:ext uri="{53640926-AAD7-44D8-BBD7-CCE9431645EC}">
                                        <a14:shadowObscured xmlns:a14="http://schemas.microsoft.com/office/drawing/2010/main"/>
                                      </a:ext>
                                    </a:extLst>
                                  </pic:spPr>
                                </pic:pic>
                              </a:graphicData>
                            </a:graphic>
                          </wp:inline>
                        </w:drawing>
                      </w:r>
                    </w:p>
                    <w:p w14:paraId="0BE81267" w14:textId="79D109F1" w:rsidR="00D36963" w:rsidRPr="00D36963" w:rsidRDefault="00D36963" w:rsidP="007F6D65">
                      <w:pPr>
                        <w:pStyle w:val="Descripcin"/>
                        <w:jc w:val="center"/>
                        <w:rPr>
                          <w:rFonts w:ascii="Arial" w:hAnsi="Arial" w:cs="Arial"/>
                          <w:smallCaps w:val="0"/>
                          <w:sz w:val="18"/>
                          <w:szCs w:val="18"/>
                        </w:rPr>
                      </w:pPr>
                      <w:bookmarkStart w:id="445" w:name="_Toc99099132"/>
                      <w:r w:rsidRPr="00D36963">
                        <w:rPr>
                          <w:rFonts w:ascii="Arial" w:hAnsi="Arial" w:cs="Arial"/>
                          <w:smallCaps w:val="0"/>
                          <w:color w:val="9D2235" w:themeColor="accent1"/>
                          <w:sz w:val="18"/>
                          <w:szCs w:val="18"/>
                        </w:rPr>
                        <w:t xml:space="preserve">Imagen </w:t>
                      </w:r>
                      <w:r w:rsidRPr="00D36963">
                        <w:rPr>
                          <w:rFonts w:ascii="Arial" w:hAnsi="Arial" w:cs="Arial"/>
                          <w:smallCaps w:val="0"/>
                          <w:color w:val="9D2235" w:themeColor="accent1"/>
                          <w:sz w:val="18"/>
                          <w:szCs w:val="18"/>
                        </w:rPr>
                        <w:fldChar w:fldCharType="begin"/>
                      </w:r>
                      <w:r w:rsidRPr="00D36963">
                        <w:rPr>
                          <w:rFonts w:ascii="Arial" w:hAnsi="Arial" w:cs="Arial"/>
                          <w:smallCaps w:val="0"/>
                          <w:color w:val="9D2235" w:themeColor="accent1"/>
                          <w:sz w:val="18"/>
                          <w:szCs w:val="18"/>
                        </w:rPr>
                        <w:instrText xml:space="preserve"> SEQ Imagen \* ARABIC </w:instrText>
                      </w:r>
                      <w:r w:rsidRPr="00D36963">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8</w:t>
                      </w:r>
                      <w:r w:rsidRPr="00D36963">
                        <w:rPr>
                          <w:rFonts w:ascii="Arial" w:hAnsi="Arial" w:cs="Arial"/>
                          <w:smallCaps w:val="0"/>
                          <w:color w:val="9D2235" w:themeColor="accent1"/>
                          <w:sz w:val="18"/>
                          <w:szCs w:val="18"/>
                        </w:rPr>
                        <w:fldChar w:fldCharType="end"/>
                      </w:r>
                      <w:r w:rsidRPr="00D36963">
                        <w:rPr>
                          <w:rFonts w:ascii="Arial" w:hAnsi="Arial" w:cs="Arial"/>
                          <w:smallCaps w:val="0"/>
                          <w:sz w:val="18"/>
                          <w:szCs w:val="18"/>
                        </w:rPr>
                        <w:t>. Guía AVAF. El Plan de Integridad Pública: Hoja de Ruta y Anexos Facilitadores</w:t>
                      </w:r>
                      <w:bookmarkEnd w:id="445"/>
                    </w:p>
                  </w:txbxContent>
                </v:textbox>
                <w10:wrap type="square" anchorx="margin"/>
              </v:shape>
            </w:pict>
          </mc:Fallback>
        </mc:AlternateContent>
      </w:r>
      <w:r w:rsidRPr="00652460">
        <w:rPr>
          <w:rFonts w:ascii="Arial" w:hAnsi="Arial"/>
          <w:sz w:val="21"/>
          <w:szCs w:val="21"/>
        </w:rPr>
        <w:t xml:space="preserve">La primera de nuestras </w:t>
      </w:r>
      <w:r w:rsidRPr="007E7FA5">
        <w:rPr>
          <w:rFonts w:ascii="Arial" w:hAnsi="Arial"/>
          <w:b/>
          <w:bCs/>
          <w:sz w:val="21"/>
          <w:szCs w:val="21"/>
        </w:rPr>
        <w:t>Guías AVAF</w:t>
      </w:r>
      <w:r>
        <w:rPr>
          <w:rFonts w:ascii="Arial" w:hAnsi="Arial"/>
          <w:sz w:val="21"/>
          <w:szCs w:val="21"/>
        </w:rPr>
        <w:t xml:space="preserve">: </w:t>
      </w:r>
      <w:r w:rsidRPr="007E7FA5">
        <w:rPr>
          <w:rFonts w:ascii="Arial" w:hAnsi="Arial"/>
          <w:b/>
          <w:sz w:val="21"/>
          <w:szCs w:val="21"/>
        </w:rPr>
        <w:t>El Plan de Integridad Pública: Hoja de Ruta y Anexos Facilitadores</w:t>
      </w:r>
      <w:r w:rsidR="00297B34">
        <w:rPr>
          <w:rFonts w:ascii="Arial" w:hAnsi="Arial"/>
          <w:b/>
          <w:sz w:val="21"/>
          <w:szCs w:val="21"/>
        </w:rPr>
        <w:t xml:space="preserve"> </w:t>
      </w:r>
      <w:r w:rsidRPr="007E7FA5">
        <w:rPr>
          <w:rFonts w:ascii="Arial" w:hAnsi="Arial"/>
          <w:sz w:val="21"/>
          <w:szCs w:val="21"/>
        </w:rPr>
        <w:t>,</w:t>
      </w:r>
      <w:r w:rsidRPr="00652460">
        <w:rPr>
          <w:rFonts w:ascii="Arial" w:hAnsi="Arial"/>
          <w:sz w:val="21"/>
          <w:szCs w:val="21"/>
        </w:rPr>
        <w:t xml:space="preserve"> </w:t>
      </w:r>
      <w:r w:rsidR="00297B34">
        <w:rPr>
          <w:rFonts w:ascii="Arial" w:hAnsi="Arial"/>
          <w:sz w:val="21"/>
          <w:szCs w:val="21"/>
        </w:rPr>
        <w:t xml:space="preserve">ha sido </w:t>
      </w:r>
      <w:r w:rsidRPr="00652460">
        <w:rPr>
          <w:rFonts w:ascii="Arial" w:hAnsi="Arial"/>
          <w:sz w:val="21"/>
          <w:szCs w:val="21"/>
        </w:rPr>
        <w:t>aprobad</w:t>
      </w:r>
      <w:r w:rsidR="00297B34">
        <w:rPr>
          <w:rFonts w:ascii="Arial" w:hAnsi="Arial"/>
          <w:sz w:val="21"/>
          <w:szCs w:val="21"/>
        </w:rPr>
        <w:t>o</w:t>
      </w:r>
      <w:r w:rsidRPr="00652460">
        <w:rPr>
          <w:rFonts w:ascii="Arial" w:hAnsi="Arial"/>
          <w:sz w:val="21"/>
          <w:szCs w:val="21"/>
        </w:rPr>
        <w:t xml:space="preserve"> por Resolución del </w:t>
      </w:r>
      <w:r>
        <w:rPr>
          <w:rFonts w:ascii="Arial" w:hAnsi="Arial"/>
          <w:sz w:val="21"/>
          <w:szCs w:val="21"/>
        </w:rPr>
        <w:t>d</w:t>
      </w:r>
      <w:r w:rsidRPr="00652460">
        <w:rPr>
          <w:rFonts w:ascii="Arial" w:hAnsi="Arial"/>
          <w:sz w:val="21"/>
          <w:szCs w:val="21"/>
        </w:rPr>
        <w:t>irector núm. 821, de 15 de noviembre, en coherencia con nuestro plan estratégico, así como con la Recomendación del Consejo General de la OCDE sobre Integridad Pública y con la Convención de Naciones Unidas contra la Corrupción</w:t>
      </w:r>
      <w:r w:rsidR="00297B34">
        <w:rPr>
          <w:rFonts w:ascii="Arial" w:hAnsi="Arial"/>
          <w:sz w:val="21"/>
          <w:szCs w:val="21"/>
        </w:rPr>
        <w:t>,</w:t>
      </w:r>
      <w:r w:rsidRPr="00652460">
        <w:rPr>
          <w:rFonts w:ascii="Arial" w:hAnsi="Arial"/>
          <w:sz w:val="21"/>
          <w:szCs w:val="21"/>
        </w:rPr>
        <w:t xml:space="preserve">  ratificada por el Estado español (BOE núm. 171, de 19 de junio de 2006), que anima a los Estados a que adopten medidas e instrumentos encaminados a prevenir y combatir el fraude, la corrupción, y a promover la integridad. En ese sentido, la Ley Anticorrupción italiana 190/2012, configura como obligatorios los planes de integridad o prevención. De igual modo, el IV Plan de Gobierno Abierto (2020-2024)</w:t>
      </w:r>
      <w:r w:rsidR="004E039B">
        <w:rPr>
          <w:rFonts w:ascii="Arial" w:hAnsi="Arial"/>
          <w:sz w:val="21"/>
          <w:szCs w:val="21"/>
        </w:rPr>
        <w:t>,</w:t>
      </w:r>
      <w:r w:rsidRPr="00652460">
        <w:rPr>
          <w:rFonts w:ascii="Arial" w:hAnsi="Arial"/>
          <w:sz w:val="21"/>
          <w:szCs w:val="21"/>
        </w:rPr>
        <w:t xml:space="preserve"> del Ministerio de Política Territorial y Función Pública, está orientado a la construcción de un sistema de Integridad pública, fortaleciendo valores éticos y mecanismos para afianzar la integridad de las instituciones públicas y reforzar la confianza de la ciudadanía. </w:t>
      </w:r>
      <w:r w:rsidRPr="007E7FA5">
        <w:rPr>
          <w:rFonts w:ascii="Arial" w:hAnsi="Arial"/>
          <w:b/>
          <w:bCs/>
          <w:sz w:val="21"/>
          <w:szCs w:val="21"/>
        </w:rPr>
        <w:t>Guía AVAF</w:t>
      </w:r>
      <w:r>
        <w:rPr>
          <w:rFonts w:ascii="Arial" w:hAnsi="Arial"/>
          <w:b/>
          <w:sz w:val="21"/>
          <w:szCs w:val="21"/>
        </w:rPr>
        <w:t xml:space="preserve">: </w:t>
      </w:r>
      <w:r w:rsidRPr="007E7FA5">
        <w:rPr>
          <w:rFonts w:ascii="Arial" w:hAnsi="Arial"/>
          <w:b/>
          <w:sz w:val="21"/>
          <w:szCs w:val="21"/>
        </w:rPr>
        <w:t>El Plan de Integridad Pública: Hoja de Ruta y Anexos Facilitadores</w:t>
      </w:r>
      <w:r w:rsidRPr="007E7FA5">
        <w:rPr>
          <w:rFonts w:ascii="Arial" w:hAnsi="Arial"/>
          <w:b/>
          <w:bCs/>
          <w:sz w:val="21"/>
          <w:szCs w:val="21"/>
        </w:rPr>
        <w:t xml:space="preserve"> </w:t>
      </w:r>
      <w:r w:rsidRPr="004E039B">
        <w:rPr>
          <w:rFonts w:ascii="Arial" w:hAnsi="Arial"/>
          <w:sz w:val="18"/>
          <w:szCs w:val="18"/>
        </w:rPr>
        <w:t>[</w:t>
      </w:r>
      <w:hyperlink r:id="rId491" w:history="1">
        <w:r w:rsidRPr="004E039B">
          <w:rPr>
            <w:rStyle w:val="Hipervnculo"/>
            <w:rFonts w:ascii="Arial" w:hAnsi="Arial"/>
            <w:sz w:val="18"/>
            <w:szCs w:val="18"/>
          </w:rPr>
          <w:t>https://www.antifraucv.es/wp-content/uploads/2021/11/Guia_avaf_plan_de_integridad_publica.pdf</w:t>
        </w:r>
      </w:hyperlink>
      <w:r w:rsidRPr="004E039B">
        <w:rPr>
          <w:rFonts w:ascii="Arial" w:hAnsi="Arial"/>
          <w:sz w:val="18"/>
          <w:szCs w:val="18"/>
        </w:rPr>
        <w:t>]</w:t>
      </w:r>
    </w:p>
    <w:p w14:paraId="382D2BF7" w14:textId="61DBACDC" w:rsidR="00D05B08" w:rsidRPr="00D05B08" w:rsidRDefault="00D05B08" w:rsidP="00D05B08">
      <w:pPr>
        <w:spacing w:after="120" w:line="276" w:lineRule="auto"/>
        <w:jc w:val="both"/>
        <w:rPr>
          <w:rFonts w:ascii="Arial" w:eastAsia="Times New Roman" w:hAnsi="Arial" w:cs="Arial"/>
          <w:sz w:val="21"/>
          <w:szCs w:val="21"/>
          <w:lang w:eastAsia="es-ES"/>
        </w:rPr>
      </w:pPr>
      <w:r w:rsidRPr="00D05B08">
        <w:rPr>
          <w:rFonts w:ascii="Arial" w:eastAsia="Times New Roman" w:hAnsi="Arial" w:cs="Arial"/>
          <w:sz w:val="21"/>
          <w:szCs w:val="21"/>
          <w:lang w:eastAsia="es-ES"/>
        </w:rPr>
        <w:t>A todo lo anterior se suma la constante y creciente preocupación de la Unión Europea por el modo y manera en que los Estados Miembros gestionan los fondos de su presupuesto. Así, en fecha 30 de septiembre de 2021 (BOE núm. 234)</w:t>
      </w:r>
      <w:r w:rsidR="004E039B">
        <w:rPr>
          <w:rFonts w:ascii="Arial" w:eastAsia="Times New Roman" w:hAnsi="Arial" w:cs="Arial"/>
          <w:sz w:val="21"/>
          <w:szCs w:val="21"/>
          <w:lang w:eastAsia="es-ES"/>
        </w:rPr>
        <w:t>,</w:t>
      </w:r>
      <w:r w:rsidRPr="00D05B08">
        <w:rPr>
          <w:rFonts w:ascii="Arial" w:eastAsia="Times New Roman" w:hAnsi="Arial" w:cs="Arial"/>
          <w:sz w:val="21"/>
          <w:szCs w:val="21"/>
          <w:lang w:eastAsia="es-ES"/>
        </w:rPr>
        <w:t xml:space="preserve"> se publicó la Orden del Ministerio de Hacienda y Función Pública HFP/1030/2021, de 29 de septiembre, por la que se configura el sistema de gestión del Plan de Recuperación, Transformación y Resiliencia</w:t>
      </w:r>
      <w:r w:rsidR="004E039B">
        <w:rPr>
          <w:rFonts w:ascii="Arial" w:eastAsia="Times New Roman" w:hAnsi="Arial" w:cs="Arial"/>
          <w:sz w:val="21"/>
          <w:szCs w:val="21"/>
          <w:lang w:eastAsia="es-ES"/>
        </w:rPr>
        <w:t xml:space="preserve"> (PRTR)</w:t>
      </w:r>
      <w:r w:rsidRPr="00D05B08">
        <w:rPr>
          <w:rFonts w:ascii="Arial" w:eastAsia="Times New Roman" w:hAnsi="Arial" w:cs="Arial"/>
          <w:sz w:val="21"/>
          <w:szCs w:val="21"/>
          <w:lang w:eastAsia="es-ES"/>
        </w:rPr>
        <w:t xml:space="preserve">. Dicha Orden pretende proteger los intereses financieros de la UE </w:t>
      </w:r>
      <w:r w:rsidR="004E039B">
        <w:rPr>
          <w:rFonts w:ascii="Arial" w:eastAsia="Times New Roman" w:hAnsi="Arial" w:cs="Arial"/>
          <w:sz w:val="21"/>
          <w:szCs w:val="21"/>
          <w:lang w:eastAsia="es-ES"/>
        </w:rPr>
        <w:t>exigiendo</w:t>
      </w:r>
      <w:r w:rsidRPr="00D05B08">
        <w:rPr>
          <w:rFonts w:ascii="Arial" w:eastAsia="Times New Roman" w:hAnsi="Arial" w:cs="Arial"/>
          <w:sz w:val="21"/>
          <w:szCs w:val="21"/>
          <w:lang w:eastAsia="es-ES"/>
        </w:rPr>
        <w:t xml:space="preserve"> a las entidades decisoras y ejecutoras a incorporar a su ámbito interno de gestión y control los </w:t>
      </w:r>
      <w:r w:rsidR="004E039B">
        <w:rPr>
          <w:rFonts w:ascii="Arial" w:eastAsia="Times New Roman" w:hAnsi="Arial" w:cs="Arial"/>
          <w:sz w:val="21"/>
          <w:szCs w:val="21"/>
          <w:lang w:eastAsia="es-ES"/>
        </w:rPr>
        <w:t>p</w:t>
      </w:r>
      <w:r w:rsidRPr="00D05B08">
        <w:rPr>
          <w:rFonts w:ascii="Arial" w:eastAsia="Times New Roman" w:hAnsi="Arial" w:cs="Arial"/>
          <w:sz w:val="21"/>
          <w:szCs w:val="21"/>
          <w:lang w:eastAsia="es-ES"/>
        </w:rPr>
        <w:t xml:space="preserve">rincipios o criterios de gestión específicos del PRTR y, entre ellos, el </w:t>
      </w:r>
      <w:r w:rsidRPr="00D05B08">
        <w:rPr>
          <w:rFonts w:ascii="Arial" w:eastAsia="Times New Roman" w:hAnsi="Arial" w:cs="Arial"/>
          <w:i/>
          <w:iCs/>
          <w:sz w:val="21"/>
          <w:szCs w:val="21"/>
          <w:lang w:eastAsia="es-ES"/>
        </w:rPr>
        <w:t>“</w:t>
      </w:r>
      <w:r w:rsidRPr="00CD7A5C">
        <w:rPr>
          <w:rFonts w:ascii="Arial" w:eastAsia="Times New Roman" w:hAnsi="Arial" w:cs="Arial"/>
          <w:sz w:val="21"/>
          <w:szCs w:val="21"/>
          <w:lang w:eastAsia="es-ES"/>
        </w:rPr>
        <w:t>Refuerzo de mecanismos para la prevención, detección y corrección del fraude, la corrupción y los conflictos de interés</w:t>
      </w:r>
      <w:r w:rsidRPr="00D05B08">
        <w:rPr>
          <w:rFonts w:ascii="Arial" w:eastAsia="Times New Roman" w:hAnsi="Arial" w:cs="Arial"/>
          <w:i/>
          <w:iCs/>
          <w:sz w:val="21"/>
          <w:szCs w:val="21"/>
          <w:lang w:eastAsia="es-ES"/>
        </w:rPr>
        <w:t xml:space="preserve">”, </w:t>
      </w:r>
      <w:r w:rsidRPr="00D05B08">
        <w:rPr>
          <w:rFonts w:ascii="Arial" w:eastAsia="Times New Roman" w:hAnsi="Arial" w:cs="Arial"/>
          <w:sz w:val="21"/>
          <w:szCs w:val="21"/>
          <w:lang w:eastAsia="es-ES"/>
        </w:rPr>
        <w:t>obligando  a toda entidad, decisora o ejecutora, que participe en la ejecución de las medidas del PRTR a disponer de un “</w:t>
      </w:r>
      <w:r w:rsidRPr="00D05B08">
        <w:rPr>
          <w:rFonts w:ascii="Arial" w:eastAsia="Times New Roman" w:hAnsi="Arial" w:cs="Arial"/>
          <w:b/>
          <w:bCs/>
          <w:sz w:val="21"/>
          <w:szCs w:val="21"/>
          <w:lang w:eastAsia="es-ES"/>
        </w:rPr>
        <w:t>Plan de medidas antifraude”</w:t>
      </w:r>
      <w:r w:rsidRPr="00D05B08">
        <w:rPr>
          <w:rFonts w:ascii="Arial" w:eastAsia="Times New Roman" w:hAnsi="Arial" w:cs="Arial"/>
          <w:sz w:val="21"/>
          <w:szCs w:val="21"/>
          <w:lang w:eastAsia="es-ES"/>
        </w:rPr>
        <w:t xml:space="preserve"> que le permita garantizar y declarar que, en su respectivo ámbito de actuación, los fondos correspondientes se han utilizado de conformidad con las normas aplicables, en particular, en lo que se refiere a la </w:t>
      </w:r>
      <w:r w:rsidRPr="00D05B08">
        <w:rPr>
          <w:rFonts w:ascii="Arial" w:eastAsia="Times New Roman" w:hAnsi="Arial" w:cs="Arial"/>
          <w:i/>
          <w:iCs/>
          <w:sz w:val="21"/>
          <w:szCs w:val="21"/>
          <w:lang w:eastAsia="es-ES"/>
        </w:rPr>
        <w:t>prevención, detección y corrección del fraude, la corrupción y los conflictos de intereses</w:t>
      </w:r>
      <w:r w:rsidRPr="00D05B08">
        <w:rPr>
          <w:rFonts w:ascii="Arial" w:eastAsia="Times New Roman" w:hAnsi="Arial" w:cs="Arial"/>
          <w:sz w:val="21"/>
          <w:szCs w:val="21"/>
          <w:lang w:eastAsia="es-ES"/>
        </w:rPr>
        <w:t xml:space="preserve">. </w:t>
      </w:r>
    </w:p>
    <w:p w14:paraId="37FC7D18" w14:textId="70A7CEC4" w:rsidR="00D05B08" w:rsidRPr="00D05B08" w:rsidRDefault="00D05B08" w:rsidP="00D05B08">
      <w:pPr>
        <w:spacing w:after="120" w:line="276" w:lineRule="auto"/>
        <w:jc w:val="both"/>
        <w:rPr>
          <w:rFonts w:ascii="Arial" w:eastAsia="Times New Roman" w:hAnsi="Arial" w:cs="Arial"/>
          <w:sz w:val="21"/>
          <w:szCs w:val="21"/>
          <w:lang w:eastAsia="es-ES"/>
        </w:rPr>
      </w:pPr>
      <w:r w:rsidRPr="00D05B08">
        <w:rPr>
          <w:rFonts w:ascii="Arial" w:eastAsia="Times New Roman" w:hAnsi="Arial" w:cs="Arial"/>
          <w:sz w:val="21"/>
          <w:szCs w:val="21"/>
          <w:lang w:eastAsia="es-ES"/>
        </w:rPr>
        <w:t>A la vista de lo anterior, la AVAF pone a disposición de toda entidad o persona</w:t>
      </w:r>
      <w:r w:rsidR="004E039B">
        <w:rPr>
          <w:rFonts w:ascii="Arial" w:eastAsia="Times New Roman" w:hAnsi="Arial" w:cs="Arial"/>
          <w:sz w:val="21"/>
          <w:szCs w:val="21"/>
          <w:lang w:eastAsia="es-ES"/>
        </w:rPr>
        <w:t>,</w:t>
      </w:r>
      <w:r w:rsidRPr="00D05B08">
        <w:rPr>
          <w:rFonts w:ascii="Arial" w:eastAsia="Times New Roman" w:hAnsi="Arial" w:cs="Arial"/>
          <w:sz w:val="21"/>
          <w:szCs w:val="21"/>
          <w:lang w:eastAsia="es-ES"/>
        </w:rPr>
        <w:t xml:space="preserve"> incluida en su ámbito de actuación</w:t>
      </w:r>
      <w:r w:rsidR="004E039B">
        <w:rPr>
          <w:rFonts w:ascii="Arial" w:eastAsia="Times New Roman" w:hAnsi="Arial" w:cs="Arial"/>
          <w:sz w:val="21"/>
          <w:szCs w:val="21"/>
          <w:lang w:eastAsia="es-ES"/>
        </w:rPr>
        <w:t>,</w:t>
      </w:r>
      <w:r w:rsidRPr="00D05B08">
        <w:rPr>
          <w:rFonts w:ascii="Arial" w:eastAsia="Times New Roman" w:hAnsi="Arial" w:cs="Arial"/>
          <w:sz w:val="21"/>
          <w:szCs w:val="21"/>
          <w:lang w:eastAsia="es-ES"/>
        </w:rPr>
        <w:t xml:space="preserve"> la presente </w:t>
      </w:r>
      <w:r w:rsidRPr="00D05B08">
        <w:rPr>
          <w:rFonts w:ascii="Arial" w:eastAsia="Times New Roman" w:hAnsi="Arial" w:cs="Arial"/>
          <w:b/>
          <w:bCs/>
          <w:sz w:val="21"/>
          <w:szCs w:val="21"/>
          <w:lang w:eastAsia="es-ES"/>
        </w:rPr>
        <w:t>Guía</w:t>
      </w:r>
      <w:r w:rsidRPr="00D05B08">
        <w:rPr>
          <w:rFonts w:ascii="Arial" w:eastAsia="Times New Roman" w:hAnsi="Arial" w:cs="Arial"/>
          <w:sz w:val="21"/>
          <w:szCs w:val="21"/>
          <w:lang w:eastAsia="es-ES"/>
        </w:rPr>
        <w:t xml:space="preserve"> que, como su nombre indica, pretende servir de hoja de ruta en cuanto a los contenidos mínimos de los planes de integridad pública, habiendo integrado entre sus líneas generales las exigencias y orientaciones relacionadas con los </w:t>
      </w:r>
      <w:r w:rsidR="004E039B">
        <w:rPr>
          <w:rFonts w:ascii="Arial" w:eastAsia="Times New Roman" w:hAnsi="Arial" w:cs="Arial"/>
          <w:sz w:val="21"/>
          <w:szCs w:val="21"/>
          <w:lang w:eastAsia="es-ES"/>
        </w:rPr>
        <w:t>F</w:t>
      </w:r>
      <w:r w:rsidRPr="00D05B08">
        <w:rPr>
          <w:rFonts w:ascii="Arial" w:eastAsia="Times New Roman" w:hAnsi="Arial" w:cs="Arial"/>
          <w:sz w:val="21"/>
          <w:szCs w:val="21"/>
          <w:lang w:eastAsia="es-ES"/>
        </w:rPr>
        <w:t xml:space="preserve">ondos Next Generation. La Guía, como se ha indicado, pretende establecer unas pautas y orientar a los organismos que decidan implantar un plan de integridad en su organización en este cometido. A tal efecto, se proporcionan unas orientaciones para que delimiten su contenido, concreten los destinatarios del plan y establezcan un marco conceptual del mismo. Tomar conciencia de que el plan es uno de los principales marcos de integridad resulta esencial, por lo que habrá de configurarse como una auténtica herramienta de planificación, con la finalidad de prevenir la corrupción institucional, asumiendo por parte de todos los integrantes y organismos o personal que se relacionen con la entidad promotora, un compromiso de tolerancia cero contra la corrupción. Todo plan de integridad deberá disponer de encargados del seguimiento del mismo, actualizándolo de manera acorde a los riesgos detectados. Riesgos que se detectarán de conformidad al autodiagnóstico realizado por la propia institución, procediendo a su evaluación y estableciendo indicadores de los mismos, para lo cual habrán de implementarse las herramientas de evaluación correspondientes para graduar los riesgos de fraude, estructurando las medidas y controles atenuantes que procedan, de manera proporcionada, para reducir su impacto a un nivel aceptable. Todo ello sin olvidar que el conjunto del plan deberá girar en torno a los cuatro elementos clave del denominado ciclo antifraude: prevención, detección, corrección y persecución.  </w:t>
      </w:r>
    </w:p>
    <w:p w14:paraId="6C57DDCE" w14:textId="79CF497F" w:rsidR="00D05B08" w:rsidRPr="00D05B08" w:rsidRDefault="00D05B08" w:rsidP="00D05B08">
      <w:pPr>
        <w:spacing w:after="120" w:line="276" w:lineRule="auto"/>
        <w:jc w:val="both"/>
        <w:rPr>
          <w:rFonts w:ascii="Arial" w:eastAsia="Times New Roman" w:hAnsi="Arial" w:cs="Arial"/>
          <w:sz w:val="21"/>
          <w:szCs w:val="21"/>
          <w:lang w:eastAsia="es-ES"/>
        </w:rPr>
      </w:pPr>
      <w:r w:rsidRPr="00D05B08">
        <w:rPr>
          <w:rFonts w:ascii="Arial" w:eastAsia="Times New Roman" w:hAnsi="Arial" w:cs="Arial"/>
          <w:sz w:val="21"/>
          <w:szCs w:val="21"/>
          <w:lang w:eastAsia="es-ES"/>
        </w:rPr>
        <w:t>La Guía incide en la importancia de realizar una formación periódica y sensibilizar a todo el personal y a los órganos decisorios en materia de integridad pública, así como en la de establecer un canal de comunicaciones y denuncias de obligatorio cumplimiento</w:t>
      </w:r>
      <w:r w:rsidR="00B4627F">
        <w:rPr>
          <w:rFonts w:ascii="Arial" w:eastAsia="Times New Roman" w:hAnsi="Arial" w:cs="Arial"/>
          <w:sz w:val="21"/>
          <w:szCs w:val="21"/>
          <w:lang w:eastAsia="es-ES"/>
        </w:rPr>
        <w:t>,</w:t>
      </w:r>
      <w:r w:rsidRPr="00D05B08">
        <w:rPr>
          <w:rFonts w:ascii="Arial" w:eastAsia="Times New Roman" w:hAnsi="Arial" w:cs="Arial"/>
          <w:sz w:val="21"/>
          <w:szCs w:val="21"/>
          <w:lang w:eastAsia="es-ES"/>
        </w:rPr>
        <w:t xml:space="preserve"> respetuoso con las exigencias de la Directiva Europea 2019/1937 de protección de las personas que informen sobre infracciones del Derecho de la Unión.</w:t>
      </w:r>
    </w:p>
    <w:p w14:paraId="01E50ABF" w14:textId="77777777" w:rsidR="00D05B08" w:rsidRPr="00D05B08" w:rsidRDefault="00D05B08" w:rsidP="00D05B08">
      <w:pPr>
        <w:spacing w:after="120" w:line="276" w:lineRule="auto"/>
        <w:jc w:val="both"/>
        <w:rPr>
          <w:rFonts w:ascii="Arial" w:eastAsia="Times New Roman" w:hAnsi="Arial" w:cs="Arial"/>
          <w:sz w:val="21"/>
          <w:szCs w:val="21"/>
          <w:lang w:eastAsia="es-ES"/>
        </w:rPr>
      </w:pPr>
      <w:r w:rsidRPr="00D05B08">
        <w:rPr>
          <w:rFonts w:ascii="Arial" w:eastAsia="Times New Roman" w:hAnsi="Arial" w:cs="Arial"/>
          <w:sz w:val="21"/>
          <w:szCs w:val="21"/>
          <w:lang w:eastAsia="es-ES"/>
        </w:rPr>
        <w:t>Otras recomendaciones de la guía pasan por definir un protocolo de actuación contingente de los riesgos que se materialicen o elaborar un código ético que integre la identificación, detección y gestión de los conflictos de interés, entre otras.</w:t>
      </w:r>
    </w:p>
    <w:p w14:paraId="78928ED2" w14:textId="6D8A6619" w:rsidR="00D36963" w:rsidRDefault="00D05B08" w:rsidP="00282D81">
      <w:pPr>
        <w:spacing w:after="120" w:line="276" w:lineRule="auto"/>
        <w:jc w:val="both"/>
        <w:rPr>
          <w:rFonts w:ascii="Arial" w:eastAsia="Times New Roman" w:hAnsi="Arial" w:cs="Arial"/>
          <w:sz w:val="21"/>
          <w:szCs w:val="21"/>
          <w:lang w:eastAsia="es-ES"/>
        </w:rPr>
      </w:pPr>
      <w:r w:rsidRPr="00D05B08">
        <w:rPr>
          <w:rFonts w:ascii="Arial" w:eastAsia="Times New Roman" w:hAnsi="Arial" w:cs="Arial"/>
          <w:sz w:val="21"/>
          <w:szCs w:val="21"/>
          <w:lang w:eastAsia="es-ES"/>
        </w:rPr>
        <w:t xml:space="preserve">Al mismo tiempo, la guía pretende brindar un acompañamiento en el complejo proceso de elaboración e implementación de dichos planes, incorporando hasta </w:t>
      </w:r>
      <w:r w:rsidRPr="00D05B08">
        <w:rPr>
          <w:rFonts w:ascii="Arial" w:eastAsia="Times New Roman" w:hAnsi="Arial" w:cs="Arial"/>
          <w:b/>
          <w:bCs/>
          <w:sz w:val="21"/>
          <w:szCs w:val="21"/>
          <w:lang w:eastAsia="es-ES"/>
        </w:rPr>
        <w:t>XXI</w:t>
      </w:r>
      <w:r w:rsidRPr="00D05B08">
        <w:rPr>
          <w:rFonts w:ascii="Arial" w:eastAsia="Times New Roman" w:hAnsi="Arial" w:cs="Arial"/>
          <w:sz w:val="21"/>
          <w:szCs w:val="21"/>
          <w:lang w:eastAsia="es-ES"/>
        </w:rPr>
        <w:t xml:space="preserve"> </w:t>
      </w:r>
      <w:r w:rsidRPr="00D05B08">
        <w:rPr>
          <w:rFonts w:ascii="Arial" w:eastAsia="Times New Roman" w:hAnsi="Arial" w:cs="Arial"/>
          <w:b/>
          <w:bCs/>
          <w:sz w:val="21"/>
          <w:szCs w:val="21"/>
          <w:lang w:eastAsia="es-ES"/>
        </w:rPr>
        <w:t>ANEXOS FACILITADORES</w:t>
      </w:r>
      <w:r w:rsidRPr="00D05B08">
        <w:rPr>
          <w:rFonts w:ascii="Arial" w:eastAsia="Times New Roman" w:hAnsi="Arial" w:cs="Arial"/>
          <w:sz w:val="21"/>
          <w:szCs w:val="21"/>
          <w:lang w:eastAsia="es-ES"/>
        </w:rPr>
        <w:t xml:space="preserve"> de dicha encomiable tarea</w:t>
      </w:r>
      <w:r w:rsidR="004E039B">
        <w:rPr>
          <w:rFonts w:ascii="Arial" w:eastAsia="Times New Roman" w:hAnsi="Arial" w:cs="Arial"/>
          <w:sz w:val="21"/>
          <w:szCs w:val="21"/>
          <w:lang w:eastAsia="es-ES"/>
        </w:rPr>
        <w:t>,</w:t>
      </w:r>
      <w:r w:rsidRPr="00D05B08">
        <w:rPr>
          <w:rFonts w:ascii="Arial" w:eastAsia="Times New Roman" w:hAnsi="Arial" w:cs="Arial"/>
          <w:sz w:val="21"/>
          <w:szCs w:val="21"/>
          <w:lang w:eastAsia="es-ES"/>
        </w:rPr>
        <w:t xml:space="preserve"> que permita</w:t>
      </w:r>
      <w:r w:rsidR="004E039B">
        <w:rPr>
          <w:rFonts w:ascii="Arial" w:eastAsia="Times New Roman" w:hAnsi="Arial" w:cs="Arial"/>
          <w:sz w:val="21"/>
          <w:szCs w:val="21"/>
          <w:lang w:eastAsia="es-ES"/>
        </w:rPr>
        <w:t>n</w:t>
      </w:r>
      <w:r w:rsidRPr="00D05B08">
        <w:rPr>
          <w:rFonts w:ascii="Arial" w:eastAsia="Times New Roman" w:hAnsi="Arial" w:cs="Arial"/>
          <w:sz w:val="21"/>
          <w:szCs w:val="21"/>
          <w:lang w:eastAsia="es-ES"/>
        </w:rPr>
        <w:t xml:space="preserve"> a las entidades públicas valencianas posicionarse a favor de la cultura de la integridad pública, con tolerancia cero hacia la corrupción, en este caso, a través de la elaboración, aprobación y puesta en práctica de su plan de integridad en relación a todas sus áreas de práctica, redundando en una mejora del control (interno y externo) de los presupuestos públicos de las entidades valencianas, y no sólo los procedentes del presupuesto financiero de la Unión europea. La Guía se presenta como un documento susceptible de actualización periódica y de carácter orientativo, siendo responsabilidad de cada entidad pública o sujetos destinatarios </w:t>
      </w:r>
      <w:r w:rsidR="004E039B">
        <w:rPr>
          <w:rFonts w:ascii="Arial" w:eastAsia="Times New Roman" w:hAnsi="Arial" w:cs="Arial"/>
          <w:sz w:val="21"/>
          <w:szCs w:val="21"/>
          <w:lang w:eastAsia="es-ES"/>
        </w:rPr>
        <w:t>la</w:t>
      </w:r>
      <w:r w:rsidRPr="00D05B08">
        <w:rPr>
          <w:rFonts w:ascii="Arial" w:eastAsia="Times New Roman" w:hAnsi="Arial" w:cs="Arial"/>
          <w:sz w:val="21"/>
          <w:szCs w:val="21"/>
          <w:lang w:eastAsia="es-ES"/>
        </w:rPr>
        <w:t xml:space="preserve"> selección y, en su caso, ampliación de los contenidos propuestos para su adaptación a </w:t>
      </w:r>
      <w:r w:rsidR="004E039B">
        <w:rPr>
          <w:rFonts w:ascii="Arial" w:eastAsia="Times New Roman" w:hAnsi="Arial" w:cs="Arial"/>
          <w:sz w:val="21"/>
          <w:szCs w:val="21"/>
          <w:lang w:eastAsia="es-ES"/>
        </w:rPr>
        <w:t>sus</w:t>
      </w:r>
      <w:r w:rsidRPr="00D05B08">
        <w:rPr>
          <w:rFonts w:ascii="Arial" w:eastAsia="Times New Roman" w:hAnsi="Arial" w:cs="Arial"/>
          <w:sz w:val="21"/>
          <w:szCs w:val="21"/>
          <w:lang w:eastAsia="es-ES"/>
        </w:rPr>
        <w:t xml:space="preserve"> necesidades, recursos y organización. Enumeramos a continuación los anexos facilitadores para la elaboración del plan:</w:t>
      </w:r>
    </w:p>
    <w:p w14:paraId="52C48493" w14:textId="3AB8DCC2" w:rsidR="00D36963" w:rsidRDefault="00D36963" w:rsidP="006E503C">
      <w:pPr>
        <w:pStyle w:val="Prrafodelista"/>
        <w:numPr>
          <w:ilvl w:val="0"/>
          <w:numId w:val="149"/>
        </w:numPr>
        <w:tabs>
          <w:tab w:val="left" w:pos="1843"/>
        </w:tabs>
        <w:spacing w:after="120" w:line="276" w:lineRule="auto"/>
        <w:ind w:left="1071" w:hanging="646"/>
        <w:contextualSpacing w:val="0"/>
        <w:jc w:val="both"/>
        <w:rPr>
          <w:rFonts w:ascii="Arial" w:eastAsia="Calibri" w:hAnsi="Arial" w:cs="Arial"/>
          <w:kern w:val="2"/>
          <w:sz w:val="21"/>
          <w:szCs w:val="21"/>
        </w:rPr>
      </w:pPr>
      <w:r w:rsidRPr="00B4627F">
        <w:rPr>
          <w:rFonts w:ascii="Arial" w:eastAsia="Calibri" w:hAnsi="Arial" w:cs="Arial"/>
          <w:kern w:val="2"/>
          <w:sz w:val="21"/>
          <w:szCs w:val="21"/>
        </w:rPr>
        <w:t>Declaración institucional de integridad.</w:t>
      </w:r>
    </w:p>
    <w:p w14:paraId="581EEB45" w14:textId="4CD8AD4D" w:rsidR="00D36963" w:rsidRPr="00B4627F" w:rsidRDefault="00D36963" w:rsidP="006E503C">
      <w:pPr>
        <w:pStyle w:val="Prrafodelista"/>
        <w:numPr>
          <w:ilvl w:val="0"/>
          <w:numId w:val="149"/>
        </w:numPr>
        <w:tabs>
          <w:tab w:val="left" w:pos="1843"/>
        </w:tabs>
        <w:spacing w:after="120" w:line="276" w:lineRule="auto"/>
        <w:ind w:hanging="644"/>
        <w:contextualSpacing w:val="0"/>
        <w:jc w:val="both"/>
        <w:rPr>
          <w:rFonts w:ascii="Arial" w:eastAsia="Calibri" w:hAnsi="Arial" w:cs="Arial"/>
          <w:kern w:val="2"/>
          <w:sz w:val="21"/>
          <w:szCs w:val="21"/>
        </w:rPr>
      </w:pPr>
      <w:r w:rsidRPr="00B4627F">
        <w:rPr>
          <w:rFonts w:ascii="Arial" w:eastAsia="Calibri" w:hAnsi="Arial" w:cs="Arial"/>
          <w:kern w:val="2"/>
          <w:sz w:val="21"/>
          <w:szCs w:val="21"/>
        </w:rPr>
        <w:t xml:space="preserve">Plantilla de responsabilidades en los procesos de gestión de riesgo. </w:t>
      </w:r>
    </w:p>
    <w:p w14:paraId="3534972D" w14:textId="6D3DCB65" w:rsidR="00D36963" w:rsidRPr="00B4627F" w:rsidRDefault="00D36963" w:rsidP="006E503C">
      <w:pPr>
        <w:pStyle w:val="Prrafodelista"/>
        <w:numPr>
          <w:ilvl w:val="0"/>
          <w:numId w:val="149"/>
        </w:numPr>
        <w:tabs>
          <w:tab w:val="left" w:pos="1843"/>
          <w:tab w:val="left" w:pos="1871"/>
        </w:tabs>
        <w:spacing w:after="120" w:line="276" w:lineRule="auto"/>
        <w:ind w:left="1843" w:hanging="1417"/>
        <w:contextualSpacing w:val="0"/>
        <w:jc w:val="both"/>
        <w:rPr>
          <w:rFonts w:ascii="Arial" w:eastAsia="Calibri" w:hAnsi="Arial" w:cs="Arial"/>
          <w:kern w:val="2"/>
          <w:sz w:val="21"/>
          <w:szCs w:val="21"/>
        </w:rPr>
      </w:pPr>
      <w:r w:rsidRPr="00B4627F">
        <w:rPr>
          <w:rFonts w:ascii="Arial" w:eastAsia="Calibri" w:hAnsi="Arial" w:cs="Arial"/>
          <w:kern w:val="2"/>
          <w:sz w:val="21"/>
          <w:szCs w:val="21"/>
        </w:rPr>
        <w:t>Declaración de ausencia de conflicto de interés (DACI). Anexo IV.A de la Orden HFP</w:t>
      </w:r>
      <w:r w:rsidR="00D05B08" w:rsidRPr="00B4627F">
        <w:rPr>
          <w:rFonts w:ascii="Arial" w:eastAsia="Calibri" w:hAnsi="Arial" w:cs="Arial"/>
          <w:kern w:val="2"/>
          <w:sz w:val="21"/>
          <w:szCs w:val="21"/>
        </w:rPr>
        <w:t>/</w:t>
      </w:r>
      <w:r w:rsidRPr="00B4627F">
        <w:rPr>
          <w:rFonts w:ascii="Arial" w:eastAsia="Calibri" w:hAnsi="Arial" w:cs="Arial"/>
          <w:kern w:val="2"/>
          <w:sz w:val="21"/>
          <w:szCs w:val="21"/>
        </w:rPr>
        <w:t>1030/2021</w:t>
      </w:r>
      <w:r w:rsidR="001D098E">
        <w:rPr>
          <w:rFonts w:ascii="Arial" w:eastAsia="Calibri" w:hAnsi="Arial" w:cs="Arial"/>
          <w:kern w:val="2"/>
          <w:sz w:val="21"/>
          <w:szCs w:val="21"/>
        </w:rPr>
        <w:t>.</w:t>
      </w:r>
    </w:p>
    <w:p w14:paraId="3D985C69" w14:textId="48D7FE39" w:rsidR="00D36963" w:rsidRPr="00B4627F" w:rsidRDefault="00D36963" w:rsidP="006E503C">
      <w:pPr>
        <w:pStyle w:val="Prrafodelista"/>
        <w:numPr>
          <w:ilvl w:val="0"/>
          <w:numId w:val="149"/>
        </w:numPr>
        <w:tabs>
          <w:tab w:val="left" w:pos="1843"/>
          <w:tab w:val="left" w:pos="1871"/>
        </w:tabs>
        <w:spacing w:after="120" w:line="276" w:lineRule="auto"/>
        <w:ind w:left="1843" w:hanging="1417"/>
        <w:contextualSpacing w:val="0"/>
        <w:jc w:val="both"/>
        <w:rPr>
          <w:rFonts w:ascii="Arial" w:eastAsia="Calibri" w:hAnsi="Arial" w:cs="Arial"/>
          <w:kern w:val="2"/>
          <w:sz w:val="21"/>
          <w:szCs w:val="21"/>
        </w:rPr>
      </w:pPr>
      <w:r w:rsidRPr="00B4627F">
        <w:rPr>
          <w:rFonts w:ascii="Arial" w:eastAsia="Calibri" w:hAnsi="Arial" w:cs="Arial"/>
          <w:kern w:val="2"/>
          <w:sz w:val="21"/>
          <w:szCs w:val="21"/>
        </w:rPr>
        <w:t>Manual didáctico visual AVAF “Los conflictos de interés en clave de integridad pública” y otros instrumentos de utilidad.</w:t>
      </w:r>
    </w:p>
    <w:p w14:paraId="191DF16D" w14:textId="46193B4F" w:rsidR="00D36963" w:rsidRPr="00B4627F" w:rsidRDefault="00D36963" w:rsidP="006E503C">
      <w:pPr>
        <w:pStyle w:val="Prrafodelista"/>
        <w:numPr>
          <w:ilvl w:val="0"/>
          <w:numId w:val="149"/>
        </w:numPr>
        <w:tabs>
          <w:tab w:val="left" w:pos="1843"/>
          <w:tab w:val="left" w:pos="1871"/>
        </w:tabs>
        <w:spacing w:after="120" w:line="276" w:lineRule="auto"/>
        <w:ind w:hanging="644"/>
        <w:contextualSpacing w:val="0"/>
        <w:jc w:val="both"/>
        <w:rPr>
          <w:rFonts w:ascii="Arial" w:eastAsia="Calibri" w:hAnsi="Arial" w:cs="Arial"/>
          <w:kern w:val="2"/>
          <w:sz w:val="21"/>
          <w:szCs w:val="21"/>
        </w:rPr>
      </w:pPr>
      <w:r w:rsidRPr="00B4627F">
        <w:rPr>
          <w:rFonts w:ascii="Arial" w:eastAsia="Calibri" w:hAnsi="Arial" w:cs="Arial"/>
          <w:kern w:val="2"/>
          <w:sz w:val="21"/>
          <w:szCs w:val="21"/>
        </w:rPr>
        <w:t xml:space="preserve">Propuesta de contenido orientativo del código ético. </w:t>
      </w:r>
    </w:p>
    <w:p w14:paraId="2CC3AECD" w14:textId="4D0D34B4" w:rsidR="00D36963" w:rsidRPr="00B4627F" w:rsidRDefault="00D36963" w:rsidP="006E503C">
      <w:pPr>
        <w:pStyle w:val="Prrafodelista"/>
        <w:numPr>
          <w:ilvl w:val="0"/>
          <w:numId w:val="149"/>
        </w:numPr>
        <w:tabs>
          <w:tab w:val="left" w:pos="1843"/>
          <w:tab w:val="left" w:pos="1871"/>
        </w:tabs>
        <w:spacing w:after="120" w:line="276" w:lineRule="auto"/>
        <w:ind w:hanging="644"/>
        <w:contextualSpacing w:val="0"/>
        <w:jc w:val="both"/>
        <w:rPr>
          <w:rFonts w:ascii="Arial" w:eastAsia="Calibri" w:hAnsi="Arial" w:cs="Arial"/>
          <w:kern w:val="2"/>
          <w:sz w:val="21"/>
          <w:szCs w:val="21"/>
        </w:rPr>
      </w:pPr>
      <w:r w:rsidRPr="00B4627F">
        <w:rPr>
          <w:rFonts w:ascii="Arial" w:eastAsia="Calibri" w:hAnsi="Arial" w:cs="Arial"/>
          <w:kern w:val="2"/>
          <w:sz w:val="21"/>
          <w:szCs w:val="21"/>
        </w:rPr>
        <w:t>Cuestionario básico autodiagnóstico AVAF.</w:t>
      </w:r>
    </w:p>
    <w:p w14:paraId="6A15BDE5" w14:textId="6B716E22" w:rsidR="00D36963" w:rsidRPr="00B4627F" w:rsidRDefault="00D36963" w:rsidP="006E503C">
      <w:pPr>
        <w:pStyle w:val="Prrafodelista"/>
        <w:numPr>
          <w:ilvl w:val="0"/>
          <w:numId w:val="149"/>
        </w:numPr>
        <w:tabs>
          <w:tab w:val="left" w:pos="1843"/>
          <w:tab w:val="left" w:pos="1871"/>
        </w:tabs>
        <w:spacing w:after="120" w:line="276" w:lineRule="auto"/>
        <w:ind w:hanging="644"/>
        <w:contextualSpacing w:val="0"/>
        <w:jc w:val="both"/>
        <w:rPr>
          <w:rFonts w:ascii="Arial" w:eastAsia="Calibri" w:hAnsi="Arial" w:cs="Arial"/>
          <w:kern w:val="2"/>
          <w:sz w:val="21"/>
          <w:szCs w:val="21"/>
        </w:rPr>
      </w:pPr>
      <w:r w:rsidRPr="00B4627F">
        <w:rPr>
          <w:rFonts w:ascii="Arial" w:eastAsia="Calibri" w:hAnsi="Arial" w:cs="Arial"/>
          <w:kern w:val="2"/>
          <w:sz w:val="21"/>
          <w:szCs w:val="21"/>
        </w:rPr>
        <w:t>Test de autoevaluación. Anexo II.B.5 Orden HFP</w:t>
      </w:r>
      <w:r w:rsidR="00D05B08" w:rsidRPr="00B4627F">
        <w:rPr>
          <w:rFonts w:ascii="Arial" w:eastAsia="Calibri" w:hAnsi="Arial" w:cs="Arial"/>
          <w:kern w:val="2"/>
          <w:sz w:val="21"/>
          <w:szCs w:val="21"/>
        </w:rPr>
        <w:t>/</w:t>
      </w:r>
      <w:r w:rsidRPr="00B4627F">
        <w:rPr>
          <w:rFonts w:ascii="Arial" w:eastAsia="Calibri" w:hAnsi="Arial" w:cs="Arial"/>
          <w:kern w:val="2"/>
          <w:sz w:val="21"/>
          <w:szCs w:val="21"/>
        </w:rPr>
        <w:t>1030/2021</w:t>
      </w:r>
      <w:r w:rsidRPr="00B4627F">
        <w:rPr>
          <w:rFonts w:ascii="Arial" w:eastAsia="Calibri" w:hAnsi="Arial" w:cs="Arial"/>
          <w:color w:val="333333"/>
          <w:kern w:val="2"/>
          <w:sz w:val="21"/>
          <w:szCs w:val="21"/>
        </w:rPr>
        <w:t xml:space="preserve">. </w:t>
      </w:r>
    </w:p>
    <w:p w14:paraId="5F22E8B6" w14:textId="7E0B7278" w:rsidR="00D36963" w:rsidRPr="00B4627F" w:rsidRDefault="00D36963" w:rsidP="006E503C">
      <w:pPr>
        <w:pStyle w:val="Prrafodelista"/>
        <w:numPr>
          <w:ilvl w:val="0"/>
          <w:numId w:val="149"/>
        </w:numPr>
        <w:tabs>
          <w:tab w:val="left" w:pos="1843"/>
          <w:tab w:val="left" w:pos="1871"/>
        </w:tabs>
        <w:spacing w:after="120" w:line="276" w:lineRule="auto"/>
        <w:ind w:hanging="644"/>
        <w:contextualSpacing w:val="0"/>
        <w:jc w:val="both"/>
        <w:rPr>
          <w:rFonts w:ascii="Arial" w:eastAsia="Calibri" w:hAnsi="Arial" w:cs="Arial"/>
          <w:kern w:val="2"/>
          <w:sz w:val="21"/>
          <w:szCs w:val="21"/>
        </w:rPr>
      </w:pPr>
      <w:r w:rsidRPr="00B4627F">
        <w:rPr>
          <w:rFonts w:ascii="Arial" w:eastAsia="Calibri" w:hAnsi="Arial" w:cs="Arial"/>
          <w:color w:val="333333"/>
          <w:kern w:val="2"/>
          <w:sz w:val="21"/>
          <w:szCs w:val="21"/>
        </w:rPr>
        <w:t>Herramientas para la evaluación del riesgo de fraude: Matriz de riesgo</w:t>
      </w:r>
      <w:r w:rsidR="001D098E">
        <w:rPr>
          <w:rFonts w:ascii="Arial" w:eastAsia="Calibri" w:hAnsi="Arial" w:cs="Arial"/>
          <w:kern w:val="2"/>
          <w:sz w:val="21"/>
          <w:szCs w:val="21"/>
        </w:rPr>
        <w:t>.</w:t>
      </w:r>
    </w:p>
    <w:p w14:paraId="594664E2" w14:textId="62722E00" w:rsidR="00D36963" w:rsidRPr="00B4627F" w:rsidRDefault="00D36963" w:rsidP="006E503C">
      <w:pPr>
        <w:pStyle w:val="Prrafodelista"/>
        <w:numPr>
          <w:ilvl w:val="0"/>
          <w:numId w:val="149"/>
        </w:numPr>
        <w:tabs>
          <w:tab w:val="left" w:pos="1843"/>
          <w:tab w:val="left" w:pos="1871"/>
        </w:tabs>
        <w:spacing w:after="120" w:line="276" w:lineRule="auto"/>
        <w:ind w:hanging="644"/>
        <w:contextualSpacing w:val="0"/>
        <w:jc w:val="both"/>
        <w:rPr>
          <w:rFonts w:ascii="Arial" w:eastAsia="Calibri" w:hAnsi="Arial" w:cs="Arial"/>
          <w:kern w:val="2"/>
          <w:sz w:val="21"/>
          <w:szCs w:val="21"/>
        </w:rPr>
      </w:pPr>
      <w:r w:rsidRPr="00B4627F">
        <w:rPr>
          <w:rFonts w:ascii="Arial" w:eastAsia="Calibri" w:hAnsi="Arial" w:cs="Arial"/>
          <w:kern w:val="2"/>
          <w:sz w:val="21"/>
          <w:szCs w:val="21"/>
        </w:rPr>
        <w:t>Modelo cuadro de indicadores de seguimiento y evaluación</w:t>
      </w:r>
      <w:r w:rsidR="001D098E">
        <w:rPr>
          <w:rFonts w:ascii="Arial" w:eastAsia="Calibri" w:hAnsi="Arial" w:cs="Arial"/>
          <w:kern w:val="2"/>
          <w:sz w:val="21"/>
          <w:szCs w:val="21"/>
        </w:rPr>
        <w:t>.</w:t>
      </w:r>
    </w:p>
    <w:p w14:paraId="7C9918FA" w14:textId="677626DD" w:rsidR="00D36963" w:rsidRPr="00B4627F" w:rsidRDefault="00D36963" w:rsidP="006E503C">
      <w:pPr>
        <w:pStyle w:val="Prrafodelista"/>
        <w:numPr>
          <w:ilvl w:val="0"/>
          <w:numId w:val="149"/>
        </w:numPr>
        <w:tabs>
          <w:tab w:val="left" w:pos="1843"/>
          <w:tab w:val="left" w:pos="1871"/>
        </w:tabs>
        <w:spacing w:after="120" w:line="276" w:lineRule="auto"/>
        <w:ind w:left="1843" w:hanging="1417"/>
        <w:contextualSpacing w:val="0"/>
        <w:jc w:val="both"/>
        <w:rPr>
          <w:rFonts w:ascii="Arial" w:eastAsia="Calibri" w:hAnsi="Arial" w:cs="Arial"/>
          <w:kern w:val="2"/>
          <w:sz w:val="21"/>
          <w:szCs w:val="21"/>
        </w:rPr>
      </w:pPr>
      <w:r w:rsidRPr="00B4627F">
        <w:rPr>
          <w:rFonts w:ascii="Arial" w:eastAsia="Calibri" w:hAnsi="Arial" w:cs="Arial"/>
          <w:kern w:val="2"/>
          <w:sz w:val="21"/>
          <w:szCs w:val="21"/>
        </w:rPr>
        <w:t>Metodología de análisis de riesgos: Descripción general de la norma ISO 31000.</w:t>
      </w:r>
    </w:p>
    <w:p w14:paraId="186017B9" w14:textId="42B15D97" w:rsidR="00D36963" w:rsidRPr="00B4627F" w:rsidRDefault="00D36963" w:rsidP="006E503C">
      <w:pPr>
        <w:pStyle w:val="Prrafodelista"/>
        <w:numPr>
          <w:ilvl w:val="0"/>
          <w:numId w:val="149"/>
        </w:numPr>
        <w:tabs>
          <w:tab w:val="left" w:pos="1843"/>
          <w:tab w:val="left" w:pos="1871"/>
        </w:tabs>
        <w:spacing w:after="120" w:line="276" w:lineRule="auto"/>
        <w:ind w:hanging="644"/>
        <w:contextualSpacing w:val="0"/>
        <w:jc w:val="both"/>
        <w:rPr>
          <w:rFonts w:ascii="Arial" w:eastAsia="Calibri" w:hAnsi="Arial" w:cs="Arial"/>
          <w:kern w:val="2"/>
          <w:sz w:val="21"/>
          <w:szCs w:val="21"/>
        </w:rPr>
      </w:pPr>
      <w:r w:rsidRPr="00B4627F">
        <w:rPr>
          <w:rFonts w:ascii="Arial" w:eastAsia="Calibri" w:hAnsi="Arial" w:cs="Arial"/>
          <w:color w:val="231F20"/>
          <w:spacing w:val="-2"/>
          <w:kern w:val="2"/>
          <w:sz w:val="21"/>
          <w:szCs w:val="21"/>
          <w:lang w:val="ca-ES"/>
        </w:rPr>
        <w:t>Metodologia AVAF de anàlisis de riesgos</w:t>
      </w:r>
      <w:r w:rsidRPr="00B4627F">
        <w:rPr>
          <w:rFonts w:ascii="Arial" w:eastAsia="Calibri" w:hAnsi="Arial" w:cs="Arial"/>
          <w:kern w:val="2"/>
          <w:sz w:val="21"/>
          <w:szCs w:val="21"/>
        </w:rPr>
        <w:t>.</w:t>
      </w:r>
    </w:p>
    <w:p w14:paraId="397AD313" w14:textId="2943206B" w:rsidR="00D36963" w:rsidRPr="00B4627F" w:rsidRDefault="00D36963" w:rsidP="006E503C">
      <w:pPr>
        <w:pStyle w:val="Prrafodelista"/>
        <w:numPr>
          <w:ilvl w:val="0"/>
          <w:numId w:val="149"/>
        </w:numPr>
        <w:tabs>
          <w:tab w:val="left" w:pos="1843"/>
          <w:tab w:val="left" w:pos="1871"/>
        </w:tabs>
        <w:spacing w:after="120" w:line="276" w:lineRule="auto"/>
        <w:ind w:hanging="644"/>
        <w:contextualSpacing w:val="0"/>
        <w:jc w:val="both"/>
        <w:rPr>
          <w:rFonts w:ascii="Arial" w:eastAsia="Calibri" w:hAnsi="Arial" w:cs="Arial"/>
          <w:kern w:val="2"/>
          <w:sz w:val="21"/>
          <w:szCs w:val="21"/>
        </w:rPr>
      </w:pPr>
      <w:r w:rsidRPr="00B4627F">
        <w:rPr>
          <w:rFonts w:ascii="Arial" w:eastAsia="Calibri" w:hAnsi="Arial" w:cs="Arial"/>
          <w:kern w:val="2"/>
          <w:sz w:val="21"/>
          <w:szCs w:val="21"/>
        </w:rPr>
        <w:t>Catálogo AVAF de riesgos en los procesos de toma de decisiones.</w:t>
      </w:r>
    </w:p>
    <w:p w14:paraId="38004297" w14:textId="283C99A4" w:rsidR="00D36963" w:rsidRPr="00B4627F" w:rsidRDefault="00D36963" w:rsidP="006E503C">
      <w:pPr>
        <w:pStyle w:val="Prrafodelista"/>
        <w:numPr>
          <w:ilvl w:val="0"/>
          <w:numId w:val="149"/>
        </w:numPr>
        <w:tabs>
          <w:tab w:val="left" w:pos="1843"/>
          <w:tab w:val="left" w:pos="1871"/>
        </w:tabs>
        <w:spacing w:after="120" w:line="276" w:lineRule="auto"/>
        <w:ind w:left="1071" w:hanging="646"/>
        <w:jc w:val="both"/>
        <w:rPr>
          <w:rFonts w:ascii="Arial" w:eastAsia="Calibri" w:hAnsi="Arial" w:cs="Arial"/>
          <w:kern w:val="2"/>
          <w:sz w:val="21"/>
          <w:szCs w:val="21"/>
        </w:rPr>
      </w:pPr>
      <w:r w:rsidRPr="00B4627F">
        <w:rPr>
          <w:rFonts w:ascii="Arial" w:eastAsia="Calibri" w:hAnsi="Arial" w:cs="Arial"/>
          <w:kern w:val="2"/>
          <w:sz w:val="21"/>
          <w:szCs w:val="21"/>
        </w:rPr>
        <w:t>Control interno</w:t>
      </w:r>
      <w:r w:rsidR="001D098E">
        <w:rPr>
          <w:rFonts w:ascii="Arial" w:eastAsia="Calibri" w:hAnsi="Arial" w:cs="Arial"/>
          <w:kern w:val="2"/>
          <w:sz w:val="21"/>
          <w:szCs w:val="21"/>
        </w:rPr>
        <w:t>:</w:t>
      </w:r>
    </w:p>
    <w:p w14:paraId="7D0767A7" w14:textId="77777777" w:rsidR="00D36963" w:rsidRPr="00D36963" w:rsidRDefault="00D36963" w:rsidP="00E501D4">
      <w:pPr>
        <w:widowControl w:val="0"/>
        <w:numPr>
          <w:ilvl w:val="0"/>
          <w:numId w:val="133"/>
        </w:numPr>
        <w:tabs>
          <w:tab w:val="left" w:pos="1134"/>
        </w:tabs>
        <w:spacing w:after="80"/>
        <w:ind w:left="851" w:hanging="142"/>
        <w:contextualSpacing/>
        <w:jc w:val="both"/>
        <w:rPr>
          <w:rFonts w:ascii="Arial" w:eastAsia="Droid Sans Fallback" w:hAnsi="Arial" w:cs="Arial"/>
          <w:kern w:val="2"/>
          <w:sz w:val="21"/>
          <w:szCs w:val="21"/>
        </w:rPr>
      </w:pPr>
      <w:r w:rsidRPr="00D36963">
        <w:rPr>
          <w:rFonts w:ascii="Arial" w:eastAsia="Droid Sans Fallback" w:hAnsi="Arial" w:cs="Arial"/>
          <w:kern w:val="2"/>
          <w:sz w:val="21"/>
          <w:szCs w:val="21"/>
        </w:rPr>
        <w:t>Relación de resoluciones y circulares de la IGAE</w:t>
      </w:r>
    </w:p>
    <w:p w14:paraId="202078D7" w14:textId="77777777" w:rsidR="00D36963" w:rsidRPr="00D36963" w:rsidRDefault="00D36963" w:rsidP="006E503C">
      <w:pPr>
        <w:widowControl w:val="0"/>
        <w:numPr>
          <w:ilvl w:val="0"/>
          <w:numId w:val="133"/>
        </w:numPr>
        <w:tabs>
          <w:tab w:val="left" w:pos="1134"/>
        </w:tabs>
        <w:spacing w:after="120" w:line="276" w:lineRule="auto"/>
        <w:ind w:left="851" w:hanging="142"/>
        <w:jc w:val="both"/>
        <w:rPr>
          <w:rFonts w:ascii="Arial" w:eastAsia="Droid Sans Fallback" w:hAnsi="Arial" w:cs="Arial"/>
          <w:kern w:val="2"/>
          <w:sz w:val="21"/>
          <w:szCs w:val="21"/>
        </w:rPr>
      </w:pPr>
      <w:r w:rsidRPr="00D36963">
        <w:rPr>
          <w:rFonts w:ascii="Arial" w:eastAsia="Droid Sans Fallback" w:hAnsi="Arial" w:cs="Arial"/>
          <w:kern w:val="2"/>
          <w:sz w:val="21"/>
          <w:szCs w:val="21"/>
        </w:rPr>
        <w:t>Plan Anual de la IGS-VA-2020/2021</w:t>
      </w:r>
    </w:p>
    <w:p w14:paraId="18C89DA9" w14:textId="467A3351" w:rsidR="00D36963" w:rsidRPr="00B4627F" w:rsidRDefault="00D36963" w:rsidP="00E501D4">
      <w:pPr>
        <w:pStyle w:val="Prrafodelista"/>
        <w:numPr>
          <w:ilvl w:val="0"/>
          <w:numId w:val="149"/>
        </w:numPr>
        <w:tabs>
          <w:tab w:val="left" w:pos="1871"/>
        </w:tabs>
        <w:spacing w:after="120"/>
        <w:ind w:left="1071" w:hanging="646"/>
        <w:contextualSpacing w:val="0"/>
        <w:jc w:val="both"/>
        <w:rPr>
          <w:rFonts w:ascii="Arial" w:eastAsia="Calibri" w:hAnsi="Arial" w:cs="Arial"/>
          <w:color w:val="9A0000"/>
          <w:spacing w:val="-2"/>
          <w:kern w:val="2"/>
          <w:sz w:val="21"/>
          <w:szCs w:val="21"/>
          <w:lang w:val="ca-ES"/>
        </w:rPr>
      </w:pPr>
      <w:r w:rsidRPr="00B4627F">
        <w:rPr>
          <w:rFonts w:ascii="Arial" w:eastAsia="Calibri" w:hAnsi="Arial" w:cs="Arial"/>
          <w:kern w:val="2"/>
          <w:sz w:val="21"/>
          <w:szCs w:val="21"/>
        </w:rPr>
        <w:t>Control externo:</w:t>
      </w:r>
    </w:p>
    <w:p w14:paraId="63550FCB" w14:textId="3657B188" w:rsidR="00D36963" w:rsidRPr="00A03D96" w:rsidRDefault="00D36963" w:rsidP="00E501D4">
      <w:pPr>
        <w:pStyle w:val="Prrafodelista"/>
        <w:numPr>
          <w:ilvl w:val="1"/>
          <w:numId w:val="150"/>
        </w:numPr>
        <w:tabs>
          <w:tab w:val="left" w:pos="1134"/>
        </w:tabs>
        <w:spacing w:after="80"/>
        <w:ind w:left="1134" w:hanging="447"/>
        <w:jc w:val="both"/>
        <w:rPr>
          <w:rFonts w:ascii="Arial" w:eastAsia="Calibri" w:hAnsi="Arial" w:cs="Arial"/>
          <w:color w:val="9A0000"/>
          <w:spacing w:val="-2"/>
          <w:kern w:val="2"/>
          <w:sz w:val="21"/>
          <w:szCs w:val="21"/>
          <w:lang w:val="ca-ES"/>
        </w:rPr>
      </w:pPr>
      <w:r w:rsidRPr="00A03D96">
        <w:rPr>
          <w:rFonts w:ascii="Arial" w:eastAsia="Calibri" w:hAnsi="Arial" w:cs="Arial"/>
          <w:kern w:val="2"/>
          <w:sz w:val="21"/>
          <w:szCs w:val="21"/>
        </w:rPr>
        <w:t xml:space="preserve">Enlaces a recomendaciones generales de la AVAF del </w:t>
      </w:r>
      <w:r w:rsidR="004A2723">
        <w:rPr>
          <w:rFonts w:ascii="Arial" w:eastAsia="Calibri" w:hAnsi="Arial" w:cs="Arial"/>
          <w:kern w:val="2"/>
          <w:sz w:val="21"/>
          <w:szCs w:val="21"/>
        </w:rPr>
        <w:t>S</w:t>
      </w:r>
      <w:r w:rsidRPr="00A03D96">
        <w:rPr>
          <w:rFonts w:ascii="Arial" w:eastAsia="Calibri" w:hAnsi="Arial" w:cs="Arial"/>
          <w:kern w:val="2"/>
          <w:sz w:val="21"/>
          <w:szCs w:val="21"/>
        </w:rPr>
        <w:t xml:space="preserve">ervicio de </w:t>
      </w:r>
      <w:r w:rsidR="004A2723">
        <w:rPr>
          <w:rFonts w:ascii="Arial" w:eastAsia="Calibri" w:hAnsi="Arial" w:cs="Arial"/>
          <w:kern w:val="2"/>
          <w:sz w:val="21"/>
          <w:szCs w:val="21"/>
        </w:rPr>
        <w:t>P</w:t>
      </w:r>
      <w:r w:rsidRPr="00A03D96">
        <w:rPr>
          <w:rFonts w:ascii="Arial" w:eastAsia="Calibri" w:hAnsi="Arial" w:cs="Arial"/>
          <w:kern w:val="2"/>
          <w:sz w:val="21"/>
          <w:szCs w:val="21"/>
        </w:rPr>
        <w:t>revención en materia de integridad pública.</w:t>
      </w:r>
    </w:p>
    <w:p w14:paraId="514BCFD0" w14:textId="62AE7106" w:rsidR="00D36963" w:rsidRPr="00A03D96" w:rsidRDefault="00D36963" w:rsidP="00E501D4">
      <w:pPr>
        <w:pStyle w:val="Prrafodelista"/>
        <w:numPr>
          <w:ilvl w:val="1"/>
          <w:numId w:val="150"/>
        </w:numPr>
        <w:tabs>
          <w:tab w:val="left" w:pos="1134"/>
        </w:tabs>
        <w:spacing w:after="80"/>
        <w:ind w:left="1134" w:hanging="447"/>
        <w:jc w:val="both"/>
        <w:rPr>
          <w:rFonts w:ascii="Arial" w:eastAsia="Calibri" w:hAnsi="Arial" w:cs="Arial"/>
          <w:color w:val="9A0000"/>
          <w:spacing w:val="-2"/>
          <w:kern w:val="2"/>
          <w:sz w:val="21"/>
          <w:szCs w:val="21"/>
          <w:lang w:val="ca-ES"/>
        </w:rPr>
      </w:pPr>
      <w:r w:rsidRPr="00A03D96">
        <w:rPr>
          <w:rFonts w:ascii="Arial" w:eastAsia="Calibri" w:hAnsi="Arial" w:cs="Arial"/>
          <w:kern w:val="2"/>
          <w:sz w:val="21"/>
          <w:szCs w:val="21"/>
        </w:rPr>
        <w:t>Enlaces a las diferentes herramientas y modelos del manual de la Sindicatura de Comptes de la Comunitat Valenciana:</w:t>
      </w:r>
    </w:p>
    <w:p w14:paraId="64703C12" w14:textId="3210E6AF" w:rsidR="00D36963" w:rsidRPr="00A03D96" w:rsidRDefault="00D36963" w:rsidP="00E501D4">
      <w:pPr>
        <w:pStyle w:val="Prrafodelista"/>
        <w:numPr>
          <w:ilvl w:val="0"/>
          <w:numId w:val="152"/>
        </w:numPr>
        <w:tabs>
          <w:tab w:val="left" w:pos="1134"/>
          <w:tab w:val="left" w:pos="1871"/>
        </w:tabs>
        <w:spacing w:after="80"/>
        <w:jc w:val="both"/>
        <w:rPr>
          <w:rFonts w:ascii="Arial" w:eastAsia="Calibri" w:hAnsi="Arial" w:cs="Arial"/>
          <w:kern w:val="2"/>
          <w:sz w:val="21"/>
          <w:szCs w:val="21"/>
        </w:rPr>
      </w:pPr>
      <w:r w:rsidRPr="00A03D96">
        <w:rPr>
          <w:rFonts w:ascii="Arial" w:eastAsia="Calibri" w:hAnsi="Arial" w:cs="Arial"/>
          <w:kern w:val="2"/>
          <w:sz w:val="21"/>
          <w:szCs w:val="21"/>
        </w:rPr>
        <w:t>1315 (Identificación y valoración de riesgos) / 1317 (Guía)</w:t>
      </w:r>
    </w:p>
    <w:p w14:paraId="40BD72C1" w14:textId="788FAF7C" w:rsidR="00D36963" w:rsidRPr="00A03D96" w:rsidRDefault="00D36963" w:rsidP="00E501D4">
      <w:pPr>
        <w:pStyle w:val="Prrafodelista"/>
        <w:numPr>
          <w:ilvl w:val="0"/>
          <w:numId w:val="152"/>
        </w:numPr>
        <w:tabs>
          <w:tab w:val="left" w:pos="1134"/>
          <w:tab w:val="left" w:pos="1871"/>
        </w:tabs>
        <w:spacing w:after="80"/>
        <w:jc w:val="both"/>
        <w:rPr>
          <w:rFonts w:ascii="Arial" w:eastAsia="Calibri" w:hAnsi="Arial" w:cs="Arial"/>
          <w:kern w:val="2"/>
          <w:sz w:val="21"/>
          <w:szCs w:val="21"/>
        </w:rPr>
      </w:pPr>
      <w:r w:rsidRPr="00A03D96">
        <w:rPr>
          <w:rFonts w:ascii="Arial" w:eastAsia="Calibri" w:hAnsi="Arial" w:cs="Arial"/>
          <w:kern w:val="2"/>
          <w:sz w:val="21"/>
          <w:szCs w:val="21"/>
        </w:rPr>
        <w:t>1316 (control interno)</w:t>
      </w:r>
    </w:p>
    <w:p w14:paraId="3EE82563" w14:textId="79D040D2" w:rsidR="00D36963" w:rsidRPr="00A03D96" w:rsidRDefault="00D36963" w:rsidP="00E501D4">
      <w:pPr>
        <w:pStyle w:val="Prrafodelista"/>
        <w:numPr>
          <w:ilvl w:val="0"/>
          <w:numId w:val="152"/>
        </w:numPr>
        <w:tabs>
          <w:tab w:val="left" w:pos="1134"/>
          <w:tab w:val="left" w:pos="1871"/>
        </w:tabs>
        <w:spacing w:after="80"/>
        <w:jc w:val="both"/>
        <w:rPr>
          <w:rFonts w:ascii="Arial" w:eastAsia="Calibri" w:hAnsi="Arial" w:cs="Arial"/>
          <w:kern w:val="2"/>
          <w:sz w:val="21"/>
          <w:szCs w:val="21"/>
        </w:rPr>
      </w:pPr>
      <w:r w:rsidRPr="00A03D96">
        <w:rPr>
          <w:rFonts w:ascii="Arial" w:eastAsia="Calibri" w:hAnsi="Arial" w:cs="Arial"/>
          <w:kern w:val="2"/>
          <w:sz w:val="21"/>
          <w:szCs w:val="21"/>
        </w:rPr>
        <w:t>1731 (Modelos y formatos de informes de fiscalización)</w:t>
      </w:r>
    </w:p>
    <w:p w14:paraId="6AEF278C" w14:textId="6FB1C0F2" w:rsidR="00D36963" w:rsidRPr="00A03D96" w:rsidRDefault="00D36963" w:rsidP="00E501D4">
      <w:pPr>
        <w:pStyle w:val="Prrafodelista"/>
        <w:numPr>
          <w:ilvl w:val="0"/>
          <w:numId w:val="152"/>
        </w:numPr>
        <w:tabs>
          <w:tab w:val="left" w:pos="1134"/>
          <w:tab w:val="left" w:pos="1871"/>
        </w:tabs>
        <w:spacing w:after="80"/>
        <w:jc w:val="both"/>
        <w:rPr>
          <w:rFonts w:ascii="Arial" w:eastAsia="Calibri" w:hAnsi="Arial" w:cs="Arial"/>
          <w:kern w:val="2"/>
          <w:sz w:val="21"/>
          <w:szCs w:val="21"/>
        </w:rPr>
      </w:pPr>
      <w:r w:rsidRPr="00A03D96">
        <w:rPr>
          <w:rFonts w:ascii="Arial" w:eastAsia="Calibri" w:hAnsi="Arial" w:cs="Arial"/>
          <w:kern w:val="2"/>
          <w:sz w:val="21"/>
          <w:szCs w:val="21"/>
        </w:rPr>
        <w:t>2812 (cómo realizar mapas de procesos y flujogramas)</w:t>
      </w:r>
    </w:p>
    <w:p w14:paraId="73CD04DE" w14:textId="67FD446A" w:rsidR="00D36963" w:rsidRPr="00A03D96" w:rsidRDefault="00D36963" w:rsidP="00E501D4">
      <w:pPr>
        <w:pStyle w:val="Prrafodelista"/>
        <w:numPr>
          <w:ilvl w:val="0"/>
          <w:numId w:val="152"/>
        </w:numPr>
        <w:tabs>
          <w:tab w:val="left" w:pos="1134"/>
          <w:tab w:val="left" w:pos="1871"/>
        </w:tabs>
        <w:spacing w:after="80"/>
        <w:jc w:val="both"/>
        <w:rPr>
          <w:rFonts w:ascii="Arial" w:eastAsia="Calibri" w:hAnsi="Arial" w:cs="Arial"/>
          <w:kern w:val="2"/>
          <w:sz w:val="21"/>
          <w:szCs w:val="21"/>
        </w:rPr>
      </w:pPr>
      <w:r w:rsidRPr="00A03D96">
        <w:rPr>
          <w:rFonts w:ascii="Arial" w:eastAsia="Calibri" w:hAnsi="Arial" w:cs="Arial"/>
          <w:kern w:val="2"/>
          <w:sz w:val="21"/>
          <w:szCs w:val="21"/>
        </w:rPr>
        <w:t>2861(Guía de fiscalización de gastos de personal)</w:t>
      </w:r>
    </w:p>
    <w:p w14:paraId="1B409EC7" w14:textId="6F135B3B" w:rsidR="00D36963" w:rsidRPr="00A03D96" w:rsidRDefault="00D36963" w:rsidP="00E501D4">
      <w:pPr>
        <w:pStyle w:val="Prrafodelista"/>
        <w:numPr>
          <w:ilvl w:val="0"/>
          <w:numId w:val="152"/>
        </w:numPr>
        <w:tabs>
          <w:tab w:val="left" w:pos="1134"/>
          <w:tab w:val="left" w:pos="1871"/>
        </w:tabs>
        <w:spacing w:after="80"/>
        <w:jc w:val="both"/>
        <w:rPr>
          <w:rFonts w:ascii="Arial" w:eastAsia="Calibri" w:hAnsi="Arial" w:cs="Arial"/>
          <w:kern w:val="2"/>
          <w:sz w:val="21"/>
          <w:szCs w:val="21"/>
        </w:rPr>
      </w:pPr>
      <w:r w:rsidRPr="00A03D96">
        <w:rPr>
          <w:rFonts w:ascii="Arial" w:eastAsia="Calibri" w:hAnsi="Arial" w:cs="Arial"/>
          <w:kern w:val="2"/>
          <w:sz w:val="21"/>
          <w:szCs w:val="21"/>
        </w:rPr>
        <w:t>2862 (Guía de fiscalización área de compras, gastos y proveedores)</w:t>
      </w:r>
    </w:p>
    <w:p w14:paraId="191801F3" w14:textId="77E5A1DD" w:rsidR="00D36963" w:rsidRPr="00A03D96" w:rsidRDefault="00D36963" w:rsidP="00E501D4">
      <w:pPr>
        <w:pStyle w:val="Prrafodelista"/>
        <w:numPr>
          <w:ilvl w:val="0"/>
          <w:numId w:val="152"/>
        </w:numPr>
        <w:tabs>
          <w:tab w:val="left" w:pos="1134"/>
          <w:tab w:val="left" w:pos="1871"/>
        </w:tabs>
        <w:spacing w:after="80"/>
        <w:jc w:val="both"/>
        <w:rPr>
          <w:rFonts w:ascii="Arial" w:eastAsia="Calibri" w:hAnsi="Arial" w:cs="Arial"/>
          <w:kern w:val="2"/>
          <w:sz w:val="21"/>
          <w:szCs w:val="21"/>
        </w:rPr>
      </w:pPr>
      <w:r w:rsidRPr="00A03D96">
        <w:rPr>
          <w:rFonts w:ascii="Arial" w:eastAsia="Calibri" w:hAnsi="Arial" w:cs="Arial"/>
          <w:kern w:val="2"/>
          <w:sz w:val="21"/>
          <w:szCs w:val="21"/>
        </w:rPr>
        <w:t>4800 (Fiscalización de contratos)</w:t>
      </w:r>
    </w:p>
    <w:p w14:paraId="490F8FF5" w14:textId="32E3E1C8" w:rsidR="00D36963" w:rsidRPr="00A03D96" w:rsidRDefault="00D36963" w:rsidP="00E501D4">
      <w:pPr>
        <w:pStyle w:val="Prrafodelista"/>
        <w:numPr>
          <w:ilvl w:val="0"/>
          <w:numId w:val="152"/>
        </w:numPr>
        <w:tabs>
          <w:tab w:val="left" w:pos="1134"/>
          <w:tab w:val="left" w:pos="1871"/>
        </w:tabs>
        <w:spacing w:after="80"/>
        <w:jc w:val="both"/>
        <w:rPr>
          <w:rFonts w:ascii="Arial" w:eastAsia="Calibri" w:hAnsi="Arial" w:cs="Arial"/>
          <w:kern w:val="2"/>
          <w:sz w:val="21"/>
          <w:szCs w:val="21"/>
        </w:rPr>
      </w:pPr>
      <w:r w:rsidRPr="00A03D96">
        <w:rPr>
          <w:rFonts w:ascii="Arial" w:eastAsia="Calibri" w:hAnsi="Arial" w:cs="Arial"/>
          <w:kern w:val="2"/>
          <w:sz w:val="21"/>
          <w:szCs w:val="21"/>
        </w:rPr>
        <w:t>4900 (Guía de fiscalización de subvenciones)</w:t>
      </w:r>
    </w:p>
    <w:p w14:paraId="75128B2F" w14:textId="07F4C0EA" w:rsidR="00D36963" w:rsidRPr="00A03D96" w:rsidRDefault="00D36963" w:rsidP="00E501D4">
      <w:pPr>
        <w:pStyle w:val="Prrafodelista"/>
        <w:numPr>
          <w:ilvl w:val="0"/>
          <w:numId w:val="152"/>
        </w:numPr>
        <w:tabs>
          <w:tab w:val="left" w:pos="1134"/>
          <w:tab w:val="left" w:pos="1871"/>
        </w:tabs>
        <w:spacing w:after="80"/>
        <w:jc w:val="both"/>
        <w:rPr>
          <w:rFonts w:ascii="Arial" w:eastAsia="Calibri" w:hAnsi="Arial" w:cs="Arial"/>
          <w:color w:val="9A0000"/>
          <w:spacing w:val="-2"/>
          <w:kern w:val="2"/>
          <w:sz w:val="21"/>
          <w:szCs w:val="21"/>
          <w:lang w:val="ca-ES"/>
        </w:rPr>
      </w:pPr>
      <w:r w:rsidRPr="00A03D96">
        <w:rPr>
          <w:rFonts w:ascii="Arial" w:eastAsia="Calibri" w:hAnsi="Arial" w:cs="Arial"/>
          <w:kern w:val="2"/>
          <w:sz w:val="21"/>
          <w:szCs w:val="21"/>
        </w:rPr>
        <w:t>5313.2 (Cuestionario de ciberseguridad).</w:t>
      </w:r>
    </w:p>
    <w:p w14:paraId="63727A77" w14:textId="2F9843B3" w:rsidR="00D36963" w:rsidRPr="00A03D96" w:rsidRDefault="00D36963" w:rsidP="00282D81">
      <w:pPr>
        <w:pStyle w:val="Prrafodelista"/>
        <w:numPr>
          <w:ilvl w:val="0"/>
          <w:numId w:val="151"/>
        </w:numPr>
        <w:tabs>
          <w:tab w:val="left" w:pos="1871"/>
        </w:tabs>
        <w:spacing w:after="120" w:line="276" w:lineRule="auto"/>
        <w:ind w:left="1066" w:hanging="357"/>
        <w:contextualSpacing w:val="0"/>
        <w:jc w:val="both"/>
        <w:rPr>
          <w:rFonts w:ascii="Arial" w:eastAsia="Calibri" w:hAnsi="Arial" w:cs="Arial"/>
          <w:color w:val="9A0000"/>
          <w:spacing w:val="-2"/>
          <w:kern w:val="2"/>
          <w:sz w:val="21"/>
          <w:szCs w:val="21"/>
        </w:rPr>
      </w:pPr>
      <w:r w:rsidRPr="00A03D96">
        <w:rPr>
          <w:rFonts w:ascii="Arial" w:eastAsia="Calibri" w:hAnsi="Arial" w:cs="Arial"/>
          <w:kern w:val="2"/>
          <w:sz w:val="21"/>
          <w:szCs w:val="21"/>
        </w:rPr>
        <w:t>Agencia Española de Protección de Datos.</w:t>
      </w:r>
    </w:p>
    <w:p w14:paraId="39D112C1" w14:textId="6FDEFEDE" w:rsidR="00D36963" w:rsidRPr="00B4627F" w:rsidRDefault="00D36963" w:rsidP="00282D81">
      <w:pPr>
        <w:pStyle w:val="Prrafodelista"/>
        <w:numPr>
          <w:ilvl w:val="0"/>
          <w:numId w:val="149"/>
        </w:numPr>
        <w:tabs>
          <w:tab w:val="left" w:pos="1871"/>
        </w:tabs>
        <w:spacing w:after="120" w:line="276" w:lineRule="auto"/>
        <w:ind w:left="1843" w:hanging="1417"/>
        <w:contextualSpacing w:val="0"/>
        <w:jc w:val="both"/>
        <w:rPr>
          <w:rFonts w:ascii="Arial" w:eastAsia="Calibri" w:hAnsi="Arial" w:cs="Arial"/>
          <w:kern w:val="2"/>
          <w:sz w:val="21"/>
          <w:szCs w:val="21"/>
        </w:rPr>
      </w:pPr>
      <w:r w:rsidRPr="00B4627F">
        <w:rPr>
          <w:rFonts w:ascii="Arial" w:eastAsia="Calibri" w:hAnsi="Arial" w:cs="Arial"/>
          <w:spacing w:val="-2"/>
          <w:kern w:val="2"/>
          <w:sz w:val="21"/>
          <w:szCs w:val="21"/>
        </w:rPr>
        <w:t>Medidas de prevención, detección, corrección y persecución de acuerdo con la Orden HFP</w:t>
      </w:r>
      <w:r w:rsidR="000D65F7" w:rsidRPr="00B4627F">
        <w:rPr>
          <w:rFonts w:ascii="Arial" w:eastAsia="Calibri" w:hAnsi="Arial" w:cs="Arial"/>
          <w:spacing w:val="-2"/>
          <w:kern w:val="2"/>
          <w:sz w:val="21"/>
          <w:szCs w:val="21"/>
        </w:rPr>
        <w:t>/</w:t>
      </w:r>
      <w:r w:rsidRPr="00B4627F">
        <w:rPr>
          <w:rFonts w:ascii="Arial" w:eastAsia="Calibri" w:hAnsi="Arial" w:cs="Arial"/>
          <w:spacing w:val="-2"/>
          <w:kern w:val="2"/>
          <w:sz w:val="21"/>
          <w:szCs w:val="21"/>
        </w:rPr>
        <w:t>1030/2021.</w:t>
      </w:r>
    </w:p>
    <w:p w14:paraId="24C942B1" w14:textId="36EC451D" w:rsidR="00D36963" w:rsidRPr="00A03D96" w:rsidRDefault="00D36963" w:rsidP="00282D81">
      <w:pPr>
        <w:pStyle w:val="Prrafodelista"/>
        <w:widowControl w:val="0"/>
        <w:numPr>
          <w:ilvl w:val="0"/>
          <w:numId w:val="149"/>
        </w:numPr>
        <w:tabs>
          <w:tab w:val="left" w:pos="1871"/>
        </w:tabs>
        <w:spacing w:after="120" w:line="276" w:lineRule="auto"/>
        <w:ind w:left="1843" w:hanging="1417"/>
        <w:contextualSpacing w:val="0"/>
        <w:jc w:val="both"/>
        <w:rPr>
          <w:rFonts w:ascii="Arial" w:eastAsia="Droid Sans Fallback" w:hAnsi="Arial" w:cs="Arial"/>
          <w:kern w:val="2"/>
          <w:sz w:val="21"/>
          <w:szCs w:val="21"/>
        </w:rPr>
      </w:pPr>
      <w:r w:rsidRPr="00A03D96">
        <w:rPr>
          <w:rFonts w:ascii="Arial" w:eastAsia="Times New Roman" w:hAnsi="Arial" w:cs="Arial"/>
          <w:sz w:val="21"/>
          <w:szCs w:val="21"/>
          <w:lang w:eastAsia="es-ES"/>
        </w:rPr>
        <w:t>Documentos de orientación y ayuda para la definición y puesta en práctica de las medidas antifraude según la Orden</w:t>
      </w:r>
      <w:r w:rsidR="000D65F7" w:rsidRPr="00A03D96">
        <w:rPr>
          <w:rFonts w:ascii="Arial" w:eastAsia="Times New Roman" w:hAnsi="Arial" w:cs="Arial"/>
          <w:sz w:val="21"/>
          <w:szCs w:val="21"/>
          <w:lang w:eastAsia="es-ES"/>
        </w:rPr>
        <w:t xml:space="preserve"> HFP/</w:t>
      </w:r>
      <w:r w:rsidRPr="00A03D96">
        <w:rPr>
          <w:rFonts w:ascii="Arial" w:eastAsia="Times New Roman" w:hAnsi="Arial" w:cs="Arial"/>
          <w:sz w:val="21"/>
          <w:szCs w:val="21"/>
          <w:lang w:eastAsia="es-ES"/>
        </w:rPr>
        <w:t xml:space="preserve">1030/2021. </w:t>
      </w:r>
    </w:p>
    <w:p w14:paraId="58104C34" w14:textId="7194ECD4" w:rsidR="00D36963" w:rsidRPr="00A03D96" w:rsidRDefault="00D36963" w:rsidP="00282D81">
      <w:pPr>
        <w:pStyle w:val="Prrafodelista"/>
        <w:numPr>
          <w:ilvl w:val="0"/>
          <w:numId w:val="149"/>
        </w:numPr>
        <w:tabs>
          <w:tab w:val="left" w:pos="1843"/>
        </w:tabs>
        <w:spacing w:after="120" w:line="276" w:lineRule="auto"/>
        <w:ind w:hanging="644"/>
        <w:contextualSpacing w:val="0"/>
        <w:jc w:val="both"/>
        <w:rPr>
          <w:rFonts w:ascii="Arial" w:eastAsia="Calibri" w:hAnsi="Arial" w:cs="Arial"/>
          <w:kern w:val="2"/>
          <w:sz w:val="21"/>
          <w:szCs w:val="21"/>
        </w:rPr>
      </w:pPr>
      <w:r w:rsidRPr="00A03D96">
        <w:rPr>
          <w:rFonts w:ascii="Arial" w:eastAsia="Calibri" w:hAnsi="Arial" w:cs="Arial"/>
          <w:color w:val="231F20"/>
          <w:spacing w:val="-2"/>
          <w:kern w:val="2"/>
          <w:sz w:val="21"/>
          <w:szCs w:val="21"/>
        </w:rPr>
        <w:t>Otros modelos y buenas prácticas en la elaboración de planes antifraude</w:t>
      </w:r>
    </w:p>
    <w:p w14:paraId="044840CF" w14:textId="76B0D2AE" w:rsidR="00D36963" w:rsidRPr="00A03D96" w:rsidRDefault="00D36963" w:rsidP="00282D81">
      <w:pPr>
        <w:pStyle w:val="Prrafodelista"/>
        <w:numPr>
          <w:ilvl w:val="0"/>
          <w:numId w:val="149"/>
        </w:numPr>
        <w:tabs>
          <w:tab w:val="left" w:pos="1871"/>
        </w:tabs>
        <w:spacing w:after="120" w:line="276" w:lineRule="auto"/>
        <w:ind w:left="1843" w:hanging="1417"/>
        <w:contextualSpacing w:val="0"/>
        <w:jc w:val="both"/>
        <w:rPr>
          <w:rFonts w:ascii="Arial" w:eastAsia="Calibri" w:hAnsi="Arial" w:cs="Arial"/>
          <w:kern w:val="2"/>
          <w:sz w:val="21"/>
          <w:szCs w:val="21"/>
        </w:rPr>
      </w:pPr>
      <w:r w:rsidRPr="00A03D96">
        <w:rPr>
          <w:rFonts w:ascii="Arial" w:eastAsia="Calibri" w:hAnsi="Arial" w:cs="Arial"/>
          <w:kern w:val="2"/>
          <w:sz w:val="21"/>
          <w:szCs w:val="21"/>
        </w:rPr>
        <w:t>Documentos útiles para la supervisión, control, gestión de fondos europeos.</w:t>
      </w:r>
    </w:p>
    <w:p w14:paraId="62EAF779" w14:textId="2BF42A40" w:rsidR="00D36963" w:rsidRPr="00A03D96" w:rsidRDefault="00D36963" w:rsidP="00282D81">
      <w:pPr>
        <w:pStyle w:val="Prrafodelista"/>
        <w:numPr>
          <w:ilvl w:val="0"/>
          <w:numId w:val="149"/>
        </w:numPr>
        <w:tabs>
          <w:tab w:val="left" w:pos="1843"/>
        </w:tabs>
        <w:spacing w:after="120" w:line="276" w:lineRule="auto"/>
        <w:ind w:hanging="644"/>
        <w:contextualSpacing w:val="0"/>
        <w:jc w:val="both"/>
        <w:rPr>
          <w:rFonts w:ascii="Arial" w:eastAsia="Calibri" w:hAnsi="Arial" w:cs="Arial"/>
          <w:kern w:val="2"/>
          <w:sz w:val="21"/>
          <w:szCs w:val="21"/>
        </w:rPr>
      </w:pPr>
      <w:r w:rsidRPr="00A03D96">
        <w:rPr>
          <w:rFonts w:ascii="Arial" w:eastAsia="Calibri" w:hAnsi="Arial" w:cs="Arial"/>
          <w:kern w:val="2"/>
          <w:sz w:val="21"/>
          <w:szCs w:val="21"/>
        </w:rPr>
        <w:t>Guías marco del Servicio Nacional de Coordinación Antifraude (SNCA)</w:t>
      </w:r>
      <w:r w:rsidR="001D098E">
        <w:rPr>
          <w:rFonts w:ascii="Arial" w:eastAsia="Calibri" w:hAnsi="Arial" w:cs="Arial"/>
          <w:kern w:val="2"/>
          <w:sz w:val="21"/>
          <w:szCs w:val="21"/>
        </w:rPr>
        <w:t>.</w:t>
      </w:r>
    </w:p>
    <w:p w14:paraId="6B24D896" w14:textId="61BB2478" w:rsidR="00D36963" w:rsidRPr="00A03D96" w:rsidRDefault="00D36963" w:rsidP="00282D81">
      <w:pPr>
        <w:pStyle w:val="Prrafodelista"/>
        <w:numPr>
          <w:ilvl w:val="0"/>
          <w:numId w:val="149"/>
        </w:numPr>
        <w:tabs>
          <w:tab w:val="left" w:pos="1843"/>
        </w:tabs>
        <w:spacing w:after="120" w:line="276" w:lineRule="auto"/>
        <w:ind w:hanging="644"/>
        <w:contextualSpacing w:val="0"/>
        <w:jc w:val="both"/>
        <w:rPr>
          <w:rFonts w:ascii="Arial" w:eastAsia="Calibri" w:hAnsi="Arial" w:cs="Arial"/>
          <w:kern w:val="2"/>
          <w:sz w:val="21"/>
          <w:szCs w:val="21"/>
        </w:rPr>
      </w:pPr>
      <w:r w:rsidRPr="00A03D96">
        <w:rPr>
          <w:rFonts w:ascii="Arial" w:eastAsia="Calibri" w:hAnsi="Arial" w:cs="Arial"/>
          <w:kern w:val="2"/>
          <w:sz w:val="21"/>
          <w:szCs w:val="21"/>
        </w:rPr>
        <w:t>Glosario de términos fuerza del plan.</w:t>
      </w:r>
    </w:p>
    <w:p w14:paraId="3AD2851B" w14:textId="5029FE0D" w:rsidR="00D36963" w:rsidRPr="00A03D96" w:rsidRDefault="00D36963" w:rsidP="003416AE">
      <w:pPr>
        <w:pStyle w:val="Prrafodelista"/>
        <w:numPr>
          <w:ilvl w:val="0"/>
          <w:numId w:val="149"/>
        </w:numPr>
        <w:tabs>
          <w:tab w:val="left" w:pos="1843"/>
        </w:tabs>
        <w:spacing w:after="240" w:line="276" w:lineRule="auto"/>
        <w:ind w:hanging="644"/>
        <w:jc w:val="both"/>
        <w:rPr>
          <w:rFonts w:ascii="Arial" w:eastAsia="Times New Roman" w:hAnsi="Arial" w:cs="Arial"/>
          <w:sz w:val="21"/>
          <w:szCs w:val="21"/>
          <w:lang w:eastAsia="es-ES"/>
        </w:rPr>
      </w:pPr>
      <w:r w:rsidRPr="00A03D96">
        <w:rPr>
          <w:rFonts w:ascii="Arial" w:eastAsia="Calibri" w:hAnsi="Arial" w:cs="Arial"/>
          <w:kern w:val="2"/>
          <w:sz w:val="21"/>
          <w:szCs w:val="21"/>
        </w:rPr>
        <w:t>Fuentes, normas y bibliografía de consulta.</w:t>
      </w:r>
    </w:p>
    <w:p w14:paraId="524C9601" w14:textId="0BBE218D" w:rsidR="00D36963" w:rsidRPr="00D36963" w:rsidRDefault="00D36963" w:rsidP="00D36963">
      <w:pPr>
        <w:spacing w:after="240" w:line="276" w:lineRule="auto"/>
        <w:jc w:val="both"/>
        <w:rPr>
          <w:rFonts w:ascii="Arial" w:eastAsia="Times New Roman" w:hAnsi="Arial" w:cs="Arial"/>
          <w:sz w:val="21"/>
          <w:szCs w:val="21"/>
          <w:lang w:eastAsia="es-ES"/>
        </w:rPr>
      </w:pPr>
      <w:r w:rsidRPr="00D36963">
        <w:rPr>
          <w:rFonts w:ascii="Arial" w:eastAsia="Times New Roman" w:hAnsi="Arial" w:cs="Arial"/>
          <w:b/>
          <w:noProof/>
          <w:sz w:val="21"/>
          <w:szCs w:val="21"/>
          <w:lang w:eastAsia="es-ES"/>
        </w:rPr>
        <mc:AlternateContent>
          <mc:Choice Requires="wps">
            <w:drawing>
              <wp:anchor distT="45720" distB="45720" distL="114300" distR="114300" simplePos="0" relativeHeight="252006400" behindDoc="0" locked="0" layoutInCell="1" allowOverlap="1" wp14:anchorId="4908DF7E" wp14:editId="59DAFC02">
                <wp:simplePos x="0" y="0"/>
                <wp:positionH relativeFrom="margin">
                  <wp:posOffset>-4445</wp:posOffset>
                </wp:positionH>
                <wp:positionV relativeFrom="paragraph">
                  <wp:posOffset>434975</wp:posOffset>
                </wp:positionV>
                <wp:extent cx="2133600" cy="2208530"/>
                <wp:effectExtent l="0" t="0" r="0" b="1270"/>
                <wp:wrapSquare wrapText="bothSides"/>
                <wp:docPr id="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208530"/>
                        </a:xfrm>
                        <a:prstGeom prst="rect">
                          <a:avLst/>
                        </a:prstGeom>
                        <a:solidFill>
                          <a:srgbClr val="FFFFFF"/>
                        </a:solidFill>
                        <a:ln w="9525">
                          <a:noFill/>
                          <a:miter lim="800000"/>
                          <a:headEnd/>
                          <a:tailEnd/>
                        </a:ln>
                      </wps:spPr>
                      <wps:txbx>
                        <w:txbxContent>
                          <w:p w14:paraId="35E28CD7" w14:textId="77777777" w:rsidR="007F6D65" w:rsidRDefault="00D36963" w:rsidP="005865D2">
                            <w:pPr>
                              <w:keepNext/>
                              <w:jc w:val="center"/>
                            </w:pPr>
                            <w:r>
                              <w:rPr>
                                <w:noProof/>
                              </w:rPr>
                              <w:drawing>
                                <wp:inline distT="0" distB="0" distL="0" distR="0" wp14:anchorId="4626FBE2" wp14:editId="1258CC17">
                                  <wp:extent cx="1554480" cy="1463040"/>
                                  <wp:effectExtent l="0" t="0" r="7620" b="3810"/>
                                  <wp:docPr id="94" name="Imagen 94" descr="https://www.antifraucv.es/wp-content/uploads/2021/11/Presentacion-manual-didactico-300x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https://www.antifraucv.es/wp-content/uploads/2021/11/Presentacion-manual-didactico-300x169.jpg"/>
                                          <pic:cNvPicPr>
                                            <a:picLocks noChangeAspect="1"/>
                                          </pic:cNvPicPr>
                                        </pic:nvPicPr>
                                        <pic:blipFill rotWithShape="1">
                                          <a:blip r:embed="rId492">
                                            <a:extLst>
                                              <a:ext uri="{28A0092B-C50C-407E-A947-70E740481C1C}">
                                                <a14:useLocalDpi xmlns:a14="http://schemas.microsoft.com/office/drawing/2010/main" val="0"/>
                                              </a:ext>
                                            </a:extLst>
                                          </a:blip>
                                          <a:srcRect l="11556" r="-444"/>
                                          <a:stretch/>
                                        </pic:blipFill>
                                        <pic:spPr bwMode="auto">
                                          <a:xfrm>
                                            <a:off x="0" y="0"/>
                                            <a:ext cx="1554480" cy="1463040"/>
                                          </a:xfrm>
                                          <a:prstGeom prst="rect">
                                            <a:avLst/>
                                          </a:prstGeom>
                                          <a:noFill/>
                                          <a:ln>
                                            <a:noFill/>
                                          </a:ln>
                                          <a:extLst>
                                            <a:ext uri="{53640926-AAD7-44D8-BBD7-CCE9431645EC}">
                                              <a14:shadowObscured xmlns:a14="http://schemas.microsoft.com/office/drawing/2010/main"/>
                                            </a:ext>
                                          </a:extLst>
                                        </pic:spPr>
                                      </pic:pic>
                                    </a:graphicData>
                                  </a:graphic>
                                </wp:inline>
                              </w:drawing>
                            </w:r>
                          </w:p>
                          <w:p w14:paraId="4F41DDE9" w14:textId="027CBFA5" w:rsidR="007F6D65" w:rsidRPr="007F6D65" w:rsidRDefault="007F6D65" w:rsidP="007F6D65">
                            <w:pPr>
                              <w:pStyle w:val="Descripcin"/>
                              <w:jc w:val="center"/>
                              <w:rPr>
                                <w:rFonts w:ascii="Arial" w:hAnsi="Arial" w:cs="Arial"/>
                                <w:smallCaps w:val="0"/>
                                <w:sz w:val="18"/>
                                <w:szCs w:val="18"/>
                              </w:rPr>
                            </w:pPr>
                            <w:bookmarkStart w:id="434" w:name="_Toc99099133"/>
                            <w:r w:rsidRPr="007F6D65">
                              <w:rPr>
                                <w:rFonts w:ascii="Arial" w:hAnsi="Arial" w:cs="Arial"/>
                                <w:smallCaps w:val="0"/>
                                <w:color w:val="9D2235" w:themeColor="accent1"/>
                                <w:sz w:val="18"/>
                                <w:szCs w:val="18"/>
                              </w:rPr>
                              <w:t xml:space="preserve">Imagen </w:t>
                            </w:r>
                            <w:r w:rsidRPr="007F6D65">
                              <w:rPr>
                                <w:rFonts w:ascii="Arial" w:hAnsi="Arial" w:cs="Arial"/>
                                <w:smallCaps w:val="0"/>
                                <w:color w:val="9D2235" w:themeColor="accent1"/>
                                <w:sz w:val="18"/>
                                <w:szCs w:val="18"/>
                              </w:rPr>
                              <w:fldChar w:fldCharType="begin"/>
                            </w:r>
                            <w:r w:rsidRPr="007F6D65">
                              <w:rPr>
                                <w:rFonts w:ascii="Arial" w:hAnsi="Arial" w:cs="Arial"/>
                                <w:smallCaps w:val="0"/>
                                <w:color w:val="9D2235" w:themeColor="accent1"/>
                                <w:sz w:val="18"/>
                                <w:szCs w:val="18"/>
                              </w:rPr>
                              <w:instrText xml:space="preserve"> SEQ Imagen \* ARABIC </w:instrText>
                            </w:r>
                            <w:r w:rsidRPr="007F6D65">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9</w:t>
                            </w:r>
                            <w:r w:rsidRPr="007F6D65">
                              <w:rPr>
                                <w:rFonts w:ascii="Arial" w:hAnsi="Arial" w:cs="Arial"/>
                                <w:smallCaps w:val="0"/>
                                <w:color w:val="9D2235" w:themeColor="accent1"/>
                                <w:sz w:val="18"/>
                                <w:szCs w:val="18"/>
                              </w:rPr>
                              <w:fldChar w:fldCharType="end"/>
                            </w:r>
                            <w:r w:rsidRPr="007F6D65">
                              <w:rPr>
                                <w:rFonts w:ascii="Arial" w:hAnsi="Arial" w:cs="Arial"/>
                                <w:smallCaps w:val="0"/>
                                <w:sz w:val="18"/>
                                <w:szCs w:val="18"/>
                              </w:rPr>
                              <w:t>. Manual didáctico visual. Los conflictos de interés en clave de integridad pública</w:t>
                            </w:r>
                            <w:bookmarkEnd w:id="434"/>
                          </w:p>
                          <w:p w14:paraId="66A43F8D" w14:textId="676F5A28" w:rsidR="00D36963" w:rsidRDefault="00D36963" w:rsidP="00D369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08DF7E" id="_x0000_s1040" type="#_x0000_t202" style="position:absolute;left:0;text-align:left;margin-left:-.35pt;margin-top:34.25pt;width:168pt;height:173.9pt;z-index:25200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" stroked="f">
                <v:textbox>
                  <w:txbxContent>
                    <w:p w14:paraId="35E28CD7" w14:textId="77777777" w:rsidR="007F6D65" w:rsidRDefault="00D36963" w:rsidP="005865D2">
                      <w:pPr>
                        <w:keepNext/>
                        <w:jc w:val="center"/>
                      </w:pPr>
                      <w:r>
                        <w:rPr>
                          <w:noProof/>
                        </w:rPr>
                        <w:drawing>
                          <wp:inline distT="0" distB="0" distL="0" distR="0" wp14:anchorId="4626FBE2" wp14:editId="1258CC17">
                            <wp:extent cx="1554480" cy="1463040"/>
                            <wp:effectExtent l="0" t="0" r="7620" b="3810"/>
                            <wp:docPr id="94" name="Imagen 94" descr="https://www.antifraucv.es/wp-content/uploads/2021/11/Presentacion-manual-didactico-300x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https://www.antifraucv.es/wp-content/uploads/2021/11/Presentacion-manual-didactico-300x169.jpg"/>
                                    <pic:cNvPicPr>
                                      <a:picLocks noChangeAspect="1"/>
                                    </pic:cNvPicPr>
                                  </pic:nvPicPr>
                                  <pic:blipFill rotWithShape="1">
                                    <a:blip r:embed="rId493">
                                      <a:extLst>
                                        <a:ext uri="{28A0092B-C50C-407E-A947-70E740481C1C}">
                                          <a14:useLocalDpi xmlns:a14="http://schemas.microsoft.com/office/drawing/2010/main" val="0"/>
                                        </a:ext>
                                      </a:extLst>
                                    </a:blip>
                                    <a:srcRect l="11556" r="-444"/>
                                    <a:stretch/>
                                  </pic:blipFill>
                                  <pic:spPr bwMode="auto">
                                    <a:xfrm>
                                      <a:off x="0" y="0"/>
                                      <a:ext cx="1554480" cy="1463040"/>
                                    </a:xfrm>
                                    <a:prstGeom prst="rect">
                                      <a:avLst/>
                                    </a:prstGeom>
                                    <a:noFill/>
                                    <a:ln>
                                      <a:noFill/>
                                    </a:ln>
                                    <a:extLst>
                                      <a:ext uri="{53640926-AAD7-44D8-BBD7-CCE9431645EC}">
                                        <a14:shadowObscured xmlns:a14="http://schemas.microsoft.com/office/drawing/2010/main"/>
                                      </a:ext>
                                    </a:extLst>
                                  </pic:spPr>
                                </pic:pic>
                              </a:graphicData>
                            </a:graphic>
                          </wp:inline>
                        </w:drawing>
                      </w:r>
                    </w:p>
                    <w:p w14:paraId="4F41DDE9" w14:textId="027CBFA5" w:rsidR="007F6D65" w:rsidRPr="007F6D65" w:rsidRDefault="007F6D65" w:rsidP="007F6D65">
                      <w:pPr>
                        <w:pStyle w:val="Descripcin"/>
                        <w:jc w:val="center"/>
                        <w:rPr>
                          <w:rFonts w:ascii="Arial" w:hAnsi="Arial" w:cs="Arial"/>
                          <w:smallCaps w:val="0"/>
                          <w:sz w:val="18"/>
                          <w:szCs w:val="18"/>
                        </w:rPr>
                      </w:pPr>
                      <w:bookmarkStart w:id="447" w:name="_Toc99099133"/>
                      <w:r w:rsidRPr="007F6D65">
                        <w:rPr>
                          <w:rFonts w:ascii="Arial" w:hAnsi="Arial" w:cs="Arial"/>
                          <w:smallCaps w:val="0"/>
                          <w:color w:val="9D2235" w:themeColor="accent1"/>
                          <w:sz w:val="18"/>
                          <w:szCs w:val="18"/>
                        </w:rPr>
                        <w:t xml:space="preserve">Imagen </w:t>
                      </w:r>
                      <w:r w:rsidRPr="007F6D65">
                        <w:rPr>
                          <w:rFonts w:ascii="Arial" w:hAnsi="Arial" w:cs="Arial"/>
                          <w:smallCaps w:val="0"/>
                          <w:color w:val="9D2235" w:themeColor="accent1"/>
                          <w:sz w:val="18"/>
                          <w:szCs w:val="18"/>
                        </w:rPr>
                        <w:fldChar w:fldCharType="begin"/>
                      </w:r>
                      <w:r w:rsidRPr="007F6D65">
                        <w:rPr>
                          <w:rFonts w:ascii="Arial" w:hAnsi="Arial" w:cs="Arial"/>
                          <w:smallCaps w:val="0"/>
                          <w:color w:val="9D2235" w:themeColor="accent1"/>
                          <w:sz w:val="18"/>
                          <w:szCs w:val="18"/>
                        </w:rPr>
                        <w:instrText xml:space="preserve"> SEQ Imagen \* ARABIC </w:instrText>
                      </w:r>
                      <w:r w:rsidRPr="007F6D65">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9</w:t>
                      </w:r>
                      <w:r w:rsidRPr="007F6D65">
                        <w:rPr>
                          <w:rFonts w:ascii="Arial" w:hAnsi="Arial" w:cs="Arial"/>
                          <w:smallCaps w:val="0"/>
                          <w:color w:val="9D2235" w:themeColor="accent1"/>
                          <w:sz w:val="18"/>
                          <w:szCs w:val="18"/>
                        </w:rPr>
                        <w:fldChar w:fldCharType="end"/>
                      </w:r>
                      <w:r w:rsidRPr="007F6D65">
                        <w:rPr>
                          <w:rFonts w:ascii="Arial" w:hAnsi="Arial" w:cs="Arial"/>
                          <w:smallCaps w:val="0"/>
                          <w:sz w:val="18"/>
                          <w:szCs w:val="18"/>
                        </w:rPr>
                        <w:t>. Manual didáctico visual. Los conflictos de interés en clave de integridad pública</w:t>
                      </w:r>
                      <w:bookmarkEnd w:id="447"/>
                    </w:p>
                    <w:p w14:paraId="66A43F8D" w14:textId="676F5A28" w:rsidR="00D36963" w:rsidRDefault="00D36963" w:rsidP="00D36963"/>
                  </w:txbxContent>
                </v:textbox>
                <w10:wrap type="square" anchorx="margin"/>
              </v:shape>
            </w:pict>
          </mc:Fallback>
        </mc:AlternateContent>
      </w:r>
      <w:r w:rsidRPr="00D36963">
        <w:rPr>
          <w:rFonts w:ascii="Arial" w:eastAsia="Times New Roman" w:hAnsi="Arial" w:cs="Arial"/>
          <w:sz w:val="21"/>
          <w:szCs w:val="21"/>
          <w:lang w:eastAsia="es-ES"/>
        </w:rPr>
        <w:t xml:space="preserve">Por Resolución del director núm. 808, de 10 de noviembre, se aprobó, a propuesta del Servicio de Prevención, el </w:t>
      </w:r>
      <w:r w:rsidRPr="00D36963">
        <w:rPr>
          <w:rFonts w:ascii="Arial" w:eastAsia="Times New Roman" w:hAnsi="Arial" w:cs="Arial"/>
          <w:b/>
          <w:bCs/>
          <w:sz w:val="21"/>
          <w:szCs w:val="21"/>
          <w:lang w:eastAsia="es-ES"/>
        </w:rPr>
        <w:t>primer anual didáctico visual: Los conflictos de interés en clave de integridad</w:t>
      </w:r>
      <w:r w:rsidRPr="00D36963">
        <w:rPr>
          <w:rFonts w:ascii="Arial" w:eastAsia="Times New Roman" w:hAnsi="Arial" w:cs="Arial"/>
          <w:sz w:val="21"/>
          <w:szCs w:val="21"/>
          <w:lang w:eastAsia="es-ES"/>
        </w:rPr>
        <w:t xml:space="preserve"> </w:t>
      </w:r>
      <w:r w:rsidRPr="001D098E">
        <w:rPr>
          <w:rFonts w:ascii="Arial" w:eastAsia="Times New Roman" w:hAnsi="Arial" w:cs="Arial"/>
          <w:sz w:val="17"/>
          <w:szCs w:val="17"/>
          <w:lang w:eastAsia="es-ES"/>
        </w:rPr>
        <w:t>[</w:t>
      </w:r>
      <w:hyperlink r:id="rId494" w:history="1">
        <w:r w:rsidRPr="001D098E">
          <w:rPr>
            <w:rStyle w:val="Hipervnculo"/>
            <w:rFonts w:ascii="Arial" w:eastAsia="Times New Roman" w:hAnsi="Arial" w:cs="Arial"/>
            <w:sz w:val="17"/>
            <w:szCs w:val="17"/>
            <w:lang w:eastAsia="es-ES"/>
          </w:rPr>
          <w:t>https://www.antifraucv.es/wp-content/uploads/2021/11/Manual-Didactivo-Visual.pdfjunto</w:t>
        </w:r>
      </w:hyperlink>
      <w:r w:rsidRPr="001D098E">
        <w:rPr>
          <w:rFonts w:ascii="Arial" w:eastAsia="Times New Roman" w:hAnsi="Arial" w:cs="Arial"/>
          <w:sz w:val="17"/>
          <w:szCs w:val="17"/>
          <w:lang w:eastAsia="es-ES"/>
        </w:rPr>
        <w:t>]</w:t>
      </w:r>
      <w:r w:rsidR="004E039B">
        <w:rPr>
          <w:rFonts w:ascii="Arial" w:eastAsia="Times New Roman" w:hAnsi="Arial" w:cs="Arial"/>
          <w:sz w:val="17"/>
          <w:szCs w:val="17"/>
          <w:lang w:eastAsia="es-ES"/>
        </w:rPr>
        <w:t>,</w:t>
      </w:r>
      <w:r w:rsidRPr="00D36963">
        <w:rPr>
          <w:rFonts w:ascii="Arial" w:eastAsia="Times New Roman" w:hAnsi="Arial" w:cs="Arial"/>
          <w:sz w:val="21"/>
          <w:szCs w:val="21"/>
          <w:lang w:eastAsia="es-ES"/>
        </w:rPr>
        <w:t xml:space="preserve"> para identificar, prevenir, minimizar y controlar los riesgos de fraude y corrupción motivados por los conflictos de interés y su falta de gestión institucional: </w:t>
      </w:r>
      <w:r w:rsidRPr="00D36963">
        <w:rPr>
          <w:rFonts w:ascii="Arial" w:eastAsia="Times New Roman" w:hAnsi="Arial" w:cs="Arial"/>
          <w:b/>
          <w:bCs/>
          <w:i/>
          <w:iCs/>
          <w:sz w:val="21"/>
          <w:szCs w:val="21"/>
          <w:lang w:eastAsia="es-ES"/>
        </w:rPr>
        <w:t>“</w:t>
      </w:r>
      <w:r w:rsidRPr="004E039B">
        <w:rPr>
          <w:rFonts w:ascii="Arial" w:eastAsia="Times New Roman" w:hAnsi="Arial" w:cs="Arial"/>
          <w:b/>
          <w:sz w:val="21"/>
          <w:szCs w:val="21"/>
          <w:lang w:eastAsia="es-ES"/>
        </w:rPr>
        <w:t>Los conflictos de interés en clave de integridad pública</w:t>
      </w:r>
      <w:r w:rsidRPr="00D36963">
        <w:rPr>
          <w:rFonts w:ascii="Arial" w:eastAsia="Times New Roman" w:hAnsi="Arial" w:cs="Arial"/>
          <w:b/>
          <w:i/>
          <w:iCs/>
          <w:sz w:val="21"/>
          <w:szCs w:val="21"/>
          <w:lang w:eastAsia="es-ES"/>
        </w:rPr>
        <w:t xml:space="preserve">”, </w:t>
      </w:r>
      <w:r w:rsidRPr="00D36963">
        <w:rPr>
          <w:rFonts w:ascii="Arial" w:eastAsia="Times New Roman" w:hAnsi="Arial" w:cs="Arial"/>
          <w:bCs/>
          <w:sz w:val="21"/>
          <w:szCs w:val="21"/>
          <w:lang w:eastAsia="es-ES"/>
        </w:rPr>
        <w:t>incluyendo las principales orientaciones y guías de la Comisión Europea y de la OLAF sobre el tratamiento de los conflictos de interés en la gestión y control de los fondos europeos, todo ello en un formato power point que ha posibilitado su exposición en diversas actividades formativas.</w:t>
      </w:r>
      <w:r w:rsidRPr="00D36963">
        <w:rPr>
          <w:rFonts w:ascii="Arial" w:eastAsia="Times New Roman" w:hAnsi="Arial" w:cs="Arial"/>
          <w:i/>
          <w:iCs/>
          <w:sz w:val="21"/>
          <w:szCs w:val="21"/>
          <w:lang w:eastAsia="es-ES"/>
        </w:rPr>
        <w:t xml:space="preserve"> </w:t>
      </w:r>
      <w:r w:rsidRPr="00D36963">
        <w:rPr>
          <w:rFonts w:ascii="Arial" w:eastAsia="Times New Roman" w:hAnsi="Arial" w:cs="Arial"/>
          <w:sz w:val="21"/>
          <w:szCs w:val="21"/>
          <w:lang w:eastAsia="es-ES"/>
        </w:rPr>
        <w:t xml:space="preserve">El manual ilustra con ejemplos didácticos las diferentes situaciones que se pueden dar en el día a día de cualquier persona al servicio del sector público o que se relacione con </w:t>
      </w:r>
      <w:r w:rsidR="004E039B">
        <w:rPr>
          <w:rFonts w:ascii="Arial" w:eastAsia="Times New Roman" w:hAnsi="Arial" w:cs="Arial"/>
          <w:sz w:val="21"/>
          <w:szCs w:val="21"/>
          <w:lang w:eastAsia="es-ES"/>
        </w:rPr>
        <w:t>e</w:t>
      </w:r>
      <w:r w:rsidRPr="00D36963">
        <w:rPr>
          <w:rFonts w:ascii="Arial" w:eastAsia="Times New Roman" w:hAnsi="Arial" w:cs="Arial"/>
          <w:sz w:val="21"/>
          <w:szCs w:val="21"/>
          <w:lang w:eastAsia="es-ES"/>
        </w:rPr>
        <w:t>st</w:t>
      </w:r>
      <w:r w:rsidR="004E039B">
        <w:rPr>
          <w:rFonts w:ascii="Arial" w:eastAsia="Times New Roman" w:hAnsi="Arial" w:cs="Arial"/>
          <w:sz w:val="21"/>
          <w:szCs w:val="21"/>
          <w:lang w:eastAsia="es-ES"/>
        </w:rPr>
        <w:t>a</w:t>
      </w:r>
      <w:r w:rsidRPr="00D36963">
        <w:rPr>
          <w:rFonts w:ascii="Arial" w:eastAsia="Times New Roman" w:hAnsi="Arial" w:cs="Arial"/>
          <w:sz w:val="21"/>
          <w:szCs w:val="21"/>
          <w:lang w:eastAsia="es-ES"/>
        </w:rPr>
        <w:t xml:space="preserve">, proponiendo medidas preventivas y de control de los conflictos de interés, tanto como riesgo común a cualquier proceso de toma de decisiones como referidas a las áreas de práctica más judicializadas por corrupción (contratación, subvenciones, función pública, etc). El Manual desarrolla con un enfoque práctico y didáctico la Recomendación general aprobada por Resolución del </w:t>
      </w:r>
      <w:r w:rsidR="000D65F7">
        <w:rPr>
          <w:rFonts w:ascii="Arial" w:eastAsia="Times New Roman" w:hAnsi="Arial" w:cs="Arial"/>
          <w:sz w:val="21"/>
          <w:szCs w:val="21"/>
          <w:lang w:eastAsia="es-ES"/>
        </w:rPr>
        <w:t>d</w:t>
      </w:r>
      <w:r w:rsidRPr="00D36963">
        <w:rPr>
          <w:rFonts w:ascii="Arial" w:eastAsia="Times New Roman" w:hAnsi="Arial" w:cs="Arial"/>
          <w:sz w:val="21"/>
          <w:szCs w:val="21"/>
          <w:lang w:eastAsia="es-ES"/>
        </w:rPr>
        <w:t>irector núm. 577/2020, de 3 de diciembre de 2020</w:t>
      </w:r>
      <w:r w:rsidR="004E039B">
        <w:rPr>
          <w:rFonts w:ascii="Arial" w:eastAsia="Times New Roman" w:hAnsi="Arial" w:cs="Arial"/>
          <w:sz w:val="21"/>
          <w:szCs w:val="21"/>
          <w:lang w:eastAsia="es-ES"/>
        </w:rPr>
        <w:t>,</w:t>
      </w:r>
      <w:r w:rsidRPr="00D36963">
        <w:rPr>
          <w:rFonts w:ascii="Arial" w:eastAsia="Times New Roman" w:hAnsi="Arial" w:cs="Arial"/>
          <w:sz w:val="21"/>
          <w:szCs w:val="21"/>
          <w:lang w:eastAsia="es-ES"/>
        </w:rPr>
        <w:t xml:space="preserve"> </w:t>
      </w:r>
      <w:r w:rsidRPr="00D36963">
        <w:rPr>
          <w:rFonts w:ascii="Arial" w:eastAsia="Times New Roman" w:hAnsi="Arial" w:cs="Arial"/>
          <w:b/>
          <w:bCs/>
          <w:i/>
          <w:iCs/>
          <w:sz w:val="21"/>
          <w:szCs w:val="21"/>
          <w:lang w:eastAsia="es-ES"/>
        </w:rPr>
        <w:t>«</w:t>
      </w:r>
      <w:r w:rsidRPr="001D098E">
        <w:rPr>
          <w:rFonts w:ascii="Arial" w:eastAsia="Times New Roman" w:hAnsi="Arial" w:cs="Arial"/>
          <w:b/>
          <w:bCs/>
          <w:sz w:val="21"/>
          <w:szCs w:val="21"/>
          <w:lang w:eastAsia="es-ES"/>
        </w:rPr>
        <w:t>Reflexiones sobre el conflicto de interés: su desconocimiento, la antesala de la corrupción</w:t>
      </w:r>
      <w:r w:rsidRPr="00D36963">
        <w:rPr>
          <w:rFonts w:ascii="Arial" w:eastAsia="Times New Roman" w:hAnsi="Arial" w:cs="Arial"/>
          <w:b/>
          <w:bCs/>
          <w:i/>
          <w:iCs/>
          <w:sz w:val="21"/>
          <w:szCs w:val="21"/>
          <w:lang w:eastAsia="es-ES"/>
        </w:rPr>
        <w:t>»</w:t>
      </w:r>
      <w:r w:rsidRPr="00D36963">
        <w:rPr>
          <w:rFonts w:ascii="Arial" w:eastAsia="Times New Roman" w:hAnsi="Arial" w:cs="Arial"/>
          <w:sz w:val="21"/>
          <w:szCs w:val="21"/>
          <w:lang w:eastAsia="es-ES"/>
        </w:rPr>
        <w:t>,</w:t>
      </w:r>
      <w:r w:rsidRPr="00D36963">
        <w:rPr>
          <w:rFonts w:ascii="Arial" w:eastAsia="Times New Roman" w:hAnsi="Arial" w:cs="Arial"/>
          <w:b/>
          <w:noProof/>
          <w:sz w:val="21"/>
          <w:szCs w:val="21"/>
          <w:lang w:eastAsia="es-ES"/>
        </w:rPr>
        <mc:AlternateContent>
          <mc:Choice Requires="wps">
            <w:drawing>
              <wp:anchor distT="45720" distB="45720" distL="114300" distR="114300" simplePos="0" relativeHeight="252007424" behindDoc="0" locked="0" layoutInCell="1" allowOverlap="1" wp14:anchorId="73B93FAA" wp14:editId="24CC650E">
                <wp:simplePos x="0" y="0"/>
                <wp:positionH relativeFrom="margin">
                  <wp:align>left</wp:align>
                </wp:positionH>
                <wp:positionV relativeFrom="paragraph">
                  <wp:posOffset>1776095</wp:posOffset>
                </wp:positionV>
                <wp:extent cx="45085" cy="73660"/>
                <wp:effectExtent l="0" t="0" r="0" b="2540"/>
                <wp:wrapSquare wrapText="bothSides"/>
                <wp:docPr id="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73660"/>
                        </a:xfrm>
                        <a:prstGeom prst="rect">
                          <a:avLst/>
                        </a:prstGeom>
                        <a:solidFill>
                          <a:srgbClr val="FFFFFF"/>
                        </a:solidFill>
                        <a:ln w="9525">
                          <a:noFill/>
                          <a:miter lim="800000"/>
                          <a:headEnd/>
                          <a:tailEnd/>
                        </a:ln>
                      </wps:spPr>
                      <wps:txbx>
                        <w:txbxContent>
                          <w:p w14:paraId="0BB357EC" w14:textId="77777777" w:rsidR="00D36963" w:rsidRDefault="00D36963" w:rsidP="00D369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B93FAA" id="_x0000_s1041" type="#_x0000_t202" style="position:absolute;left:0;text-align:left;margin-left:0;margin-top:139.85pt;width:3.55pt;height:5.8pt;z-index:252007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" stroked="f">
                <v:textbox>
                  <w:txbxContent>
                    <w:p w14:paraId="0BB357EC" w14:textId="77777777" w:rsidR="00D36963" w:rsidRDefault="00D36963" w:rsidP="00D36963"/>
                  </w:txbxContent>
                </v:textbox>
                <w10:wrap type="square" anchorx="margin"/>
              </v:shape>
            </w:pict>
          </mc:Fallback>
        </mc:AlternateContent>
      </w:r>
      <w:r w:rsidRPr="00D36963">
        <w:rPr>
          <w:rFonts w:ascii="Arial" w:eastAsia="Times New Roman" w:hAnsi="Arial" w:cs="Arial"/>
          <w:sz w:val="21"/>
          <w:szCs w:val="21"/>
          <w:lang w:eastAsia="es-ES"/>
        </w:rPr>
        <w:t xml:space="preserve"> que incidía en la necesidad de conocer e identificar y tomar conciencia de las situaciones constitutivas de un conflicto de interés (real, potencial o aparente)</w:t>
      </w:r>
      <w:r w:rsidR="004E039B">
        <w:rPr>
          <w:rFonts w:ascii="Arial" w:eastAsia="Times New Roman" w:hAnsi="Arial" w:cs="Arial"/>
          <w:sz w:val="21"/>
          <w:szCs w:val="21"/>
          <w:lang w:eastAsia="es-ES"/>
        </w:rPr>
        <w:t>,</w:t>
      </w:r>
      <w:r w:rsidRPr="00D36963">
        <w:rPr>
          <w:rFonts w:ascii="Arial" w:eastAsia="Times New Roman" w:hAnsi="Arial" w:cs="Arial"/>
          <w:sz w:val="21"/>
          <w:szCs w:val="21"/>
          <w:lang w:eastAsia="es-ES"/>
        </w:rPr>
        <w:t xml:space="preserve"> para tomar las medidas adecuadas para prevenir y evitar las irregularidades (administrativas y penales)</w:t>
      </w:r>
      <w:r w:rsidR="004E039B">
        <w:rPr>
          <w:rFonts w:ascii="Arial" w:eastAsia="Times New Roman" w:hAnsi="Arial" w:cs="Arial"/>
          <w:sz w:val="21"/>
          <w:szCs w:val="21"/>
          <w:lang w:eastAsia="es-ES"/>
        </w:rPr>
        <w:t>,</w:t>
      </w:r>
      <w:r w:rsidRPr="00D36963">
        <w:rPr>
          <w:rFonts w:ascii="Arial" w:eastAsia="Times New Roman" w:hAnsi="Arial" w:cs="Arial"/>
          <w:sz w:val="21"/>
          <w:szCs w:val="21"/>
          <w:lang w:eastAsia="es-ES"/>
        </w:rPr>
        <w:t xml:space="preserve"> que ponen en jaque la imparcialidad, la objetividad y el servicio público y, por tanto, para actuar sin injerencias externas de intereses particulares que nos desvíen de la misión de servir al interés general.</w:t>
      </w:r>
    </w:p>
    <w:p w14:paraId="6FFAFF11" w14:textId="1819E748" w:rsidR="00D36963" w:rsidRDefault="00D36963" w:rsidP="00D36963">
      <w:pPr>
        <w:spacing w:after="240" w:line="276" w:lineRule="auto"/>
        <w:jc w:val="both"/>
        <w:rPr>
          <w:rFonts w:ascii="Arial" w:eastAsia="Times New Roman" w:hAnsi="Arial" w:cs="Arial"/>
          <w:sz w:val="21"/>
          <w:szCs w:val="21"/>
          <w:lang w:eastAsia="es-ES"/>
        </w:rPr>
      </w:pPr>
      <w:r w:rsidRPr="00D36963">
        <w:rPr>
          <w:rFonts w:ascii="Arial" w:eastAsia="Times New Roman" w:hAnsi="Arial" w:cs="Arial"/>
          <w:noProof/>
          <w:sz w:val="21"/>
          <w:szCs w:val="21"/>
          <w:lang w:eastAsia="es-ES"/>
        </w:rPr>
        <mc:AlternateContent>
          <mc:Choice Requires="wps">
            <w:drawing>
              <wp:anchor distT="45720" distB="45720" distL="114300" distR="114300" simplePos="0" relativeHeight="252005376" behindDoc="0" locked="0" layoutInCell="1" allowOverlap="1" wp14:anchorId="504D8D25" wp14:editId="238E8FD1">
                <wp:simplePos x="0" y="0"/>
                <wp:positionH relativeFrom="margin">
                  <wp:posOffset>-4445</wp:posOffset>
                </wp:positionH>
                <wp:positionV relativeFrom="paragraph">
                  <wp:posOffset>259080</wp:posOffset>
                </wp:positionV>
                <wp:extent cx="2133600" cy="2524760"/>
                <wp:effectExtent l="0" t="0" r="0" b="8890"/>
                <wp:wrapSquare wrapText="bothSides"/>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524760"/>
                        </a:xfrm>
                        <a:prstGeom prst="rect">
                          <a:avLst/>
                        </a:prstGeom>
                        <a:solidFill>
                          <a:srgbClr val="FFFFFF"/>
                        </a:solidFill>
                        <a:ln w="9525">
                          <a:noFill/>
                          <a:miter lim="800000"/>
                          <a:headEnd/>
                          <a:tailEnd/>
                        </a:ln>
                      </wps:spPr>
                      <wps:txbx>
                        <w:txbxContent>
                          <w:p w14:paraId="6AC8535B" w14:textId="77777777" w:rsidR="005865D2" w:rsidRDefault="00D36963" w:rsidP="005865D2">
                            <w:pPr>
                              <w:keepNext/>
                              <w:jc w:val="center"/>
                            </w:pPr>
                            <w:r>
                              <w:rPr>
                                <w:noProof/>
                              </w:rPr>
                              <w:drawing>
                                <wp:inline distT="0" distB="0" distL="0" distR="0" wp14:anchorId="68474EA7" wp14:editId="12A15528">
                                  <wp:extent cx="1485900" cy="1714500"/>
                                  <wp:effectExtent l="0" t="0" r="0" b="0"/>
                                  <wp:docPr id="95" name="Imagen 95" descr="https://www.antifraucv.es/wp-content/uploads/2021/12/Portada-catalogo-de-riesgos-comunes_page-0001-212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https://www.antifraucv.es/wp-content/uploads/2021/12/Portada-catalogo-de-riesgos-comunes_page-0001-212x300.jpg"/>
                                          <pic:cNvPicPr>
                                            <a:picLocks noChangeAspect="1"/>
                                          </pic:cNvPicPr>
                                        </pic:nvPicPr>
                                        <pic:blipFill rotWithShape="1">
                                          <a:blip r:embed="rId495">
                                            <a:extLst>
                                              <a:ext uri="{28A0092B-C50C-407E-A947-70E740481C1C}">
                                                <a14:useLocalDpi xmlns:a14="http://schemas.microsoft.com/office/drawing/2010/main" val="0"/>
                                              </a:ext>
                                            </a:extLst>
                                          </a:blip>
                                          <a:srcRect l="6918" t="5778" r="6918" b="6000"/>
                                          <a:stretch/>
                                        </pic:blipFill>
                                        <pic:spPr bwMode="auto">
                                          <a:xfrm>
                                            <a:off x="0" y="0"/>
                                            <a:ext cx="1485900" cy="1714500"/>
                                          </a:xfrm>
                                          <a:prstGeom prst="rect">
                                            <a:avLst/>
                                          </a:prstGeom>
                                          <a:noFill/>
                                          <a:ln>
                                            <a:noFill/>
                                          </a:ln>
                                          <a:extLst>
                                            <a:ext uri="{53640926-AAD7-44D8-BBD7-CCE9431645EC}">
                                              <a14:shadowObscured xmlns:a14="http://schemas.microsoft.com/office/drawing/2010/main"/>
                                            </a:ext>
                                          </a:extLst>
                                        </pic:spPr>
                                      </pic:pic>
                                    </a:graphicData>
                                  </a:graphic>
                                </wp:inline>
                              </w:drawing>
                            </w:r>
                          </w:p>
                          <w:p w14:paraId="2232C1CC" w14:textId="21FDE4E4" w:rsidR="005865D2" w:rsidRPr="005865D2" w:rsidRDefault="005865D2" w:rsidP="005865D2">
                            <w:pPr>
                              <w:pStyle w:val="Descripcin"/>
                              <w:jc w:val="center"/>
                              <w:rPr>
                                <w:rFonts w:ascii="Arial" w:hAnsi="Arial" w:cs="Arial"/>
                                <w:smallCaps w:val="0"/>
                                <w:sz w:val="18"/>
                                <w:szCs w:val="18"/>
                              </w:rPr>
                            </w:pPr>
                            <w:bookmarkStart w:id="435" w:name="_Toc99099134"/>
                            <w:r w:rsidRPr="005865D2">
                              <w:rPr>
                                <w:rFonts w:ascii="Arial" w:hAnsi="Arial" w:cs="Arial"/>
                                <w:smallCaps w:val="0"/>
                                <w:color w:val="9D2235" w:themeColor="accent1"/>
                                <w:sz w:val="18"/>
                                <w:szCs w:val="18"/>
                              </w:rPr>
                              <w:t xml:space="preserve">Imagen </w:t>
                            </w:r>
                            <w:r w:rsidRPr="005865D2">
                              <w:rPr>
                                <w:rFonts w:ascii="Arial" w:hAnsi="Arial" w:cs="Arial"/>
                                <w:smallCaps w:val="0"/>
                                <w:color w:val="9D2235" w:themeColor="accent1"/>
                                <w:sz w:val="18"/>
                                <w:szCs w:val="18"/>
                              </w:rPr>
                              <w:fldChar w:fldCharType="begin"/>
                            </w:r>
                            <w:r w:rsidRPr="005865D2">
                              <w:rPr>
                                <w:rFonts w:ascii="Arial" w:hAnsi="Arial" w:cs="Arial"/>
                                <w:smallCaps w:val="0"/>
                                <w:color w:val="9D2235" w:themeColor="accent1"/>
                                <w:sz w:val="18"/>
                                <w:szCs w:val="18"/>
                              </w:rPr>
                              <w:instrText xml:space="preserve"> SEQ Imagen \* ARABIC </w:instrText>
                            </w:r>
                            <w:r w:rsidRPr="005865D2">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10</w:t>
                            </w:r>
                            <w:r w:rsidRPr="005865D2">
                              <w:rPr>
                                <w:rFonts w:ascii="Arial" w:hAnsi="Arial" w:cs="Arial"/>
                                <w:smallCaps w:val="0"/>
                                <w:color w:val="9D2235" w:themeColor="accent1"/>
                                <w:sz w:val="18"/>
                                <w:szCs w:val="18"/>
                              </w:rPr>
                              <w:fldChar w:fldCharType="end"/>
                            </w:r>
                            <w:r w:rsidRPr="005865D2">
                              <w:rPr>
                                <w:rFonts w:ascii="Arial" w:hAnsi="Arial" w:cs="Arial"/>
                                <w:smallCaps w:val="0"/>
                                <w:color w:val="9D2235" w:themeColor="accent1"/>
                                <w:sz w:val="18"/>
                                <w:szCs w:val="18"/>
                              </w:rPr>
                              <w:t xml:space="preserve">. </w:t>
                            </w:r>
                            <w:r w:rsidRPr="005865D2">
                              <w:rPr>
                                <w:rFonts w:ascii="Arial" w:hAnsi="Arial" w:cs="Arial"/>
                                <w:smallCaps w:val="0"/>
                                <w:sz w:val="18"/>
                                <w:szCs w:val="18"/>
                              </w:rPr>
                              <w:t>Catálogo de riesgos comunes en los procesos de toma de decisiones y algunos mecanismos de prevención</w:t>
                            </w:r>
                            <w:bookmarkEnd w:id="435"/>
                          </w:p>
                          <w:p w14:paraId="2176DE9F" w14:textId="0690598E" w:rsidR="00D36963" w:rsidRDefault="00D36963" w:rsidP="00D369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D8D25" id="_x0000_s1042" type="#_x0000_t202" style="position:absolute;left:0;text-align:left;margin-left:-.35pt;margin-top:20.4pt;width:168pt;height:198.8pt;z-index:25200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" stroked="f">
                <v:textbox>
                  <w:txbxContent>
                    <w:p w14:paraId="6AC8535B" w14:textId="77777777" w:rsidR="005865D2" w:rsidRDefault="00D36963" w:rsidP="005865D2">
                      <w:pPr>
                        <w:keepNext/>
                        <w:jc w:val="center"/>
                      </w:pPr>
                      <w:r>
                        <w:rPr>
                          <w:noProof/>
                        </w:rPr>
                        <w:drawing>
                          <wp:inline distT="0" distB="0" distL="0" distR="0" wp14:anchorId="68474EA7" wp14:editId="12A15528">
                            <wp:extent cx="1485900" cy="1714500"/>
                            <wp:effectExtent l="0" t="0" r="0" b="0"/>
                            <wp:docPr id="95" name="Imagen 95" descr="https://www.antifraucv.es/wp-content/uploads/2021/12/Portada-catalogo-de-riesgos-comunes_page-0001-212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https://www.antifraucv.es/wp-content/uploads/2021/12/Portada-catalogo-de-riesgos-comunes_page-0001-212x300.jpg"/>
                                    <pic:cNvPicPr>
                                      <a:picLocks noChangeAspect="1"/>
                                    </pic:cNvPicPr>
                                  </pic:nvPicPr>
                                  <pic:blipFill rotWithShape="1">
                                    <a:blip r:embed="rId496">
                                      <a:extLst>
                                        <a:ext uri="{28A0092B-C50C-407E-A947-70E740481C1C}">
                                          <a14:useLocalDpi xmlns:a14="http://schemas.microsoft.com/office/drawing/2010/main" val="0"/>
                                        </a:ext>
                                      </a:extLst>
                                    </a:blip>
                                    <a:srcRect l="6918" t="5778" r="6918" b="6000"/>
                                    <a:stretch/>
                                  </pic:blipFill>
                                  <pic:spPr bwMode="auto">
                                    <a:xfrm>
                                      <a:off x="0" y="0"/>
                                      <a:ext cx="1485900" cy="1714500"/>
                                    </a:xfrm>
                                    <a:prstGeom prst="rect">
                                      <a:avLst/>
                                    </a:prstGeom>
                                    <a:noFill/>
                                    <a:ln>
                                      <a:noFill/>
                                    </a:ln>
                                    <a:extLst>
                                      <a:ext uri="{53640926-AAD7-44D8-BBD7-CCE9431645EC}">
                                        <a14:shadowObscured xmlns:a14="http://schemas.microsoft.com/office/drawing/2010/main"/>
                                      </a:ext>
                                    </a:extLst>
                                  </pic:spPr>
                                </pic:pic>
                              </a:graphicData>
                            </a:graphic>
                          </wp:inline>
                        </w:drawing>
                      </w:r>
                    </w:p>
                    <w:p w14:paraId="2232C1CC" w14:textId="21FDE4E4" w:rsidR="005865D2" w:rsidRPr="005865D2" w:rsidRDefault="005865D2" w:rsidP="005865D2">
                      <w:pPr>
                        <w:pStyle w:val="Descripcin"/>
                        <w:jc w:val="center"/>
                        <w:rPr>
                          <w:rFonts w:ascii="Arial" w:hAnsi="Arial" w:cs="Arial"/>
                          <w:smallCaps w:val="0"/>
                          <w:sz w:val="18"/>
                          <w:szCs w:val="18"/>
                        </w:rPr>
                      </w:pPr>
                      <w:bookmarkStart w:id="449" w:name="_Toc99099134"/>
                      <w:r w:rsidRPr="005865D2">
                        <w:rPr>
                          <w:rFonts w:ascii="Arial" w:hAnsi="Arial" w:cs="Arial"/>
                          <w:smallCaps w:val="0"/>
                          <w:color w:val="9D2235" w:themeColor="accent1"/>
                          <w:sz w:val="18"/>
                          <w:szCs w:val="18"/>
                        </w:rPr>
                        <w:t xml:space="preserve">Imagen </w:t>
                      </w:r>
                      <w:r w:rsidRPr="005865D2">
                        <w:rPr>
                          <w:rFonts w:ascii="Arial" w:hAnsi="Arial" w:cs="Arial"/>
                          <w:smallCaps w:val="0"/>
                          <w:color w:val="9D2235" w:themeColor="accent1"/>
                          <w:sz w:val="18"/>
                          <w:szCs w:val="18"/>
                        </w:rPr>
                        <w:fldChar w:fldCharType="begin"/>
                      </w:r>
                      <w:r w:rsidRPr="005865D2">
                        <w:rPr>
                          <w:rFonts w:ascii="Arial" w:hAnsi="Arial" w:cs="Arial"/>
                          <w:smallCaps w:val="0"/>
                          <w:color w:val="9D2235" w:themeColor="accent1"/>
                          <w:sz w:val="18"/>
                          <w:szCs w:val="18"/>
                        </w:rPr>
                        <w:instrText xml:space="preserve"> SEQ Imagen \* ARABIC </w:instrText>
                      </w:r>
                      <w:r w:rsidRPr="005865D2">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10</w:t>
                      </w:r>
                      <w:r w:rsidRPr="005865D2">
                        <w:rPr>
                          <w:rFonts w:ascii="Arial" w:hAnsi="Arial" w:cs="Arial"/>
                          <w:smallCaps w:val="0"/>
                          <w:color w:val="9D2235" w:themeColor="accent1"/>
                          <w:sz w:val="18"/>
                          <w:szCs w:val="18"/>
                        </w:rPr>
                        <w:fldChar w:fldCharType="end"/>
                      </w:r>
                      <w:r w:rsidRPr="005865D2">
                        <w:rPr>
                          <w:rFonts w:ascii="Arial" w:hAnsi="Arial" w:cs="Arial"/>
                          <w:smallCaps w:val="0"/>
                          <w:color w:val="9D2235" w:themeColor="accent1"/>
                          <w:sz w:val="18"/>
                          <w:szCs w:val="18"/>
                        </w:rPr>
                        <w:t xml:space="preserve">. </w:t>
                      </w:r>
                      <w:r w:rsidRPr="005865D2">
                        <w:rPr>
                          <w:rFonts w:ascii="Arial" w:hAnsi="Arial" w:cs="Arial"/>
                          <w:smallCaps w:val="0"/>
                          <w:sz w:val="18"/>
                          <w:szCs w:val="18"/>
                        </w:rPr>
                        <w:t>Catálogo de riesgos comunes en los procesos de toma de decisiones y algunos mecanismos de prevención</w:t>
                      </w:r>
                      <w:bookmarkEnd w:id="449"/>
                    </w:p>
                    <w:p w14:paraId="2176DE9F" w14:textId="0690598E" w:rsidR="00D36963" w:rsidRDefault="00D36963" w:rsidP="00D36963"/>
                  </w:txbxContent>
                </v:textbox>
                <w10:wrap type="square" anchorx="margin"/>
              </v:shape>
            </w:pict>
          </mc:Fallback>
        </mc:AlternateContent>
      </w:r>
      <w:r w:rsidRPr="00D36963">
        <w:rPr>
          <w:rFonts w:ascii="Arial" w:eastAsia="Times New Roman" w:hAnsi="Arial" w:cs="Arial"/>
          <w:sz w:val="21"/>
          <w:szCs w:val="21"/>
          <w:lang w:eastAsia="es-ES"/>
        </w:rPr>
        <w:t xml:space="preserve">Por Resolución del director núm. 537, de 16 de julio, se aprobaron dos </w:t>
      </w:r>
      <w:r w:rsidRPr="00D36963">
        <w:rPr>
          <w:rFonts w:ascii="Arial" w:eastAsia="Times New Roman" w:hAnsi="Arial" w:cs="Arial"/>
          <w:b/>
          <w:bCs/>
          <w:sz w:val="21"/>
          <w:szCs w:val="21"/>
          <w:lang w:eastAsia="es-ES"/>
        </w:rPr>
        <w:t>catálogos de riesgos (comunes y específicos</w:t>
      </w:r>
      <w:r w:rsidR="00CB24A2">
        <w:rPr>
          <w:rFonts w:ascii="Arial" w:eastAsia="Times New Roman" w:hAnsi="Arial" w:cs="Arial"/>
          <w:b/>
          <w:bCs/>
          <w:sz w:val="21"/>
          <w:szCs w:val="21"/>
          <w:lang w:eastAsia="es-ES"/>
        </w:rPr>
        <w:t>)</w:t>
      </w:r>
      <w:r w:rsidRPr="00D36963">
        <w:rPr>
          <w:rFonts w:ascii="Arial" w:eastAsia="Times New Roman" w:hAnsi="Arial" w:cs="Arial"/>
          <w:sz w:val="21"/>
          <w:szCs w:val="21"/>
          <w:lang w:eastAsia="es-ES"/>
        </w:rPr>
        <w:t xml:space="preserve"> </w:t>
      </w:r>
      <w:r w:rsidRPr="00CB24A2">
        <w:rPr>
          <w:rFonts w:ascii="Arial" w:eastAsia="Times New Roman" w:hAnsi="Arial" w:cs="Arial"/>
          <w:sz w:val="18"/>
          <w:szCs w:val="18"/>
          <w:lang w:eastAsia="es-ES"/>
        </w:rPr>
        <w:t>[</w:t>
      </w:r>
      <w:hyperlink r:id="rId497" w:history="1">
        <w:r w:rsidRPr="00CB24A2">
          <w:rPr>
            <w:rStyle w:val="Hipervnculo"/>
            <w:rFonts w:ascii="Arial" w:eastAsia="Times New Roman" w:hAnsi="Arial" w:cs="Arial"/>
            <w:sz w:val="18"/>
            <w:szCs w:val="18"/>
            <w:lang w:eastAsia="es-ES"/>
          </w:rPr>
          <w:t>https://www.antifraucv.es/wp-content/uploads/2021/12/Catalogo-de-riesgos.pdf</w:t>
        </w:r>
      </w:hyperlink>
      <w:r w:rsidRPr="00CB24A2">
        <w:rPr>
          <w:rFonts w:ascii="Arial" w:eastAsia="Times New Roman" w:hAnsi="Arial" w:cs="Arial"/>
          <w:sz w:val="18"/>
          <w:szCs w:val="18"/>
          <w:lang w:eastAsia="es-ES"/>
        </w:rPr>
        <w:t>]</w:t>
      </w:r>
      <w:r w:rsidR="004E039B">
        <w:rPr>
          <w:rFonts w:ascii="Arial" w:eastAsia="Times New Roman" w:hAnsi="Arial" w:cs="Arial"/>
          <w:sz w:val="18"/>
          <w:szCs w:val="18"/>
          <w:lang w:eastAsia="es-ES"/>
        </w:rPr>
        <w:t>,</w:t>
      </w:r>
      <w:r w:rsidRPr="00D36963">
        <w:rPr>
          <w:rFonts w:ascii="Arial" w:eastAsia="Times New Roman" w:hAnsi="Arial" w:cs="Arial"/>
          <w:sz w:val="21"/>
          <w:szCs w:val="21"/>
          <w:lang w:eastAsia="es-ES"/>
        </w:rPr>
        <w:t xml:space="preserve"> elaborados por el Servicio de Prevención: «Catálogo de riesgos comunes en los procesos de toma de decisiones y algunos mecanismos de prevención», así como el «Catálogo de riesgos sectoriales en los procesos de toma de decisiones y algunos mecanismos de prevención». El primero de ellos enumera aquellos riesgos que, con carácter transversal, afectan a cualquier proceso de toma de decisiones (inadecuada gestión del conflicto de interés, obsolescencia legal y tecnológica, sobre o infra representación, confusión de funciones de los cargos de confianza con las reservadas al funcionariado, ocultación de información relevante para la toma de decisiones, falta de transparencia o transparencia cosmética, falta de planificación, entre otros). El segundo enuncia los principales riesgos de corrupción (tanto penal como administrativa)</w:t>
      </w:r>
      <w:r w:rsidR="00CB24A2">
        <w:rPr>
          <w:rFonts w:ascii="Arial" w:eastAsia="Times New Roman" w:hAnsi="Arial" w:cs="Arial"/>
          <w:sz w:val="21"/>
          <w:szCs w:val="21"/>
          <w:lang w:eastAsia="es-ES"/>
        </w:rPr>
        <w:t>,</w:t>
      </w:r>
      <w:r w:rsidRPr="00D36963">
        <w:rPr>
          <w:rFonts w:ascii="Arial" w:eastAsia="Times New Roman" w:hAnsi="Arial" w:cs="Arial"/>
          <w:sz w:val="21"/>
          <w:szCs w:val="21"/>
          <w:lang w:eastAsia="es-ES"/>
        </w:rPr>
        <w:t xml:space="preserve"> referidos a cada una de las áreas de práctica más judicializadas en los últimos tiempos en nuestra Comunitat (urbanismo, subvenciones, función pública, patrimonio, etc.), si bien será en el ejercicio 2022 cuando se publique un tercer catálogo monográfico de los riesgos específicos en el sector de la contratación del sector público. </w:t>
      </w:r>
    </w:p>
    <w:p w14:paraId="05E73D8C" w14:textId="135C3316" w:rsidR="000D65F7" w:rsidRPr="000D65F7" w:rsidRDefault="000D65F7" w:rsidP="000D65F7">
      <w:pPr>
        <w:spacing w:after="24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En este ejercicio, también se han ejercido las funciones de asesoramiento preventivo</w:t>
      </w:r>
      <w:r w:rsidR="00CB24A2">
        <w:rPr>
          <w:rFonts w:ascii="Arial" w:eastAsia="Times New Roman" w:hAnsi="Arial" w:cs="Arial"/>
          <w:sz w:val="21"/>
          <w:szCs w:val="21"/>
          <w:lang w:eastAsia="es-ES"/>
        </w:rPr>
        <w:t>,</w:t>
      </w:r>
      <w:r w:rsidRPr="000D65F7">
        <w:rPr>
          <w:rFonts w:ascii="Arial" w:eastAsia="Times New Roman" w:hAnsi="Arial" w:cs="Arial"/>
          <w:sz w:val="21"/>
          <w:szCs w:val="21"/>
          <w:lang w:eastAsia="es-ES"/>
        </w:rPr>
        <w:t xml:space="preserve"> en colaboración con la Dirección de Análisis e Investigación</w:t>
      </w:r>
      <w:r w:rsidR="00CB24A2">
        <w:rPr>
          <w:rFonts w:ascii="Arial" w:eastAsia="Times New Roman" w:hAnsi="Arial" w:cs="Arial"/>
          <w:sz w:val="21"/>
          <w:szCs w:val="21"/>
          <w:lang w:eastAsia="es-ES"/>
        </w:rPr>
        <w:t>,</w:t>
      </w:r>
      <w:r w:rsidRPr="000D65F7">
        <w:rPr>
          <w:rFonts w:ascii="Arial" w:eastAsia="Times New Roman" w:hAnsi="Arial" w:cs="Arial"/>
          <w:sz w:val="21"/>
          <w:szCs w:val="21"/>
          <w:lang w:eastAsia="es-ES"/>
        </w:rPr>
        <w:t xml:space="preserve"> elaborando propuestas de recomendaciones específicas sobre determinadas actuaciones investigadas. </w:t>
      </w:r>
    </w:p>
    <w:p w14:paraId="1330DEE8" w14:textId="77777777" w:rsidR="000D65F7" w:rsidRPr="000D65F7" w:rsidRDefault="000D65F7" w:rsidP="000D65F7">
      <w:pPr>
        <w:spacing w:after="24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Por parte del Servicio de Prevención, en colaboración con el Área de Comunicación de la Agencia, se ha procedido a la difusión de los materiales preventivos realizados durante el 2021, que pueden consultarse en la página web y en redes sociales de la AVAF y que han sido difundidos a todas las instituciones y entidades destinatarias incluidas en nuestro ámbito subjetivo (Corts Valencianes, Consellerias, Ayuntamientos y Diputaciones Provinciales de la Comunitat Valenciana, Direcciones Generales, Sindicatura de Comptes, Consell Jurídic Consultiu, Colegio de Secretarios Interventores y Tesoreros de Valencia, Castellón y Alicante, Federación Valenciana de Municipios y Provincias y Universidades). </w:t>
      </w:r>
    </w:p>
    <w:p w14:paraId="54E422DA" w14:textId="716C5681" w:rsidR="000D65F7" w:rsidRPr="000D65F7" w:rsidRDefault="000D65F7" w:rsidP="000D65F7">
      <w:pPr>
        <w:spacing w:after="24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Como veremos en el apartado correspondiente, el contenido de la guía de integridad pública y del resto de materiales preventivos ha sido objeto de cursos de formación y congresos (algunas de dichas ponencias se encuentran publicadas en el canal de youtube de la AVAF, así como en GVA Oberta de la Conselleria de Transparencia). Asimismo, los materiales elaborados por el Servicio, especialmente el contenido mínimo del plan de integridad pública y del plan de medidas antifraude</w:t>
      </w:r>
      <w:r w:rsidR="004E039B">
        <w:rPr>
          <w:rFonts w:ascii="Arial" w:eastAsia="Times New Roman" w:hAnsi="Arial" w:cs="Arial"/>
          <w:sz w:val="21"/>
          <w:szCs w:val="21"/>
          <w:lang w:eastAsia="es-ES"/>
        </w:rPr>
        <w:t>,</w:t>
      </w:r>
      <w:r w:rsidRPr="000D65F7">
        <w:rPr>
          <w:rFonts w:ascii="Arial" w:eastAsia="Times New Roman" w:hAnsi="Arial" w:cs="Arial"/>
          <w:sz w:val="21"/>
          <w:szCs w:val="21"/>
          <w:lang w:eastAsia="es-ES"/>
        </w:rPr>
        <w:t xml:space="preserve"> exigido por la Orden HFP/1030/2021, de 29 de septiembre, han posibilitado reuniones, consultas y la suscripción de protocolos de colaboración con diferentes entidades e instituciones de nuestra Comuni</w:t>
      </w:r>
      <w:r w:rsidR="004E039B">
        <w:rPr>
          <w:rFonts w:ascii="Arial" w:eastAsia="Times New Roman" w:hAnsi="Arial" w:cs="Arial"/>
          <w:sz w:val="21"/>
          <w:szCs w:val="21"/>
          <w:lang w:eastAsia="es-ES"/>
        </w:rPr>
        <w:t>dad</w:t>
      </w:r>
      <w:r w:rsidRPr="000D65F7">
        <w:rPr>
          <w:rFonts w:ascii="Arial" w:eastAsia="Times New Roman" w:hAnsi="Arial" w:cs="Arial"/>
          <w:sz w:val="21"/>
          <w:szCs w:val="21"/>
          <w:lang w:eastAsia="es-ES"/>
        </w:rPr>
        <w:t>, habiendo sido citados en diversos cursos y artículos relacionados con la materia.</w:t>
      </w:r>
    </w:p>
    <w:p w14:paraId="34ADFA54" w14:textId="4F19E45B" w:rsidR="000D65F7" w:rsidRPr="00D36963" w:rsidRDefault="000D65F7" w:rsidP="000D65F7">
      <w:pPr>
        <w:spacing w:after="24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Esperamos que todas nuestras aportaciones hayan resultado de interés y utilidad, aunando esfuerzos en la senda de la integridad pública.</w:t>
      </w:r>
    </w:p>
    <w:p w14:paraId="2013AC8C" w14:textId="1B71EBD5" w:rsidR="00A62193" w:rsidRPr="00A62193" w:rsidRDefault="006021BC"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36" w:name="_Toc99107103"/>
      <w:r>
        <w:rPr>
          <w:rFonts w:ascii="Arial" w:eastAsia="Times New Roman" w:hAnsi="Arial" w:cs="Arial"/>
          <w:b/>
          <w:bCs/>
          <w:color w:val="9D2235" w:themeColor="accent1"/>
          <w:sz w:val="28"/>
          <w:szCs w:val="28"/>
          <w:lang w:eastAsia="es-ES"/>
        </w:rPr>
        <w:t>Propuestas sobre disposiciones normativas</w:t>
      </w:r>
      <w:bookmarkEnd w:id="436"/>
    </w:p>
    <w:p w14:paraId="1D52B765" w14:textId="0254BE21" w:rsidR="000D65F7" w:rsidRPr="000D65F7" w:rsidRDefault="000D65F7" w:rsidP="000D65F7">
      <w:pPr>
        <w:spacing w:after="12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De acuerdo con los artículos 4.f) de la Ley 11/2016, de 28 de noviembre y 19.h) del Reglamento de funcionamiento y régimen interior, la Agencia tiene la función de asesorar y formular propuestas y recomendaciones a </w:t>
      </w:r>
      <w:r w:rsidR="00CB24A2">
        <w:rPr>
          <w:rFonts w:ascii="Arial" w:eastAsia="Times New Roman" w:hAnsi="Arial" w:cs="Arial"/>
          <w:sz w:val="21"/>
          <w:szCs w:val="21"/>
          <w:lang w:eastAsia="es-ES"/>
        </w:rPr>
        <w:t>la</w:t>
      </w:r>
      <w:r w:rsidRPr="000D65F7">
        <w:rPr>
          <w:rFonts w:ascii="Arial" w:eastAsia="Times New Roman" w:hAnsi="Arial" w:cs="Arial"/>
          <w:sz w:val="21"/>
          <w:szCs w:val="21"/>
          <w:lang w:eastAsia="es-ES"/>
        </w:rPr>
        <w:t>s Corts</w:t>
      </w:r>
      <w:r w:rsidR="00CB24A2">
        <w:rPr>
          <w:rFonts w:ascii="Arial" w:eastAsia="Times New Roman" w:hAnsi="Arial" w:cs="Arial"/>
          <w:sz w:val="21"/>
          <w:szCs w:val="21"/>
          <w:lang w:eastAsia="es-ES"/>
        </w:rPr>
        <w:t xml:space="preserve"> </w:t>
      </w:r>
      <w:r w:rsidR="00CB24A2" w:rsidRPr="004E039B">
        <w:rPr>
          <w:rFonts w:ascii="Arial" w:eastAsia="Times New Roman" w:hAnsi="Arial" w:cs="Arial"/>
          <w:sz w:val="21"/>
          <w:szCs w:val="21"/>
          <w:lang w:eastAsia="es-ES"/>
        </w:rPr>
        <w:t>Valencianes</w:t>
      </w:r>
      <w:r w:rsidRPr="004E039B">
        <w:rPr>
          <w:rFonts w:ascii="Arial" w:eastAsia="Times New Roman" w:hAnsi="Arial" w:cs="Arial"/>
          <w:sz w:val="21"/>
          <w:szCs w:val="21"/>
          <w:lang w:eastAsia="es-ES"/>
        </w:rPr>
        <w:t xml:space="preserve">, al Consell de la Generalitat </w:t>
      </w:r>
      <w:r w:rsidR="00CB24A2" w:rsidRPr="004E039B">
        <w:rPr>
          <w:rFonts w:ascii="Arial" w:eastAsia="Times New Roman" w:hAnsi="Arial" w:cs="Arial"/>
          <w:sz w:val="21"/>
          <w:szCs w:val="21"/>
          <w:lang w:eastAsia="es-ES"/>
        </w:rPr>
        <w:t xml:space="preserve">Valenciana </w:t>
      </w:r>
      <w:r w:rsidRPr="004E039B">
        <w:rPr>
          <w:rFonts w:ascii="Arial" w:eastAsia="Times New Roman" w:hAnsi="Arial" w:cs="Arial"/>
          <w:sz w:val="21"/>
          <w:szCs w:val="21"/>
          <w:lang w:eastAsia="es-ES"/>
        </w:rPr>
        <w:t>y a las entidades incluidas en su ámbito</w:t>
      </w:r>
      <w:r w:rsidRPr="000D65F7">
        <w:rPr>
          <w:rFonts w:ascii="Arial" w:eastAsia="Times New Roman" w:hAnsi="Arial" w:cs="Arial"/>
          <w:sz w:val="21"/>
          <w:szCs w:val="21"/>
          <w:lang w:eastAsia="es-ES"/>
        </w:rPr>
        <w:t xml:space="preserve"> de actuación en materia de integridad, ética pública y prevención y lucha contra la corrupción, sobre disposiciones normativas vigentes o en trámite de aprobación.</w:t>
      </w:r>
    </w:p>
    <w:p w14:paraId="0952718A" w14:textId="77777777" w:rsidR="000D65F7" w:rsidRPr="000D65F7" w:rsidRDefault="000D65F7" w:rsidP="000D65F7">
      <w:pPr>
        <w:spacing w:after="12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En ese sentido, el Plan Estratégico del Servicio de Prevención contempla la realización de sugerencias o alegaciones durante los procesos de elaboración de normas vinculadas al marco de actuación objetivo y subjetivo de la Agencia, para coadyuvar en la mejora de la calidad normativa y convencidos de que la mejor medida de prevención es que la norma incorpore, desde su gestación, la perspectiva de la integridad pública.</w:t>
      </w:r>
    </w:p>
    <w:p w14:paraId="3ADA786D" w14:textId="77777777" w:rsidR="000D65F7" w:rsidRPr="000D65F7" w:rsidRDefault="000D65F7" w:rsidP="000D65F7">
      <w:pPr>
        <w:spacing w:after="12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El personal del Servicio estudió la publicación de la Proposición de la Ley de Transparencia y Buen Gobierno de la Comunitat Valenciana (BOCV núm. 192 de 01/10/2021), redactando hasta once enmiendas al Título III de la misma, relativo al Buen Gobierno, que pasamos a sintetizar a continuación. </w:t>
      </w:r>
    </w:p>
    <w:p w14:paraId="6A4AB766" w14:textId="68CAE3B3" w:rsidR="000D65F7" w:rsidRPr="000D65F7" w:rsidRDefault="000D65F7" w:rsidP="000D65F7">
      <w:pPr>
        <w:spacing w:after="12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Las cuatro primeras enmiendas formuladas por la AVAF, todas ellas referidas al artículo 54 de la norma, pretendían una regulación más completa, pormenorizada y coherente con la normativa vigente de los principios que deben regir la actuación de las personas servidoras públicas destinatarias de la Ley. Así, se propuso introducir los principios de ejemplaridad, neutralidad y los de buena administración, así como la necesaria rendición de cuentas</w:t>
      </w:r>
      <w:r w:rsidR="004E039B">
        <w:rPr>
          <w:rFonts w:ascii="Arial" w:eastAsia="Times New Roman" w:hAnsi="Arial" w:cs="Arial"/>
          <w:sz w:val="21"/>
          <w:szCs w:val="21"/>
          <w:lang w:eastAsia="es-ES"/>
        </w:rPr>
        <w:t>,</w:t>
      </w:r>
      <w:r w:rsidRPr="000D65F7">
        <w:rPr>
          <w:rFonts w:ascii="Arial" w:eastAsia="Times New Roman" w:hAnsi="Arial" w:cs="Arial"/>
          <w:sz w:val="21"/>
          <w:szCs w:val="21"/>
          <w:lang w:eastAsia="es-ES"/>
        </w:rPr>
        <w:t xml:space="preserve"> no solo ante los órganos de control internos sino también ante órganos de control externos, con el fin de lograr una supervisión completa de las políticas públicas y su gestión. Todo ello daría lugar a un sistema de integridad generador de la confianza de la ciudadanía en el funcionamiento de las instituciones de la Comunitat Valenciana.</w:t>
      </w:r>
    </w:p>
    <w:p w14:paraId="4F6AC109" w14:textId="77777777" w:rsidR="000D65F7" w:rsidRPr="000D65F7" w:rsidRDefault="000D65F7" w:rsidP="000D65F7">
      <w:pPr>
        <w:spacing w:after="12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La AVAF propuso igualmente ampliar el ámbito de operatividad del principio de participación pública a los procesos de elaboración de las normas y no solo en lo referente a la elaboración de las políticas públicas, lo que facilitaría una participación real y efectiva en los asuntos públicos del conjunto de la sociedad.</w:t>
      </w:r>
    </w:p>
    <w:p w14:paraId="4D7C4F35" w14:textId="77777777" w:rsidR="000D65F7" w:rsidRPr="000D65F7" w:rsidRDefault="000D65F7" w:rsidP="000D65F7">
      <w:pPr>
        <w:spacing w:after="12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Otra de las enmiendas contemplaba la posibilidad de que, ante situaciones potencialmente constitutivas de fraude o corrupción, se alerte, haciendo uso del buzón que esta Agencia Valenciana Antifraude tiene en funcionamiento a tal efecto, para posibilitar su adaptación a la Directiva (UE) 2019/1937 del Parlamento Europeo y del Consejo de 23 de octubre de 2019, relativa a la protección de las personas que informen sobre el Derecho de la Unión, en relación con la normativa institucional de esta Agencia.</w:t>
      </w:r>
    </w:p>
    <w:p w14:paraId="34F79566" w14:textId="77777777" w:rsidR="000D65F7" w:rsidRPr="000D65F7" w:rsidRDefault="000D65F7" w:rsidP="000D65F7">
      <w:pPr>
        <w:spacing w:after="12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Con respecto al régimen de incompatibilidades, se propuso la necesaria alusión expresa al conflicto de interés entre los intereses públicos y los particulares, tanto durante el ejercicio del cargo, dada la necesidad de que prevalezcan los primeros en los procesos de toma de decisiones, como después de su cese, en vistas a frenar el conocido, pero presente fenómeno de las “puertas giratorias”.</w:t>
      </w:r>
    </w:p>
    <w:p w14:paraId="649A61DB" w14:textId="71BCDD71" w:rsidR="00A62193" w:rsidRPr="00A62193" w:rsidRDefault="000D65F7" w:rsidP="00F11285">
      <w:pPr>
        <w:spacing w:after="24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La AVAF también propuso, en relación con las políticas de aceptación de regalos, que cada administración concretase, en sus respectivos códigos éticos y de conducta, sus límites en cuanto a los usos y costumbres se refiere, los umbrales máximos, así como las principales obligaciones de notificación, devolución, registro y publicidad de los regalos. En relación con la elaboración de estos códigos, la AVAF pretendía, en su enmienda al artículo 55.1, sentar los cimientos del contenido ético común para todas las administraciones públicas que sirviera como marco sobre el que posteriormente cada una de las administraciones</w:t>
      </w:r>
      <w:r w:rsidR="004E039B">
        <w:rPr>
          <w:rFonts w:ascii="Arial" w:eastAsia="Times New Roman" w:hAnsi="Arial" w:cs="Arial"/>
          <w:sz w:val="21"/>
          <w:szCs w:val="21"/>
          <w:lang w:eastAsia="es-ES"/>
        </w:rPr>
        <w:t xml:space="preserve"> efectúen la adaptación</w:t>
      </w:r>
      <w:r w:rsidRPr="000D65F7">
        <w:rPr>
          <w:rFonts w:ascii="Arial" w:eastAsia="Times New Roman" w:hAnsi="Arial" w:cs="Arial"/>
          <w:sz w:val="21"/>
          <w:szCs w:val="21"/>
          <w:lang w:eastAsia="es-ES"/>
        </w:rPr>
        <w:t xml:space="preserve"> a sus especiales características y circunstancias. Así, se propuso el siguiente contenido mínimo:</w:t>
      </w:r>
    </w:p>
    <w:p w14:paraId="23221D08" w14:textId="23694242" w:rsidR="000D65F7" w:rsidRPr="005E7D6C" w:rsidRDefault="000D65F7" w:rsidP="00F11285">
      <w:pPr>
        <w:pStyle w:val="Prrafodelista"/>
        <w:numPr>
          <w:ilvl w:val="0"/>
          <w:numId w:val="146"/>
        </w:numPr>
        <w:spacing w:after="120" w:line="276" w:lineRule="auto"/>
        <w:jc w:val="both"/>
        <w:rPr>
          <w:rFonts w:ascii="Arial" w:eastAsia="Times New Roman" w:hAnsi="Arial" w:cs="Arial"/>
          <w:sz w:val="21"/>
          <w:szCs w:val="21"/>
          <w:lang w:eastAsia="es-ES"/>
        </w:rPr>
      </w:pPr>
      <w:r w:rsidRPr="005E7D6C">
        <w:rPr>
          <w:rFonts w:ascii="Arial" w:eastAsia="Times New Roman" w:hAnsi="Arial" w:cs="Arial"/>
          <w:sz w:val="21"/>
          <w:szCs w:val="21"/>
          <w:lang w:eastAsia="es-ES"/>
        </w:rPr>
        <w:t>La definición de los valores, normas de conducta y principios rectores de las actuaciones de las administraciones y de sus servidores/as públicos/as (tanto altos cargos como personal funcionario);</w:t>
      </w:r>
    </w:p>
    <w:p w14:paraId="6EC0802A" w14:textId="514FD0BC" w:rsidR="000D65F7" w:rsidRPr="005E7D6C" w:rsidRDefault="000D65F7" w:rsidP="00F11285">
      <w:pPr>
        <w:pStyle w:val="Prrafodelista"/>
        <w:numPr>
          <w:ilvl w:val="0"/>
          <w:numId w:val="146"/>
        </w:numPr>
        <w:spacing w:after="120" w:line="276" w:lineRule="auto"/>
        <w:ind w:left="720" w:hanging="357"/>
        <w:contextualSpacing w:val="0"/>
        <w:jc w:val="both"/>
        <w:rPr>
          <w:rFonts w:ascii="Arial" w:eastAsia="Times New Roman" w:hAnsi="Arial" w:cs="Arial"/>
          <w:sz w:val="21"/>
          <w:szCs w:val="21"/>
          <w:lang w:eastAsia="es-ES"/>
        </w:rPr>
      </w:pPr>
      <w:r w:rsidRPr="005E7D6C">
        <w:rPr>
          <w:rFonts w:ascii="Arial" w:eastAsia="Times New Roman" w:hAnsi="Arial" w:cs="Arial"/>
          <w:sz w:val="21"/>
          <w:szCs w:val="21"/>
          <w:lang w:eastAsia="es-ES"/>
        </w:rPr>
        <w:t>Los mecanismos para garantizar la efectividad de dichos valores, normas de conducta y principios rectores, tales como: identificación de los conflictos de interés, abstención, recusación, régimen de incompatibilidades, buzón de denuncias, y otros mecanismos adicionales en las materias que cada organización califique como de “especial riesgo” en función de su actividad, como las relativas a  la gestión de personal, la contratación, el área de subvenciones, urbanismo, presupuestos y contabilidad, entre otras;</w:t>
      </w:r>
    </w:p>
    <w:p w14:paraId="6A01B74D" w14:textId="0D956033" w:rsidR="000D65F7" w:rsidRPr="005E7D6C" w:rsidRDefault="000D65F7" w:rsidP="00F11285">
      <w:pPr>
        <w:pStyle w:val="Prrafodelista"/>
        <w:numPr>
          <w:ilvl w:val="0"/>
          <w:numId w:val="146"/>
        </w:numPr>
        <w:spacing w:after="120" w:line="276" w:lineRule="auto"/>
        <w:ind w:left="720" w:hanging="357"/>
        <w:contextualSpacing w:val="0"/>
        <w:jc w:val="both"/>
        <w:rPr>
          <w:rFonts w:ascii="Arial" w:eastAsia="Times New Roman" w:hAnsi="Arial" w:cs="Arial"/>
          <w:sz w:val="21"/>
          <w:szCs w:val="21"/>
          <w:lang w:eastAsia="es-ES"/>
        </w:rPr>
      </w:pPr>
      <w:r w:rsidRPr="005E7D6C">
        <w:rPr>
          <w:rFonts w:ascii="Arial" w:eastAsia="Times New Roman" w:hAnsi="Arial" w:cs="Arial"/>
          <w:sz w:val="21"/>
          <w:szCs w:val="21"/>
          <w:lang w:eastAsia="es-ES"/>
        </w:rPr>
        <w:t>La política de regalos en los términos del artículo 54.1 m) de la Proposición de Ley;</w:t>
      </w:r>
    </w:p>
    <w:p w14:paraId="5EE2027A" w14:textId="0D01B97A" w:rsidR="000D65F7" w:rsidRPr="005E7D6C" w:rsidRDefault="000D65F7" w:rsidP="00F11285">
      <w:pPr>
        <w:pStyle w:val="Prrafodelista"/>
        <w:numPr>
          <w:ilvl w:val="0"/>
          <w:numId w:val="146"/>
        </w:numPr>
        <w:spacing w:after="120" w:line="276" w:lineRule="auto"/>
        <w:ind w:left="720" w:hanging="357"/>
        <w:contextualSpacing w:val="0"/>
        <w:jc w:val="both"/>
        <w:rPr>
          <w:rFonts w:ascii="Arial" w:eastAsia="Times New Roman" w:hAnsi="Arial" w:cs="Arial"/>
          <w:sz w:val="21"/>
          <w:szCs w:val="21"/>
          <w:lang w:eastAsia="es-ES"/>
        </w:rPr>
      </w:pPr>
      <w:r w:rsidRPr="005E7D6C">
        <w:rPr>
          <w:rFonts w:ascii="Arial" w:eastAsia="Times New Roman" w:hAnsi="Arial" w:cs="Arial"/>
          <w:sz w:val="21"/>
          <w:szCs w:val="21"/>
          <w:lang w:eastAsia="es-ES"/>
        </w:rPr>
        <w:t>Otras políticas que apruebe cada organización;</w:t>
      </w:r>
    </w:p>
    <w:p w14:paraId="1F85E5AD" w14:textId="770A7531" w:rsidR="000D65F7" w:rsidRPr="005E7D6C" w:rsidRDefault="000D65F7" w:rsidP="00F11285">
      <w:pPr>
        <w:pStyle w:val="Prrafodelista"/>
        <w:numPr>
          <w:ilvl w:val="0"/>
          <w:numId w:val="146"/>
        </w:numPr>
        <w:spacing w:after="120" w:line="276" w:lineRule="auto"/>
        <w:ind w:left="720" w:hanging="357"/>
        <w:contextualSpacing w:val="0"/>
        <w:jc w:val="both"/>
        <w:rPr>
          <w:rFonts w:ascii="Arial" w:eastAsia="Times New Roman" w:hAnsi="Arial" w:cs="Arial"/>
          <w:sz w:val="21"/>
          <w:szCs w:val="21"/>
          <w:lang w:eastAsia="es-ES"/>
        </w:rPr>
      </w:pPr>
      <w:r w:rsidRPr="005E7D6C">
        <w:rPr>
          <w:rFonts w:ascii="Arial" w:eastAsia="Times New Roman" w:hAnsi="Arial" w:cs="Arial"/>
          <w:sz w:val="21"/>
          <w:szCs w:val="21"/>
          <w:lang w:eastAsia="es-ES"/>
        </w:rPr>
        <w:t>La regulación del Comité de ética como órgano consultivo y de seguimiento de denuncias y respuesta a las mismas;</w:t>
      </w:r>
    </w:p>
    <w:p w14:paraId="6EC8F224" w14:textId="7272A073" w:rsidR="000D65F7" w:rsidRPr="005E7D6C" w:rsidRDefault="000D65F7" w:rsidP="00F11285">
      <w:pPr>
        <w:pStyle w:val="Prrafodelista"/>
        <w:numPr>
          <w:ilvl w:val="0"/>
          <w:numId w:val="146"/>
        </w:numPr>
        <w:spacing w:after="120" w:line="276" w:lineRule="auto"/>
        <w:ind w:left="720" w:hanging="357"/>
        <w:contextualSpacing w:val="0"/>
        <w:jc w:val="both"/>
        <w:rPr>
          <w:rFonts w:ascii="Arial" w:eastAsia="Times New Roman" w:hAnsi="Arial" w:cs="Arial"/>
          <w:sz w:val="21"/>
          <w:szCs w:val="21"/>
          <w:lang w:eastAsia="es-ES"/>
        </w:rPr>
      </w:pPr>
      <w:r w:rsidRPr="005E7D6C">
        <w:rPr>
          <w:rFonts w:ascii="Arial" w:eastAsia="Times New Roman" w:hAnsi="Arial" w:cs="Arial"/>
          <w:sz w:val="21"/>
          <w:szCs w:val="21"/>
          <w:lang w:eastAsia="es-ES"/>
        </w:rPr>
        <w:t>Las consecuencias del incumplimiento del código;</w:t>
      </w:r>
    </w:p>
    <w:p w14:paraId="2DFE362E" w14:textId="00C3A8FF" w:rsidR="000D65F7" w:rsidRPr="005E7D6C" w:rsidRDefault="000D65F7" w:rsidP="00F11285">
      <w:pPr>
        <w:pStyle w:val="Prrafodelista"/>
        <w:numPr>
          <w:ilvl w:val="0"/>
          <w:numId w:val="146"/>
        </w:numPr>
        <w:spacing w:after="120" w:line="276" w:lineRule="auto"/>
        <w:ind w:left="720" w:hanging="357"/>
        <w:contextualSpacing w:val="0"/>
        <w:jc w:val="both"/>
        <w:rPr>
          <w:rFonts w:ascii="Arial" w:eastAsia="Times New Roman" w:hAnsi="Arial" w:cs="Arial"/>
          <w:sz w:val="21"/>
          <w:szCs w:val="21"/>
          <w:lang w:eastAsia="es-ES"/>
        </w:rPr>
      </w:pPr>
      <w:r w:rsidRPr="005E7D6C">
        <w:rPr>
          <w:rFonts w:ascii="Arial" w:eastAsia="Times New Roman" w:hAnsi="Arial" w:cs="Arial"/>
          <w:sz w:val="21"/>
          <w:szCs w:val="21"/>
          <w:lang w:eastAsia="es-ES"/>
        </w:rPr>
        <w:t>Las acciones de comunicación y formación;</w:t>
      </w:r>
    </w:p>
    <w:p w14:paraId="0C715A28" w14:textId="65536B05" w:rsidR="000D65F7" w:rsidRPr="005E7D6C" w:rsidRDefault="000D65F7" w:rsidP="00E501D4">
      <w:pPr>
        <w:pStyle w:val="Prrafodelista"/>
        <w:numPr>
          <w:ilvl w:val="0"/>
          <w:numId w:val="146"/>
        </w:numPr>
        <w:spacing w:after="240" w:line="276" w:lineRule="auto"/>
        <w:ind w:left="720" w:hanging="357"/>
        <w:contextualSpacing w:val="0"/>
        <w:jc w:val="both"/>
        <w:rPr>
          <w:rFonts w:ascii="Arial" w:eastAsia="Times New Roman" w:hAnsi="Arial" w:cs="Arial"/>
          <w:sz w:val="21"/>
          <w:szCs w:val="21"/>
          <w:lang w:eastAsia="es-ES"/>
        </w:rPr>
      </w:pPr>
      <w:r w:rsidRPr="005E7D6C">
        <w:rPr>
          <w:rFonts w:ascii="Arial" w:eastAsia="Times New Roman" w:hAnsi="Arial" w:cs="Arial"/>
          <w:sz w:val="21"/>
          <w:szCs w:val="21"/>
          <w:lang w:eastAsia="es-ES"/>
        </w:rPr>
        <w:t>La revisión del código.</w:t>
      </w:r>
    </w:p>
    <w:p w14:paraId="739C6308" w14:textId="77777777" w:rsidR="000D65F7" w:rsidRPr="000D65F7" w:rsidRDefault="000D65F7" w:rsidP="008865F8">
      <w:pPr>
        <w:spacing w:after="24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Asimismo, se planteaba que estos códigos fueran de aplicación tanto para las personas que ocupan altos cargos como para el conjunto de personas que trabajan en las administraciones públicas.</w:t>
      </w:r>
    </w:p>
    <w:p w14:paraId="51901414" w14:textId="77777777" w:rsidR="000D65F7" w:rsidRPr="000D65F7" w:rsidRDefault="000D65F7" w:rsidP="00F11285">
      <w:pPr>
        <w:spacing w:after="24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En su enmienda al artículo 56, la Agencia propuso completar, con diferentes elementos y herramientas, el sistema de integridad institucional de la Comunitat Valenciana a impulsar por el Consell, ofreciéndose a prestarle asesoramiento en el diseño e implementación del mismo. Entre dichos elementos y herramientas destacamos, entre otros:</w:t>
      </w:r>
    </w:p>
    <w:p w14:paraId="1F5F2BF1" w14:textId="21F2ABE1" w:rsidR="000D65F7" w:rsidRPr="005E7D6C" w:rsidRDefault="000D65F7" w:rsidP="00F11285">
      <w:pPr>
        <w:pStyle w:val="Prrafodelista"/>
        <w:numPr>
          <w:ilvl w:val="0"/>
          <w:numId w:val="147"/>
        </w:numPr>
        <w:spacing w:after="120" w:line="276" w:lineRule="auto"/>
        <w:ind w:left="714" w:hanging="357"/>
        <w:contextualSpacing w:val="0"/>
        <w:jc w:val="both"/>
        <w:rPr>
          <w:rFonts w:ascii="Arial" w:eastAsia="Times New Roman" w:hAnsi="Arial" w:cs="Arial"/>
          <w:sz w:val="21"/>
          <w:szCs w:val="21"/>
          <w:lang w:eastAsia="es-ES"/>
        </w:rPr>
      </w:pPr>
      <w:r w:rsidRPr="005E7D6C">
        <w:rPr>
          <w:rFonts w:ascii="Arial" w:eastAsia="Times New Roman" w:hAnsi="Arial" w:cs="Arial"/>
          <w:sz w:val="21"/>
          <w:szCs w:val="21"/>
          <w:lang w:eastAsia="es-ES"/>
        </w:rPr>
        <w:t>La identificación de los riesgos contrarios a la integridad pública y su contraste mediante un autodiagnóstico a realizar por cada organización;</w:t>
      </w:r>
    </w:p>
    <w:p w14:paraId="21258CE0" w14:textId="7487ECC7" w:rsidR="000D65F7" w:rsidRPr="005E7D6C" w:rsidRDefault="000D65F7" w:rsidP="00F11285">
      <w:pPr>
        <w:pStyle w:val="Prrafodelista"/>
        <w:numPr>
          <w:ilvl w:val="0"/>
          <w:numId w:val="147"/>
        </w:numPr>
        <w:spacing w:after="120" w:line="276" w:lineRule="auto"/>
        <w:ind w:left="714" w:hanging="357"/>
        <w:contextualSpacing w:val="0"/>
        <w:jc w:val="both"/>
        <w:rPr>
          <w:rFonts w:ascii="Arial" w:eastAsia="Times New Roman" w:hAnsi="Arial" w:cs="Arial"/>
          <w:sz w:val="21"/>
          <w:szCs w:val="21"/>
          <w:lang w:eastAsia="es-ES"/>
        </w:rPr>
      </w:pPr>
      <w:r w:rsidRPr="005E7D6C">
        <w:rPr>
          <w:rFonts w:ascii="Arial" w:eastAsia="Times New Roman" w:hAnsi="Arial" w:cs="Arial"/>
          <w:sz w:val="21"/>
          <w:szCs w:val="21"/>
          <w:lang w:eastAsia="es-ES"/>
        </w:rPr>
        <w:t>La inclusión de unos contenidos mínimos de los planes de prevención, instando a su obligatoria adaptación en línea con el sistema de prevención e integridad públicas vigente en Italia (entre otros países) en su Ley Anticorrupción 190/2012, y su aprobación por los órganos de gobierno de cada entidad (recabando la colaboración administrativa al efecto de las Diputaciones Provinciales para que asistan a las entidades locales con menos de 20.000 habitantes);</w:t>
      </w:r>
    </w:p>
    <w:p w14:paraId="389A3C6D" w14:textId="13C92CE6" w:rsidR="000D65F7" w:rsidRPr="005E7D6C" w:rsidRDefault="000D65F7" w:rsidP="00F11285">
      <w:pPr>
        <w:pStyle w:val="Prrafodelista"/>
        <w:numPr>
          <w:ilvl w:val="0"/>
          <w:numId w:val="147"/>
        </w:numPr>
        <w:spacing w:after="120" w:line="276" w:lineRule="auto"/>
        <w:ind w:left="714" w:hanging="357"/>
        <w:contextualSpacing w:val="0"/>
        <w:jc w:val="both"/>
        <w:rPr>
          <w:rFonts w:ascii="Arial" w:eastAsia="Times New Roman" w:hAnsi="Arial" w:cs="Arial"/>
          <w:sz w:val="21"/>
          <w:szCs w:val="21"/>
          <w:lang w:eastAsia="es-ES"/>
        </w:rPr>
      </w:pPr>
      <w:r w:rsidRPr="005E7D6C">
        <w:rPr>
          <w:rFonts w:ascii="Arial" w:eastAsia="Times New Roman" w:hAnsi="Arial" w:cs="Arial"/>
          <w:sz w:val="21"/>
          <w:szCs w:val="21"/>
          <w:lang w:eastAsia="es-ES"/>
        </w:rPr>
        <w:t>La definición de una plantilla de roles y responsabilidades tendentes al cumplimiento y evaluación de los planes en los distintos niveles estructurales de cada entidad;</w:t>
      </w:r>
    </w:p>
    <w:p w14:paraId="100CED47" w14:textId="30A39CC0" w:rsidR="000D65F7" w:rsidRPr="005E7D6C" w:rsidRDefault="000D65F7" w:rsidP="00E501D4">
      <w:pPr>
        <w:pStyle w:val="Prrafodelista"/>
        <w:numPr>
          <w:ilvl w:val="0"/>
          <w:numId w:val="147"/>
        </w:numPr>
        <w:spacing w:after="240" w:line="276" w:lineRule="auto"/>
        <w:ind w:left="714" w:hanging="357"/>
        <w:contextualSpacing w:val="0"/>
        <w:jc w:val="both"/>
        <w:rPr>
          <w:rFonts w:ascii="Arial" w:eastAsia="Times New Roman" w:hAnsi="Arial" w:cs="Arial"/>
          <w:sz w:val="21"/>
          <w:szCs w:val="21"/>
          <w:lang w:eastAsia="es-ES"/>
        </w:rPr>
      </w:pPr>
      <w:r w:rsidRPr="005E7D6C">
        <w:rPr>
          <w:rFonts w:ascii="Arial" w:eastAsia="Times New Roman" w:hAnsi="Arial" w:cs="Arial"/>
          <w:sz w:val="21"/>
          <w:szCs w:val="21"/>
          <w:lang w:eastAsia="es-ES"/>
        </w:rPr>
        <w:t>La puesta en marcha de mecanismos de difusión, formación y sensibilización de los marcos de integridad pública y de la cultura ética</w:t>
      </w:r>
      <w:r w:rsidR="008865F8">
        <w:rPr>
          <w:rFonts w:ascii="Arial" w:eastAsia="Times New Roman" w:hAnsi="Arial" w:cs="Arial"/>
          <w:sz w:val="21"/>
          <w:szCs w:val="21"/>
          <w:lang w:eastAsia="es-ES"/>
        </w:rPr>
        <w:t>,</w:t>
      </w:r>
      <w:r w:rsidRPr="005E7D6C">
        <w:rPr>
          <w:rFonts w:ascii="Arial" w:eastAsia="Times New Roman" w:hAnsi="Arial" w:cs="Arial"/>
          <w:sz w:val="21"/>
          <w:szCs w:val="21"/>
          <w:lang w:eastAsia="es-ES"/>
        </w:rPr>
        <w:t xml:space="preserve"> no solo a las entidades incluidas en el artículo 3 de la norma</w:t>
      </w:r>
      <w:r w:rsidR="008865F8">
        <w:rPr>
          <w:rFonts w:ascii="Arial" w:eastAsia="Times New Roman" w:hAnsi="Arial" w:cs="Arial"/>
          <w:sz w:val="21"/>
          <w:szCs w:val="21"/>
          <w:lang w:eastAsia="es-ES"/>
        </w:rPr>
        <w:t>,</w:t>
      </w:r>
      <w:r w:rsidRPr="005E7D6C">
        <w:rPr>
          <w:rFonts w:ascii="Arial" w:eastAsia="Times New Roman" w:hAnsi="Arial" w:cs="Arial"/>
          <w:sz w:val="21"/>
          <w:szCs w:val="21"/>
          <w:lang w:eastAsia="es-ES"/>
        </w:rPr>
        <w:t xml:space="preserve"> sino también a las entidades públicas o privadas perceptoras de dinero público y a la ciudadanía en general. Dicha formación debería incluir cursos sobre integridad en la contratación del sector público, así como en otros sectores que se consideren de mayor riesgo.</w:t>
      </w:r>
    </w:p>
    <w:p w14:paraId="5AF781CD" w14:textId="77777777" w:rsidR="000D65F7" w:rsidRPr="000D65F7" w:rsidRDefault="000D65F7" w:rsidP="000D65F7">
      <w:pPr>
        <w:spacing w:after="8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Todo ello, con la adecuada previsión de acciones formativas en materia de integridad pública y bajo la supervisión de la infraestructura ética por los distintos órganos de control, como esta Agencia.</w:t>
      </w:r>
    </w:p>
    <w:p w14:paraId="643B7A79" w14:textId="77777777" w:rsidR="000D65F7" w:rsidRPr="000D65F7" w:rsidRDefault="000D65F7" w:rsidP="00F11285">
      <w:pPr>
        <w:spacing w:after="12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Por último, la Agencia propuso completar el artículo 63.2 con los principales elementos a tener en cuenta para fomentar en cada administración la cultura de planificación y evaluación de las políticas públicas y su gestión, en línea con los requisitos y contenidos abordados en nuestra recomendación general sobre la planificación institucional, y, entre ellos, los siguientes:</w:t>
      </w:r>
    </w:p>
    <w:p w14:paraId="58D66E77" w14:textId="77777777" w:rsidR="000D65F7" w:rsidRPr="000D65F7" w:rsidRDefault="000D65F7" w:rsidP="00F11285">
      <w:pPr>
        <w:numPr>
          <w:ilvl w:val="0"/>
          <w:numId w:val="143"/>
        </w:numPr>
        <w:spacing w:after="120" w:line="276" w:lineRule="auto"/>
        <w:ind w:left="714" w:hanging="357"/>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Hacer un diagnóstico para situarse (ser conscientes de sus fines, fortalezas, debilidades y recursos reales);</w:t>
      </w:r>
    </w:p>
    <w:p w14:paraId="3558A465" w14:textId="77777777" w:rsidR="000D65F7" w:rsidRPr="000D65F7" w:rsidRDefault="000D65F7" w:rsidP="00F11285">
      <w:pPr>
        <w:numPr>
          <w:ilvl w:val="0"/>
          <w:numId w:val="143"/>
        </w:numPr>
        <w:spacing w:after="120" w:line="276" w:lineRule="auto"/>
        <w:ind w:left="714" w:hanging="357"/>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Establecer sus metas generales (líneas estratégicas, en el marco de sus competencias);</w:t>
      </w:r>
    </w:p>
    <w:p w14:paraId="24A79660" w14:textId="77777777" w:rsidR="000D65F7" w:rsidRPr="000D65F7" w:rsidRDefault="000D65F7" w:rsidP="00F11285">
      <w:pPr>
        <w:numPr>
          <w:ilvl w:val="0"/>
          <w:numId w:val="143"/>
        </w:numPr>
        <w:spacing w:after="120" w:line="276" w:lineRule="auto"/>
        <w:ind w:left="714" w:hanging="357"/>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Fijar en un cronograma sus objetivos estratégicos y operativos;</w:t>
      </w:r>
    </w:p>
    <w:p w14:paraId="4C40B8FE" w14:textId="77777777" w:rsidR="000D65F7" w:rsidRPr="000D65F7" w:rsidRDefault="000D65F7" w:rsidP="00F11285">
      <w:pPr>
        <w:numPr>
          <w:ilvl w:val="0"/>
          <w:numId w:val="143"/>
        </w:numPr>
        <w:spacing w:after="120" w:line="276" w:lineRule="auto"/>
        <w:ind w:left="714" w:hanging="357"/>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Evaluar su cumplimiento (estableciendo un sistema o indicadores que implique a toda la organización);</w:t>
      </w:r>
    </w:p>
    <w:p w14:paraId="6A05B320" w14:textId="77777777" w:rsidR="000D65F7" w:rsidRPr="000D65F7" w:rsidRDefault="000D65F7" w:rsidP="00E501D4">
      <w:pPr>
        <w:numPr>
          <w:ilvl w:val="0"/>
          <w:numId w:val="143"/>
        </w:numPr>
        <w:spacing w:after="240" w:line="276" w:lineRule="auto"/>
        <w:ind w:left="714" w:hanging="357"/>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Desplegar procesos de mejora continua a raíz de las disfunciones detectadas.</w:t>
      </w:r>
    </w:p>
    <w:p w14:paraId="77B5BE12" w14:textId="573D93BD" w:rsidR="000D65F7" w:rsidRPr="000D65F7" w:rsidRDefault="000D65F7" w:rsidP="008865F8">
      <w:pPr>
        <w:spacing w:after="24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Estas enmiendas se dirigieron a </w:t>
      </w:r>
      <w:r w:rsidR="008865F8">
        <w:rPr>
          <w:rFonts w:ascii="Arial" w:eastAsia="Times New Roman" w:hAnsi="Arial" w:cs="Arial"/>
          <w:sz w:val="21"/>
          <w:szCs w:val="21"/>
          <w:lang w:eastAsia="es-ES"/>
        </w:rPr>
        <w:t>las</w:t>
      </w:r>
      <w:r w:rsidRPr="000D65F7">
        <w:rPr>
          <w:rFonts w:ascii="Arial" w:eastAsia="Times New Roman" w:hAnsi="Arial" w:cs="Arial"/>
          <w:sz w:val="21"/>
          <w:szCs w:val="21"/>
          <w:lang w:eastAsia="es-ES"/>
        </w:rPr>
        <w:t xml:space="preserve"> Corts Valencianes, y fueron expuestas por el director de esta Agencia durante su comparecencia en la Comisión de Coordinación, Organización y Régimen de las Instituciones de la Generalitat. Asimismo, se remitieron a otras entidades como la Conselleria de Participación, Transparencia, Cooperación y Calidad Democrática, para su conocimiento y libre consideración, con la voluntad de coadyuvar en la mejora de la calidad normativa y con el convencimiento que una adecuada medida de prevención es que la norma incorpore, desde el momento de su gestación, la perspectiva de la integridad pública. Del análisis de la ordenación de enmiendas tramitada, se determina que la mayor parte de las propuestas realizadas por el Servicio de Prevención han sido aceptadas, por lo que nos sentimos satisfechos de haber participado en este proceso, si bien a fecha de redacción de la presente Memoria, la Proposición de Ley no ha sido objeto de aprobación definitiva.</w:t>
      </w:r>
    </w:p>
    <w:p w14:paraId="7952A4D1" w14:textId="77777777" w:rsidR="00A62193" w:rsidRPr="00A62193" w:rsidRDefault="00A62193"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37" w:name="_Toc99107104"/>
      <w:r w:rsidRPr="00A62193">
        <w:rPr>
          <w:rFonts w:ascii="Arial" w:eastAsia="Times New Roman" w:hAnsi="Arial" w:cs="Arial"/>
          <w:b/>
          <w:bCs/>
          <w:color w:val="9D2235" w:themeColor="accent1"/>
          <w:sz w:val="28"/>
          <w:szCs w:val="28"/>
          <w:lang w:eastAsia="es-ES"/>
        </w:rPr>
        <w:t>Identificación de riesgos de corrupción y estrategia de integridad pública</w:t>
      </w:r>
      <w:bookmarkEnd w:id="437"/>
    </w:p>
    <w:p w14:paraId="36A5CDF5" w14:textId="77777777" w:rsidR="000D65F7" w:rsidRPr="000D65F7" w:rsidRDefault="000D65F7" w:rsidP="000D65F7">
      <w:pPr>
        <w:spacing w:after="24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La OCDE aboga por formular una estrategia de integridad pública adoptando medidas encaminadas a la identificación, prevención y corrección de los principales riesgos para el interés general. </w:t>
      </w:r>
    </w:p>
    <w:p w14:paraId="11DB0354" w14:textId="60E47CBA" w:rsidR="000D65F7" w:rsidRPr="000D65F7" w:rsidRDefault="000D65F7" w:rsidP="000D65F7">
      <w:pPr>
        <w:spacing w:after="24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Por su parte, el IV Plan de Gobierno Abierto (2020-2024) del Ministerio de Política Territorial y Función Pública está orientado a la construcción de un sistema de Integridad pública, fortaleciendo valores éticos y mecanismos para afianzar la integridad de las instituciones públicas. Entre las iniciativas de la Comunitat Valenciana, se incluye la elaboración de una estrategia de integridad pública, siendo </w:t>
      </w:r>
      <w:r w:rsidR="00822761">
        <w:rPr>
          <w:rFonts w:ascii="Arial" w:eastAsia="Times New Roman" w:hAnsi="Arial" w:cs="Arial"/>
          <w:sz w:val="21"/>
          <w:szCs w:val="21"/>
          <w:lang w:eastAsia="es-ES"/>
        </w:rPr>
        <w:t>la</w:t>
      </w:r>
      <w:r w:rsidRPr="000D65F7">
        <w:rPr>
          <w:rFonts w:ascii="Arial" w:eastAsia="Times New Roman" w:hAnsi="Arial" w:cs="Arial"/>
          <w:sz w:val="21"/>
          <w:szCs w:val="21"/>
          <w:lang w:eastAsia="es-ES"/>
        </w:rPr>
        <w:t xml:space="preserve"> AVAF considerada como actor público involucrado en el proceso.</w:t>
      </w:r>
    </w:p>
    <w:p w14:paraId="1A1B6065" w14:textId="77777777" w:rsidR="000D65F7" w:rsidRPr="000D65F7" w:rsidRDefault="000D65F7" w:rsidP="000D65F7">
      <w:pPr>
        <w:spacing w:after="24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En desarrollo del Plan Estratégico de Prevención, durante el 2021, se han ampliado los previos trabajos de estudio y sistematización de las diferentes metodologías de prevención y análisis de riesgos, herramientas de fomento de la integridad pública y modelos de códigos éticos existentes tanto a nivel nacional como internacional. </w:t>
      </w:r>
    </w:p>
    <w:p w14:paraId="274DC2FB" w14:textId="77777777" w:rsidR="000D65F7" w:rsidRPr="000D65F7" w:rsidRDefault="000D65F7" w:rsidP="000D65F7">
      <w:pPr>
        <w:spacing w:after="24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Como consecuencia de dichos trabajos, el Servicio de Prevención ha realizado otros que servirán de base para futuros estudios específicos de riesgos en áreas como función pública (sobre gratificaciones y productividades) o contratación del sector público (contratación de emergencia), entre otros.</w:t>
      </w:r>
    </w:p>
    <w:p w14:paraId="6D3DEB2D" w14:textId="627DB513" w:rsidR="000D65F7" w:rsidRPr="000D65F7" w:rsidRDefault="000D65F7" w:rsidP="00F11285">
      <w:pPr>
        <w:spacing w:after="24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Durante 2021</w:t>
      </w:r>
      <w:r w:rsidR="00822761">
        <w:rPr>
          <w:rFonts w:ascii="Arial" w:eastAsia="Times New Roman" w:hAnsi="Arial" w:cs="Arial"/>
          <w:sz w:val="21"/>
          <w:szCs w:val="21"/>
          <w:lang w:eastAsia="es-ES"/>
        </w:rPr>
        <w:t>,</w:t>
      </w:r>
      <w:r w:rsidRPr="000D65F7">
        <w:rPr>
          <w:rFonts w:ascii="Arial" w:eastAsia="Times New Roman" w:hAnsi="Arial" w:cs="Arial"/>
          <w:sz w:val="21"/>
          <w:szCs w:val="21"/>
          <w:lang w:eastAsia="es-ES"/>
        </w:rPr>
        <w:t xml:space="preserve"> se ha avanzado mucho en uno de los pilares sobre el que se construye el Plan Estratégico de Prevención: materializar una estrategia de integridad pública, pionera en la Comunitat Valenciana, desarrollando un conjunto de herramientas que las instituciones puedan aplicar, atendiendo a sus respectivas peculiaridades. A tal efecto, El Servicio ha elaborado sendos materiales que deseamos resulten de interés:</w:t>
      </w:r>
    </w:p>
    <w:p w14:paraId="7B740EF0" w14:textId="77777777" w:rsidR="000D65F7" w:rsidRPr="000D65F7" w:rsidRDefault="000D65F7" w:rsidP="00F11285">
      <w:pPr>
        <w:numPr>
          <w:ilvl w:val="0"/>
          <w:numId w:val="134"/>
        </w:numPr>
        <w:spacing w:after="12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Consideraciones generales e ideas fuerza para una </w:t>
      </w:r>
      <w:r w:rsidRPr="000D65F7">
        <w:rPr>
          <w:rFonts w:ascii="Arial" w:eastAsia="Times New Roman" w:hAnsi="Arial" w:cs="Arial"/>
          <w:b/>
          <w:bCs/>
          <w:sz w:val="21"/>
          <w:szCs w:val="21"/>
          <w:lang w:eastAsia="es-ES"/>
        </w:rPr>
        <w:t>estrategia de integridad pública</w:t>
      </w:r>
      <w:r w:rsidRPr="000D65F7">
        <w:rPr>
          <w:rFonts w:ascii="Arial" w:eastAsia="Times New Roman" w:hAnsi="Arial" w:cs="Arial"/>
          <w:sz w:val="21"/>
          <w:szCs w:val="21"/>
          <w:lang w:eastAsia="es-ES"/>
        </w:rPr>
        <w:t>, documento que ha orientado las enmiendas presentadas por la AVAF a la Proposición de Ley de Transparencia y Buen Gobierno autonómica, en el marco de las iniciativas autonómicas de la Comunitat Valenciana incluidas en el eje de integridad pública del IV Plan estatal de Gobierno Abierto;</w:t>
      </w:r>
    </w:p>
    <w:p w14:paraId="2E6DF51D" w14:textId="77777777" w:rsidR="000D65F7" w:rsidRPr="000D65F7" w:rsidRDefault="000D65F7" w:rsidP="00F11285">
      <w:pPr>
        <w:numPr>
          <w:ilvl w:val="0"/>
          <w:numId w:val="134"/>
        </w:numPr>
        <w:spacing w:after="12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Propuesta de </w:t>
      </w:r>
      <w:r w:rsidRPr="000D65F7">
        <w:rPr>
          <w:rFonts w:ascii="Arial" w:eastAsia="Times New Roman" w:hAnsi="Arial" w:cs="Arial"/>
          <w:b/>
          <w:bCs/>
          <w:sz w:val="21"/>
          <w:szCs w:val="21"/>
          <w:lang w:eastAsia="es-ES"/>
        </w:rPr>
        <w:t>contenido mínimo de un plan de integridad pública</w:t>
      </w:r>
      <w:r w:rsidRPr="000D65F7">
        <w:rPr>
          <w:rFonts w:ascii="Arial" w:eastAsia="Times New Roman" w:hAnsi="Arial" w:cs="Arial"/>
          <w:sz w:val="21"/>
          <w:szCs w:val="21"/>
          <w:lang w:eastAsia="es-ES"/>
        </w:rPr>
        <w:t>, aprobado por Resolución del director de 15 de julio de 2021, documento que ha servido de base para la creación de la primera Guía AVAF ya descrita en el apartado precedente;</w:t>
      </w:r>
    </w:p>
    <w:p w14:paraId="4B6130FA" w14:textId="77777777" w:rsidR="000D65F7" w:rsidRPr="000D65F7" w:rsidRDefault="000D65F7" w:rsidP="00F11285">
      <w:pPr>
        <w:numPr>
          <w:ilvl w:val="0"/>
          <w:numId w:val="134"/>
        </w:numPr>
        <w:spacing w:after="12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Elaboración de la </w:t>
      </w:r>
      <w:r w:rsidRPr="000D65F7">
        <w:rPr>
          <w:rFonts w:ascii="Arial" w:eastAsia="Times New Roman" w:hAnsi="Arial" w:cs="Arial"/>
          <w:b/>
          <w:bCs/>
          <w:sz w:val="21"/>
          <w:szCs w:val="21"/>
          <w:lang w:eastAsia="es-ES"/>
        </w:rPr>
        <w:t>metodología AVAF sobre evaluación de riesgos</w:t>
      </w:r>
      <w:r w:rsidRPr="000D65F7">
        <w:rPr>
          <w:rFonts w:ascii="Arial" w:eastAsia="Times New Roman" w:hAnsi="Arial" w:cs="Arial"/>
          <w:sz w:val="21"/>
          <w:szCs w:val="21"/>
          <w:lang w:eastAsia="es-ES"/>
        </w:rPr>
        <w:t xml:space="preserve"> de fraude y corrupción institucional y elaboración de mapas de riesgos (generales y específicos), incorporada como Anexo de la Guía AVAF aprobada por Resolución del director núm. 821, de 15 de noviembre de 2021;</w:t>
      </w:r>
    </w:p>
    <w:p w14:paraId="6AA0BFAF" w14:textId="649BE58B" w:rsidR="000D65F7" w:rsidRPr="000D65F7" w:rsidRDefault="000D65F7" w:rsidP="00F11285">
      <w:pPr>
        <w:numPr>
          <w:ilvl w:val="0"/>
          <w:numId w:val="134"/>
        </w:numPr>
        <w:spacing w:after="12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Propuesta de </w:t>
      </w:r>
      <w:r w:rsidRPr="000D65F7">
        <w:rPr>
          <w:rFonts w:ascii="Arial" w:eastAsia="Times New Roman" w:hAnsi="Arial" w:cs="Arial"/>
          <w:b/>
          <w:bCs/>
          <w:sz w:val="21"/>
          <w:szCs w:val="21"/>
          <w:lang w:eastAsia="es-ES"/>
        </w:rPr>
        <w:t>mapa de riesgos</w:t>
      </w:r>
      <w:r w:rsidRPr="000D65F7">
        <w:rPr>
          <w:rFonts w:ascii="Arial" w:eastAsia="Times New Roman" w:hAnsi="Arial" w:cs="Arial"/>
          <w:sz w:val="21"/>
          <w:szCs w:val="21"/>
          <w:lang w:eastAsia="es-ES"/>
        </w:rPr>
        <w:t xml:space="preserve"> comunes a cualquier proceso de toma de decisiones, incluyendo entre ellos, los conflictos de interés o la falta de planificación, partiendo de los catálogos de riesgos elaborados por el Servicio de Prevención y aprobados por Resolución del director núm. 537, de 16 de julio de 2021</w:t>
      </w:r>
      <w:r w:rsidR="00775CB6">
        <w:rPr>
          <w:rFonts w:ascii="Arial" w:eastAsia="Times New Roman" w:hAnsi="Arial" w:cs="Arial"/>
          <w:sz w:val="21"/>
          <w:szCs w:val="21"/>
          <w:lang w:eastAsia="es-ES"/>
        </w:rPr>
        <w:t>;</w:t>
      </w:r>
    </w:p>
    <w:p w14:paraId="33E686C0" w14:textId="77777777" w:rsidR="000D65F7" w:rsidRPr="000D65F7" w:rsidRDefault="000D65F7" w:rsidP="00F11285">
      <w:pPr>
        <w:numPr>
          <w:ilvl w:val="0"/>
          <w:numId w:val="134"/>
        </w:numPr>
        <w:spacing w:after="12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Elaboración de </w:t>
      </w:r>
      <w:r w:rsidRPr="000D65F7">
        <w:rPr>
          <w:rFonts w:ascii="Arial" w:eastAsia="Times New Roman" w:hAnsi="Arial" w:cs="Arial"/>
          <w:b/>
          <w:bCs/>
          <w:sz w:val="21"/>
          <w:szCs w:val="21"/>
          <w:lang w:eastAsia="es-ES"/>
        </w:rPr>
        <w:t>cuestionarios de contraste</w:t>
      </w:r>
      <w:r w:rsidRPr="000D65F7">
        <w:rPr>
          <w:rFonts w:ascii="Arial" w:eastAsia="Times New Roman" w:hAnsi="Arial" w:cs="Arial"/>
          <w:sz w:val="21"/>
          <w:szCs w:val="21"/>
          <w:lang w:eastAsia="es-ES"/>
        </w:rPr>
        <w:t xml:space="preserve"> de riesgos detectados en nuestras Recomendaciones generales, fase I, previo análisis del cuestionario formulado por CIVIO a esta Agencia en relación a determinadas medidas de prevención de la corrupción en algunas instituciones de control de la Unión Europea;</w:t>
      </w:r>
    </w:p>
    <w:p w14:paraId="2DCC35FD" w14:textId="77777777" w:rsidR="000D65F7" w:rsidRPr="000D65F7" w:rsidRDefault="000D65F7" w:rsidP="00F11285">
      <w:pPr>
        <w:numPr>
          <w:ilvl w:val="0"/>
          <w:numId w:val="134"/>
        </w:numPr>
        <w:spacing w:after="120" w:line="276" w:lineRule="auto"/>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Propuesta de articulado del </w:t>
      </w:r>
      <w:r w:rsidRPr="000D65F7">
        <w:rPr>
          <w:rFonts w:ascii="Arial" w:eastAsia="Times New Roman" w:hAnsi="Arial" w:cs="Arial"/>
          <w:b/>
          <w:bCs/>
          <w:sz w:val="21"/>
          <w:szCs w:val="21"/>
          <w:lang w:eastAsia="es-ES"/>
        </w:rPr>
        <w:t xml:space="preserve">Código ético de la AVAF. </w:t>
      </w:r>
      <w:r w:rsidRPr="000D65F7">
        <w:rPr>
          <w:rFonts w:ascii="Arial" w:eastAsia="Times New Roman" w:hAnsi="Arial" w:cs="Arial"/>
          <w:sz w:val="21"/>
          <w:szCs w:val="21"/>
          <w:lang w:eastAsia="es-ES"/>
        </w:rPr>
        <w:t xml:space="preserve">Para el desarrollo de los trabajos necesarios para el diseño y propuesta del Código, teniendo en cuenta el carácter normativo del mismo, durante el primer semestre del ejercicio 2021, fue creado un grupo de trabajo conjunto entre la Dirección de Prevención, Formación y Documentación y la Dirección de Asuntos Jurídicos. </w:t>
      </w:r>
    </w:p>
    <w:p w14:paraId="0E3FF445" w14:textId="2018F1D8" w:rsidR="000D65F7" w:rsidRPr="000D65F7" w:rsidRDefault="000D65F7" w:rsidP="00F11285">
      <w:pPr>
        <w:spacing w:after="120" w:line="276" w:lineRule="auto"/>
        <w:ind w:left="709"/>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El anteproyecto de Código ético de la AVAF fue ultimado en sus aspectos sustantivos por el Servicio de Prevención y remitido al director el pasado día 5 de julio de 2021 y presentado y debatido en el seno del Consejo de Dirección de la Agencia en sesión de fecha 12 de julio de 2021, incorporando las observaciones allí realizadas al texto que</w:t>
      </w:r>
      <w:r w:rsidR="00822761">
        <w:rPr>
          <w:rFonts w:ascii="Arial" w:eastAsia="Times New Roman" w:hAnsi="Arial" w:cs="Arial"/>
          <w:sz w:val="21"/>
          <w:szCs w:val="21"/>
          <w:lang w:eastAsia="es-ES"/>
        </w:rPr>
        <w:t>,</w:t>
      </w:r>
      <w:r w:rsidRPr="000D65F7">
        <w:rPr>
          <w:rFonts w:ascii="Arial" w:eastAsia="Times New Roman" w:hAnsi="Arial" w:cs="Arial"/>
          <w:sz w:val="21"/>
          <w:szCs w:val="21"/>
          <w:lang w:eastAsia="es-ES"/>
        </w:rPr>
        <w:t xml:space="preserve"> posteriormente</w:t>
      </w:r>
      <w:r w:rsidR="00822761">
        <w:rPr>
          <w:rFonts w:ascii="Arial" w:eastAsia="Times New Roman" w:hAnsi="Arial" w:cs="Arial"/>
          <w:sz w:val="21"/>
          <w:szCs w:val="21"/>
          <w:lang w:eastAsia="es-ES"/>
        </w:rPr>
        <w:t>,</w:t>
      </w:r>
      <w:r w:rsidRPr="000D65F7">
        <w:rPr>
          <w:rFonts w:ascii="Arial" w:eastAsia="Times New Roman" w:hAnsi="Arial" w:cs="Arial"/>
          <w:sz w:val="21"/>
          <w:szCs w:val="21"/>
          <w:lang w:eastAsia="es-ES"/>
        </w:rPr>
        <w:t xml:space="preserve"> se trasladó a todo el personal de esta Agencia en el trámite de consulta previa, con el fin de ponerlo en su conocimiento y recabar cuantas observaciones y sugerencias considerasen oportunas para su debate y, en su caso, posterior incorporación al Código ético. El plazo de la consulta previa al personal de la Agencia finalizó el 6 de septiembre de 2021. Tras ello, se procedió a la incorporación de buena parte de las aportaciones realizadas en fase de consulta previa al texto propuesto del Código ético, previo su debate en el seno del Consejo de Dirección de la AVAF en su sesión de 1 de octubre de 2021. </w:t>
      </w:r>
    </w:p>
    <w:p w14:paraId="468AA7E0" w14:textId="77777777" w:rsidR="000D65F7" w:rsidRPr="000D65F7" w:rsidRDefault="000D65F7" w:rsidP="00F11285">
      <w:pPr>
        <w:spacing w:after="120" w:line="276" w:lineRule="auto"/>
        <w:ind w:left="709"/>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Posteriormente, se presentó el proyecto de Código ético a todo el personal de la AVAF en reunión telemática celebrada el 6 de octubre de 2021. </w:t>
      </w:r>
    </w:p>
    <w:p w14:paraId="505707AD" w14:textId="77777777" w:rsidR="000D65F7" w:rsidRPr="000D65F7" w:rsidRDefault="000D65F7" w:rsidP="00F11285">
      <w:pPr>
        <w:spacing w:after="120" w:line="276" w:lineRule="auto"/>
        <w:ind w:left="709"/>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A fecha de finalización de ejercicio, el proyecto de Código ético estaba pendiente de emisión de informes por diferentes áreas funcionales de la Agencia, todo ello, de conformidad con los trámites previstos en el Plan Anual Normativo de la AVAF para la aprobación de este. </w:t>
      </w:r>
    </w:p>
    <w:p w14:paraId="35CE66BE" w14:textId="77777777" w:rsidR="000D65F7" w:rsidRPr="000D65F7" w:rsidRDefault="000D65F7" w:rsidP="00F11285">
      <w:pPr>
        <w:spacing w:after="120" w:line="276" w:lineRule="auto"/>
        <w:ind w:left="709"/>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A continuación, realizamos algunas consideraciones que recalcan la excepcional importancia de este marco de integridad en nuestra institución, así como los principales aspectos de su estructura y contenidos. </w:t>
      </w:r>
    </w:p>
    <w:p w14:paraId="4A485A45" w14:textId="77777777" w:rsidR="000D65F7" w:rsidRPr="000D65F7" w:rsidRDefault="000D65F7" w:rsidP="00F11285">
      <w:pPr>
        <w:spacing w:after="120" w:line="276" w:lineRule="auto"/>
        <w:ind w:left="709"/>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Los servidores y servidoras públicos de la AVAF, conocedores de su misión y cometidos, así como de la importancia que su trabajo suscite credibilidad y confianza en la ciudadanía, legitimando así la institución, consideran que resulta crucial que valores como la independencia, la objetividad o la imparcialidad estén por encima de toda sospecha, como máximos exponentes de la cultura de la integridad pública que proclama la Agencia. De ahí que el Código ético pretenda impregnar “en positivo” dicha misión de servicio público de la cultura de la integridad pública, alineando las actuaciones institucionales con unos valores sólidos, y estableciendo los mecanismos y pautas que permitan actuar de forma comprometida y coherente con dichos valores. </w:t>
      </w:r>
    </w:p>
    <w:p w14:paraId="54BBDB56" w14:textId="77777777" w:rsidR="000D65F7" w:rsidRPr="000D65F7" w:rsidRDefault="000D65F7" w:rsidP="00F11285">
      <w:pPr>
        <w:spacing w:after="120" w:line="276" w:lineRule="auto"/>
        <w:ind w:left="709"/>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Una de las principales novedades del Código, que se configura como un instrumento interno de autorregulación de obligatoria observancia, es su ámbito subjetivo de aplicación, de carácter bifronte, informando la actuación tanto del director (alto cargo) como de todo el personal empleado público de la AVAF. </w:t>
      </w:r>
    </w:p>
    <w:p w14:paraId="45DA5D04" w14:textId="77777777" w:rsidR="000D65F7" w:rsidRPr="000D65F7" w:rsidRDefault="000D65F7" w:rsidP="00F11285">
      <w:pPr>
        <w:spacing w:after="120" w:line="276" w:lineRule="auto"/>
        <w:ind w:left="709"/>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El Código define los valores, principios y conductas del personal empleado público de la AVAF, partiendo del marco normativo genérico de referencia regulador de los principios éticos y deberes contenido en los artículos 52, 53 y 54 del Real Decreto Legislativo 5/2015, de 30 de octubre, que aprueba el Texto Refundido de la Ley del Estatuto del Empleado Público, así como en los artículos 97 y 98 de la Ley 4/2021, de 16 de abril, de la Generalitat, de la Función Pública Valenciana. Asimismo, se tomaron en consideración aquellos derechos, deberes, principios y valores de buena administración pública contenidos en la Constitución, el Estatuto de Autonomía de la Comunitat Valenciana y resto del ordenamiento jurídico, así como los contenidos en la normativa europea, atendida su supremacía normativa, y disposiciones y tratados internacionales aplicables, integrando asimismo, desde una perspectiva holística y moderna, valores basados en la Agenda 2030, tales como la sostenibilidad ambiental o la justicia, y otros basados en las nuevas directrices legales de la función pública, como la planificación o la orientación a resultados, entre otros.</w:t>
      </w:r>
      <w:bookmarkStart w:id="438" w:name="_Hlk70053635"/>
      <w:bookmarkEnd w:id="438"/>
      <w:r w:rsidRPr="000D65F7">
        <w:rPr>
          <w:rFonts w:ascii="Arial" w:eastAsia="Times New Roman" w:hAnsi="Arial" w:cs="Arial"/>
          <w:sz w:val="21"/>
          <w:szCs w:val="21"/>
          <w:lang w:eastAsia="es-ES"/>
        </w:rPr>
        <w:t xml:space="preserve"> </w:t>
      </w:r>
    </w:p>
    <w:p w14:paraId="652F3612" w14:textId="747808D8" w:rsidR="000D65F7" w:rsidRPr="000D65F7" w:rsidRDefault="000D65F7" w:rsidP="00F11285">
      <w:pPr>
        <w:spacing w:after="120" w:line="276" w:lineRule="auto"/>
        <w:ind w:left="709"/>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En ese sentido, de acuerdo con el Reglamento de funcionamiento y régimen interior de la Agencia, el Código desarrolla los valores y principios éticos que deben informar toda actuación de la AVAF, así como las pautas de conducta que necesariamente debemos observar tanto sus altos cargos como el personal a su servicio, en especial las reglas relativas a los conflictos de intereses. En ese sentido, su artículo 5 señala que “</w:t>
      </w:r>
      <w:r w:rsidRPr="00FC10D6">
        <w:rPr>
          <w:rFonts w:ascii="Arial" w:eastAsia="Times New Roman" w:hAnsi="Arial" w:cs="Arial"/>
          <w:sz w:val="21"/>
          <w:szCs w:val="21"/>
          <w:lang w:eastAsia="es-ES"/>
        </w:rPr>
        <w:t>La Agencia, la dirección y todo su personal actuará según los principios de: legalidad, respeto a la dignidad y los derechos humanos, interés general, objetividad, independencia, imparcialidad, neutralidad, proporcionalidad, confidencialidad, integridad, ejemplaridad, profesionalidad, responsabilidad, dedicación, lealtad institucional, eficacia, eficiencia, transparencia, rendición de cuentas</w:t>
      </w:r>
      <w:r w:rsidRPr="000D65F7">
        <w:rPr>
          <w:rFonts w:ascii="Arial" w:eastAsia="Times New Roman" w:hAnsi="Arial" w:cs="Arial"/>
          <w:sz w:val="21"/>
          <w:szCs w:val="21"/>
          <w:lang w:eastAsia="es-ES"/>
        </w:rPr>
        <w:t xml:space="preserve">”, añadiendo en su artículo 65 que </w:t>
      </w:r>
      <w:r w:rsidRPr="00FC10D6">
        <w:rPr>
          <w:rFonts w:ascii="Arial" w:eastAsia="Times New Roman" w:hAnsi="Arial" w:cs="Arial"/>
          <w:sz w:val="21"/>
          <w:szCs w:val="21"/>
          <w:lang w:eastAsia="es-ES"/>
        </w:rPr>
        <w:t>“(…) el personal al servicio de la Agencia desarrolla su trabajo con honestidad, integridad, ejemplaridad, independencia, imparcialidad, neutralidad política, ideológica y religiosa y con respeto a la Constitución, al Estatuto de Autonomía de la Comuni</w:t>
      </w:r>
      <w:r w:rsidR="008C1237" w:rsidRPr="00FC10D6">
        <w:rPr>
          <w:rFonts w:ascii="Arial" w:eastAsia="Times New Roman" w:hAnsi="Arial" w:cs="Arial"/>
          <w:sz w:val="21"/>
          <w:szCs w:val="21"/>
          <w:lang w:eastAsia="es-ES"/>
        </w:rPr>
        <w:t>tat</w:t>
      </w:r>
      <w:r w:rsidRPr="00FC10D6">
        <w:rPr>
          <w:rFonts w:ascii="Arial" w:eastAsia="Times New Roman" w:hAnsi="Arial" w:cs="Arial"/>
          <w:sz w:val="21"/>
          <w:szCs w:val="21"/>
          <w:lang w:eastAsia="es-ES"/>
        </w:rPr>
        <w:t xml:space="preserve"> Valenciana y al resto del ordenamiento jurídico.</w:t>
      </w:r>
      <w:r w:rsidRPr="000D65F7">
        <w:rPr>
          <w:rFonts w:ascii="Arial" w:eastAsia="Times New Roman" w:hAnsi="Arial" w:cs="Arial"/>
          <w:sz w:val="21"/>
          <w:szCs w:val="21"/>
          <w:lang w:eastAsia="es-ES"/>
        </w:rPr>
        <w:t xml:space="preserve">” </w:t>
      </w:r>
    </w:p>
    <w:p w14:paraId="5F3A45A7" w14:textId="77777777" w:rsidR="000D65F7" w:rsidRPr="000D65F7" w:rsidRDefault="000D65F7" w:rsidP="00F11285">
      <w:pPr>
        <w:spacing w:after="120" w:line="276" w:lineRule="auto"/>
        <w:ind w:left="709"/>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El Código propuesto por el Servicio de Prevención regula una serie de mecanismos para garantizar la efectividad de los principios y valores, refiriendo asimismo una serie de pautas de conducta que faciliten dicha efectividad. Se parte de definir el concepto de conflicto de interés en el ejercicio del cargo, así como de sus diferentes clases, identificando los distintos intereses particulares para facilitar su comprensión. A continuación, se establece el procedimiento a seguir para la identificación y gestión de dichos conflictos de interés, así como una serie de pautas de conducta que contribuyan a la prevención y minimización de los mismos en la AVAF. Tales pautas se dividen en aquéllas de aplicación general y las que, con carácter adicional, resultarán de aplicación en puestos considerados de mayor riesgo de conflicto de interés, bien por la elevada responsabilidad e influencia decisoria de sus titulares, o por los riesgos inherentes a sus funciones. Todo ello, sin perjuicio de las políticas que, en desarrollo de estos mecanismos, apruebe la Agencia. </w:t>
      </w:r>
    </w:p>
    <w:p w14:paraId="598EEDD6" w14:textId="77777777" w:rsidR="000D65F7" w:rsidRPr="000D65F7" w:rsidRDefault="000D65F7" w:rsidP="00F11285">
      <w:pPr>
        <w:spacing w:after="120" w:line="276" w:lineRule="auto"/>
        <w:ind w:left="709"/>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El Código establece las normas aplicables al Comité de ética como órgano colegiado consultivo de composición mixta (varios miembros externos a la Agencia y uno interno, elegido entre todo su personal) que garantizará la efectividad y velará por la adecuada aplicación del Código, regulando sus funciones, composición y mandato, así como su régimen jurídico de funcionamiento. Se dota al Comité de facultades suficientes para impulsar, hacer el seguimiento y evaluar el cumplimiento de este Código. La importancia de este tipo de órganos, de composición mayoritariamente externa, ha sido puesta de manifiesto, entre otros, por el Grupo de Estados contra la Corrupción (GRECO), en sus Informes de evaluación del Reino de España, 5ª Ronda de evaluación.</w:t>
      </w:r>
      <w:bookmarkStart w:id="439" w:name="_GoBack1"/>
      <w:bookmarkEnd w:id="439"/>
      <w:r w:rsidRPr="000D65F7">
        <w:rPr>
          <w:rFonts w:ascii="Arial" w:eastAsia="Times New Roman" w:hAnsi="Arial" w:cs="Arial"/>
          <w:sz w:val="21"/>
          <w:szCs w:val="21"/>
          <w:lang w:eastAsia="es-ES"/>
        </w:rPr>
        <w:t xml:space="preserve"> </w:t>
      </w:r>
    </w:p>
    <w:p w14:paraId="5B47003C" w14:textId="77777777" w:rsidR="000D65F7" w:rsidRPr="000D65F7" w:rsidRDefault="000D65F7" w:rsidP="00F11285">
      <w:pPr>
        <w:spacing w:after="120" w:line="276" w:lineRule="auto"/>
        <w:ind w:left="709"/>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La propuesta define asimismo la función, características y régimen de acceso y gestión del buzón interno de denuncias, que se configura como un canal interno para recibir denuncias relativas a este Código diseñado y gestionado de forma segura, que debe garantizar la confidencialidad de la identidad del denunciante y del contenido de la denuncia, así como permitir la posibilidad de formular denuncias anónimas. El buzón resultará especialmente útil para comunicar al Comité de ética las acciones u omisiones que supongan el incumplimiento de los valores y las pautas de conducta recogidos en este código, así como las consultas relativas a su aplicación e interpretación. Sus condiciones de funcionamiento deberán respetar las garantías de protección que establece la Directiva (UE) 2019/1937 del Parlamento Europeo y del Consejo, de 23 de octubre, relativa a la protección de las personas que informen sobre las infracciones del Derecho de la Unión. </w:t>
      </w:r>
    </w:p>
    <w:p w14:paraId="4DE0E14D" w14:textId="77777777" w:rsidR="000D65F7" w:rsidRPr="000D65F7" w:rsidRDefault="000D65F7" w:rsidP="00F11285">
      <w:pPr>
        <w:spacing w:after="120" w:line="276" w:lineRule="auto"/>
        <w:ind w:left="709"/>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La propuesta de Código prevé el régimen sancionador aplicable ante el eventual incumplimiento del Código, y se incide en la necesidad de acometer acciones tanto de comunicación del Código como de formación sobre su contenido y en materia de integridad pública para que toda persona destinataria del mismo esté en condiciones óptimas de asumirlo y aplicarlo con convicción, describiendo las mismas y su periodicidad. </w:t>
      </w:r>
    </w:p>
    <w:p w14:paraId="47302934" w14:textId="77777777" w:rsidR="000D65F7" w:rsidRPr="000D65F7" w:rsidRDefault="000D65F7" w:rsidP="00F11285">
      <w:pPr>
        <w:spacing w:after="120" w:line="276" w:lineRule="auto"/>
        <w:ind w:left="709"/>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 xml:space="preserve">Por último, el Código contempla su revisión periódica, habida cuenta su concepción como instrumento flexible y efectivo en cada momento. </w:t>
      </w:r>
    </w:p>
    <w:p w14:paraId="56CEAFFC" w14:textId="7802B5B8" w:rsidR="00A62193" w:rsidRPr="00A62193" w:rsidRDefault="000D65F7" w:rsidP="000D65F7">
      <w:pPr>
        <w:spacing w:after="80" w:line="276" w:lineRule="auto"/>
        <w:ind w:left="709"/>
        <w:jc w:val="both"/>
        <w:rPr>
          <w:rFonts w:ascii="Arial" w:eastAsia="Times New Roman" w:hAnsi="Arial" w:cs="Arial"/>
          <w:sz w:val="21"/>
          <w:szCs w:val="21"/>
          <w:lang w:eastAsia="es-ES"/>
        </w:rPr>
      </w:pPr>
      <w:r w:rsidRPr="000D65F7">
        <w:rPr>
          <w:rFonts w:ascii="Arial" w:eastAsia="Times New Roman" w:hAnsi="Arial" w:cs="Arial"/>
          <w:sz w:val="21"/>
          <w:szCs w:val="21"/>
          <w:lang w:eastAsia="es-ES"/>
        </w:rPr>
        <w:t>Desde el Servicio de Prevención nos sentimos orgullosos de habernos implicado en la elaboración del Código ético de una institución con funciones tan especiales como las de esta Agencia, y sirva así de orientación y empuje para aquellas entidades valencianas que aún no cuenten con el suyo propio.</w:t>
      </w:r>
    </w:p>
    <w:p w14:paraId="4CA7A55C" w14:textId="77777777" w:rsidR="005B0E90" w:rsidRPr="005B0E90" w:rsidRDefault="005B0E90"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40" w:name="_Toc99107105"/>
      <w:r w:rsidRPr="005B0E90">
        <w:rPr>
          <w:rFonts w:ascii="Arial" w:eastAsia="Times New Roman" w:hAnsi="Arial" w:cs="Arial"/>
          <w:b/>
          <w:bCs/>
          <w:color w:val="9D2235" w:themeColor="accent1"/>
          <w:sz w:val="28"/>
          <w:szCs w:val="28"/>
          <w:lang w:eastAsia="es-ES"/>
        </w:rPr>
        <w:t>Consultoría, difusión y otras actividades</w:t>
      </w:r>
      <w:bookmarkEnd w:id="440"/>
    </w:p>
    <w:p w14:paraId="1684AB1A" w14:textId="77777777" w:rsidR="00B33D8C" w:rsidRPr="00B33D8C" w:rsidRDefault="00B33D8C" w:rsidP="00B33D8C">
      <w:pPr>
        <w:spacing w:after="240" w:line="276" w:lineRule="auto"/>
        <w:jc w:val="both"/>
        <w:rPr>
          <w:rFonts w:ascii="Arial" w:eastAsia="Times New Roman" w:hAnsi="Arial" w:cs="Arial"/>
          <w:sz w:val="21"/>
          <w:szCs w:val="21"/>
          <w:lang w:eastAsia="es-ES"/>
        </w:rPr>
      </w:pPr>
      <w:r w:rsidRPr="00B33D8C">
        <w:rPr>
          <w:rFonts w:ascii="Arial" w:eastAsia="Times New Roman" w:hAnsi="Arial" w:cs="Arial"/>
          <w:sz w:val="21"/>
          <w:szCs w:val="21"/>
          <w:lang w:eastAsia="es-ES"/>
        </w:rPr>
        <w:t xml:space="preserve">El Servicio de Prevención tiene entre sus funciones la de prestar asesoramiento y respuesta a las consultas que plantee cualquier persona en relación con las funciones preventivas de la Agencia, contribuyendo así a disipar dudas en materia de prevención del fraude, la corrupción y la integridad públicas. </w:t>
      </w:r>
    </w:p>
    <w:p w14:paraId="7AA4CD59" w14:textId="7E8263B5" w:rsidR="00B33D8C" w:rsidRPr="00B33D8C" w:rsidRDefault="00B33D8C" w:rsidP="00B33D8C">
      <w:pPr>
        <w:spacing w:after="240" w:line="276" w:lineRule="auto"/>
        <w:jc w:val="both"/>
        <w:rPr>
          <w:rFonts w:ascii="Arial" w:eastAsia="Times New Roman" w:hAnsi="Arial" w:cs="Arial"/>
          <w:sz w:val="21"/>
          <w:szCs w:val="21"/>
          <w:lang w:eastAsia="es-ES"/>
        </w:rPr>
      </w:pPr>
      <w:r w:rsidRPr="00B33D8C">
        <w:rPr>
          <w:rFonts w:ascii="Arial" w:eastAsia="Times New Roman" w:hAnsi="Arial" w:cs="Arial"/>
          <w:sz w:val="21"/>
          <w:szCs w:val="21"/>
          <w:lang w:eastAsia="es-ES"/>
        </w:rPr>
        <w:t>Asimismo, se han elaborado materiales e impartido</w:t>
      </w:r>
      <w:r w:rsidR="00822761">
        <w:rPr>
          <w:rFonts w:ascii="Arial" w:eastAsia="Times New Roman" w:hAnsi="Arial" w:cs="Arial"/>
          <w:sz w:val="21"/>
          <w:szCs w:val="21"/>
          <w:lang w:eastAsia="es-ES"/>
        </w:rPr>
        <w:t xml:space="preserve"> </w:t>
      </w:r>
      <w:r w:rsidRPr="00B33D8C">
        <w:rPr>
          <w:rFonts w:ascii="Arial" w:eastAsia="Times New Roman" w:hAnsi="Arial" w:cs="Arial"/>
          <w:sz w:val="21"/>
          <w:szCs w:val="21"/>
          <w:lang w:eastAsia="es-ES"/>
        </w:rPr>
        <w:t>acciones formativas, asistiendo a Congresos y encuentros de difusión de la actividad preventiva en representación de la AVAF. Por su parte, el personal del Servicio de Prevención ha mantenido en todo momento actualizados sus conocimientos en las complejas materias de la prevención, haciendo así gala de su profesionalidad y entrega a nuestra misión de servicio público.</w:t>
      </w:r>
    </w:p>
    <w:p w14:paraId="1F66C56C" w14:textId="7755E105" w:rsidR="00B33D8C" w:rsidRDefault="00B33D8C" w:rsidP="00B33D8C">
      <w:pPr>
        <w:spacing w:after="240" w:line="276" w:lineRule="auto"/>
        <w:jc w:val="both"/>
        <w:rPr>
          <w:rFonts w:ascii="Arial" w:eastAsia="Times New Roman" w:hAnsi="Arial" w:cs="Arial"/>
          <w:sz w:val="21"/>
          <w:szCs w:val="21"/>
          <w:lang w:eastAsia="es-ES"/>
        </w:rPr>
      </w:pPr>
      <w:r w:rsidRPr="00B33D8C">
        <w:rPr>
          <w:rFonts w:ascii="Arial" w:eastAsia="Times New Roman" w:hAnsi="Arial" w:cs="Arial"/>
          <w:sz w:val="21"/>
          <w:szCs w:val="21"/>
          <w:lang w:eastAsia="es-ES"/>
        </w:rPr>
        <w:t xml:space="preserve">A título enunciativo, durante 2021 se han mantenido encuentros, y/o atendido consultas, entre otros, con representantes de las Diputaciones Provinciales de Castellón, Valencia y Alicante; Federación Valenciana de Municipios y Provincias; Conselleria de Participación, Transparencia, Cooperación y Calidad Democrática; Direcciones Generales responsables de la tramitación de los planes de medidas antifraude adscritas a Presidencia de la Generalitat; Dirección General del Sector Público; Subsecretaría de Agricultura; Labora; Comisión de Defensa de la Competencia de la Comunitat Valenciana; Ayuntamientos de Valencia, Alicante, La Vall d´uixó, Quart de Poblet, Benifairó de les Valls, entre otros. Como consecuencia de los mismos, por parte del Servicio de Prevención se han realizado aportaciones que han sido tomadas en consideración, por ejemplo, al Manual dirigido a gestores de la Generalitat Valenciana en relación con las obligaciones de la Orden HFP/1030/2021, de 29 de septiembre, así como al esquema del contenido mínimo a incorporar en los planes de medidas antifraude de la Generalitat Valenciana, entre otros. </w:t>
      </w:r>
    </w:p>
    <w:p w14:paraId="34A666C4" w14:textId="77777777" w:rsidR="002C1799" w:rsidRDefault="002C1799" w:rsidP="00B33D8C">
      <w:pPr>
        <w:spacing w:after="240" w:line="276" w:lineRule="auto"/>
        <w:jc w:val="both"/>
        <w:rPr>
          <w:rFonts w:ascii="Arial" w:eastAsia="Times New Roman" w:hAnsi="Arial" w:cs="Arial"/>
          <w:sz w:val="21"/>
          <w:szCs w:val="21"/>
          <w:lang w:eastAsia="es-ES"/>
        </w:rPr>
      </w:pPr>
    </w:p>
    <w:p w14:paraId="44B07DE7" w14:textId="6EC1410C" w:rsidR="00B33D8C" w:rsidRDefault="00B33D8C" w:rsidP="00B33D8C">
      <w:pPr>
        <w:spacing w:after="240" w:line="276" w:lineRule="auto"/>
        <w:jc w:val="both"/>
        <w:rPr>
          <w:rFonts w:ascii="Arial" w:eastAsia="Times New Roman" w:hAnsi="Arial" w:cs="Arial"/>
          <w:sz w:val="21"/>
          <w:szCs w:val="21"/>
          <w:lang w:eastAsia="es-ES"/>
        </w:rPr>
      </w:pPr>
      <w:r w:rsidRPr="00B33D8C">
        <w:rPr>
          <w:rFonts w:ascii="Arial" w:eastAsia="Times New Roman" w:hAnsi="Arial" w:cs="Arial"/>
          <w:sz w:val="21"/>
          <w:szCs w:val="21"/>
          <w:lang w:eastAsia="es-ES"/>
        </w:rPr>
        <w:t>Se ha participado activamente, junto con otras áreas funcionales de la Agencia, en el contenido vinculado a la prevención, así como en la ejecución de los protocolos de colaboración suscritos por la AVAF y algunas instituciones para implementar planes de integridad pública y medidas de prevención y detección del fraude y la corrupción. Ejemplo de tales protocolos</w:t>
      </w:r>
      <w:r w:rsidR="00822761">
        <w:rPr>
          <w:rFonts w:ascii="Arial" w:eastAsia="Times New Roman" w:hAnsi="Arial" w:cs="Arial"/>
          <w:sz w:val="21"/>
          <w:szCs w:val="21"/>
          <w:lang w:eastAsia="es-ES"/>
        </w:rPr>
        <w:t>,</w:t>
      </w:r>
      <w:r w:rsidRPr="00B33D8C">
        <w:rPr>
          <w:rFonts w:ascii="Arial" w:eastAsia="Times New Roman" w:hAnsi="Arial" w:cs="Arial"/>
          <w:sz w:val="21"/>
          <w:szCs w:val="21"/>
          <w:lang w:eastAsia="es-ES"/>
        </w:rPr>
        <w:t xml:space="preserve"> a fecha de redacción de esta Memoria</w:t>
      </w:r>
      <w:r w:rsidR="00822761">
        <w:rPr>
          <w:rFonts w:ascii="Arial" w:eastAsia="Times New Roman" w:hAnsi="Arial" w:cs="Arial"/>
          <w:sz w:val="21"/>
          <w:szCs w:val="21"/>
          <w:lang w:eastAsia="es-ES"/>
        </w:rPr>
        <w:t>,</w:t>
      </w:r>
      <w:r w:rsidRPr="00B33D8C">
        <w:rPr>
          <w:rFonts w:ascii="Arial" w:eastAsia="Times New Roman" w:hAnsi="Arial" w:cs="Arial"/>
          <w:sz w:val="21"/>
          <w:szCs w:val="21"/>
          <w:lang w:eastAsia="es-ES"/>
        </w:rPr>
        <w:t xml:space="preserve"> son los suscritos con el Ayuntamiento de Valencia y con la Diputación de Castellón. No obstante, están pendientes de firma varios protocolos de colaboración con diferentes ayuntamientos y Diputaciones de la Comunitat Valenciana.</w:t>
      </w:r>
    </w:p>
    <w:p w14:paraId="06E94D05" w14:textId="77777777" w:rsidR="002C1799" w:rsidRDefault="002C1799" w:rsidP="00B33D8C">
      <w:pPr>
        <w:spacing w:after="240" w:line="276" w:lineRule="auto"/>
        <w:jc w:val="both"/>
        <w:rPr>
          <w:rFonts w:ascii="Arial" w:eastAsia="Times New Roman" w:hAnsi="Arial" w:cs="Arial"/>
          <w:sz w:val="21"/>
          <w:szCs w:val="21"/>
          <w:lang w:eastAsia="es-ES"/>
        </w:rPr>
      </w:pPr>
    </w:p>
    <w:p w14:paraId="5A026E46" w14:textId="4AF55152" w:rsidR="00FD39A5" w:rsidRDefault="00B33D8C" w:rsidP="00B33D8C">
      <w:pPr>
        <w:spacing w:after="240" w:line="276" w:lineRule="auto"/>
        <w:jc w:val="both"/>
        <w:rPr>
          <w:rFonts w:ascii="Arial" w:eastAsia="Times New Roman" w:hAnsi="Arial" w:cs="Arial"/>
          <w:sz w:val="21"/>
          <w:szCs w:val="21"/>
          <w:lang w:eastAsia="es-ES"/>
        </w:rPr>
      </w:pPr>
      <w:r w:rsidRPr="00B33D8C">
        <w:rPr>
          <w:rFonts w:ascii="Arial" w:eastAsia="Times New Roman" w:hAnsi="Arial" w:cs="Arial"/>
          <w:sz w:val="21"/>
          <w:szCs w:val="21"/>
          <w:lang w:eastAsia="es-ES"/>
        </w:rPr>
        <w:t>El Servicio de Prevención ha colaborado asimismo en la elaboración de contenidos, impartidos por la jefa de servicio en diversas acciones formativas realizadas por la Agencia, cuya descripción más pormenorizada se relata en el epígrafe correspondiente al Servicio de Formación. En concreto, ha impartido ponencias tales como “Los conflictos de interés en clave de integridad” (4 y 24/11/2021, Fundación de Auditores FIASIP); “El papel de los órganos de control en los planes de medidas antifraude” (30/11/2021, III Congreso Nacional de Compliance en el Sector Público); “Los planes antifraude en clave de integridad pública” (3/12/2021, Universitat Jaume I de Castellón); “Guía AVAF sobre planes de integridad pública. El plan antifraude en clave de integridad pública” (21/12/2021, Conselleria de Transparencia, FVMP y Diputaciones Provinciales de Valencia, Castellón y Alicante), entre otras.</w:t>
      </w:r>
    </w:p>
    <w:p w14:paraId="20A42D19" w14:textId="403DA3CF" w:rsidR="00A422A8" w:rsidRDefault="00282D81" w:rsidP="00B33D8C">
      <w:pPr>
        <w:spacing w:after="240" w:line="276" w:lineRule="auto"/>
        <w:jc w:val="both"/>
        <w:rPr>
          <w:rFonts w:ascii="Arial" w:eastAsia="Times New Roman" w:hAnsi="Arial" w:cs="Arial"/>
          <w:sz w:val="21"/>
          <w:szCs w:val="21"/>
          <w:lang w:eastAsia="es-ES"/>
        </w:rPr>
      </w:pPr>
      <w:r w:rsidRPr="00FD39A5">
        <w:rPr>
          <w:rFonts w:ascii="Arial" w:eastAsia="Times New Roman" w:hAnsi="Arial" w:cs="Arial"/>
          <w:noProof/>
          <w:sz w:val="21"/>
          <w:szCs w:val="21"/>
          <w:lang w:eastAsia="es-ES"/>
        </w:rPr>
        <w:drawing>
          <wp:anchor distT="0" distB="0" distL="114300" distR="114300" simplePos="0" relativeHeight="252022784" behindDoc="0" locked="0" layoutInCell="1" allowOverlap="1" wp14:anchorId="35FBB130" wp14:editId="5722DA88">
            <wp:simplePos x="0" y="0"/>
            <wp:positionH relativeFrom="margin">
              <wp:posOffset>19050</wp:posOffset>
            </wp:positionH>
            <wp:positionV relativeFrom="paragraph">
              <wp:posOffset>6350</wp:posOffset>
            </wp:positionV>
            <wp:extent cx="1613535" cy="1947545"/>
            <wp:effectExtent l="0" t="0" r="5715" b="0"/>
            <wp:wrapSquare wrapText="bothSides"/>
            <wp:docPr id="111" name="Imagen 6" descr="Imagen 4. Reflexiones sobre conflictos de interés:su desconocimiento, la antesala de la corrupcion">
              <a:extLst xmlns:a="http://schemas.openxmlformats.org/drawingml/2006/main">
                <a:ext uri="{FF2B5EF4-FFF2-40B4-BE49-F238E27FC236}">
                  <a16:creationId xmlns:a16="http://schemas.microsoft.com/office/drawing/2014/main" id="{E93E23AD-171F-4982-939B-06D88B29E06B}"/>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6" descr="Imagen 4. Reflexiones sobre conflictos de interés:su desconocimiento, la antesala de la corrupcion">
                      <a:extLst>
                        <a:ext uri="{FF2B5EF4-FFF2-40B4-BE49-F238E27FC236}">
                          <a16:creationId xmlns:a16="http://schemas.microsoft.com/office/drawing/2014/main" id="{E93E23AD-171F-4982-939B-06D88B29E06B}"/>
                        </a:ext>
                        <a:ext uri="{C183D7F6-B498-43B3-948B-1728B52AA6E4}">
                          <adec:decorative xmlns:adec="http://schemas.microsoft.com/office/drawing/2017/decorative" val="0"/>
                        </a:ext>
                      </a:extLst>
                    </pic:cNvPr>
                    <pic:cNvPicPr>
                      <a:picLocks noChangeAspect="1"/>
                    </pic:cNvPicPr>
                  </pic:nvPicPr>
                  <pic:blipFill>
                    <a:blip r:embed="rId498" cstate="print">
                      <a:extLst>
                        <a:ext uri="{28A0092B-C50C-407E-A947-70E740481C1C}">
                          <a14:useLocalDpi xmlns:a14="http://schemas.microsoft.com/office/drawing/2010/main" val="0"/>
                        </a:ext>
                      </a:extLst>
                    </a:blip>
                    <a:stretch>
                      <a:fillRect/>
                    </a:stretch>
                  </pic:blipFill>
                  <pic:spPr>
                    <a:xfrm>
                      <a:off x="0" y="0"/>
                      <a:ext cx="1613535" cy="1947545"/>
                    </a:xfrm>
                    <a:prstGeom prst="rect">
                      <a:avLst/>
                    </a:prstGeom>
                  </pic:spPr>
                </pic:pic>
              </a:graphicData>
            </a:graphic>
            <wp14:sizeRelH relativeFrom="margin">
              <wp14:pctWidth>0</wp14:pctWidth>
            </wp14:sizeRelH>
          </wp:anchor>
        </w:drawing>
      </w:r>
      <w:r w:rsidR="00A422A8" w:rsidRPr="00A422A8">
        <w:rPr>
          <w:rFonts w:ascii="Arial" w:eastAsia="Times New Roman" w:hAnsi="Arial" w:cs="Arial"/>
          <w:sz w:val="21"/>
          <w:szCs w:val="21"/>
          <w:lang w:eastAsia="es-ES"/>
        </w:rPr>
        <w:t>Con ocasión de las Recomendaciones generales elaboradas en 2020 por el Servicio de Prevención y, con el fin de contribuir a la difusión de sus contendidos, durante</w:t>
      </w:r>
      <w:r w:rsidR="00822761">
        <w:rPr>
          <w:rFonts w:ascii="Arial" w:eastAsia="Times New Roman" w:hAnsi="Arial" w:cs="Arial"/>
          <w:sz w:val="21"/>
          <w:szCs w:val="21"/>
          <w:lang w:eastAsia="es-ES"/>
        </w:rPr>
        <w:t xml:space="preserve"> </w:t>
      </w:r>
      <w:r w:rsidR="00A422A8" w:rsidRPr="00A422A8">
        <w:rPr>
          <w:rFonts w:ascii="Arial" w:eastAsia="Times New Roman" w:hAnsi="Arial" w:cs="Arial"/>
          <w:sz w:val="21"/>
          <w:szCs w:val="21"/>
          <w:lang w:eastAsia="es-ES"/>
        </w:rPr>
        <w:t>2021 se ha colaborado en determinadas actividades organizadas por otros servicios que se consideran de sumo interés. Así, en relación con la Recomendación general sobre conflictos de interés, el Servicio participó activamente en el documental coordinado por el Servicio de Formación de la AVAF y la Universitat de València denominado “</w:t>
      </w:r>
      <w:r w:rsidR="00A422A8" w:rsidRPr="009B0CDE">
        <w:rPr>
          <w:rFonts w:ascii="Arial" w:eastAsia="Times New Roman" w:hAnsi="Arial" w:cs="Arial"/>
          <w:sz w:val="21"/>
          <w:szCs w:val="21"/>
          <w:lang w:eastAsia="es-ES"/>
        </w:rPr>
        <w:t>Docufòrum: los conflictos de interés y la integridad pública</w:t>
      </w:r>
      <w:r w:rsidR="00A422A8" w:rsidRPr="00A422A8">
        <w:rPr>
          <w:rFonts w:ascii="Arial" w:eastAsia="Times New Roman" w:hAnsi="Arial" w:cs="Arial"/>
          <w:i/>
          <w:iCs/>
          <w:sz w:val="21"/>
          <w:szCs w:val="21"/>
          <w:lang w:eastAsia="es-ES"/>
        </w:rPr>
        <w:t>”</w:t>
      </w:r>
      <w:r w:rsidR="00A422A8" w:rsidRPr="00A422A8">
        <w:rPr>
          <w:rFonts w:ascii="Arial" w:eastAsia="Times New Roman" w:hAnsi="Arial" w:cs="Arial"/>
          <w:sz w:val="21"/>
          <w:szCs w:val="21"/>
          <w:lang w:eastAsia="es-ES"/>
        </w:rPr>
        <w:t>.</w:t>
      </w:r>
    </w:p>
    <w:p w14:paraId="5C0D8552" w14:textId="2D89560F" w:rsidR="00823AFD" w:rsidRDefault="00823AFD" w:rsidP="00B33D8C">
      <w:pPr>
        <w:spacing w:after="240" w:line="276" w:lineRule="auto"/>
        <w:jc w:val="both"/>
        <w:rPr>
          <w:rFonts w:ascii="Arial" w:eastAsia="Times New Roman" w:hAnsi="Arial" w:cs="Arial"/>
          <w:sz w:val="21"/>
          <w:szCs w:val="21"/>
          <w:lang w:eastAsia="es-ES"/>
        </w:rPr>
      </w:pPr>
      <w:r>
        <w:rPr>
          <w:noProof/>
        </w:rPr>
        <mc:AlternateContent>
          <mc:Choice Requires="wps">
            <w:drawing>
              <wp:anchor distT="0" distB="0" distL="114300" distR="114300" simplePos="0" relativeHeight="252024832" behindDoc="0" locked="0" layoutInCell="1" allowOverlap="1" wp14:anchorId="30FC0466" wp14:editId="6926C9A7">
                <wp:simplePos x="0" y="0"/>
                <wp:positionH relativeFrom="margin">
                  <wp:posOffset>-635</wp:posOffset>
                </wp:positionH>
                <wp:positionV relativeFrom="paragraph">
                  <wp:posOffset>74930</wp:posOffset>
                </wp:positionV>
                <wp:extent cx="2782570" cy="342900"/>
                <wp:effectExtent l="0" t="0" r="0" b="0"/>
                <wp:wrapSquare wrapText="bothSides"/>
                <wp:docPr id="21" name="Cuadro de texto 21"/>
                <wp:cNvGraphicFramePr/>
                <a:graphic xmlns:a="http://schemas.openxmlformats.org/drawingml/2006/main">
                  <a:graphicData uri="http://schemas.microsoft.com/office/word/2010/wordprocessingShape">
                    <wps:wsp>
                      <wps:cNvSpPr txBox="1"/>
                      <wps:spPr>
                        <a:xfrm>
                          <a:off x="0" y="0"/>
                          <a:ext cx="2782570" cy="342900"/>
                        </a:xfrm>
                        <a:prstGeom prst="rect">
                          <a:avLst/>
                        </a:prstGeom>
                        <a:solidFill>
                          <a:prstClr val="white"/>
                        </a:solidFill>
                        <a:ln>
                          <a:noFill/>
                        </a:ln>
                      </wps:spPr>
                      <wps:txbx>
                        <w:txbxContent>
                          <w:p w14:paraId="54EF0799" w14:textId="2AD408CB" w:rsidR="00823AFD" w:rsidRPr="00823AFD" w:rsidRDefault="00823AFD" w:rsidP="00823AFD">
                            <w:pPr>
                              <w:pStyle w:val="Descripcin"/>
                              <w:jc w:val="both"/>
                              <w:rPr>
                                <w:rFonts w:ascii="Arial" w:eastAsia="Times New Roman" w:hAnsi="Arial" w:cs="Arial"/>
                                <w:smallCaps w:val="0"/>
                                <w:noProof/>
                                <w:sz w:val="18"/>
                                <w:szCs w:val="18"/>
                              </w:rPr>
                            </w:pPr>
                            <w:bookmarkStart w:id="441" w:name="_Toc99099135"/>
                            <w:r w:rsidRPr="00823AFD">
                              <w:rPr>
                                <w:rFonts w:ascii="Arial" w:hAnsi="Arial" w:cs="Arial"/>
                                <w:smallCaps w:val="0"/>
                                <w:color w:val="9D2235" w:themeColor="accent1"/>
                                <w:sz w:val="18"/>
                                <w:szCs w:val="18"/>
                              </w:rPr>
                              <w:t xml:space="preserve">Imagen </w:t>
                            </w:r>
                            <w:r w:rsidRPr="00823AFD">
                              <w:rPr>
                                <w:rFonts w:ascii="Arial" w:hAnsi="Arial" w:cs="Arial"/>
                                <w:smallCaps w:val="0"/>
                                <w:color w:val="9D2235" w:themeColor="accent1"/>
                                <w:sz w:val="18"/>
                                <w:szCs w:val="18"/>
                              </w:rPr>
                              <w:fldChar w:fldCharType="begin"/>
                            </w:r>
                            <w:r w:rsidRPr="00823AFD">
                              <w:rPr>
                                <w:rFonts w:ascii="Arial" w:hAnsi="Arial" w:cs="Arial"/>
                                <w:smallCaps w:val="0"/>
                                <w:color w:val="9D2235" w:themeColor="accent1"/>
                                <w:sz w:val="18"/>
                                <w:szCs w:val="18"/>
                              </w:rPr>
                              <w:instrText xml:space="preserve"> SEQ Imagen \* ARABIC </w:instrText>
                            </w:r>
                            <w:r w:rsidRPr="00823AFD">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11</w:t>
                            </w:r>
                            <w:r w:rsidRPr="00823AFD">
                              <w:rPr>
                                <w:rFonts w:ascii="Arial" w:hAnsi="Arial" w:cs="Arial"/>
                                <w:smallCaps w:val="0"/>
                                <w:color w:val="9D2235" w:themeColor="accent1"/>
                                <w:sz w:val="18"/>
                                <w:szCs w:val="18"/>
                              </w:rPr>
                              <w:fldChar w:fldCharType="end"/>
                            </w:r>
                            <w:r w:rsidRPr="00823AFD">
                              <w:rPr>
                                <w:rFonts w:ascii="Arial" w:hAnsi="Arial" w:cs="Arial"/>
                                <w:smallCaps w:val="0"/>
                                <w:color w:val="9D2235" w:themeColor="accent1"/>
                                <w:sz w:val="18"/>
                                <w:szCs w:val="18"/>
                              </w:rPr>
                              <w:t xml:space="preserve">. </w:t>
                            </w:r>
                            <w:r w:rsidRPr="00823AFD">
                              <w:rPr>
                                <w:rFonts w:ascii="Arial" w:hAnsi="Arial" w:cs="Arial"/>
                                <w:smallCaps w:val="0"/>
                                <w:sz w:val="18"/>
                                <w:szCs w:val="18"/>
                              </w:rPr>
                              <w:t>Reflexiones sobre conflictos de interés: su desconocimiento, la antesala de la corrupción.</w:t>
                            </w:r>
                            <w:bookmarkEnd w:id="4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C0466" id="Cuadro de texto 21" o:spid="_x0000_s1043" type="#_x0000_t202" style="position:absolute;left:0;text-align:left;margin-left:-.05pt;margin-top:5.9pt;width:219.1pt;height:27pt;z-index:25202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" stroked="f">
                <v:textbox inset="0,0,0,0">
                  <w:txbxContent>
                    <w:p w14:paraId="54EF0799" w14:textId="2AD408CB" w:rsidR="00823AFD" w:rsidRPr="00823AFD" w:rsidRDefault="00823AFD" w:rsidP="00823AFD">
                      <w:pPr>
                        <w:pStyle w:val="Descripcin"/>
                        <w:jc w:val="both"/>
                        <w:rPr>
                          <w:rFonts w:ascii="Arial" w:eastAsia="Times New Roman" w:hAnsi="Arial" w:cs="Arial"/>
                          <w:smallCaps w:val="0"/>
                          <w:noProof/>
                          <w:sz w:val="18"/>
                          <w:szCs w:val="18"/>
                        </w:rPr>
                      </w:pPr>
                      <w:bookmarkStart w:id="456" w:name="_Toc99099135"/>
                      <w:r w:rsidRPr="00823AFD">
                        <w:rPr>
                          <w:rFonts w:ascii="Arial" w:hAnsi="Arial" w:cs="Arial"/>
                          <w:smallCaps w:val="0"/>
                          <w:color w:val="9D2235" w:themeColor="accent1"/>
                          <w:sz w:val="18"/>
                          <w:szCs w:val="18"/>
                        </w:rPr>
                        <w:t xml:space="preserve">Imagen </w:t>
                      </w:r>
                      <w:r w:rsidRPr="00823AFD">
                        <w:rPr>
                          <w:rFonts w:ascii="Arial" w:hAnsi="Arial" w:cs="Arial"/>
                          <w:smallCaps w:val="0"/>
                          <w:color w:val="9D2235" w:themeColor="accent1"/>
                          <w:sz w:val="18"/>
                          <w:szCs w:val="18"/>
                        </w:rPr>
                        <w:fldChar w:fldCharType="begin"/>
                      </w:r>
                      <w:r w:rsidRPr="00823AFD">
                        <w:rPr>
                          <w:rFonts w:ascii="Arial" w:hAnsi="Arial" w:cs="Arial"/>
                          <w:smallCaps w:val="0"/>
                          <w:color w:val="9D2235" w:themeColor="accent1"/>
                          <w:sz w:val="18"/>
                          <w:szCs w:val="18"/>
                        </w:rPr>
                        <w:instrText xml:space="preserve"> SEQ Imagen \* ARABIC </w:instrText>
                      </w:r>
                      <w:r w:rsidRPr="00823AFD">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11</w:t>
                      </w:r>
                      <w:r w:rsidRPr="00823AFD">
                        <w:rPr>
                          <w:rFonts w:ascii="Arial" w:hAnsi="Arial" w:cs="Arial"/>
                          <w:smallCaps w:val="0"/>
                          <w:color w:val="9D2235" w:themeColor="accent1"/>
                          <w:sz w:val="18"/>
                          <w:szCs w:val="18"/>
                        </w:rPr>
                        <w:fldChar w:fldCharType="end"/>
                      </w:r>
                      <w:r w:rsidRPr="00823AFD">
                        <w:rPr>
                          <w:rFonts w:ascii="Arial" w:hAnsi="Arial" w:cs="Arial"/>
                          <w:smallCaps w:val="0"/>
                          <w:color w:val="9D2235" w:themeColor="accent1"/>
                          <w:sz w:val="18"/>
                          <w:szCs w:val="18"/>
                        </w:rPr>
                        <w:t xml:space="preserve">. </w:t>
                      </w:r>
                      <w:r w:rsidRPr="00823AFD">
                        <w:rPr>
                          <w:rFonts w:ascii="Arial" w:hAnsi="Arial" w:cs="Arial"/>
                          <w:smallCaps w:val="0"/>
                          <w:sz w:val="18"/>
                          <w:szCs w:val="18"/>
                        </w:rPr>
                        <w:t>Reflexiones sobre conflictos de interés: su desconocimiento, la antesala de la corrupción.</w:t>
                      </w:r>
                      <w:bookmarkEnd w:id="456"/>
                    </w:p>
                  </w:txbxContent>
                </v:textbox>
                <w10:wrap type="square" anchorx="margin"/>
              </v:shape>
            </w:pict>
          </mc:Fallback>
        </mc:AlternateContent>
      </w:r>
    </w:p>
    <w:p w14:paraId="2A9A9DEC" w14:textId="40B3E839" w:rsidR="00823AFD" w:rsidRDefault="00823AFD" w:rsidP="00B33D8C">
      <w:pPr>
        <w:spacing w:after="240" w:line="276" w:lineRule="auto"/>
        <w:jc w:val="both"/>
        <w:rPr>
          <w:rFonts w:ascii="Arial" w:eastAsia="Times New Roman" w:hAnsi="Arial" w:cs="Arial"/>
          <w:sz w:val="21"/>
          <w:szCs w:val="21"/>
          <w:lang w:eastAsia="es-ES"/>
        </w:rPr>
      </w:pPr>
    </w:p>
    <w:p w14:paraId="50E09FA9" w14:textId="77777777" w:rsidR="00E9031B" w:rsidRDefault="00E9031B" w:rsidP="00B33D8C">
      <w:pPr>
        <w:spacing w:after="240" w:line="276" w:lineRule="auto"/>
        <w:jc w:val="both"/>
        <w:rPr>
          <w:rFonts w:ascii="Arial" w:eastAsia="Times New Roman" w:hAnsi="Arial" w:cs="Arial"/>
          <w:sz w:val="21"/>
          <w:szCs w:val="21"/>
          <w:lang w:eastAsia="es-ES"/>
        </w:rPr>
      </w:pPr>
    </w:p>
    <w:p w14:paraId="3EF09944" w14:textId="343A10B9" w:rsidR="00A422A8" w:rsidRDefault="00FD39A5" w:rsidP="00B33D8C">
      <w:pPr>
        <w:spacing w:after="240" w:line="276" w:lineRule="auto"/>
        <w:jc w:val="both"/>
        <w:rPr>
          <w:rFonts w:ascii="Arial" w:eastAsia="Times New Roman" w:hAnsi="Arial" w:cs="Arial"/>
          <w:sz w:val="21"/>
          <w:szCs w:val="21"/>
          <w:lang w:eastAsia="es-ES"/>
        </w:rPr>
      </w:pPr>
      <w:r w:rsidRPr="00AB543F">
        <w:rPr>
          <w:rFonts w:ascii="Arial" w:hAnsi="Arial" w:cs="Arial"/>
          <w:noProof/>
          <w:sz w:val="21"/>
          <w:szCs w:val="21"/>
        </w:rPr>
        <w:drawing>
          <wp:anchor distT="0" distB="0" distL="114300" distR="114300" simplePos="0" relativeHeight="252014592" behindDoc="1" locked="0" layoutInCell="1" allowOverlap="1" wp14:anchorId="47084AFC" wp14:editId="362B32C3">
            <wp:simplePos x="0" y="0"/>
            <wp:positionH relativeFrom="margin">
              <wp:align>right</wp:align>
            </wp:positionH>
            <wp:positionV relativeFrom="paragraph">
              <wp:posOffset>471</wp:posOffset>
            </wp:positionV>
            <wp:extent cx="1522095" cy="1904365"/>
            <wp:effectExtent l="0" t="0" r="1905" b="635"/>
            <wp:wrapTight wrapText="bothSides">
              <wp:wrapPolygon edited="0">
                <wp:start x="0" y="0"/>
                <wp:lineTo x="0" y="21391"/>
                <wp:lineTo x="21357" y="21391"/>
                <wp:lineTo x="21357" y="0"/>
                <wp:lineTo x="0" y="0"/>
              </wp:wrapPolygon>
            </wp:wrapTight>
            <wp:docPr id="6" name="Imagen 5" descr="Texto&#10;&#10;Descripción generada automáticamente con confianza media">
              <a:extLst xmlns:a="http://schemas.openxmlformats.org/drawingml/2006/main">
                <a:ext uri="{FF2B5EF4-FFF2-40B4-BE49-F238E27FC236}">
                  <a16:creationId xmlns:a16="http://schemas.microsoft.com/office/drawing/2014/main" id="{ACD32E40-CFBF-4023-BB5C-FF9EF7E8BC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Texto&#10;&#10;Descripción generada automáticamente con confianza media">
                      <a:extLst>
                        <a:ext uri="{FF2B5EF4-FFF2-40B4-BE49-F238E27FC236}">
                          <a16:creationId xmlns:a16="http://schemas.microsoft.com/office/drawing/2014/main" id="{ACD32E40-CFBF-4023-BB5C-FF9EF7E8BC69}"/>
                        </a:ext>
                      </a:extLst>
                    </pic:cNvPr>
                    <pic:cNvPicPr>
                      <a:picLocks noChangeAspect="1"/>
                    </pic:cNvPicPr>
                  </pic:nvPicPr>
                  <pic:blipFill>
                    <a:blip r:embed="rId499" cstate="print">
                      <a:extLst>
                        <a:ext uri="{28A0092B-C50C-407E-A947-70E740481C1C}">
                          <a14:useLocalDpi xmlns:a14="http://schemas.microsoft.com/office/drawing/2010/main" val="0"/>
                        </a:ext>
                      </a:extLst>
                    </a:blip>
                    <a:stretch>
                      <a:fillRect/>
                    </a:stretch>
                  </pic:blipFill>
                  <pic:spPr>
                    <a:xfrm>
                      <a:off x="0" y="0"/>
                      <a:ext cx="1522095" cy="1904365"/>
                    </a:xfrm>
                    <a:prstGeom prst="rect">
                      <a:avLst/>
                    </a:prstGeom>
                  </pic:spPr>
                </pic:pic>
              </a:graphicData>
            </a:graphic>
            <wp14:sizeRelH relativeFrom="margin">
              <wp14:pctWidth>0</wp14:pctWidth>
            </wp14:sizeRelH>
          </wp:anchor>
        </w:drawing>
      </w:r>
      <w:r w:rsidR="00563DE9" w:rsidRPr="00AB543F">
        <w:rPr>
          <w:rFonts w:ascii="Arial" w:hAnsi="Arial" w:cs="Arial"/>
          <w:sz w:val="21"/>
          <w:szCs w:val="21"/>
        </w:rPr>
        <w:t xml:space="preserve">En relación con la Recomendación general </w:t>
      </w:r>
      <w:r w:rsidR="00563DE9" w:rsidRPr="00AB543F">
        <w:rPr>
          <w:rFonts w:ascii="Arial" w:eastAsia="Open Sans" w:hAnsi="Arial" w:cs="Arial"/>
          <w:sz w:val="21"/>
          <w:szCs w:val="21"/>
        </w:rPr>
        <w:t>de Planificación</w:t>
      </w:r>
      <w:r w:rsidR="00563DE9" w:rsidRPr="00AB543F">
        <w:rPr>
          <w:rFonts w:ascii="Arial" w:hAnsi="Arial" w:cs="Arial"/>
          <w:sz w:val="21"/>
          <w:szCs w:val="21"/>
        </w:rPr>
        <w:t xml:space="preserve">, se colaboró en la grabación del documental denominado </w:t>
      </w:r>
      <w:r w:rsidR="00563DE9" w:rsidRPr="004A2723">
        <w:rPr>
          <w:rFonts w:ascii="Arial" w:hAnsi="Arial" w:cs="Arial"/>
          <w:sz w:val="21"/>
          <w:szCs w:val="21"/>
        </w:rPr>
        <w:t>“Docufòrum: la planificación”</w:t>
      </w:r>
      <w:r w:rsidR="00563DE9" w:rsidRPr="00AB543F">
        <w:rPr>
          <w:rFonts w:ascii="Arial" w:hAnsi="Arial" w:cs="Arial"/>
          <w:sz w:val="21"/>
          <w:szCs w:val="21"/>
        </w:rPr>
        <w:t xml:space="preserve"> coordinado por el Servicio de Formación de la AVAF y la Universitat de València. En ambos casos, desde el Servicio de Prevención la colaboración abarcó aspectos sustantivos de ambas temáticas</w:t>
      </w:r>
      <w:r w:rsidR="00563DE9">
        <w:rPr>
          <w:rFonts w:ascii="Arial" w:hAnsi="Arial" w:cs="Arial"/>
          <w:sz w:val="21"/>
          <w:szCs w:val="21"/>
        </w:rPr>
        <w:t xml:space="preserve"> y la intervención </w:t>
      </w:r>
      <w:r w:rsidR="00563DE9" w:rsidRPr="00AB543F">
        <w:rPr>
          <w:rFonts w:ascii="Arial" w:hAnsi="Arial" w:cs="Arial"/>
          <w:sz w:val="21"/>
          <w:szCs w:val="21"/>
        </w:rPr>
        <w:t>en ambas grabaciones</w:t>
      </w:r>
    </w:p>
    <w:p w14:paraId="36496EDD" w14:textId="6BDC0BCB" w:rsidR="00A422A8" w:rsidRDefault="00A422A8" w:rsidP="00B33D8C">
      <w:pPr>
        <w:spacing w:after="240" w:line="276" w:lineRule="auto"/>
        <w:jc w:val="both"/>
        <w:rPr>
          <w:rFonts w:ascii="Arial" w:eastAsia="Times New Roman" w:hAnsi="Arial" w:cs="Arial"/>
          <w:sz w:val="21"/>
          <w:szCs w:val="21"/>
          <w:lang w:eastAsia="es-ES"/>
        </w:rPr>
      </w:pPr>
    </w:p>
    <w:p w14:paraId="32AEF79B" w14:textId="32A05D94" w:rsidR="00563DE9" w:rsidRDefault="00BD562D" w:rsidP="00B33D8C">
      <w:pPr>
        <w:spacing w:after="240" w:line="276" w:lineRule="auto"/>
        <w:jc w:val="both"/>
        <w:rPr>
          <w:rFonts w:ascii="Arial" w:eastAsia="Times New Roman" w:hAnsi="Arial" w:cs="Arial"/>
          <w:sz w:val="21"/>
          <w:szCs w:val="21"/>
          <w:lang w:eastAsia="es-ES"/>
        </w:rPr>
      </w:pPr>
      <w:r>
        <w:rPr>
          <w:noProof/>
        </w:rPr>
        <mc:AlternateContent>
          <mc:Choice Requires="wps">
            <w:drawing>
              <wp:anchor distT="0" distB="0" distL="114300" distR="114300" simplePos="0" relativeHeight="252016640" behindDoc="0" locked="0" layoutInCell="1" allowOverlap="1" wp14:anchorId="7DDA2DAD" wp14:editId="39A51249">
                <wp:simplePos x="0" y="0"/>
                <wp:positionH relativeFrom="margin">
                  <wp:align>right</wp:align>
                </wp:positionH>
                <wp:positionV relativeFrom="paragraph">
                  <wp:posOffset>200660</wp:posOffset>
                </wp:positionV>
                <wp:extent cx="2174240" cy="643255"/>
                <wp:effectExtent l="0" t="0" r="0" b="4445"/>
                <wp:wrapSquare wrapText="bothSides"/>
                <wp:docPr id="115" name="Cuadro de texto 115"/>
                <wp:cNvGraphicFramePr/>
                <a:graphic xmlns:a="http://schemas.openxmlformats.org/drawingml/2006/main">
                  <a:graphicData uri="http://schemas.microsoft.com/office/word/2010/wordprocessingShape">
                    <wps:wsp>
                      <wps:cNvSpPr txBox="1"/>
                      <wps:spPr>
                        <a:xfrm>
                          <a:off x="0" y="0"/>
                          <a:ext cx="2174240" cy="643255"/>
                        </a:xfrm>
                        <a:prstGeom prst="rect">
                          <a:avLst/>
                        </a:prstGeom>
                        <a:solidFill>
                          <a:prstClr val="white"/>
                        </a:solidFill>
                        <a:ln>
                          <a:noFill/>
                        </a:ln>
                      </wps:spPr>
                      <wps:txbx>
                        <w:txbxContent>
                          <w:p w14:paraId="19E06673" w14:textId="0E842F81" w:rsidR="00563DE9" w:rsidRPr="00563DE9" w:rsidRDefault="00563DE9" w:rsidP="00FD39A5">
                            <w:pPr>
                              <w:pStyle w:val="Descripcin"/>
                              <w:jc w:val="both"/>
                              <w:rPr>
                                <w:rFonts w:ascii="Arial" w:hAnsi="Arial" w:cs="Arial"/>
                                <w:smallCaps w:val="0"/>
                                <w:noProof/>
                                <w:sz w:val="18"/>
                                <w:szCs w:val="18"/>
                              </w:rPr>
                            </w:pPr>
                            <w:bookmarkStart w:id="442" w:name="_Toc99099136"/>
                            <w:r w:rsidRPr="00563DE9">
                              <w:rPr>
                                <w:rFonts w:ascii="Arial" w:hAnsi="Arial" w:cs="Arial"/>
                                <w:smallCaps w:val="0"/>
                                <w:color w:val="9D2235" w:themeColor="accent1"/>
                                <w:sz w:val="18"/>
                                <w:szCs w:val="18"/>
                              </w:rPr>
                              <w:t xml:space="preserve">Imagen </w:t>
                            </w:r>
                            <w:r w:rsidRPr="00563DE9">
                              <w:rPr>
                                <w:rFonts w:ascii="Arial" w:hAnsi="Arial" w:cs="Arial"/>
                                <w:smallCaps w:val="0"/>
                                <w:color w:val="9D2235" w:themeColor="accent1"/>
                                <w:sz w:val="18"/>
                                <w:szCs w:val="18"/>
                              </w:rPr>
                              <w:fldChar w:fldCharType="begin"/>
                            </w:r>
                            <w:r w:rsidRPr="00563DE9">
                              <w:rPr>
                                <w:rFonts w:ascii="Arial" w:hAnsi="Arial" w:cs="Arial"/>
                                <w:smallCaps w:val="0"/>
                                <w:color w:val="9D2235" w:themeColor="accent1"/>
                                <w:sz w:val="18"/>
                                <w:szCs w:val="18"/>
                              </w:rPr>
                              <w:instrText xml:space="preserve"> SEQ Imagen \* ARABIC </w:instrText>
                            </w:r>
                            <w:r w:rsidRPr="00563DE9">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12</w:t>
                            </w:r>
                            <w:r w:rsidRPr="00563DE9">
                              <w:rPr>
                                <w:rFonts w:ascii="Arial" w:hAnsi="Arial" w:cs="Arial"/>
                                <w:smallCaps w:val="0"/>
                                <w:color w:val="9D2235" w:themeColor="accent1"/>
                                <w:sz w:val="18"/>
                                <w:szCs w:val="18"/>
                              </w:rPr>
                              <w:fldChar w:fldCharType="end"/>
                            </w:r>
                            <w:r w:rsidRPr="00563DE9">
                              <w:rPr>
                                <w:rFonts w:ascii="Arial" w:hAnsi="Arial" w:cs="Arial"/>
                                <w:smallCaps w:val="0"/>
                                <w:color w:val="9D2235" w:themeColor="accent1"/>
                                <w:sz w:val="18"/>
                                <w:szCs w:val="18"/>
                              </w:rPr>
                              <w:t xml:space="preserve">. </w:t>
                            </w:r>
                            <w:r w:rsidRPr="00563DE9">
                              <w:rPr>
                                <w:rFonts w:ascii="Arial" w:hAnsi="Arial" w:cs="Arial"/>
                                <w:smallCaps w:val="0"/>
                                <w:sz w:val="18"/>
                                <w:szCs w:val="18"/>
                              </w:rPr>
                              <w:t>Recomendación general. Planificación: herramienta clave para prevenir los riesgos de la corrupción en las organizaciones</w:t>
                            </w:r>
                            <w:bookmarkEnd w:id="4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A2DAD" id="Cuadro de texto 115" o:spid="_x0000_s1044" type="#_x0000_t202" style="position:absolute;left:0;text-align:left;margin-left:120pt;margin-top:15.8pt;width:171.2pt;height:50.65pt;z-index:252016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" stroked="f">
                <v:textbox inset="0,0,0,0">
                  <w:txbxContent>
                    <w:p w14:paraId="19E06673" w14:textId="0E842F81" w:rsidR="00563DE9" w:rsidRPr="00563DE9" w:rsidRDefault="00563DE9" w:rsidP="00FD39A5">
                      <w:pPr>
                        <w:pStyle w:val="Descripcin"/>
                        <w:jc w:val="both"/>
                        <w:rPr>
                          <w:rFonts w:ascii="Arial" w:hAnsi="Arial" w:cs="Arial"/>
                          <w:smallCaps w:val="0"/>
                          <w:noProof/>
                          <w:sz w:val="18"/>
                          <w:szCs w:val="18"/>
                        </w:rPr>
                      </w:pPr>
                      <w:bookmarkStart w:id="458" w:name="_Toc99099136"/>
                      <w:r w:rsidRPr="00563DE9">
                        <w:rPr>
                          <w:rFonts w:ascii="Arial" w:hAnsi="Arial" w:cs="Arial"/>
                          <w:smallCaps w:val="0"/>
                          <w:color w:val="9D2235" w:themeColor="accent1"/>
                          <w:sz w:val="18"/>
                          <w:szCs w:val="18"/>
                        </w:rPr>
                        <w:t xml:space="preserve">Imagen </w:t>
                      </w:r>
                      <w:r w:rsidRPr="00563DE9">
                        <w:rPr>
                          <w:rFonts w:ascii="Arial" w:hAnsi="Arial" w:cs="Arial"/>
                          <w:smallCaps w:val="0"/>
                          <w:color w:val="9D2235" w:themeColor="accent1"/>
                          <w:sz w:val="18"/>
                          <w:szCs w:val="18"/>
                        </w:rPr>
                        <w:fldChar w:fldCharType="begin"/>
                      </w:r>
                      <w:r w:rsidRPr="00563DE9">
                        <w:rPr>
                          <w:rFonts w:ascii="Arial" w:hAnsi="Arial" w:cs="Arial"/>
                          <w:smallCaps w:val="0"/>
                          <w:color w:val="9D2235" w:themeColor="accent1"/>
                          <w:sz w:val="18"/>
                          <w:szCs w:val="18"/>
                        </w:rPr>
                        <w:instrText xml:space="preserve"> SEQ Imagen \* ARABIC </w:instrText>
                      </w:r>
                      <w:r w:rsidRPr="00563DE9">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12</w:t>
                      </w:r>
                      <w:r w:rsidRPr="00563DE9">
                        <w:rPr>
                          <w:rFonts w:ascii="Arial" w:hAnsi="Arial" w:cs="Arial"/>
                          <w:smallCaps w:val="0"/>
                          <w:color w:val="9D2235" w:themeColor="accent1"/>
                          <w:sz w:val="18"/>
                          <w:szCs w:val="18"/>
                        </w:rPr>
                        <w:fldChar w:fldCharType="end"/>
                      </w:r>
                      <w:r w:rsidRPr="00563DE9">
                        <w:rPr>
                          <w:rFonts w:ascii="Arial" w:hAnsi="Arial" w:cs="Arial"/>
                          <w:smallCaps w:val="0"/>
                          <w:color w:val="9D2235" w:themeColor="accent1"/>
                          <w:sz w:val="18"/>
                          <w:szCs w:val="18"/>
                        </w:rPr>
                        <w:t xml:space="preserve">. </w:t>
                      </w:r>
                      <w:r w:rsidRPr="00563DE9">
                        <w:rPr>
                          <w:rFonts w:ascii="Arial" w:hAnsi="Arial" w:cs="Arial"/>
                          <w:smallCaps w:val="0"/>
                          <w:sz w:val="18"/>
                          <w:szCs w:val="18"/>
                        </w:rPr>
                        <w:t>Recomendación general. Planificación: herramienta clave para prevenir los riesgos de la corrupción en las organizaciones</w:t>
                      </w:r>
                      <w:bookmarkEnd w:id="458"/>
                    </w:p>
                  </w:txbxContent>
                </v:textbox>
                <w10:wrap type="square" anchorx="margin"/>
              </v:shape>
            </w:pict>
          </mc:Fallback>
        </mc:AlternateContent>
      </w:r>
    </w:p>
    <w:p w14:paraId="1B61CEF5" w14:textId="0E0360D9" w:rsidR="00BD562D" w:rsidRDefault="00BD562D" w:rsidP="00B33D8C">
      <w:pPr>
        <w:spacing w:after="240" w:line="276" w:lineRule="auto"/>
        <w:jc w:val="both"/>
        <w:rPr>
          <w:rFonts w:ascii="Arial" w:eastAsia="Times New Roman" w:hAnsi="Arial" w:cs="Arial"/>
          <w:sz w:val="21"/>
          <w:szCs w:val="21"/>
          <w:lang w:eastAsia="es-ES"/>
        </w:rPr>
      </w:pPr>
    </w:p>
    <w:p w14:paraId="2F8DC9D6" w14:textId="28FE5A1D" w:rsidR="00BD562D" w:rsidRDefault="00BD562D" w:rsidP="00B33D8C">
      <w:pPr>
        <w:spacing w:after="240" w:line="276" w:lineRule="auto"/>
        <w:jc w:val="both"/>
        <w:rPr>
          <w:rFonts w:ascii="Arial" w:eastAsia="Times New Roman" w:hAnsi="Arial" w:cs="Arial"/>
          <w:sz w:val="21"/>
          <w:szCs w:val="21"/>
          <w:lang w:eastAsia="es-ES"/>
        </w:rPr>
      </w:pPr>
    </w:p>
    <w:p w14:paraId="41242BC6" w14:textId="4FAC409D" w:rsidR="00A422A8" w:rsidRDefault="00FD39A5" w:rsidP="00B33D8C">
      <w:pPr>
        <w:spacing w:after="240" w:line="276" w:lineRule="auto"/>
        <w:jc w:val="both"/>
        <w:rPr>
          <w:rFonts w:ascii="Arial" w:eastAsia="Times New Roman" w:hAnsi="Arial" w:cs="Arial"/>
          <w:sz w:val="21"/>
          <w:szCs w:val="21"/>
          <w:lang w:eastAsia="es-ES"/>
        </w:rPr>
      </w:pPr>
      <w:r>
        <w:rPr>
          <w:noProof/>
        </w:rPr>
        <mc:AlternateContent>
          <mc:Choice Requires="wps">
            <w:drawing>
              <wp:anchor distT="0" distB="0" distL="114300" distR="114300" simplePos="0" relativeHeight="252019712" behindDoc="0" locked="0" layoutInCell="1" allowOverlap="1" wp14:anchorId="4C15A145" wp14:editId="74AC2BB4">
                <wp:simplePos x="0" y="0"/>
                <wp:positionH relativeFrom="margin">
                  <wp:posOffset>183515</wp:posOffset>
                </wp:positionH>
                <wp:positionV relativeFrom="paragraph">
                  <wp:posOffset>2139950</wp:posOffset>
                </wp:positionV>
                <wp:extent cx="1407160" cy="556260"/>
                <wp:effectExtent l="0" t="0" r="2540" b="0"/>
                <wp:wrapSquare wrapText="bothSides"/>
                <wp:docPr id="201" name="Cuadro de texto 201"/>
                <wp:cNvGraphicFramePr/>
                <a:graphic xmlns:a="http://schemas.openxmlformats.org/drawingml/2006/main">
                  <a:graphicData uri="http://schemas.microsoft.com/office/word/2010/wordprocessingShape">
                    <wps:wsp>
                      <wps:cNvSpPr txBox="1"/>
                      <wps:spPr>
                        <a:xfrm>
                          <a:off x="0" y="0"/>
                          <a:ext cx="1407160" cy="556260"/>
                        </a:xfrm>
                        <a:prstGeom prst="rect">
                          <a:avLst/>
                        </a:prstGeom>
                        <a:solidFill>
                          <a:prstClr val="white"/>
                        </a:solidFill>
                        <a:ln>
                          <a:noFill/>
                        </a:ln>
                      </wps:spPr>
                      <wps:txbx>
                        <w:txbxContent>
                          <w:p w14:paraId="7C28565A" w14:textId="20F3DFD0" w:rsidR="00563DE9" w:rsidRPr="00563DE9" w:rsidRDefault="00563DE9" w:rsidP="00FD39A5">
                            <w:pPr>
                              <w:pStyle w:val="Descripcin"/>
                              <w:rPr>
                                <w:rFonts w:ascii="Arial" w:hAnsi="Arial" w:cs="Arial"/>
                                <w:smallCaps w:val="0"/>
                                <w:noProof/>
                                <w:sz w:val="18"/>
                                <w:szCs w:val="18"/>
                              </w:rPr>
                            </w:pPr>
                            <w:bookmarkStart w:id="443" w:name="_Toc99099137"/>
                            <w:r w:rsidRPr="00563DE9">
                              <w:rPr>
                                <w:rFonts w:ascii="Arial" w:hAnsi="Arial" w:cs="Arial"/>
                                <w:smallCaps w:val="0"/>
                                <w:color w:val="9D2235" w:themeColor="accent1"/>
                                <w:sz w:val="18"/>
                                <w:szCs w:val="18"/>
                              </w:rPr>
                              <w:t xml:space="preserve">Imagen </w:t>
                            </w:r>
                            <w:r w:rsidRPr="00563DE9">
                              <w:rPr>
                                <w:rFonts w:ascii="Arial" w:hAnsi="Arial" w:cs="Arial"/>
                                <w:smallCaps w:val="0"/>
                                <w:color w:val="9D2235" w:themeColor="accent1"/>
                                <w:sz w:val="18"/>
                                <w:szCs w:val="18"/>
                              </w:rPr>
                              <w:fldChar w:fldCharType="begin"/>
                            </w:r>
                            <w:r w:rsidRPr="00563DE9">
                              <w:rPr>
                                <w:rFonts w:ascii="Arial" w:hAnsi="Arial" w:cs="Arial"/>
                                <w:smallCaps w:val="0"/>
                                <w:color w:val="9D2235" w:themeColor="accent1"/>
                                <w:sz w:val="18"/>
                                <w:szCs w:val="18"/>
                              </w:rPr>
                              <w:instrText xml:space="preserve"> SEQ Imagen \* ARABIC </w:instrText>
                            </w:r>
                            <w:r w:rsidRPr="00563DE9">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13</w:t>
                            </w:r>
                            <w:r w:rsidRPr="00563DE9">
                              <w:rPr>
                                <w:rFonts w:ascii="Arial" w:hAnsi="Arial" w:cs="Arial"/>
                                <w:smallCaps w:val="0"/>
                                <w:color w:val="9D2235" w:themeColor="accent1"/>
                                <w:sz w:val="18"/>
                                <w:szCs w:val="18"/>
                              </w:rPr>
                              <w:fldChar w:fldCharType="end"/>
                            </w:r>
                            <w:r w:rsidRPr="00563DE9">
                              <w:rPr>
                                <w:rFonts w:ascii="Arial" w:hAnsi="Arial" w:cs="Arial"/>
                                <w:smallCaps w:val="0"/>
                                <w:color w:val="9D2235" w:themeColor="accent1"/>
                                <w:sz w:val="18"/>
                                <w:szCs w:val="18"/>
                              </w:rPr>
                              <w:t xml:space="preserve">. </w:t>
                            </w:r>
                            <w:r w:rsidRPr="00563DE9">
                              <w:rPr>
                                <w:rFonts w:ascii="Arial" w:hAnsi="Arial" w:cs="Arial"/>
                                <w:smallCaps w:val="0"/>
                                <w:sz w:val="18"/>
                                <w:szCs w:val="18"/>
                              </w:rPr>
                              <w:t>Recomendación general. Enriquecimiento injusto</w:t>
                            </w:r>
                            <w:bookmarkEnd w:id="4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5A145" id="Cuadro de texto 201" o:spid="_x0000_s1045" type="#_x0000_t202" style="position:absolute;left:0;text-align:left;margin-left:14.45pt;margin-top:168.5pt;width:110.8pt;height:43.8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" stroked="f">
                <v:textbox inset="0,0,0,0">
                  <w:txbxContent>
                    <w:p w14:paraId="7C28565A" w14:textId="20F3DFD0" w:rsidR="00563DE9" w:rsidRPr="00563DE9" w:rsidRDefault="00563DE9" w:rsidP="00FD39A5">
                      <w:pPr>
                        <w:pStyle w:val="Descripcin"/>
                        <w:rPr>
                          <w:rFonts w:ascii="Arial" w:hAnsi="Arial" w:cs="Arial"/>
                          <w:smallCaps w:val="0"/>
                          <w:noProof/>
                          <w:sz w:val="18"/>
                          <w:szCs w:val="18"/>
                        </w:rPr>
                      </w:pPr>
                      <w:bookmarkStart w:id="460" w:name="_Toc99099137"/>
                      <w:r w:rsidRPr="00563DE9">
                        <w:rPr>
                          <w:rFonts w:ascii="Arial" w:hAnsi="Arial" w:cs="Arial"/>
                          <w:smallCaps w:val="0"/>
                          <w:color w:val="9D2235" w:themeColor="accent1"/>
                          <w:sz w:val="18"/>
                          <w:szCs w:val="18"/>
                        </w:rPr>
                        <w:t xml:space="preserve">Imagen </w:t>
                      </w:r>
                      <w:r w:rsidRPr="00563DE9">
                        <w:rPr>
                          <w:rFonts w:ascii="Arial" w:hAnsi="Arial" w:cs="Arial"/>
                          <w:smallCaps w:val="0"/>
                          <w:color w:val="9D2235" w:themeColor="accent1"/>
                          <w:sz w:val="18"/>
                          <w:szCs w:val="18"/>
                        </w:rPr>
                        <w:fldChar w:fldCharType="begin"/>
                      </w:r>
                      <w:r w:rsidRPr="00563DE9">
                        <w:rPr>
                          <w:rFonts w:ascii="Arial" w:hAnsi="Arial" w:cs="Arial"/>
                          <w:smallCaps w:val="0"/>
                          <w:color w:val="9D2235" w:themeColor="accent1"/>
                          <w:sz w:val="18"/>
                          <w:szCs w:val="18"/>
                        </w:rPr>
                        <w:instrText xml:space="preserve"> SEQ Imagen \* ARABIC </w:instrText>
                      </w:r>
                      <w:r w:rsidRPr="00563DE9">
                        <w:rPr>
                          <w:rFonts w:ascii="Arial" w:hAnsi="Arial" w:cs="Arial"/>
                          <w:smallCaps w:val="0"/>
                          <w:color w:val="9D2235" w:themeColor="accent1"/>
                          <w:sz w:val="18"/>
                          <w:szCs w:val="18"/>
                        </w:rPr>
                        <w:fldChar w:fldCharType="separate"/>
                      </w:r>
                      <w:r w:rsidR="00D35A13">
                        <w:rPr>
                          <w:rFonts w:ascii="Arial" w:hAnsi="Arial" w:cs="Arial"/>
                          <w:smallCaps w:val="0"/>
                          <w:noProof/>
                          <w:color w:val="9D2235" w:themeColor="accent1"/>
                          <w:sz w:val="18"/>
                          <w:szCs w:val="18"/>
                        </w:rPr>
                        <w:t>13</w:t>
                      </w:r>
                      <w:r w:rsidRPr="00563DE9">
                        <w:rPr>
                          <w:rFonts w:ascii="Arial" w:hAnsi="Arial" w:cs="Arial"/>
                          <w:smallCaps w:val="0"/>
                          <w:color w:val="9D2235" w:themeColor="accent1"/>
                          <w:sz w:val="18"/>
                          <w:szCs w:val="18"/>
                        </w:rPr>
                        <w:fldChar w:fldCharType="end"/>
                      </w:r>
                      <w:r w:rsidRPr="00563DE9">
                        <w:rPr>
                          <w:rFonts w:ascii="Arial" w:hAnsi="Arial" w:cs="Arial"/>
                          <w:smallCaps w:val="0"/>
                          <w:color w:val="9D2235" w:themeColor="accent1"/>
                          <w:sz w:val="18"/>
                          <w:szCs w:val="18"/>
                        </w:rPr>
                        <w:t xml:space="preserve">. </w:t>
                      </w:r>
                      <w:r w:rsidRPr="00563DE9">
                        <w:rPr>
                          <w:rFonts w:ascii="Arial" w:hAnsi="Arial" w:cs="Arial"/>
                          <w:smallCaps w:val="0"/>
                          <w:sz w:val="18"/>
                          <w:szCs w:val="18"/>
                        </w:rPr>
                        <w:t>Recomendación general. Enriquecimiento injusto</w:t>
                      </w:r>
                      <w:bookmarkEnd w:id="460"/>
                    </w:p>
                  </w:txbxContent>
                </v:textbox>
                <w10:wrap type="square" anchorx="margin"/>
              </v:shape>
            </w:pict>
          </mc:Fallback>
        </mc:AlternateContent>
      </w:r>
      <w:r w:rsidRPr="00AB543F">
        <w:rPr>
          <w:rFonts w:ascii="Arial" w:hAnsi="Arial" w:cs="Arial"/>
          <w:noProof/>
          <w:sz w:val="21"/>
          <w:szCs w:val="21"/>
        </w:rPr>
        <w:drawing>
          <wp:anchor distT="0" distB="0" distL="114300" distR="114300" simplePos="0" relativeHeight="252017664" behindDoc="0" locked="0" layoutInCell="1" allowOverlap="1" wp14:anchorId="2BC2FB7E" wp14:editId="40D3D9A9">
            <wp:simplePos x="0" y="0"/>
            <wp:positionH relativeFrom="margin">
              <wp:align>left</wp:align>
            </wp:positionH>
            <wp:positionV relativeFrom="paragraph">
              <wp:posOffset>9525</wp:posOffset>
            </wp:positionV>
            <wp:extent cx="1717040" cy="2122805"/>
            <wp:effectExtent l="0" t="0" r="0" b="0"/>
            <wp:wrapSquare wrapText="bothSides"/>
            <wp:docPr id="117" name="Imagen 4" descr="Texto&#10;&#10;Descripción generada automáticamente con confianza baja">
              <a:extLst xmlns:a="http://schemas.openxmlformats.org/drawingml/2006/main">
                <a:ext uri="{FF2B5EF4-FFF2-40B4-BE49-F238E27FC236}">
                  <a16:creationId xmlns:a16="http://schemas.microsoft.com/office/drawing/2014/main" id="{17EFD4CD-29E0-4A26-ABDE-E8F719E9C6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Texto&#10;&#10;Descripción generada automáticamente con confianza baja">
                      <a:extLst>
                        <a:ext uri="{FF2B5EF4-FFF2-40B4-BE49-F238E27FC236}">
                          <a16:creationId xmlns:a16="http://schemas.microsoft.com/office/drawing/2014/main" id="{17EFD4CD-29E0-4A26-ABDE-E8F719E9C6E7}"/>
                        </a:ext>
                      </a:extLst>
                    </pic:cNvPr>
                    <pic:cNvPicPr>
                      <a:picLocks noChangeAspect="1"/>
                    </pic:cNvPicPr>
                  </pic:nvPicPr>
                  <pic:blipFill>
                    <a:blip r:embed="rId500" cstate="print">
                      <a:extLst>
                        <a:ext uri="{28A0092B-C50C-407E-A947-70E740481C1C}">
                          <a14:useLocalDpi xmlns:a14="http://schemas.microsoft.com/office/drawing/2010/main" val="0"/>
                        </a:ext>
                      </a:extLst>
                    </a:blip>
                    <a:stretch>
                      <a:fillRect/>
                    </a:stretch>
                  </pic:blipFill>
                  <pic:spPr>
                    <a:xfrm>
                      <a:off x="0" y="0"/>
                      <a:ext cx="1717040" cy="2122805"/>
                    </a:xfrm>
                    <a:prstGeom prst="rect">
                      <a:avLst/>
                    </a:prstGeom>
                  </pic:spPr>
                </pic:pic>
              </a:graphicData>
            </a:graphic>
            <wp14:sizeRelH relativeFrom="margin">
              <wp14:pctWidth>0</wp14:pctWidth>
            </wp14:sizeRelH>
            <wp14:sizeRelV relativeFrom="margin">
              <wp14:pctHeight>0</wp14:pctHeight>
            </wp14:sizeRelV>
          </wp:anchor>
        </w:drawing>
      </w:r>
      <w:r w:rsidR="00563DE9" w:rsidRPr="00563DE9">
        <w:rPr>
          <w:rFonts w:ascii="Arial" w:eastAsia="Times New Roman" w:hAnsi="Arial" w:cs="Arial"/>
          <w:sz w:val="21"/>
          <w:szCs w:val="21"/>
          <w:lang w:eastAsia="es-ES"/>
        </w:rPr>
        <w:t xml:space="preserve">Por último, en relación con la Recomendación general sobre el abuso del enriquecimiento injusto, desde Prevención se moderó el pasado 24 de marzo de 2021 el webinar </w:t>
      </w:r>
      <w:r w:rsidR="00563DE9" w:rsidRPr="004A2723">
        <w:rPr>
          <w:rFonts w:ascii="Arial" w:eastAsia="Times New Roman" w:hAnsi="Arial" w:cs="Arial"/>
          <w:sz w:val="21"/>
          <w:szCs w:val="21"/>
          <w:lang w:eastAsia="es-ES"/>
        </w:rPr>
        <w:t>“Enriquecimiento injusto: ¿uso o abuso?”</w:t>
      </w:r>
      <w:r w:rsidR="00563DE9" w:rsidRPr="00563DE9">
        <w:rPr>
          <w:rFonts w:ascii="Arial" w:eastAsia="Times New Roman" w:hAnsi="Arial" w:cs="Arial"/>
          <w:i/>
          <w:iCs/>
          <w:sz w:val="21"/>
          <w:szCs w:val="21"/>
          <w:lang w:eastAsia="es-ES"/>
        </w:rPr>
        <w:t>,</w:t>
      </w:r>
      <w:r w:rsidR="00563DE9" w:rsidRPr="00563DE9">
        <w:rPr>
          <w:rFonts w:ascii="Arial" w:eastAsia="Times New Roman" w:hAnsi="Arial" w:cs="Arial"/>
          <w:sz w:val="21"/>
          <w:szCs w:val="21"/>
          <w:lang w:eastAsia="es-ES"/>
        </w:rPr>
        <w:t xml:space="preserve"> organizado conjuntamente por la AVAF y COSITAL VALENCIA</w:t>
      </w:r>
      <w:r w:rsidR="00822761">
        <w:rPr>
          <w:rFonts w:ascii="Arial" w:eastAsia="Times New Roman" w:hAnsi="Arial" w:cs="Arial"/>
          <w:sz w:val="21"/>
          <w:szCs w:val="21"/>
          <w:lang w:eastAsia="es-ES"/>
        </w:rPr>
        <w:t>,</w:t>
      </w:r>
      <w:r w:rsidR="00563DE9" w:rsidRPr="00563DE9">
        <w:rPr>
          <w:rFonts w:ascii="Arial" w:eastAsia="Times New Roman" w:hAnsi="Arial" w:cs="Arial"/>
          <w:sz w:val="21"/>
          <w:szCs w:val="21"/>
          <w:lang w:eastAsia="es-ES"/>
        </w:rPr>
        <w:t xml:space="preserve"> en el que se produjo un interesante debate sobre el abuso de la figura y las posibles medidas a adoptar para reconducir su uso a su naturaleza excepcional, en el que participaron como ponentes invitados miembros del Tribunal de Cuentas, de la Sindicatura de Comptes, del Consell Jurídic Consultiu de la Comunitat Valenciana o de la Intervención delegada de la Comunidad Autónoma de Baleares o la Intervención del Ayuntamiento de Gandía.</w:t>
      </w:r>
    </w:p>
    <w:p w14:paraId="1E37A5F9" w14:textId="77777777" w:rsidR="006E503C" w:rsidRDefault="006E503C" w:rsidP="00B33D8C">
      <w:pPr>
        <w:spacing w:after="240" w:line="276" w:lineRule="auto"/>
        <w:jc w:val="both"/>
        <w:rPr>
          <w:rFonts w:ascii="Arial" w:eastAsia="Times New Roman" w:hAnsi="Arial" w:cs="Arial"/>
          <w:sz w:val="21"/>
          <w:szCs w:val="21"/>
          <w:lang w:eastAsia="es-ES"/>
        </w:rPr>
      </w:pPr>
    </w:p>
    <w:p w14:paraId="21E89D29" w14:textId="4D76108E" w:rsidR="00914492" w:rsidRPr="00914492" w:rsidRDefault="00914492" w:rsidP="00AC1A12">
      <w:pPr>
        <w:pStyle w:val="Prrafodelista"/>
        <w:numPr>
          <w:ilvl w:val="1"/>
          <w:numId w:val="17"/>
        </w:numPr>
        <w:spacing w:before="360" w:after="240" w:line="276" w:lineRule="auto"/>
        <w:ind w:left="851" w:hanging="851"/>
        <w:jc w:val="both"/>
        <w:outlineLvl w:val="1"/>
        <w:rPr>
          <w:rFonts w:ascii="Arial" w:eastAsia="Times New Roman" w:hAnsi="Arial" w:cs="Arial"/>
          <w:b/>
          <w:color w:val="9D2235" w:themeColor="accent1"/>
          <w:sz w:val="32"/>
          <w:szCs w:val="32"/>
        </w:rPr>
      </w:pPr>
      <w:bookmarkStart w:id="444" w:name="_Toc99107106"/>
      <w:r w:rsidRPr="00914492">
        <w:rPr>
          <w:rFonts w:ascii="Arial" w:eastAsia="Times New Roman" w:hAnsi="Arial" w:cs="Arial"/>
          <w:b/>
          <w:color w:val="9D2235" w:themeColor="accent1"/>
          <w:sz w:val="32"/>
          <w:szCs w:val="32"/>
        </w:rPr>
        <w:t>Formación</w:t>
      </w:r>
      <w:bookmarkEnd w:id="444"/>
    </w:p>
    <w:p w14:paraId="73E1E749" w14:textId="77777777" w:rsidR="00914492" w:rsidRPr="00914492" w:rsidRDefault="00914492"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45" w:name="_Toc99107107"/>
      <w:r w:rsidRPr="00914492">
        <w:rPr>
          <w:rFonts w:ascii="Arial" w:eastAsia="Times New Roman" w:hAnsi="Arial" w:cs="Arial"/>
          <w:b/>
          <w:bCs/>
          <w:color w:val="9D2235" w:themeColor="accent1"/>
          <w:sz w:val="28"/>
          <w:szCs w:val="28"/>
          <w:lang w:eastAsia="es-ES"/>
        </w:rPr>
        <w:t>Funciones del Servicio de Formación</w:t>
      </w:r>
      <w:bookmarkEnd w:id="445"/>
    </w:p>
    <w:p w14:paraId="02247C2F" w14:textId="77777777" w:rsidR="00C82C72" w:rsidRPr="00C82C72" w:rsidRDefault="00C82C72" w:rsidP="00E9031B">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El Servicio de Formación desarrolla las acciones necesarias para cumplir con las funciones de la Agencia relativas a:</w:t>
      </w:r>
    </w:p>
    <w:p w14:paraId="4CBCD03E" w14:textId="77777777" w:rsidR="00C82C72" w:rsidRPr="00C82C72" w:rsidRDefault="00C82C72" w:rsidP="00E9031B">
      <w:pPr>
        <w:numPr>
          <w:ilvl w:val="0"/>
          <w:numId w:val="144"/>
        </w:numPr>
        <w:spacing w:after="120" w:line="276" w:lineRule="auto"/>
        <w:ind w:left="714" w:hanging="357"/>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La formación de las personas servidoras públicas de todas las administraciones valencianas en materia de integridad y ética públicas.</w:t>
      </w:r>
    </w:p>
    <w:p w14:paraId="028DCB12" w14:textId="77777777" w:rsidR="00C82C72" w:rsidRPr="00C82C72" w:rsidRDefault="00C82C72" w:rsidP="00E9031B">
      <w:pPr>
        <w:numPr>
          <w:ilvl w:val="0"/>
          <w:numId w:val="144"/>
        </w:numPr>
        <w:spacing w:after="12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La realización de programas de sensibilización de la ciudadanía, con especial atención al alumnado de las universidades valencianas, la infancia y adolescencia, y la sociedad civil organizada y personas activas en universidades populares o grupos similares.</w:t>
      </w:r>
    </w:p>
    <w:p w14:paraId="14B43547" w14:textId="77777777" w:rsidR="00C82C72" w:rsidRPr="00C82C72" w:rsidRDefault="00C82C72" w:rsidP="00E501D4">
      <w:pPr>
        <w:numPr>
          <w:ilvl w:val="0"/>
          <w:numId w:val="144"/>
        </w:num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Apoyo a las iniciativas que favorezcan la capacitación técnica y la formación continuada del personal de la Agencia.</w:t>
      </w:r>
    </w:p>
    <w:p w14:paraId="606CA010" w14:textId="77777777" w:rsidR="00C82C72" w:rsidRPr="00C82C72" w:rsidRDefault="00C82C72" w:rsidP="00C82C72">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 xml:space="preserve">La Agencia ha de contribuir a crear una cultura social de rechazo de la corrupción. La conformación de una ética pública es uno de los componentes fundamentales de cualquier estrategia para prevenir la corrupción y mejorar la integridad pública. </w:t>
      </w:r>
    </w:p>
    <w:p w14:paraId="42456A4B" w14:textId="5AFBFB5F" w:rsidR="00C82C72" w:rsidRPr="00C82C72" w:rsidRDefault="00C82C72" w:rsidP="00C82C72">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 xml:space="preserve">De acuerdo con el Reglamento de Funcionamiento y Régimen Interior de la Agencia en su artículo 28, el </w:t>
      </w:r>
      <w:r w:rsidR="004A2723">
        <w:rPr>
          <w:rFonts w:ascii="Arial" w:eastAsia="Times New Roman" w:hAnsi="Arial" w:cs="Arial"/>
          <w:sz w:val="21"/>
          <w:szCs w:val="21"/>
          <w:lang w:eastAsia="es-ES"/>
        </w:rPr>
        <w:t>S</w:t>
      </w:r>
      <w:r w:rsidRPr="00C82C72">
        <w:rPr>
          <w:rFonts w:ascii="Arial" w:eastAsia="Times New Roman" w:hAnsi="Arial" w:cs="Arial"/>
          <w:sz w:val="21"/>
          <w:szCs w:val="21"/>
          <w:lang w:eastAsia="es-ES"/>
        </w:rPr>
        <w:t>ervicio de Formación debe desarrollar programas, guías formativas y asesoramiento en materia de lucha contra el fraude y la corrupción, en colaboración con las instituciones competentes en la formación de servidores públicos, las universidades, las organizaciones y colegios profesionales, y cualquier otra entidad de educación superior o especializada.</w:t>
      </w:r>
    </w:p>
    <w:p w14:paraId="7C0B88F9" w14:textId="1324814F" w:rsidR="00C82C72" w:rsidRPr="00C82C72" w:rsidRDefault="00C82C72" w:rsidP="00C82C72">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 xml:space="preserve">Sobre la base de estas funciones se ha impulsado, durante 2021, la aprobación e inicio de la implementación del Plan </w:t>
      </w:r>
      <w:r w:rsidR="007561FA">
        <w:rPr>
          <w:rFonts w:ascii="Arial" w:eastAsia="Times New Roman" w:hAnsi="Arial" w:cs="Arial"/>
          <w:sz w:val="21"/>
          <w:szCs w:val="21"/>
          <w:lang w:eastAsia="es-ES"/>
        </w:rPr>
        <w:t xml:space="preserve">Estratégico </w:t>
      </w:r>
      <w:r w:rsidRPr="00C82C72">
        <w:rPr>
          <w:rFonts w:ascii="Arial" w:eastAsia="Times New Roman" w:hAnsi="Arial" w:cs="Arial"/>
          <w:sz w:val="21"/>
          <w:szCs w:val="21"/>
          <w:lang w:eastAsia="es-ES"/>
        </w:rPr>
        <w:t>de Formación de la AVAF 2021-2024, y, con ello, toda la acción formativa de la Agencia durante 2021.</w:t>
      </w:r>
    </w:p>
    <w:p w14:paraId="0A6DFF28" w14:textId="6192AE78" w:rsidR="007C27F4" w:rsidRDefault="00C82C72" w:rsidP="00C82C72">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Hay que señalar que, como en 2020, la situación de excepcionalidad y las medidas para hacer frente a la situación de crisis sanitaria producida por la pandemia del COVID-19 han obligado, puntualmente, a adaptar los formatos o limitar el número de personas asistentes en algunas de las actividades. En casos excepcionales, esto ha provocado, además, haber de realizar las acciones formativas en línea (</w:t>
      </w:r>
      <w:r w:rsidRPr="00C82C72">
        <w:rPr>
          <w:rFonts w:ascii="Arial" w:eastAsia="Times New Roman" w:hAnsi="Arial" w:cs="Arial"/>
          <w:i/>
          <w:iCs/>
          <w:sz w:val="21"/>
          <w:szCs w:val="21"/>
          <w:lang w:eastAsia="es-ES"/>
        </w:rPr>
        <w:t>online)</w:t>
      </w:r>
      <w:r w:rsidRPr="00C82C72">
        <w:rPr>
          <w:rFonts w:ascii="Arial" w:eastAsia="Times New Roman" w:hAnsi="Arial" w:cs="Arial"/>
          <w:sz w:val="21"/>
          <w:szCs w:val="21"/>
          <w:lang w:eastAsia="es-ES"/>
        </w:rPr>
        <w:t>.</w:t>
      </w:r>
    </w:p>
    <w:p w14:paraId="45BA5CB0" w14:textId="77777777" w:rsidR="00914492" w:rsidRPr="00914492" w:rsidRDefault="00914492"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46" w:name="_Toc99107108"/>
      <w:r w:rsidRPr="00914492">
        <w:rPr>
          <w:rFonts w:ascii="Arial" w:eastAsia="Times New Roman" w:hAnsi="Arial" w:cs="Arial"/>
          <w:b/>
          <w:bCs/>
          <w:color w:val="9D2235" w:themeColor="accent1"/>
          <w:sz w:val="28"/>
          <w:szCs w:val="28"/>
          <w:lang w:eastAsia="es-ES"/>
        </w:rPr>
        <w:t>Plan Estratégico de Formación 2021-2024</w:t>
      </w:r>
      <w:bookmarkEnd w:id="446"/>
    </w:p>
    <w:p w14:paraId="79625F95" w14:textId="142C0393" w:rsidR="00C82C72" w:rsidRPr="00C82C72" w:rsidRDefault="00C82C72" w:rsidP="00C82C72">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El Plan Estratégico de Formación 2021-2024 de la AVAF se ha elaborado por el equipo de Formación de la Agencia a lo largo de 2021 y ha sido aprobado por Resolución del director núm</w:t>
      </w:r>
      <w:r w:rsidR="004F44E3">
        <w:rPr>
          <w:rFonts w:ascii="Arial" w:eastAsia="Times New Roman" w:hAnsi="Arial" w:cs="Arial"/>
          <w:sz w:val="21"/>
          <w:szCs w:val="21"/>
          <w:lang w:eastAsia="es-ES"/>
        </w:rPr>
        <w:t>.</w:t>
      </w:r>
      <w:r w:rsidRPr="00C82C72">
        <w:rPr>
          <w:rFonts w:ascii="Arial" w:eastAsia="Times New Roman" w:hAnsi="Arial" w:cs="Arial"/>
          <w:sz w:val="21"/>
          <w:szCs w:val="21"/>
          <w:lang w:eastAsia="es-ES"/>
        </w:rPr>
        <w:t xml:space="preserve"> 676, de 29 de septiembre de 2021, después de haberse dado a conocer al personal al servicio de la Agencia y a los órganos directivos. Con posterioridad a su aprobación, fue explicado y debatido en el Consejo de Participación de la AVAF.</w:t>
      </w:r>
    </w:p>
    <w:p w14:paraId="4DF9D41C" w14:textId="77777777" w:rsidR="00C82C72" w:rsidRPr="00C82C72" w:rsidRDefault="00C82C72" w:rsidP="00C82C72">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El Plan se fundamenta en una serie de consideraciones básicas, entre las cuales cabe destacar la valoración positiva del trabajo hecho desde 2017 en materia de formación, especialmente en lo referido a proyección externa y formación en ética cívica; la incorporación llevada a cabo de la experiencia crítica acumulada para favorecer actuaciones con mayor impacto reflexivo; la constatación que la formación cívica colectiva tiene valor preventivo y la valoración del sentido institucional de la Agencia Valenciana Antifraude como organismo referencial y necesario en la política contra el fraude y la corrupción.</w:t>
      </w:r>
    </w:p>
    <w:p w14:paraId="044B0F1E" w14:textId="77777777" w:rsidR="00C82C72" w:rsidRPr="00C82C72" w:rsidRDefault="00C82C72" w:rsidP="00C82C72">
      <w:pPr>
        <w:spacing w:after="240" w:line="276" w:lineRule="auto"/>
        <w:jc w:val="both"/>
        <w:rPr>
          <w:rFonts w:ascii="Arial" w:eastAsia="Times New Roman" w:hAnsi="Arial" w:cs="Arial"/>
          <w:sz w:val="21"/>
          <w:szCs w:val="21"/>
          <w:lang w:val="ca-ES" w:eastAsia="es-ES"/>
        </w:rPr>
      </w:pPr>
      <w:r w:rsidRPr="00C82C72">
        <w:rPr>
          <w:rFonts w:ascii="Arial" w:eastAsia="Times New Roman" w:hAnsi="Arial" w:cs="Arial"/>
          <w:sz w:val="21"/>
          <w:szCs w:val="21"/>
          <w:lang w:eastAsia="es-ES"/>
        </w:rPr>
        <w:t xml:space="preserve">De igual manera, el Plan tiene en cuenta la orientación estructural de las políticas públicas que establecen los Objetivos de Desarrollo Sostenible (ODS) en la Agenda 2030 de la ONU, y, de manera específica, la necesidad de materializar el objetivo 16 en las metas que hacen referencia a reducir considerablemente la corrupción y el soborno en todas sus formas (meta 16.5) y conseguir que en todos los niveles institucionales haya mecanismos eficaces y transparentes de rendimiento de cuentas (meta 16.6). </w:t>
      </w:r>
    </w:p>
    <w:p w14:paraId="4E8F9650" w14:textId="77777777" w:rsidR="00C82C72" w:rsidRPr="00C82C72" w:rsidRDefault="00C82C72" w:rsidP="00C82C72">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El Plan considera, asimismo, que, siendo importante considerar en cualquier iniciativa formativa los elementos cuantitativos (número de actuaciones, lugares, personas que han asistido, valoración, etc.); aún lo es más que la iniciativas en formación permitan establecer una dinámica autocentrada, orientada a las funciones y razón de ser de la Agencia, que genere experiencias reflexivas sustanciales en las personas que participen y que sirva para aumentar una ética cívica responsable y consciente de luchar contra el fraude y la corrupción.</w:t>
      </w:r>
    </w:p>
    <w:p w14:paraId="75865F8A" w14:textId="77777777" w:rsidR="00C82C72" w:rsidRPr="00C82C72" w:rsidRDefault="00C82C72" w:rsidP="00C82C72">
      <w:pPr>
        <w:spacing w:after="240" w:line="276" w:lineRule="auto"/>
        <w:jc w:val="both"/>
        <w:rPr>
          <w:rFonts w:ascii="Arial" w:eastAsia="Times New Roman" w:hAnsi="Arial" w:cs="Arial"/>
          <w:b/>
          <w:bCs/>
          <w:sz w:val="21"/>
          <w:szCs w:val="21"/>
          <w:lang w:val="ca-ES" w:eastAsia="es-ES"/>
        </w:rPr>
      </w:pPr>
      <w:r w:rsidRPr="00C82C72">
        <w:rPr>
          <w:rFonts w:ascii="Arial" w:eastAsia="Times New Roman" w:hAnsi="Arial" w:cs="Arial"/>
          <w:sz w:val="21"/>
          <w:szCs w:val="21"/>
          <w:lang w:eastAsia="es-ES"/>
        </w:rPr>
        <w:t>En este sentido, los principios que orientan el plan son conseguir que la actividad formativa de la Agencia se aproxime al trinomio experiencia-reflexión-aprendizaje. En la medida de lo posible las actividades formativas de la Agencia tienen que transcender la acción comunicativa pasiva e intentar convertirse en una experiencia personal, que genere reflexión individualizada, aprendizaje y conciencia del problema colectivo que es la corrupción. Una formación que esté, además, autocentrada, que parta de las necesidades, funciones y objetivos de la AVAF. Y una formación, en fin, que sea autoexigente, responsable, crítica</w:t>
      </w:r>
      <w:r w:rsidRPr="00C82C72">
        <w:rPr>
          <w:rFonts w:ascii="Arial" w:eastAsia="Times New Roman" w:hAnsi="Arial" w:cs="Arial"/>
          <w:sz w:val="21"/>
          <w:szCs w:val="21"/>
          <w:lang w:val="ca-ES" w:eastAsia="es-ES"/>
        </w:rPr>
        <w:t xml:space="preserve">, </w:t>
      </w:r>
      <w:r w:rsidRPr="00C82C72">
        <w:rPr>
          <w:rFonts w:ascii="Arial" w:eastAsia="Times New Roman" w:hAnsi="Arial" w:cs="Arial"/>
          <w:sz w:val="21"/>
          <w:szCs w:val="21"/>
          <w:lang w:eastAsia="es-ES"/>
        </w:rPr>
        <w:t>colaborativa con universidades, administraciones públicas y sociedad civil de la Comunidad, que evite el activismo acelerado y que contribuya a fortalecer la ética pública democrática.</w:t>
      </w:r>
    </w:p>
    <w:p w14:paraId="3F0C213A" w14:textId="77777777" w:rsidR="00C82C72" w:rsidRPr="00C82C72" w:rsidRDefault="00C82C72" w:rsidP="00C82C72">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El objeto central y prioritario de la actividad formativa de la Agencia será la formación ética y cívica de la ciudadanía valenciana. Esto comporta necesariamente ayudar a desarrollar un espíritu crítico, participativo, responsable y una cultura de fortalecimiento de la calidad institucional y la calidad democrática. Consideramos que el valor de la acción formativa y preventiva de la Agencia es nuclear en la lucha contra el fraude y la corrupción. Es una inversión social, como la misma existencia de la Agencia. Aumentar la autoconciencia del problema de la corrupción, la autocontención ante situaciones de riesgos de conflicto de interés tiene unos beneficios en la cultura cívica democrática, y en términos económicos y sociales no siempre fáciles de medir, pero evidentes, cuando comparamos los países europeos.</w:t>
      </w:r>
    </w:p>
    <w:p w14:paraId="4F637DB8" w14:textId="77777777" w:rsidR="00C82C72" w:rsidRPr="00C82C72" w:rsidRDefault="00C82C72" w:rsidP="00C82C72">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 xml:space="preserve">Por ello, el plan se orienta al conjunto de la sociedad valenciana en términos generales; pero concentrará la acción formativa en los colectivos con un valor estratégico singular, como son las personas que son servidoras públicas en las administraciones valencianas, el alumnado de las universidades valencianas, la infancia y adolescencia, y la sociedad civil organizada y personas activas en universidades populares, aulas municipales de apoyo y formación a adultos, grupos de extensión universitaria. </w:t>
      </w:r>
    </w:p>
    <w:p w14:paraId="36DAD8E8" w14:textId="77777777" w:rsidR="00C82C72" w:rsidRPr="00C82C72" w:rsidRDefault="00C82C72" w:rsidP="00C82C72">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 xml:space="preserve">Los objetivos básicos del plan pretenden, en primer lugar, reforzar a la Agencia como institución creadora de conciencia ética a favor de la integridad pública y de la cultura de la prevención en la lucha contra el fraude y la corrupción en el conjunto de la sociedad valenciana, convirtiéndola en un referente institucional en materia de formación y sensibilización social contra el fraude y la corrupción. </w:t>
      </w:r>
    </w:p>
    <w:p w14:paraId="2729C80F" w14:textId="04C006B0" w:rsidR="005B0E90" w:rsidRDefault="00C82C72" w:rsidP="00C82C72">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Del mismo modo, aspira a situar la lucha contra la corrupción en el sistema de formación especializada de las universidades públicas; a integrar a la Agencia en los sistemas públicos de formación de los servidores públicos de ámbito estatal y de la Generalitat Valenciana; y a elaborar instrumentos formativos ágiles, rigurosos, singularizados y de fácil divulgación y comprensión, en función de los destinatarios.</w:t>
      </w:r>
    </w:p>
    <w:p w14:paraId="0BA7DAFF" w14:textId="77777777" w:rsidR="00914492" w:rsidRDefault="00914492" w:rsidP="00914492">
      <w:pPr>
        <w:keepNext/>
        <w:spacing w:after="120" w:line="276" w:lineRule="auto"/>
        <w:jc w:val="center"/>
      </w:pPr>
      <w:r w:rsidRPr="00914492">
        <w:rPr>
          <w:rFonts w:ascii="Calibri" w:eastAsia="Calibri" w:hAnsi="Calibri" w:cs="Times New Roman"/>
          <w:noProof/>
        </w:rPr>
        <w:drawing>
          <wp:inline distT="0" distB="0" distL="0" distR="0" wp14:anchorId="300CFB9E" wp14:editId="7D1DB93B">
            <wp:extent cx="5305425" cy="3592891"/>
            <wp:effectExtent l="19050" t="19050" r="9525" b="26670"/>
            <wp:docPr id="79" name="Imagen 7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descr="Diagrama&#10;&#10;Descripción generada automáticamente"/>
                    <pic:cNvPicPr/>
                  </pic:nvPicPr>
                  <pic:blipFill>
                    <a:blip r:embed="rId501"/>
                    <a:stretch>
                      <a:fillRect/>
                    </a:stretch>
                  </pic:blipFill>
                  <pic:spPr>
                    <a:xfrm>
                      <a:off x="0" y="0"/>
                      <a:ext cx="5307033" cy="3593980"/>
                    </a:xfrm>
                    <a:prstGeom prst="rect">
                      <a:avLst/>
                    </a:prstGeom>
                    <a:ln>
                      <a:solidFill>
                        <a:sysClr val="window" lastClr="FFFFFF">
                          <a:lumMod val="75000"/>
                        </a:sysClr>
                      </a:solidFill>
                    </a:ln>
                  </pic:spPr>
                </pic:pic>
              </a:graphicData>
            </a:graphic>
          </wp:inline>
        </w:drawing>
      </w:r>
    </w:p>
    <w:p w14:paraId="7B28036D" w14:textId="76786ADF" w:rsidR="005B0E90" w:rsidRPr="00914492" w:rsidRDefault="00914492" w:rsidP="00914492">
      <w:pPr>
        <w:pStyle w:val="Descripcin"/>
        <w:spacing w:after="240"/>
        <w:jc w:val="center"/>
        <w:rPr>
          <w:rFonts w:ascii="Arial" w:eastAsia="Times New Roman" w:hAnsi="Arial" w:cs="Arial"/>
          <w:smallCaps w:val="0"/>
          <w:sz w:val="18"/>
          <w:szCs w:val="18"/>
          <w:lang w:eastAsia="es-ES"/>
        </w:rPr>
      </w:pPr>
      <w:bookmarkStart w:id="447" w:name="_Toc99099821"/>
      <w:r w:rsidRPr="00914492">
        <w:rPr>
          <w:rFonts w:ascii="Arial" w:hAnsi="Arial" w:cs="Arial"/>
          <w:smallCaps w:val="0"/>
          <w:color w:val="9D2235" w:themeColor="accent1"/>
          <w:sz w:val="18"/>
          <w:szCs w:val="18"/>
        </w:rPr>
        <w:t xml:space="preserve">Gráfico </w:t>
      </w:r>
      <w:r w:rsidRPr="00914492">
        <w:rPr>
          <w:rFonts w:ascii="Arial" w:hAnsi="Arial" w:cs="Arial"/>
          <w:smallCaps w:val="0"/>
          <w:color w:val="9D2235" w:themeColor="accent1"/>
          <w:sz w:val="18"/>
          <w:szCs w:val="18"/>
        </w:rPr>
        <w:fldChar w:fldCharType="begin" w:fldLock="1"/>
      </w:r>
      <w:r w:rsidRPr="00914492">
        <w:rPr>
          <w:rFonts w:ascii="Arial" w:hAnsi="Arial" w:cs="Arial"/>
          <w:smallCaps w:val="0"/>
          <w:color w:val="9D2235" w:themeColor="accent1"/>
          <w:sz w:val="18"/>
          <w:szCs w:val="18"/>
        </w:rPr>
        <w:instrText xml:space="preserve"> SEQ Gráfico \* ARABIC </w:instrText>
      </w:r>
      <w:r w:rsidRPr="00914492">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22</w:t>
      </w:r>
      <w:r w:rsidRPr="00914492">
        <w:rPr>
          <w:rFonts w:ascii="Arial" w:hAnsi="Arial" w:cs="Arial"/>
          <w:smallCaps w:val="0"/>
          <w:color w:val="9D2235" w:themeColor="accent1"/>
          <w:sz w:val="18"/>
          <w:szCs w:val="18"/>
        </w:rPr>
        <w:fldChar w:fldCharType="end"/>
      </w:r>
      <w:r w:rsidRPr="00914492">
        <w:rPr>
          <w:rFonts w:ascii="Arial" w:hAnsi="Arial" w:cs="Arial"/>
          <w:smallCaps w:val="0"/>
          <w:color w:val="9D2235" w:themeColor="accent1"/>
          <w:sz w:val="18"/>
          <w:szCs w:val="18"/>
        </w:rPr>
        <w:t xml:space="preserve">. </w:t>
      </w:r>
      <w:r w:rsidRPr="00914492">
        <w:rPr>
          <w:rFonts w:ascii="Arial" w:hAnsi="Arial" w:cs="Arial"/>
          <w:smallCaps w:val="0"/>
          <w:sz w:val="18"/>
          <w:szCs w:val="18"/>
        </w:rPr>
        <w:t>Ejes estratégicos del Plan de Formación de la AVAF 2021-2024</w:t>
      </w:r>
      <w:bookmarkEnd w:id="447"/>
    </w:p>
    <w:p w14:paraId="06166D03" w14:textId="77777777" w:rsidR="00C82C72" w:rsidRPr="00C82C72" w:rsidRDefault="00C82C72" w:rsidP="00C82C72">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Sobre estos elementos se establecen los cinco ejes estratégicos que dirigirán la actividad formativa del Servicio de Formación de la Agencia entre 2021 y 2024:</w:t>
      </w:r>
    </w:p>
    <w:p w14:paraId="2560C1D1" w14:textId="3FF733E4" w:rsidR="00C82C72" w:rsidRPr="00C82C72" w:rsidRDefault="00C82C72" w:rsidP="00C82C72">
      <w:pPr>
        <w:spacing w:after="120" w:line="276" w:lineRule="auto"/>
        <w:jc w:val="both"/>
        <w:rPr>
          <w:rFonts w:ascii="Arial" w:eastAsia="Times New Roman" w:hAnsi="Arial" w:cs="Arial"/>
          <w:sz w:val="21"/>
          <w:szCs w:val="21"/>
          <w:lang w:eastAsia="es-ES"/>
        </w:rPr>
      </w:pPr>
      <w:r w:rsidRPr="00C82C72">
        <w:rPr>
          <w:rFonts w:ascii="Arial" w:eastAsia="Times New Roman" w:hAnsi="Arial" w:cs="Arial"/>
          <w:b/>
          <w:bCs/>
          <w:sz w:val="21"/>
          <w:szCs w:val="21"/>
          <w:lang w:eastAsia="es-ES"/>
        </w:rPr>
        <w:t xml:space="preserve">Primero: </w:t>
      </w:r>
      <w:r w:rsidR="00871B6B">
        <w:rPr>
          <w:rFonts w:ascii="Arial" w:eastAsia="Times New Roman" w:hAnsi="Arial" w:cs="Arial"/>
          <w:b/>
          <w:bCs/>
          <w:sz w:val="21"/>
          <w:szCs w:val="21"/>
          <w:lang w:eastAsia="es-ES"/>
        </w:rPr>
        <w:t>E</w:t>
      </w:r>
      <w:r w:rsidRPr="00C82C72">
        <w:rPr>
          <w:rFonts w:ascii="Arial" w:eastAsia="Times New Roman" w:hAnsi="Arial" w:cs="Arial"/>
          <w:b/>
          <w:bCs/>
          <w:sz w:val="21"/>
          <w:szCs w:val="21"/>
          <w:lang w:eastAsia="es-ES"/>
        </w:rPr>
        <w:t>quipo técnico sólido.</w:t>
      </w:r>
      <w:r w:rsidRPr="00C82C72">
        <w:rPr>
          <w:rFonts w:ascii="Arial" w:eastAsia="Times New Roman" w:hAnsi="Arial" w:cs="Arial"/>
          <w:sz w:val="21"/>
          <w:szCs w:val="21"/>
          <w:lang w:eastAsia="es-ES"/>
        </w:rPr>
        <w:t xml:space="preserve"> </w:t>
      </w:r>
    </w:p>
    <w:p w14:paraId="0BF82B79" w14:textId="42E33224" w:rsidR="00C82C72" w:rsidRPr="00676635" w:rsidRDefault="00C82C72" w:rsidP="00676635">
      <w:pPr>
        <w:pStyle w:val="Prrafodelista"/>
        <w:numPr>
          <w:ilvl w:val="0"/>
          <w:numId w:val="153"/>
        </w:numPr>
        <w:spacing w:after="80" w:line="276" w:lineRule="auto"/>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 xml:space="preserve">Consolidar un equipo de formación cohesionado, versátil, con capacidad de elaborar contenidos formativos y de realizar acciones formativas coherentes con el Plan de Formación de manera autónoma. </w:t>
      </w:r>
    </w:p>
    <w:p w14:paraId="4AA86B71" w14:textId="53E492FE" w:rsidR="00C82C72" w:rsidRPr="00676635" w:rsidRDefault="00C82C72" w:rsidP="00676635">
      <w:pPr>
        <w:pStyle w:val="Prrafodelista"/>
        <w:numPr>
          <w:ilvl w:val="0"/>
          <w:numId w:val="153"/>
        </w:numPr>
        <w:spacing w:after="240" w:line="276" w:lineRule="auto"/>
        <w:jc w:val="both"/>
        <w:rPr>
          <w:rFonts w:ascii="Arial" w:eastAsia="Times New Roman" w:hAnsi="Arial" w:cs="Arial"/>
          <w:sz w:val="21"/>
          <w:szCs w:val="21"/>
          <w:lang w:val="ca-ES" w:eastAsia="es-ES"/>
        </w:rPr>
      </w:pPr>
      <w:r w:rsidRPr="00676635">
        <w:rPr>
          <w:rFonts w:ascii="Arial" w:eastAsia="Times New Roman" w:hAnsi="Arial" w:cs="Arial"/>
          <w:sz w:val="21"/>
          <w:szCs w:val="21"/>
          <w:lang w:eastAsia="es-ES"/>
        </w:rPr>
        <w:t>Integrar en el trabajo habitual sistemas de seguimiento periódicos, valoración crítica y evaluación de las actividades formativas de la Agencia, prestando una atención principal a los impactos cualitativos de la acción formativa.</w:t>
      </w:r>
    </w:p>
    <w:p w14:paraId="3A2EA784" w14:textId="3957F5E9" w:rsidR="00C82C72" w:rsidRPr="00C82C72" w:rsidRDefault="00C82C72" w:rsidP="00E9031B">
      <w:pPr>
        <w:spacing w:after="240" w:line="276" w:lineRule="auto"/>
        <w:jc w:val="both"/>
        <w:rPr>
          <w:rFonts w:ascii="Arial" w:eastAsia="Times New Roman" w:hAnsi="Arial" w:cs="Arial"/>
          <w:sz w:val="21"/>
          <w:szCs w:val="21"/>
          <w:lang w:eastAsia="es-ES"/>
        </w:rPr>
      </w:pPr>
      <w:r w:rsidRPr="00C82C72">
        <w:rPr>
          <w:rFonts w:ascii="Arial" w:eastAsia="Times New Roman" w:hAnsi="Arial" w:cs="Arial"/>
          <w:b/>
          <w:bCs/>
          <w:sz w:val="21"/>
          <w:szCs w:val="21"/>
          <w:lang w:eastAsia="es-ES"/>
        </w:rPr>
        <w:t>Segundo:</w:t>
      </w:r>
      <w:r w:rsidRPr="00C82C72">
        <w:rPr>
          <w:rFonts w:ascii="Arial" w:eastAsia="Times New Roman" w:hAnsi="Arial" w:cs="Arial"/>
          <w:sz w:val="21"/>
          <w:szCs w:val="21"/>
          <w:lang w:eastAsia="es-ES"/>
        </w:rPr>
        <w:t xml:space="preserve"> </w:t>
      </w:r>
      <w:r w:rsidR="00871B6B">
        <w:rPr>
          <w:rFonts w:ascii="Arial" w:eastAsia="Times New Roman" w:hAnsi="Arial" w:cs="Arial"/>
          <w:b/>
          <w:bCs/>
          <w:sz w:val="21"/>
          <w:szCs w:val="21"/>
          <w:lang w:eastAsia="es-ES"/>
        </w:rPr>
        <w:t>L</w:t>
      </w:r>
      <w:r w:rsidRPr="00C82C72">
        <w:rPr>
          <w:rFonts w:ascii="Arial" w:eastAsia="Times New Roman" w:hAnsi="Arial" w:cs="Arial"/>
          <w:b/>
          <w:bCs/>
          <w:sz w:val="21"/>
          <w:szCs w:val="21"/>
          <w:lang w:eastAsia="es-ES"/>
        </w:rPr>
        <w:t>a Agencia referente institucional</w:t>
      </w:r>
      <w:r w:rsidRPr="00C82C72">
        <w:rPr>
          <w:rFonts w:ascii="Arial" w:eastAsia="Times New Roman" w:hAnsi="Arial" w:cs="Arial"/>
          <w:sz w:val="21"/>
          <w:szCs w:val="21"/>
          <w:lang w:eastAsia="es-ES"/>
        </w:rPr>
        <w:t xml:space="preserve"> en formación y sensibilización social contra el fraude y la corrupción. </w:t>
      </w:r>
    </w:p>
    <w:p w14:paraId="2ADD4826" w14:textId="11074113" w:rsidR="00C82C72" w:rsidRPr="00676635" w:rsidRDefault="00C82C72" w:rsidP="00E9031B">
      <w:pPr>
        <w:pStyle w:val="Prrafodelista"/>
        <w:numPr>
          <w:ilvl w:val="0"/>
          <w:numId w:val="154"/>
        </w:numPr>
        <w:spacing w:after="120" w:line="276" w:lineRule="auto"/>
        <w:ind w:left="714" w:hanging="357"/>
        <w:contextualSpacing w:val="0"/>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 xml:space="preserve">Desarrollar una acción formativa autocentrada y orientada a conseguir una sensibilización social creciente en sectores sociales estratégicos y un fortalecimiento de la Agencia como institución de prevención del fraude y la corrupción. </w:t>
      </w:r>
    </w:p>
    <w:p w14:paraId="0625A171" w14:textId="0D70C220" w:rsidR="00C82C72" w:rsidRPr="00676635" w:rsidRDefault="00C82C72" w:rsidP="00E9031B">
      <w:pPr>
        <w:pStyle w:val="Prrafodelista"/>
        <w:numPr>
          <w:ilvl w:val="0"/>
          <w:numId w:val="154"/>
        </w:numPr>
        <w:spacing w:after="120" w:line="276" w:lineRule="auto"/>
        <w:ind w:left="714" w:hanging="357"/>
        <w:contextualSpacing w:val="0"/>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 xml:space="preserve">Impulsar el Campus Virtual del AVAF dentro del sistema de campus virtuales impulsado por la DGTIC de la Generalitat. </w:t>
      </w:r>
    </w:p>
    <w:p w14:paraId="6CAF1209" w14:textId="7A1DEB6D" w:rsidR="00C82C72" w:rsidRPr="00676635" w:rsidRDefault="00C82C72" w:rsidP="00E9031B">
      <w:pPr>
        <w:pStyle w:val="Prrafodelista"/>
        <w:numPr>
          <w:ilvl w:val="0"/>
          <w:numId w:val="154"/>
        </w:numPr>
        <w:spacing w:after="120" w:line="276" w:lineRule="auto"/>
        <w:ind w:left="714" w:hanging="357"/>
        <w:contextualSpacing w:val="0"/>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 xml:space="preserve">Elaborar instrumentos formativos innovadores y ágiles en varios formatos, dirigidos a diferentes grupos sociales y de edad. </w:t>
      </w:r>
    </w:p>
    <w:p w14:paraId="1353E6FF" w14:textId="6607C709" w:rsidR="00C82C72" w:rsidRPr="00676635" w:rsidRDefault="00C82C72" w:rsidP="00676635">
      <w:pPr>
        <w:pStyle w:val="Prrafodelista"/>
        <w:numPr>
          <w:ilvl w:val="0"/>
          <w:numId w:val="154"/>
        </w:numPr>
        <w:spacing w:after="240" w:line="276" w:lineRule="auto"/>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Favorecer el uso de la página web y de los instrumentos de difusión de iniciativas de la AVAF como sistema para promover y dar a conocer las actividades formativas de la Agencia.</w:t>
      </w:r>
    </w:p>
    <w:p w14:paraId="14D184B4" w14:textId="77777777" w:rsidR="00C82C72" w:rsidRPr="00C82C72" w:rsidRDefault="00C82C72" w:rsidP="00E9031B">
      <w:pPr>
        <w:spacing w:after="240" w:line="276" w:lineRule="auto"/>
        <w:jc w:val="both"/>
        <w:rPr>
          <w:rFonts w:ascii="Arial" w:eastAsia="Times New Roman" w:hAnsi="Arial" w:cs="Arial"/>
          <w:sz w:val="21"/>
          <w:szCs w:val="21"/>
          <w:lang w:eastAsia="es-ES"/>
        </w:rPr>
      </w:pPr>
      <w:r w:rsidRPr="00C82C72">
        <w:rPr>
          <w:rFonts w:ascii="Arial" w:eastAsia="Times New Roman" w:hAnsi="Arial" w:cs="Arial"/>
          <w:b/>
          <w:bCs/>
          <w:sz w:val="21"/>
          <w:szCs w:val="21"/>
          <w:lang w:eastAsia="es-ES"/>
        </w:rPr>
        <w:t>Tercero: Aumentar el impacto y la extensión social de las actividades formativas</w:t>
      </w:r>
      <w:r w:rsidRPr="00C82C72">
        <w:rPr>
          <w:rFonts w:ascii="Arial" w:eastAsia="Times New Roman" w:hAnsi="Arial" w:cs="Arial"/>
          <w:sz w:val="21"/>
          <w:szCs w:val="21"/>
          <w:lang w:eastAsia="es-ES"/>
        </w:rPr>
        <w:t>.</w:t>
      </w:r>
    </w:p>
    <w:p w14:paraId="44DCAC7B" w14:textId="72DF76AE" w:rsidR="00C82C72" w:rsidRPr="00676635" w:rsidRDefault="00C82C72" w:rsidP="00E9031B">
      <w:pPr>
        <w:pStyle w:val="Prrafodelista"/>
        <w:numPr>
          <w:ilvl w:val="0"/>
          <w:numId w:val="155"/>
        </w:numPr>
        <w:spacing w:after="120" w:line="276" w:lineRule="auto"/>
        <w:ind w:left="714" w:hanging="357"/>
        <w:contextualSpacing w:val="0"/>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Territorializar las acciones formativas en toda la Comuni</w:t>
      </w:r>
      <w:r w:rsidR="008C1237" w:rsidRPr="00676635">
        <w:rPr>
          <w:rFonts w:ascii="Arial" w:eastAsia="Times New Roman" w:hAnsi="Arial" w:cs="Arial"/>
          <w:sz w:val="21"/>
          <w:szCs w:val="21"/>
          <w:lang w:eastAsia="es-ES"/>
        </w:rPr>
        <w:t>tat</w:t>
      </w:r>
      <w:r w:rsidRPr="00676635">
        <w:rPr>
          <w:rFonts w:ascii="Arial" w:eastAsia="Times New Roman" w:hAnsi="Arial" w:cs="Arial"/>
          <w:sz w:val="21"/>
          <w:szCs w:val="21"/>
          <w:lang w:eastAsia="es-ES"/>
        </w:rPr>
        <w:t xml:space="preserve"> Valenciana. </w:t>
      </w:r>
    </w:p>
    <w:p w14:paraId="60D1C246" w14:textId="7BFE8DE3" w:rsidR="00C82C72" w:rsidRPr="00676635" w:rsidRDefault="00C82C72" w:rsidP="00676635">
      <w:pPr>
        <w:pStyle w:val="Prrafodelista"/>
        <w:numPr>
          <w:ilvl w:val="0"/>
          <w:numId w:val="155"/>
        </w:numPr>
        <w:spacing w:after="240" w:line="276" w:lineRule="auto"/>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Establecer una red de personas colaboradoras de las actividades formativas de la AVAF en todo el territorio valenciano, con especial atención a las aportaciones cualificadas desde el ámbito académico, las administraciones públicas y la sociedad civil.</w:t>
      </w:r>
    </w:p>
    <w:p w14:paraId="6A16DE3B" w14:textId="6E74D202" w:rsidR="00C82C72" w:rsidRPr="00C82C72" w:rsidRDefault="00C82C72" w:rsidP="00E9031B">
      <w:pPr>
        <w:spacing w:after="240" w:line="276" w:lineRule="auto"/>
        <w:jc w:val="both"/>
        <w:rPr>
          <w:rFonts w:ascii="Arial" w:eastAsia="Times New Roman" w:hAnsi="Arial" w:cs="Arial"/>
          <w:sz w:val="21"/>
          <w:szCs w:val="21"/>
          <w:lang w:eastAsia="es-ES"/>
        </w:rPr>
      </w:pPr>
      <w:r w:rsidRPr="00C82C72">
        <w:rPr>
          <w:rFonts w:ascii="Arial" w:eastAsia="Times New Roman" w:hAnsi="Arial" w:cs="Arial"/>
          <w:b/>
          <w:bCs/>
          <w:sz w:val="21"/>
          <w:szCs w:val="21"/>
          <w:lang w:eastAsia="es-ES"/>
        </w:rPr>
        <w:t>Cuarto</w:t>
      </w:r>
      <w:r w:rsidRPr="00C82C72">
        <w:rPr>
          <w:rFonts w:ascii="Arial" w:eastAsia="Times New Roman" w:hAnsi="Arial" w:cs="Arial"/>
          <w:b/>
          <w:bCs/>
          <w:sz w:val="21"/>
          <w:szCs w:val="21"/>
          <w:lang w:val="ca-ES" w:eastAsia="es-ES"/>
        </w:rPr>
        <w:t xml:space="preserve">: </w:t>
      </w:r>
      <w:r w:rsidRPr="00C82C72">
        <w:rPr>
          <w:rFonts w:ascii="Arial" w:eastAsia="Times New Roman" w:hAnsi="Arial" w:cs="Arial"/>
          <w:b/>
          <w:bCs/>
          <w:sz w:val="21"/>
          <w:szCs w:val="21"/>
          <w:lang w:eastAsia="es-ES"/>
        </w:rPr>
        <w:t xml:space="preserve">Impulsar la acción de la Agencia </w:t>
      </w:r>
      <w:r w:rsidR="007561FA">
        <w:rPr>
          <w:rFonts w:ascii="Arial" w:eastAsia="Times New Roman" w:hAnsi="Arial" w:cs="Arial"/>
          <w:b/>
          <w:bCs/>
          <w:sz w:val="21"/>
          <w:szCs w:val="21"/>
          <w:lang w:eastAsia="es-ES"/>
        </w:rPr>
        <w:t xml:space="preserve">como </w:t>
      </w:r>
      <w:r w:rsidRPr="00C82C72">
        <w:rPr>
          <w:rFonts w:ascii="Arial" w:eastAsia="Times New Roman" w:hAnsi="Arial" w:cs="Arial"/>
          <w:b/>
          <w:bCs/>
          <w:sz w:val="21"/>
          <w:szCs w:val="21"/>
          <w:lang w:eastAsia="es-ES"/>
        </w:rPr>
        <w:t>agente formador</w:t>
      </w:r>
      <w:r w:rsidRPr="00C82C72">
        <w:rPr>
          <w:rFonts w:ascii="Arial" w:eastAsia="Times New Roman" w:hAnsi="Arial" w:cs="Arial"/>
          <w:sz w:val="21"/>
          <w:szCs w:val="21"/>
          <w:lang w:eastAsia="es-ES"/>
        </w:rPr>
        <w:t xml:space="preserve"> en el ámbito universitario, el IVAP, el INAP y entidades similares. </w:t>
      </w:r>
    </w:p>
    <w:p w14:paraId="0A585F5E" w14:textId="13011BFA" w:rsidR="00C82C72" w:rsidRPr="00676635" w:rsidRDefault="00C82C72" w:rsidP="00E9031B">
      <w:pPr>
        <w:pStyle w:val="Prrafodelista"/>
        <w:numPr>
          <w:ilvl w:val="0"/>
          <w:numId w:val="156"/>
        </w:numPr>
        <w:spacing w:after="120" w:line="276" w:lineRule="auto"/>
        <w:ind w:left="714" w:hanging="357"/>
        <w:contextualSpacing w:val="0"/>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 xml:space="preserve">Establecer sistemas estables de formación académica en el ámbito universitario posgraduado, preferentemente en colaboración con otras agencias de lucha contra el fraude y la corrupción, orientados a la formación de grupos de funcionarios y de estudiantes de especialidad: posgrados. </w:t>
      </w:r>
    </w:p>
    <w:p w14:paraId="7B4F5C22" w14:textId="52D9A025" w:rsidR="00C82C72" w:rsidRPr="00676635" w:rsidRDefault="00C82C72" w:rsidP="00E9031B">
      <w:pPr>
        <w:pStyle w:val="Prrafodelista"/>
        <w:numPr>
          <w:ilvl w:val="0"/>
          <w:numId w:val="156"/>
        </w:numPr>
        <w:spacing w:after="120" w:line="276" w:lineRule="auto"/>
        <w:ind w:left="714" w:hanging="357"/>
        <w:contextualSpacing w:val="0"/>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 xml:space="preserve">Impulsar sistemas estables de formación con profesorado de ESO y Primaria, especialmente relacionados con materias de ética. </w:t>
      </w:r>
    </w:p>
    <w:p w14:paraId="2E8E6D07" w14:textId="0F4104B6" w:rsidR="00C82C72" w:rsidRPr="00676635" w:rsidRDefault="00C82C72" w:rsidP="00676635">
      <w:pPr>
        <w:pStyle w:val="Prrafodelista"/>
        <w:numPr>
          <w:ilvl w:val="0"/>
          <w:numId w:val="156"/>
        </w:numPr>
        <w:spacing w:after="240" w:line="276" w:lineRule="auto"/>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Establecer sistemas estables de participación de la AVAF en acciones formativas del IVAP y del INAP.</w:t>
      </w:r>
    </w:p>
    <w:p w14:paraId="28F975F1" w14:textId="77777777" w:rsidR="00C82C72" w:rsidRPr="00C82C72" w:rsidRDefault="00C82C72" w:rsidP="00E9031B">
      <w:pPr>
        <w:spacing w:after="240" w:line="276" w:lineRule="auto"/>
        <w:jc w:val="both"/>
        <w:rPr>
          <w:rFonts w:ascii="Arial" w:eastAsia="Times New Roman" w:hAnsi="Arial" w:cs="Arial"/>
          <w:sz w:val="21"/>
          <w:szCs w:val="21"/>
          <w:lang w:eastAsia="es-ES"/>
        </w:rPr>
      </w:pPr>
      <w:r w:rsidRPr="00C82C72">
        <w:rPr>
          <w:rFonts w:ascii="Arial" w:eastAsia="Times New Roman" w:hAnsi="Arial" w:cs="Arial"/>
          <w:b/>
          <w:bCs/>
          <w:sz w:val="21"/>
          <w:szCs w:val="21"/>
          <w:lang w:val="ca-ES" w:eastAsia="es-ES"/>
        </w:rPr>
        <w:t xml:space="preserve">Quinto: Impulsar </w:t>
      </w:r>
      <w:r w:rsidRPr="00C82C72">
        <w:rPr>
          <w:rFonts w:ascii="Arial" w:eastAsia="Times New Roman" w:hAnsi="Arial" w:cs="Arial"/>
          <w:b/>
          <w:bCs/>
          <w:sz w:val="21"/>
          <w:szCs w:val="21"/>
          <w:lang w:eastAsia="es-ES"/>
        </w:rPr>
        <w:t>formas colaborativas de formación cívica</w:t>
      </w:r>
      <w:r w:rsidRPr="00C82C72">
        <w:rPr>
          <w:rFonts w:ascii="Arial" w:eastAsia="Times New Roman" w:hAnsi="Arial" w:cs="Arial"/>
          <w:sz w:val="21"/>
          <w:szCs w:val="21"/>
          <w:lang w:eastAsia="es-ES"/>
        </w:rPr>
        <w:t xml:space="preserve">. </w:t>
      </w:r>
    </w:p>
    <w:p w14:paraId="052E7493" w14:textId="5FA3A12C" w:rsidR="00C82C72" w:rsidRPr="00676635" w:rsidRDefault="00C82C72" w:rsidP="00E9031B">
      <w:pPr>
        <w:pStyle w:val="Prrafodelista"/>
        <w:numPr>
          <w:ilvl w:val="0"/>
          <w:numId w:val="157"/>
        </w:numPr>
        <w:spacing w:after="120" w:line="276" w:lineRule="auto"/>
        <w:ind w:left="714" w:hanging="357"/>
        <w:contextualSpacing w:val="0"/>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 xml:space="preserve">Impulsar formas estables de colaboración en materia de formación con el resto de las agencias españolas de lucha contra el fraude y la corrupción. </w:t>
      </w:r>
    </w:p>
    <w:p w14:paraId="623ACC98" w14:textId="7ABB6A05" w:rsidR="00C82C72" w:rsidRPr="00676635" w:rsidRDefault="00C82C72" w:rsidP="00E9031B">
      <w:pPr>
        <w:pStyle w:val="Prrafodelista"/>
        <w:numPr>
          <w:ilvl w:val="0"/>
          <w:numId w:val="157"/>
        </w:numPr>
        <w:spacing w:after="120" w:line="276" w:lineRule="auto"/>
        <w:ind w:left="714" w:hanging="357"/>
        <w:contextualSpacing w:val="0"/>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 xml:space="preserve">Asentar mecanismos estables de colaboración en materia de formación cívica con el Consejo de Participación de la AVAF. </w:t>
      </w:r>
    </w:p>
    <w:p w14:paraId="04C7CEF8" w14:textId="2B8789F4" w:rsidR="00C82C72" w:rsidRPr="00676635" w:rsidRDefault="00C82C72" w:rsidP="00E9031B">
      <w:pPr>
        <w:pStyle w:val="Prrafodelista"/>
        <w:numPr>
          <w:ilvl w:val="0"/>
          <w:numId w:val="157"/>
        </w:numPr>
        <w:spacing w:after="120" w:line="276" w:lineRule="auto"/>
        <w:ind w:left="714" w:hanging="357"/>
        <w:contextualSpacing w:val="0"/>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 xml:space="preserve">Establecer un sistema de colaboración con el Gobierno Valenciano en materia de acciones formativas con la infancia y la adolescencia. </w:t>
      </w:r>
    </w:p>
    <w:p w14:paraId="005BBB37" w14:textId="4DB63AE0" w:rsidR="00C82C72" w:rsidRPr="00676635" w:rsidRDefault="00C82C72" w:rsidP="00E9031B">
      <w:pPr>
        <w:pStyle w:val="Prrafodelista"/>
        <w:numPr>
          <w:ilvl w:val="0"/>
          <w:numId w:val="157"/>
        </w:numPr>
        <w:spacing w:after="120" w:line="276" w:lineRule="auto"/>
        <w:ind w:left="714" w:hanging="357"/>
        <w:contextualSpacing w:val="0"/>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 xml:space="preserve">Hacer posibles formas de colaboración estables con la FVMP y con la sociedad civil en materia formativa. </w:t>
      </w:r>
    </w:p>
    <w:p w14:paraId="5A29EC85" w14:textId="7E7311C7" w:rsidR="00C82C72" w:rsidRPr="00676635" w:rsidRDefault="00C82C72" w:rsidP="00676635">
      <w:pPr>
        <w:pStyle w:val="Prrafodelista"/>
        <w:numPr>
          <w:ilvl w:val="0"/>
          <w:numId w:val="157"/>
        </w:numPr>
        <w:spacing w:after="240" w:line="276" w:lineRule="auto"/>
        <w:jc w:val="both"/>
        <w:rPr>
          <w:rFonts w:ascii="Arial" w:eastAsia="Times New Roman" w:hAnsi="Arial" w:cs="Arial"/>
          <w:sz w:val="21"/>
          <w:szCs w:val="21"/>
          <w:lang w:eastAsia="es-ES"/>
        </w:rPr>
      </w:pPr>
      <w:r w:rsidRPr="00676635">
        <w:rPr>
          <w:rFonts w:ascii="Arial" w:eastAsia="Times New Roman" w:hAnsi="Arial" w:cs="Arial"/>
          <w:sz w:val="21"/>
          <w:szCs w:val="21"/>
          <w:lang w:eastAsia="es-ES"/>
        </w:rPr>
        <w:t>Desarrollar sinergias de colaboración con el resto de las unidades de la Agencia para mejorar las actividades y documentación de formación y, de manera, singular con el Servicio de Prevención y con la Unidad de Comunicación.</w:t>
      </w:r>
    </w:p>
    <w:p w14:paraId="1563855C" w14:textId="3C5BB674" w:rsidR="00C82C72" w:rsidRPr="00C82C72" w:rsidRDefault="00C82C72" w:rsidP="00C82C72">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 xml:space="preserve">De manera orientativa, se considera que el momento más intenso para la implementación del plan será en 2022, aunque los efectos del cambio de orientación de algunos aspectos de la estrategia formativa de la Agencia se han hecho notar en 2021 en la provisión de puestos de trabajo del Servicio de Formación, el incremento de la colaboración institucional con universidades, centros de formación estatales de funcionarios, </w:t>
      </w:r>
      <w:r w:rsidR="00871B6B">
        <w:rPr>
          <w:rFonts w:ascii="Arial" w:eastAsia="Times New Roman" w:hAnsi="Arial" w:cs="Arial"/>
          <w:sz w:val="21"/>
          <w:szCs w:val="21"/>
          <w:lang w:eastAsia="es-ES"/>
        </w:rPr>
        <w:t>D</w:t>
      </w:r>
      <w:r w:rsidRPr="00C82C72">
        <w:rPr>
          <w:rFonts w:ascii="Arial" w:eastAsia="Times New Roman" w:hAnsi="Arial" w:cs="Arial"/>
          <w:sz w:val="21"/>
          <w:szCs w:val="21"/>
          <w:lang w:eastAsia="es-ES"/>
        </w:rPr>
        <w:t xml:space="preserve">iputaciones </w:t>
      </w:r>
      <w:r w:rsidR="00871B6B">
        <w:rPr>
          <w:rFonts w:ascii="Arial" w:eastAsia="Times New Roman" w:hAnsi="Arial" w:cs="Arial"/>
          <w:sz w:val="21"/>
          <w:szCs w:val="21"/>
          <w:lang w:eastAsia="es-ES"/>
        </w:rPr>
        <w:t>P</w:t>
      </w:r>
      <w:r w:rsidRPr="00C82C72">
        <w:rPr>
          <w:rFonts w:ascii="Arial" w:eastAsia="Times New Roman" w:hAnsi="Arial" w:cs="Arial"/>
          <w:sz w:val="21"/>
          <w:szCs w:val="21"/>
          <w:lang w:eastAsia="es-ES"/>
        </w:rPr>
        <w:t xml:space="preserve">rovinciales, FVMP, y algunas </w:t>
      </w:r>
      <w:r w:rsidR="00871B6B">
        <w:rPr>
          <w:rFonts w:ascii="Arial" w:eastAsia="Times New Roman" w:hAnsi="Arial" w:cs="Arial"/>
          <w:sz w:val="21"/>
          <w:szCs w:val="21"/>
          <w:lang w:eastAsia="es-ES"/>
        </w:rPr>
        <w:t>D</w:t>
      </w:r>
      <w:r w:rsidRPr="00C82C72">
        <w:rPr>
          <w:rFonts w:ascii="Arial" w:eastAsia="Times New Roman" w:hAnsi="Arial" w:cs="Arial"/>
          <w:sz w:val="21"/>
          <w:szCs w:val="21"/>
          <w:lang w:eastAsia="es-ES"/>
        </w:rPr>
        <w:t xml:space="preserve">irecciones </w:t>
      </w:r>
      <w:r w:rsidR="00871B6B">
        <w:rPr>
          <w:rFonts w:ascii="Arial" w:eastAsia="Times New Roman" w:hAnsi="Arial" w:cs="Arial"/>
          <w:sz w:val="21"/>
          <w:szCs w:val="21"/>
          <w:lang w:eastAsia="es-ES"/>
        </w:rPr>
        <w:t>G</w:t>
      </w:r>
      <w:r w:rsidRPr="00C82C72">
        <w:rPr>
          <w:rFonts w:ascii="Arial" w:eastAsia="Times New Roman" w:hAnsi="Arial" w:cs="Arial"/>
          <w:sz w:val="21"/>
          <w:szCs w:val="21"/>
          <w:lang w:eastAsia="es-ES"/>
        </w:rPr>
        <w:t xml:space="preserve">enerales y </w:t>
      </w:r>
      <w:r w:rsidR="00871B6B">
        <w:rPr>
          <w:rFonts w:ascii="Arial" w:eastAsia="Times New Roman" w:hAnsi="Arial" w:cs="Arial"/>
          <w:sz w:val="21"/>
          <w:szCs w:val="21"/>
          <w:lang w:eastAsia="es-ES"/>
        </w:rPr>
        <w:t>S</w:t>
      </w:r>
      <w:r w:rsidRPr="00C82C72">
        <w:rPr>
          <w:rFonts w:ascii="Arial" w:eastAsia="Times New Roman" w:hAnsi="Arial" w:cs="Arial"/>
          <w:sz w:val="21"/>
          <w:szCs w:val="21"/>
          <w:lang w:eastAsia="es-ES"/>
        </w:rPr>
        <w:t xml:space="preserve">ecretarias </w:t>
      </w:r>
      <w:r w:rsidR="00871B6B">
        <w:rPr>
          <w:rFonts w:ascii="Arial" w:eastAsia="Times New Roman" w:hAnsi="Arial" w:cs="Arial"/>
          <w:sz w:val="21"/>
          <w:szCs w:val="21"/>
          <w:lang w:eastAsia="es-ES"/>
        </w:rPr>
        <w:t>A</w:t>
      </w:r>
      <w:r w:rsidRPr="00C82C72">
        <w:rPr>
          <w:rFonts w:ascii="Arial" w:eastAsia="Times New Roman" w:hAnsi="Arial" w:cs="Arial"/>
          <w:sz w:val="21"/>
          <w:szCs w:val="21"/>
          <w:lang w:eastAsia="es-ES"/>
        </w:rPr>
        <w:t>utonómicas del Consell de la Generalitat, y un aumento de la participación de la Agencia en actividades formativas a requerimiento de un número creciente de instituciones y administraciones públicas.</w:t>
      </w:r>
    </w:p>
    <w:p w14:paraId="47F0735B" w14:textId="25FFD086" w:rsidR="005B0E90" w:rsidRDefault="00C82C72" w:rsidP="00C82C72">
      <w:pPr>
        <w:spacing w:after="240" w:line="276" w:lineRule="auto"/>
        <w:jc w:val="both"/>
        <w:rPr>
          <w:rFonts w:ascii="Arial" w:eastAsia="Times New Roman" w:hAnsi="Arial" w:cs="Arial"/>
          <w:sz w:val="21"/>
          <w:szCs w:val="21"/>
          <w:lang w:eastAsia="es-ES"/>
        </w:rPr>
      </w:pPr>
      <w:r w:rsidRPr="00C82C72">
        <w:rPr>
          <w:rFonts w:ascii="Arial" w:eastAsia="Times New Roman" w:hAnsi="Arial" w:cs="Arial"/>
          <w:sz w:val="21"/>
          <w:szCs w:val="21"/>
          <w:lang w:eastAsia="es-ES"/>
        </w:rPr>
        <w:t>Con todo, los espacios de actividades formativas cívicas abiertos en 2021 previsiblemente se consolidarán y ampliarán, de acuerdo con el Plan Estratégico de Formación, durante 2022 y 2023.</w:t>
      </w:r>
    </w:p>
    <w:p w14:paraId="4C82C521" w14:textId="64B02990" w:rsidR="007363ED" w:rsidRPr="007363ED" w:rsidRDefault="007363ED"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48" w:name="_Toc99107109"/>
      <w:r w:rsidRPr="007363ED">
        <w:rPr>
          <w:rFonts w:ascii="Arial" w:eastAsia="Times New Roman" w:hAnsi="Arial" w:cs="Arial"/>
          <w:b/>
          <w:bCs/>
          <w:color w:val="9D2235" w:themeColor="accent1"/>
          <w:sz w:val="28"/>
          <w:szCs w:val="28"/>
          <w:lang w:eastAsia="es-ES"/>
        </w:rPr>
        <w:t xml:space="preserve">Apoyo a </w:t>
      </w:r>
      <w:r w:rsidR="00871B6B">
        <w:rPr>
          <w:rFonts w:ascii="Arial" w:eastAsia="Times New Roman" w:hAnsi="Arial" w:cs="Arial"/>
          <w:b/>
          <w:bCs/>
          <w:color w:val="9D2235" w:themeColor="accent1"/>
          <w:sz w:val="28"/>
          <w:szCs w:val="28"/>
          <w:lang w:eastAsia="es-ES"/>
        </w:rPr>
        <w:t xml:space="preserve">la </w:t>
      </w:r>
      <w:r w:rsidRPr="007363ED">
        <w:rPr>
          <w:rFonts w:ascii="Arial" w:eastAsia="Times New Roman" w:hAnsi="Arial" w:cs="Arial"/>
          <w:b/>
          <w:bCs/>
          <w:color w:val="9D2235" w:themeColor="accent1"/>
          <w:sz w:val="28"/>
          <w:szCs w:val="28"/>
          <w:lang w:eastAsia="es-ES"/>
        </w:rPr>
        <w:t>formación interna de carácter general</w:t>
      </w:r>
      <w:bookmarkEnd w:id="448"/>
    </w:p>
    <w:p w14:paraId="437F0E65" w14:textId="553769B4" w:rsidR="006B10D4" w:rsidRDefault="006B10D4" w:rsidP="007363ED">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Desde diciembre de 2020 hasta junio de 2021</w:t>
      </w:r>
      <w:r w:rsidR="00871B6B">
        <w:rPr>
          <w:rFonts w:ascii="Arial" w:eastAsia="Times New Roman" w:hAnsi="Arial" w:cs="Arial"/>
          <w:sz w:val="21"/>
          <w:szCs w:val="21"/>
          <w:lang w:eastAsia="es-ES"/>
        </w:rPr>
        <w:t>,</w:t>
      </w:r>
      <w:r w:rsidRPr="006B10D4">
        <w:rPr>
          <w:rFonts w:ascii="Arial" w:eastAsia="Times New Roman" w:hAnsi="Arial" w:cs="Arial"/>
          <w:sz w:val="21"/>
          <w:szCs w:val="21"/>
          <w:lang w:eastAsia="es-ES"/>
        </w:rPr>
        <w:t xml:space="preserve"> se han realizado dos </w:t>
      </w:r>
      <w:r w:rsidRPr="006B10D4">
        <w:rPr>
          <w:rFonts w:ascii="Arial" w:eastAsia="Times New Roman" w:hAnsi="Arial" w:cs="Arial"/>
          <w:b/>
          <w:sz w:val="21"/>
          <w:szCs w:val="21"/>
          <w:lang w:eastAsia="es-ES"/>
        </w:rPr>
        <w:t>cursos de valenciano de la Dirección General de Política Lingüística y Gestión del Multilingüismo</w:t>
      </w:r>
      <w:r w:rsidRPr="006B10D4">
        <w:rPr>
          <w:rFonts w:ascii="Arial" w:eastAsia="Times New Roman" w:hAnsi="Arial" w:cs="Arial"/>
          <w:bCs/>
          <w:sz w:val="21"/>
          <w:szCs w:val="21"/>
          <w:lang w:eastAsia="es-ES"/>
        </w:rPr>
        <w:t xml:space="preserve"> de los niveles C1 y C2</w:t>
      </w:r>
      <w:r w:rsidRPr="006B10D4">
        <w:rPr>
          <w:rFonts w:ascii="Arial" w:eastAsia="Times New Roman" w:hAnsi="Arial" w:cs="Arial"/>
          <w:b/>
          <w:sz w:val="21"/>
          <w:szCs w:val="21"/>
          <w:lang w:eastAsia="es-ES"/>
        </w:rPr>
        <w:t xml:space="preserve">. </w:t>
      </w:r>
      <w:r w:rsidRPr="006B10D4">
        <w:rPr>
          <w:rFonts w:ascii="Arial" w:eastAsia="Times New Roman" w:hAnsi="Arial" w:cs="Arial"/>
          <w:bCs/>
          <w:sz w:val="21"/>
          <w:szCs w:val="21"/>
          <w:lang w:eastAsia="es-ES"/>
        </w:rPr>
        <w:t xml:space="preserve">En los cursos han participado 8 personas funcionarias de la Agencia. La gestión de los cursos se ha realizado en colaboración </w:t>
      </w:r>
      <w:r w:rsidRPr="006B10D4">
        <w:rPr>
          <w:rFonts w:ascii="Arial" w:eastAsia="Times New Roman" w:hAnsi="Arial" w:cs="Arial"/>
          <w:sz w:val="21"/>
          <w:szCs w:val="21"/>
          <w:lang w:eastAsia="es-ES"/>
        </w:rPr>
        <w:t>con la Sindicatura de Comptes de la Comunitat Valenciana, en el marco del protocolo de colaboración firmado entre la AVAF y esta institución estatutaria.</w:t>
      </w:r>
    </w:p>
    <w:p w14:paraId="348B52A5" w14:textId="77777777" w:rsidR="007363ED" w:rsidRPr="007363ED" w:rsidRDefault="007363ED"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49" w:name="_Toc99107110"/>
      <w:r w:rsidRPr="007363ED">
        <w:rPr>
          <w:rFonts w:ascii="Arial" w:eastAsia="Times New Roman" w:hAnsi="Arial" w:cs="Arial"/>
          <w:b/>
          <w:bCs/>
          <w:color w:val="9D2235" w:themeColor="accent1"/>
          <w:sz w:val="28"/>
          <w:szCs w:val="28"/>
          <w:lang w:eastAsia="es-ES"/>
        </w:rPr>
        <w:t>Actividades de formación cívica</w:t>
      </w:r>
      <w:bookmarkEnd w:id="449"/>
    </w:p>
    <w:p w14:paraId="56E7E1DC" w14:textId="0ECB3F4A" w:rsidR="006B10D4" w:rsidRPr="006B10D4" w:rsidRDefault="006B10D4" w:rsidP="006B10D4">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 xml:space="preserve">El Plan Estratégico de Formación </w:t>
      </w:r>
      <w:r w:rsidR="007561FA" w:rsidRPr="006B10D4">
        <w:rPr>
          <w:rFonts w:ascii="Arial" w:eastAsia="Times New Roman" w:hAnsi="Arial" w:cs="Arial"/>
          <w:sz w:val="21"/>
          <w:szCs w:val="21"/>
          <w:lang w:eastAsia="es-ES"/>
        </w:rPr>
        <w:t xml:space="preserve">2021-2024 </w:t>
      </w:r>
      <w:r w:rsidRPr="006B10D4">
        <w:rPr>
          <w:rFonts w:ascii="Arial" w:eastAsia="Times New Roman" w:hAnsi="Arial" w:cs="Arial"/>
          <w:sz w:val="21"/>
          <w:szCs w:val="21"/>
          <w:lang w:eastAsia="es-ES"/>
        </w:rPr>
        <w:t>de la AVAF incide en la necesidad de impulsar las actividades de formación cívica con la voluntad de hacer de la Agencia un referente cualificado en la prevención y las estrategias de la lucha contra el fraude y la corrupción en la Comuni</w:t>
      </w:r>
      <w:r w:rsidR="008C1237">
        <w:rPr>
          <w:rFonts w:ascii="Arial" w:eastAsia="Times New Roman" w:hAnsi="Arial" w:cs="Arial"/>
          <w:sz w:val="21"/>
          <w:szCs w:val="21"/>
          <w:lang w:eastAsia="es-ES"/>
        </w:rPr>
        <w:t>tat</w:t>
      </w:r>
      <w:r w:rsidRPr="006B10D4">
        <w:rPr>
          <w:rFonts w:ascii="Arial" w:eastAsia="Times New Roman" w:hAnsi="Arial" w:cs="Arial"/>
          <w:sz w:val="21"/>
          <w:szCs w:val="21"/>
          <w:lang w:eastAsia="es-ES"/>
        </w:rPr>
        <w:t xml:space="preserve"> Valenciana.</w:t>
      </w:r>
    </w:p>
    <w:p w14:paraId="18D08D57" w14:textId="77777777" w:rsidR="006B10D4" w:rsidRPr="006B10D4" w:rsidRDefault="006B10D4" w:rsidP="006B10D4">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La formación y sensibilización social especializada es esencial para avanzar colectivamente en materia de calidad democrática, derechos fundamentales de la ciudadanía, gobierno abierto, transparencia, ética pública e integridad.</w:t>
      </w:r>
    </w:p>
    <w:p w14:paraId="1D9BD7EA" w14:textId="13CB02F9" w:rsidR="006B10D4" w:rsidRPr="007363ED" w:rsidRDefault="006B10D4" w:rsidP="006B10D4">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Las acciones formativas cívicas se desarrollan en colaboración con las universidades valencianas, administraciones públicas, organismos responsables de formación del personal al servicio de la administración pública, organizaciones y colegios profesionales, así como con entidades de la sociedad civil.</w:t>
      </w:r>
    </w:p>
    <w:p w14:paraId="4648E017" w14:textId="5F4A51B3" w:rsidR="007363ED" w:rsidRPr="00871B6B" w:rsidRDefault="007363ED" w:rsidP="007363ED">
      <w:pPr>
        <w:spacing w:after="240" w:line="276" w:lineRule="auto"/>
        <w:jc w:val="both"/>
        <w:rPr>
          <w:rFonts w:ascii="Arial" w:eastAsia="Times New Roman" w:hAnsi="Arial" w:cs="Arial"/>
          <w:i/>
          <w:iCs/>
          <w:sz w:val="21"/>
          <w:szCs w:val="21"/>
          <w:lang w:eastAsia="es-ES"/>
        </w:rPr>
      </w:pPr>
      <w:r w:rsidRPr="00871B6B">
        <w:rPr>
          <w:rFonts w:ascii="Arial" w:eastAsia="Times New Roman" w:hAnsi="Arial" w:cs="Arial"/>
          <w:b/>
          <w:i/>
          <w:iCs/>
          <w:sz w:val="21"/>
          <w:szCs w:val="21"/>
          <w:lang w:eastAsia="es-ES"/>
        </w:rPr>
        <w:t>Actividades formativas cívicas</w:t>
      </w:r>
    </w:p>
    <w:p w14:paraId="07D5A8A3" w14:textId="69367777" w:rsidR="007363ED" w:rsidRPr="007363ED" w:rsidRDefault="007363ED" w:rsidP="007363ED">
      <w:pPr>
        <w:pStyle w:val="Descripcin"/>
        <w:keepNext/>
        <w:jc w:val="center"/>
        <w:rPr>
          <w:rFonts w:ascii="Arial" w:hAnsi="Arial" w:cs="Arial"/>
          <w:smallCaps w:val="0"/>
          <w:sz w:val="18"/>
          <w:szCs w:val="18"/>
        </w:rPr>
      </w:pPr>
      <w:bookmarkStart w:id="450" w:name="_Toc99107159"/>
      <w:r w:rsidRPr="007363ED">
        <w:rPr>
          <w:rFonts w:ascii="Arial" w:hAnsi="Arial" w:cs="Arial"/>
          <w:smallCaps w:val="0"/>
          <w:color w:val="9D2235" w:themeColor="accent1"/>
          <w:sz w:val="18"/>
          <w:szCs w:val="18"/>
        </w:rPr>
        <w:t xml:space="preserve">Tabla </w:t>
      </w:r>
      <w:r w:rsidRPr="007363ED">
        <w:rPr>
          <w:rFonts w:ascii="Arial" w:hAnsi="Arial" w:cs="Arial"/>
          <w:smallCaps w:val="0"/>
          <w:color w:val="9D2235" w:themeColor="accent1"/>
          <w:sz w:val="18"/>
          <w:szCs w:val="18"/>
        </w:rPr>
        <w:fldChar w:fldCharType="begin" w:fldLock="1"/>
      </w:r>
      <w:r w:rsidRPr="007363ED">
        <w:rPr>
          <w:rFonts w:ascii="Arial" w:hAnsi="Arial" w:cs="Arial"/>
          <w:smallCaps w:val="0"/>
          <w:color w:val="9D2235" w:themeColor="accent1"/>
          <w:sz w:val="18"/>
          <w:szCs w:val="18"/>
        </w:rPr>
        <w:instrText xml:space="preserve"> SEQ Tabla \* ARABIC </w:instrText>
      </w:r>
      <w:r w:rsidRPr="007363ED">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21</w:t>
      </w:r>
      <w:r w:rsidRPr="007363ED">
        <w:rPr>
          <w:rFonts w:ascii="Arial" w:hAnsi="Arial" w:cs="Arial"/>
          <w:smallCaps w:val="0"/>
          <w:color w:val="9D2235" w:themeColor="accent1"/>
          <w:sz w:val="18"/>
          <w:szCs w:val="18"/>
        </w:rPr>
        <w:fldChar w:fldCharType="end"/>
      </w:r>
      <w:r w:rsidRPr="007363ED">
        <w:rPr>
          <w:rFonts w:ascii="Arial" w:hAnsi="Arial" w:cs="Arial"/>
          <w:smallCaps w:val="0"/>
          <w:color w:val="9D2235" w:themeColor="accent1"/>
          <w:sz w:val="18"/>
          <w:szCs w:val="18"/>
        </w:rPr>
        <w:t xml:space="preserve">. </w:t>
      </w:r>
      <w:r w:rsidRPr="007363ED">
        <w:rPr>
          <w:rFonts w:ascii="Arial" w:hAnsi="Arial" w:cs="Arial"/>
          <w:smallCaps w:val="0"/>
          <w:sz w:val="18"/>
          <w:szCs w:val="18"/>
        </w:rPr>
        <w:t>Actividades formativas cívicas, participantes y horas lectivas desde 2017</w:t>
      </w:r>
      <w:bookmarkEnd w:id="450"/>
    </w:p>
    <w:p w14:paraId="762163D8" w14:textId="16F06FD6" w:rsidR="005B0E90" w:rsidRDefault="007363ED" w:rsidP="007363ED">
      <w:pPr>
        <w:spacing w:after="240" w:line="276" w:lineRule="auto"/>
        <w:jc w:val="center"/>
        <w:rPr>
          <w:rFonts w:ascii="Arial" w:eastAsia="Times New Roman" w:hAnsi="Arial" w:cs="Arial"/>
          <w:sz w:val="21"/>
          <w:szCs w:val="21"/>
          <w:lang w:eastAsia="es-ES"/>
        </w:rPr>
      </w:pPr>
      <w:r w:rsidRPr="007363ED">
        <w:rPr>
          <w:rFonts w:ascii="Calibri" w:eastAsia="Calibri" w:hAnsi="Calibri" w:cs="Times New Roman"/>
          <w:noProof/>
        </w:rPr>
        <w:drawing>
          <wp:inline distT="0" distB="0" distL="0" distR="0" wp14:anchorId="20FF11C7" wp14:editId="7459B922">
            <wp:extent cx="4509105" cy="1852654"/>
            <wp:effectExtent l="19050" t="19050" r="25400" b="14605"/>
            <wp:docPr id="80" name="Imagen 8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descr="Tabla&#10;&#10;Descripción generada automáticamente"/>
                    <pic:cNvPicPr/>
                  </pic:nvPicPr>
                  <pic:blipFill>
                    <a:blip r:embed="rId502"/>
                    <a:stretch>
                      <a:fillRect/>
                    </a:stretch>
                  </pic:blipFill>
                  <pic:spPr>
                    <a:xfrm>
                      <a:off x="0" y="0"/>
                      <a:ext cx="4605144" cy="1892114"/>
                    </a:xfrm>
                    <a:prstGeom prst="rect">
                      <a:avLst/>
                    </a:prstGeom>
                    <a:ln>
                      <a:solidFill>
                        <a:sysClr val="window" lastClr="FFFFFF">
                          <a:lumMod val="75000"/>
                        </a:sysClr>
                      </a:solidFill>
                    </a:ln>
                  </pic:spPr>
                </pic:pic>
              </a:graphicData>
            </a:graphic>
          </wp:inline>
        </w:drawing>
      </w:r>
    </w:p>
    <w:p w14:paraId="3251FC97" w14:textId="5636FF22" w:rsidR="006B10D4" w:rsidRPr="006B10D4" w:rsidRDefault="006B10D4" w:rsidP="00E9031B">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 xml:space="preserve">Durante 2021 se han duplicado prácticamente tanto el número de actividades formativas cívicas como la cantidad de participantes en las </w:t>
      </w:r>
      <w:r w:rsidRPr="003416AE">
        <w:rPr>
          <w:rFonts w:ascii="Arial" w:eastAsia="Times New Roman" w:hAnsi="Arial" w:cs="Arial"/>
          <w:sz w:val="21"/>
          <w:szCs w:val="21"/>
          <w:lang w:eastAsia="es-ES"/>
        </w:rPr>
        <w:t xml:space="preserve">mismas (Tabla </w:t>
      </w:r>
      <w:r w:rsidR="00E23A07" w:rsidRPr="003416AE">
        <w:rPr>
          <w:rFonts w:ascii="Arial" w:eastAsia="Times New Roman" w:hAnsi="Arial" w:cs="Arial"/>
          <w:sz w:val="21"/>
          <w:szCs w:val="21"/>
          <w:lang w:eastAsia="es-ES"/>
        </w:rPr>
        <w:t>21</w:t>
      </w:r>
      <w:r w:rsidRPr="003416AE">
        <w:rPr>
          <w:rFonts w:ascii="Arial" w:eastAsia="Times New Roman" w:hAnsi="Arial" w:cs="Arial"/>
          <w:sz w:val="21"/>
          <w:szCs w:val="21"/>
          <w:lang w:eastAsia="es-ES"/>
        </w:rPr>
        <w:t>).</w:t>
      </w:r>
      <w:r w:rsidRPr="006B10D4">
        <w:rPr>
          <w:rFonts w:ascii="Arial" w:eastAsia="Times New Roman" w:hAnsi="Arial" w:cs="Arial"/>
          <w:sz w:val="21"/>
          <w:szCs w:val="21"/>
          <w:lang w:eastAsia="es-ES"/>
        </w:rPr>
        <w:t xml:space="preserve"> Entre las causas de este incremento se pueden señalar las siguientes: </w:t>
      </w:r>
    </w:p>
    <w:p w14:paraId="0E540BCB" w14:textId="77777777" w:rsidR="006B10D4" w:rsidRPr="006B10D4" w:rsidRDefault="006B10D4" w:rsidP="00E9031B">
      <w:pPr>
        <w:numPr>
          <w:ilvl w:val="0"/>
          <w:numId w:val="145"/>
        </w:numPr>
        <w:spacing w:after="120" w:line="276" w:lineRule="auto"/>
        <w:ind w:left="714" w:hanging="357"/>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 xml:space="preserve">El incremento de las colaboraciones institucionales, en especial con las universidades valencianas, diputaciones provinciales, INAP y algunas consellerías del Consell de la Generalitat. </w:t>
      </w:r>
    </w:p>
    <w:p w14:paraId="4955238B" w14:textId="77777777" w:rsidR="006B10D4" w:rsidRPr="006B10D4" w:rsidRDefault="006B10D4" w:rsidP="00E9031B">
      <w:pPr>
        <w:numPr>
          <w:ilvl w:val="0"/>
          <w:numId w:val="145"/>
        </w:numPr>
        <w:spacing w:after="120" w:line="276" w:lineRule="auto"/>
        <w:ind w:left="714" w:hanging="357"/>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 xml:space="preserve">El trabajo de los años previos que ha permitido que la Agencia sea más conocida social e institucionalmente y que se haya requerido más su presencia en actividades formativas cívicas. </w:t>
      </w:r>
    </w:p>
    <w:p w14:paraId="62415932" w14:textId="77777777" w:rsidR="006B10D4" w:rsidRPr="006B10D4" w:rsidRDefault="006B10D4" w:rsidP="00E9031B">
      <w:pPr>
        <w:numPr>
          <w:ilvl w:val="0"/>
          <w:numId w:val="145"/>
        </w:numPr>
        <w:spacing w:after="120" w:line="276" w:lineRule="auto"/>
        <w:ind w:left="714" w:hanging="357"/>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La aplicación territorial del convenio firmado con la Universidad de València, en cuyo marco se desarrollan las actividades, como Unisocietat a lo largo del territorio de la provincia de València; así como el inicio de formas de colaboración con la Universidad Jaume I de Castelló y la Universidad de Alicante.</w:t>
      </w:r>
    </w:p>
    <w:p w14:paraId="0007BADE" w14:textId="77777777" w:rsidR="006B10D4" w:rsidRPr="006B10D4" w:rsidRDefault="006B10D4" w:rsidP="00E9031B">
      <w:pPr>
        <w:numPr>
          <w:ilvl w:val="0"/>
          <w:numId w:val="145"/>
        </w:numPr>
        <w:spacing w:after="120" w:line="276" w:lineRule="auto"/>
        <w:ind w:left="714" w:hanging="357"/>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 xml:space="preserve">El uso del documental </w:t>
      </w:r>
      <w:r w:rsidRPr="006B10D4">
        <w:rPr>
          <w:rFonts w:ascii="Arial" w:eastAsia="Times New Roman" w:hAnsi="Arial" w:cs="Arial"/>
          <w:i/>
          <w:iCs/>
          <w:sz w:val="21"/>
          <w:szCs w:val="21"/>
          <w:lang w:eastAsia="es-ES"/>
        </w:rPr>
        <w:t xml:space="preserve">Corrupción: organismo nocivo, </w:t>
      </w:r>
      <w:r w:rsidRPr="006B10D4">
        <w:rPr>
          <w:rFonts w:ascii="Arial" w:eastAsia="Times New Roman" w:hAnsi="Arial" w:cs="Arial"/>
          <w:sz w:val="21"/>
          <w:szCs w:val="21"/>
          <w:lang w:eastAsia="es-ES"/>
        </w:rPr>
        <w:t>de 2019, para realizar actividades formativas en las aulas universitarias.</w:t>
      </w:r>
    </w:p>
    <w:p w14:paraId="4398991C" w14:textId="27809CFC" w:rsidR="006B10D4" w:rsidRPr="006B10D4" w:rsidRDefault="006B10D4" w:rsidP="00E501D4">
      <w:pPr>
        <w:numPr>
          <w:ilvl w:val="0"/>
          <w:numId w:val="145"/>
        </w:num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 xml:space="preserve">El Servicio de Formación ha completado la dotación de personal prevista en la RPT de la Agencia a lo largo del último año (jefatura de </w:t>
      </w:r>
      <w:r w:rsidR="00CB3DFD">
        <w:rPr>
          <w:rFonts w:ascii="Arial" w:eastAsia="Times New Roman" w:hAnsi="Arial" w:cs="Arial"/>
          <w:sz w:val="21"/>
          <w:szCs w:val="21"/>
          <w:lang w:eastAsia="es-ES"/>
        </w:rPr>
        <w:t>S</w:t>
      </w:r>
      <w:r w:rsidRPr="006B10D4">
        <w:rPr>
          <w:rFonts w:ascii="Arial" w:eastAsia="Times New Roman" w:hAnsi="Arial" w:cs="Arial"/>
          <w:sz w:val="21"/>
          <w:szCs w:val="21"/>
          <w:lang w:eastAsia="es-ES"/>
        </w:rPr>
        <w:t xml:space="preserve">ervicios, dos personas técnicas y una persona de personal de apoyo, compartida con otro </w:t>
      </w:r>
      <w:r w:rsidR="00CB3DFD">
        <w:rPr>
          <w:rFonts w:ascii="Arial" w:eastAsia="Times New Roman" w:hAnsi="Arial" w:cs="Arial"/>
          <w:sz w:val="21"/>
          <w:szCs w:val="21"/>
          <w:lang w:eastAsia="es-ES"/>
        </w:rPr>
        <w:t>S</w:t>
      </w:r>
      <w:r w:rsidRPr="006B10D4">
        <w:rPr>
          <w:rFonts w:ascii="Arial" w:eastAsia="Times New Roman" w:hAnsi="Arial" w:cs="Arial"/>
          <w:sz w:val="21"/>
          <w:szCs w:val="21"/>
          <w:lang w:eastAsia="es-ES"/>
        </w:rPr>
        <w:t xml:space="preserve">ervicio). Este hecho ha permitido incrementar las actuaciones formativas. </w:t>
      </w:r>
    </w:p>
    <w:p w14:paraId="5CA20DE2" w14:textId="56528844" w:rsidR="007C27F4" w:rsidRDefault="006B10D4" w:rsidP="006B10D4">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 xml:space="preserve">De manera </w:t>
      </w:r>
      <w:r w:rsidRPr="003416AE">
        <w:rPr>
          <w:rFonts w:ascii="Arial" w:eastAsia="Times New Roman" w:hAnsi="Arial" w:cs="Arial"/>
          <w:sz w:val="21"/>
          <w:szCs w:val="21"/>
          <w:lang w:eastAsia="es-ES"/>
        </w:rPr>
        <w:t xml:space="preserve">visual (Gráficos </w:t>
      </w:r>
      <w:r w:rsidR="00E23A07" w:rsidRPr="003416AE">
        <w:rPr>
          <w:rFonts w:ascii="Arial" w:eastAsia="Times New Roman" w:hAnsi="Arial" w:cs="Arial"/>
          <w:sz w:val="21"/>
          <w:szCs w:val="21"/>
          <w:lang w:eastAsia="es-ES"/>
        </w:rPr>
        <w:t>2</w:t>
      </w:r>
      <w:r w:rsidR="00676635" w:rsidRPr="003416AE">
        <w:rPr>
          <w:rFonts w:ascii="Arial" w:eastAsia="Times New Roman" w:hAnsi="Arial" w:cs="Arial"/>
          <w:sz w:val="21"/>
          <w:szCs w:val="21"/>
          <w:lang w:eastAsia="es-ES"/>
        </w:rPr>
        <w:t>3</w:t>
      </w:r>
      <w:r w:rsidRPr="003416AE">
        <w:rPr>
          <w:rFonts w:ascii="Arial" w:eastAsia="Times New Roman" w:hAnsi="Arial" w:cs="Arial"/>
          <w:sz w:val="21"/>
          <w:szCs w:val="21"/>
          <w:lang w:eastAsia="es-ES"/>
        </w:rPr>
        <w:t xml:space="preserve"> y </w:t>
      </w:r>
      <w:r w:rsidR="00E23A07" w:rsidRPr="003416AE">
        <w:rPr>
          <w:rFonts w:ascii="Arial" w:eastAsia="Times New Roman" w:hAnsi="Arial" w:cs="Arial"/>
          <w:sz w:val="21"/>
          <w:szCs w:val="21"/>
          <w:lang w:eastAsia="es-ES"/>
        </w:rPr>
        <w:t>2</w:t>
      </w:r>
      <w:r w:rsidR="00676635" w:rsidRPr="003416AE">
        <w:rPr>
          <w:rFonts w:ascii="Arial" w:eastAsia="Times New Roman" w:hAnsi="Arial" w:cs="Arial"/>
          <w:sz w:val="21"/>
          <w:szCs w:val="21"/>
          <w:lang w:eastAsia="es-ES"/>
        </w:rPr>
        <w:t>4</w:t>
      </w:r>
      <w:r w:rsidRPr="003416AE">
        <w:rPr>
          <w:rFonts w:ascii="Arial" w:eastAsia="Times New Roman" w:hAnsi="Arial" w:cs="Arial"/>
          <w:sz w:val="21"/>
          <w:szCs w:val="21"/>
          <w:lang w:eastAsia="es-ES"/>
        </w:rPr>
        <w:t>),</w:t>
      </w:r>
      <w:r w:rsidRPr="006B10D4">
        <w:rPr>
          <w:rFonts w:ascii="Arial" w:eastAsia="Times New Roman" w:hAnsi="Arial" w:cs="Arial"/>
          <w:sz w:val="21"/>
          <w:szCs w:val="21"/>
          <w:lang w:eastAsia="es-ES"/>
        </w:rPr>
        <w:t xml:space="preserve"> se observa un incremento exponencial en los últimos tres años en la cantidad de actividades formativas cívicas, pasándose de 6 en 2018, a 12 en 2019, 23 en 2020 y 43 en el último año. De hecho, el incremento neto de 2021 es especialmente significativo: 20 actividades más respecto 2020.</w:t>
      </w:r>
    </w:p>
    <w:p w14:paraId="5148429C" w14:textId="77777777" w:rsidR="007363ED" w:rsidRDefault="007363ED" w:rsidP="00281220">
      <w:pPr>
        <w:keepNext/>
        <w:spacing w:after="80" w:line="276" w:lineRule="auto"/>
        <w:jc w:val="center"/>
      </w:pPr>
      <w:r w:rsidRPr="007363ED">
        <w:rPr>
          <w:rFonts w:ascii="Arial" w:eastAsia="Calibri" w:hAnsi="Arial" w:cs="Arial"/>
          <w:noProof/>
          <w:sz w:val="21"/>
          <w:szCs w:val="21"/>
        </w:rPr>
        <w:drawing>
          <wp:inline distT="0" distB="0" distL="0" distR="0" wp14:anchorId="26FB0BA2" wp14:editId="07FA0745">
            <wp:extent cx="4068141" cy="2126946"/>
            <wp:effectExtent l="0" t="0" r="8890" b="6985"/>
            <wp:docPr id="19" name="Imagen 19"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Gráfico, Gráfico en cascada&#10;&#10;Descripción generada automáticamente"/>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4089222" cy="2137968"/>
                    </a:xfrm>
                    <a:prstGeom prst="rect">
                      <a:avLst/>
                    </a:prstGeom>
                    <a:noFill/>
                  </pic:spPr>
                </pic:pic>
              </a:graphicData>
            </a:graphic>
          </wp:inline>
        </w:drawing>
      </w:r>
    </w:p>
    <w:p w14:paraId="17A978E6" w14:textId="4DF4A9A5" w:rsidR="007363ED" w:rsidRDefault="007363ED" w:rsidP="006B10D4">
      <w:pPr>
        <w:pStyle w:val="Descripcin"/>
        <w:spacing w:after="240" w:line="276" w:lineRule="auto"/>
        <w:jc w:val="center"/>
        <w:rPr>
          <w:rFonts w:ascii="Arial" w:hAnsi="Arial" w:cs="Arial"/>
          <w:smallCaps w:val="0"/>
          <w:sz w:val="18"/>
          <w:szCs w:val="18"/>
        </w:rPr>
      </w:pPr>
      <w:bookmarkStart w:id="451" w:name="_Toc99099822"/>
      <w:r w:rsidRPr="007363ED">
        <w:rPr>
          <w:rFonts w:ascii="Arial" w:hAnsi="Arial" w:cs="Arial"/>
          <w:smallCaps w:val="0"/>
          <w:color w:val="9D2235" w:themeColor="accent1"/>
          <w:sz w:val="18"/>
          <w:szCs w:val="18"/>
        </w:rPr>
        <w:t xml:space="preserve">Gráfico </w:t>
      </w:r>
      <w:r w:rsidRPr="007363ED">
        <w:rPr>
          <w:rFonts w:ascii="Arial" w:hAnsi="Arial" w:cs="Arial"/>
          <w:smallCaps w:val="0"/>
          <w:color w:val="9D2235" w:themeColor="accent1"/>
          <w:sz w:val="18"/>
          <w:szCs w:val="18"/>
        </w:rPr>
        <w:fldChar w:fldCharType="begin" w:fldLock="1"/>
      </w:r>
      <w:r w:rsidRPr="007363ED">
        <w:rPr>
          <w:rFonts w:ascii="Arial" w:hAnsi="Arial" w:cs="Arial"/>
          <w:smallCaps w:val="0"/>
          <w:color w:val="9D2235" w:themeColor="accent1"/>
          <w:sz w:val="18"/>
          <w:szCs w:val="18"/>
        </w:rPr>
        <w:instrText xml:space="preserve"> SEQ Gráfico \* ARABIC </w:instrText>
      </w:r>
      <w:r w:rsidRPr="007363ED">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23</w:t>
      </w:r>
      <w:r w:rsidRPr="007363ED">
        <w:rPr>
          <w:rFonts w:ascii="Arial" w:hAnsi="Arial" w:cs="Arial"/>
          <w:smallCaps w:val="0"/>
          <w:color w:val="9D2235" w:themeColor="accent1"/>
          <w:sz w:val="18"/>
          <w:szCs w:val="18"/>
        </w:rPr>
        <w:fldChar w:fldCharType="end"/>
      </w:r>
      <w:r w:rsidRPr="007363ED">
        <w:rPr>
          <w:rFonts w:ascii="Arial" w:hAnsi="Arial" w:cs="Arial"/>
          <w:smallCaps w:val="0"/>
          <w:color w:val="9D2235" w:themeColor="accent1"/>
          <w:sz w:val="18"/>
          <w:szCs w:val="18"/>
        </w:rPr>
        <w:t xml:space="preserve">. </w:t>
      </w:r>
      <w:r w:rsidRPr="007363ED">
        <w:rPr>
          <w:rFonts w:ascii="Arial" w:hAnsi="Arial" w:cs="Arial"/>
          <w:smallCaps w:val="0"/>
          <w:sz w:val="18"/>
          <w:szCs w:val="18"/>
        </w:rPr>
        <w:t>Evolución actividades formativas 2017-2021</w:t>
      </w:r>
      <w:bookmarkEnd w:id="451"/>
    </w:p>
    <w:p w14:paraId="01000BD5" w14:textId="77777777" w:rsidR="006B10D4" w:rsidRPr="006B10D4" w:rsidRDefault="006B10D4" w:rsidP="006B10D4">
      <w:pPr>
        <w:spacing w:after="120" w:line="276" w:lineRule="auto"/>
      </w:pPr>
    </w:p>
    <w:p w14:paraId="7468D2CD" w14:textId="77777777" w:rsidR="00281220" w:rsidRDefault="00281220" w:rsidP="00281220">
      <w:pPr>
        <w:keepNext/>
        <w:spacing w:after="80" w:line="276" w:lineRule="auto"/>
        <w:jc w:val="center"/>
      </w:pPr>
      <w:r w:rsidRPr="00281220">
        <w:rPr>
          <w:rFonts w:ascii="Arial" w:eastAsia="Calibri" w:hAnsi="Arial" w:cs="Arial"/>
          <w:noProof/>
          <w:sz w:val="21"/>
          <w:szCs w:val="21"/>
        </w:rPr>
        <w:drawing>
          <wp:inline distT="0" distB="0" distL="0" distR="0" wp14:anchorId="5DC42494" wp14:editId="48BC195B">
            <wp:extent cx="3168322" cy="2612158"/>
            <wp:effectExtent l="0" t="0" r="0" b="0"/>
            <wp:docPr id="20" name="Imagen 20"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Gráfico, Gráfico circular&#10;&#10;Descripción generada automáticamente"/>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3180781" cy="2622430"/>
                    </a:xfrm>
                    <a:prstGeom prst="rect">
                      <a:avLst/>
                    </a:prstGeom>
                    <a:noFill/>
                  </pic:spPr>
                </pic:pic>
              </a:graphicData>
            </a:graphic>
          </wp:inline>
        </w:drawing>
      </w:r>
    </w:p>
    <w:p w14:paraId="39250E72" w14:textId="39E9FC7B" w:rsidR="007363ED" w:rsidRPr="00281220" w:rsidRDefault="00281220" w:rsidP="00281220">
      <w:pPr>
        <w:pStyle w:val="Descripcin"/>
        <w:spacing w:after="240"/>
        <w:jc w:val="center"/>
        <w:rPr>
          <w:rFonts w:ascii="Arial" w:eastAsia="Times New Roman" w:hAnsi="Arial" w:cs="Arial"/>
          <w:smallCaps w:val="0"/>
          <w:sz w:val="18"/>
          <w:szCs w:val="18"/>
          <w:lang w:eastAsia="es-ES"/>
        </w:rPr>
      </w:pPr>
      <w:bookmarkStart w:id="452" w:name="_Toc99099823"/>
      <w:r w:rsidRPr="00281220">
        <w:rPr>
          <w:rFonts w:ascii="Arial" w:hAnsi="Arial" w:cs="Arial"/>
          <w:smallCaps w:val="0"/>
          <w:color w:val="9D2235" w:themeColor="accent1"/>
          <w:sz w:val="18"/>
          <w:szCs w:val="18"/>
        </w:rPr>
        <w:t xml:space="preserve">Gráfico </w:t>
      </w:r>
      <w:r w:rsidRPr="00281220">
        <w:rPr>
          <w:rFonts w:ascii="Arial" w:hAnsi="Arial" w:cs="Arial"/>
          <w:smallCaps w:val="0"/>
          <w:color w:val="9D2235" w:themeColor="accent1"/>
          <w:sz w:val="18"/>
          <w:szCs w:val="18"/>
        </w:rPr>
        <w:fldChar w:fldCharType="begin" w:fldLock="1"/>
      </w:r>
      <w:r w:rsidRPr="00281220">
        <w:rPr>
          <w:rFonts w:ascii="Arial" w:hAnsi="Arial" w:cs="Arial"/>
          <w:smallCaps w:val="0"/>
          <w:color w:val="9D2235" w:themeColor="accent1"/>
          <w:sz w:val="18"/>
          <w:szCs w:val="18"/>
        </w:rPr>
        <w:instrText xml:space="preserve"> SEQ Gráfico \* ARABIC </w:instrText>
      </w:r>
      <w:r w:rsidRPr="00281220">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24</w:t>
      </w:r>
      <w:r w:rsidRPr="00281220">
        <w:rPr>
          <w:rFonts w:ascii="Arial" w:hAnsi="Arial" w:cs="Arial"/>
          <w:smallCaps w:val="0"/>
          <w:color w:val="9D2235" w:themeColor="accent1"/>
          <w:sz w:val="18"/>
          <w:szCs w:val="18"/>
        </w:rPr>
        <w:fldChar w:fldCharType="end"/>
      </w:r>
      <w:r w:rsidRPr="00281220">
        <w:rPr>
          <w:rFonts w:ascii="Arial" w:hAnsi="Arial" w:cs="Arial"/>
          <w:smallCaps w:val="0"/>
          <w:color w:val="9D2235" w:themeColor="accent1"/>
          <w:sz w:val="18"/>
          <w:szCs w:val="18"/>
        </w:rPr>
        <w:t xml:space="preserve">. </w:t>
      </w:r>
      <w:r w:rsidRPr="00281220">
        <w:rPr>
          <w:rFonts w:ascii="Arial" w:hAnsi="Arial" w:cs="Arial"/>
          <w:smallCaps w:val="0"/>
          <w:sz w:val="18"/>
          <w:szCs w:val="18"/>
        </w:rPr>
        <w:t>Distribución anual de actividades formativas 2017-2021</w:t>
      </w:r>
      <w:bookmarkEnd w:id="452"/>
    </w:p>
    <w:p w14:paraId="5A41AE3B" w14:textId="77777777" w:rsidR="006B10D4" w:rsidRPr="006B10D4" w:rsidRDefault="006B10D4" w:rsidP="006B10D4">
      <w:pPr>
        <w:spacing w:after="120" w:line="276" w:lineRule="auto"/>
        <w:jc w:val="both"/>
        <w:rPr>
          <w:rFonts w:ascii="Arial" w:eastAsia="Times New Roman" w:hAnsi="Arial" w:cs="Arial"/>
          <w:b/>
          <w:i/>
          <w:sz w:val="21"/>
          <w:szCs w:val="21"/>
          <w:lang w:eastAsia="es-ES"/>
        </w:rPr>
      </w:pPr>
      <w:r w:rsidRPr="006B10D4">
        <w:rPr>
          <w:rFonts w:ascii="Arial" w:eastAsia="Times New Roman" w:hAnsi="Arial" w:cs="Arial"/>
          <w:b/>
          <w:i/>
          <w:sz w:val="21"/>
          <w:szCs w:val="21"/>
          <w:lang w:eastAsia="es-ES"/>
        </w:rPr>
        <w:t>Participantes en actividades formativas</w:t>
      </w:r>
    </w:p>
    <w:p w14:paraId="24C5F284" w14:textId="0CC09E32" w:rsidR="006B10D4" w:rsidRPr="006B10D4" w:rsidRDefault="006B10D4" w:rsidP="00676635">
      <w:pPr>
        <w:spacing w:after="240" w:line="276" w:lineRule="auto"/>
        <w:jc w:val="both"/>
        <w:rPr>
          <w:rFonts w:ascii="Arial" w:eastAsia="Times New Roman" w:hAnsi="Arial" w:cs="Arial"/>
          <w:sz w:val="21"/>
          <w:szCs w:val="21"/>
          <w:lang w:eastAsia="es-ES"/>
        </w:rPr>
      </w:pPr>
      <w:r w:rsidRPr="003416AE">
        <w:rPr>
          <w:rFonts w:ascii="Arial" w:eastAsia="Times New Roman" w:hAnsi="Arial" w:cs="Arial"/>
          <w:sz w:val="21"/>
          <w:szCs w:val="21"/>
          <w:lang w:eastAsia="es-ES"/>
        </w:rPr>
        <w:t xml:space="preserve">El gráfico </w:t>
      </w:r>
      <w:r w:rsidR="00E23A07" w:rsidRPr="003416AE">
        <w:rPr>
          <w:rFonts w:ascii="Arial" w:eastAsia="Times New Roman" w:hAnsi="Arial" w:cs="Arial"/>
          <w:sz w:val="21"/>
          <w:szCs w:val="21"/>
          <w:lang w:eastAsia="es-ES"/>
        </w:rPr>
        <w:t>2</w:t>
      </w:r>
      <w:r w:rsidR="00676635" w:rsidRPr="003416AE">
        <w:rPr>
          <w:rFonts w:ascii="Arial" w:eastAsia="Times New Roman" w:hAnsi="Arial" w:cs="Arial"/>
          <w:sz w:val="21"/>
          <w:szCs w:val="21"/>
          <w:lang w:eastAsia="es-ES"/>
        </w:rPr>
        <w:t>5</w:t>
      </w:r>
      <w:r w:rsidRPr="006B10D4">
        <w:rPr>
          <w:rFonts w:ascii="Arial" w:eastAsia="Times New Roman" w:hAnsi="Arial" w:cs="Arial"/>
          <w:sz w:val="21"/>
          <w:szCs w:val="21"/>
          <w:lang w:eastAsia="es-ES"/>
        </w:rPr>
        <w:t xml:space="preserve"> ayuda a entender los saltos cualitativos de la actividad formativa cívica de la Agencia. </w:t>
      </w:r>
    </w:p>
    <w:p w14:paraId="58F566B4" w14:textId="28004684" w:rsidR="006B10D4" w:rsidRPr="006B10D4" w:rsidRDefault="006B10D4" w:rsidP="00676635">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 xml:space="preserve">En 2019, tras el establecimiento de protocolos de colaboración con la Universidad de Valencia se produce un aumento de 556 participantes más que el año anterior, multiplicándose en torno a </w:t>
      </w:r>
      <w:r w:rsidR="007561FA">
        <w:rPr>
          <w:rFonts w:ascii="Arial" w:eastAsia="Times New Roman" w:hAnsi="Arial" w:cs="Arial"/>
          <w:sz w:val="21"/>
          <w:szCs w:val="21"/>
          <w:lang w:eastAsia="es-ES"/>
        </w:rPr>
        <w:t>4</w:t>
      </w:r>
      <w:r w:rsidRPr="006B10D4">
        <w:rPr>
          <w:rFonts w:ascii="Arial" w:eastAsia="Times New Roman" w:hAnsi="Arial" w:cs="Arial"/>
          <w:sz w:val="21"/>
          <w:szCs w:val="21"/>
          <w:lang w:eastAsia="es-ES"/>
        </w:rPr>
        <w:t>,5 veces las personas participantes en actividades de formativas de la Agencia respecto 2018.</w:t>
      </w:r>
    </w:p>
    <w:p w14:paraId="5971DC6F" w14:textId="222463B1" w:rsidR="006B10D4" w:rsidRPr="006B10D4" w:rsidRDefault="006B10D4" w:rsidP="00676635">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En 202</w:t>
      </w:r>
      <w:r w:rsidR="007561FA">
        <w:rPr>
          <w:rFonts w:ascii="Arial" w:eastAsia="Times New Roman" w:hAnsi="Arial" w:cs="Arial"/>
          <w:sz w:val="21"/>
          <w:szCs w:val="21"/>
          <w:lang w:eastAsia="es-ES"/>
        </w:rPr>
        <w:t>1</w:t>
      </w:r>
      <w:r w:rsidRPr="006B10D4">
        <w:rPr>
          <w:rFonts w:ascii="Arial" w:eastAsia="Times New Roman" w:hAnsi="Arial" w:cs="Arial"/>
          <w:sz w:val="21"/>
          <w:szCs w:val="21"/>
          <w:lang w:eastAsia="es-ES"/>
        </w:rPr>
        <w:t>, tras ampliar las actividades formativas con las universidades valencianas, diputaciones provinciales, FVMP e INAP, los participantes han sido 1.008 personas más que en 2020 y 12 veces más que en 2018.</w:t>
      </w:r>
    </w:p>
    <w:p w14:paraId="00226E63" w14:textId="77777777" w:rsidR="006B10D4" w:rsidRPr="006B10D4" w:rsidRDefault="006B10D4" w:rsidP="00676635">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De hecho, la media de personas asistentes a actividades formativas ha sido de 43, siete puntos más que en 2020, y 18 puntos más que en 2017 y 2018. Únicamente, en 2019, año en el que, a causa de actividades en línea significativas, la media fue más elevada.</w:t>
      </w:r>
    </w:p>
    <w:p w14:paraId="090E007B" w14:textId="7D4CF194" w:rsidR="006B10D4" w:rsidRPr="00281220" w:rsidRDefault="006B10D4" w:rsidP="00FB6E01">
      <w:pPr>
        <w:spacing w:after="80" w:line="276" w:lineRule="auto"/>
        <w:jc w:val="both"/>
        <w:rPr>
          <w:rFonts w:ascii="Arial" w:eastAsia="Times New Roman" w:hAnsi="Arial" w:cs="Arial"/>
          <w:sz w:val="21"/>
          <w:szCs w:val="21"/>
          <w:lang w:eastAsia="es-ES"/>
        </w:rPr>
      </w:pPr>
      <w:r w:rsidRPr="00281220">
        <w:rPr>
          <w:rFonts w:ascii="Arial" w:eastAsia="Calibri" w:hAnsi="Arial" w:cs="Arial"/>
          <w:noProof/>
          <w:sz w:val="21"/>
          <w:szCs w:val="21"/>
        </w:rPr>
        <w:drawing>
          <wp:anchor distT="0" distB="0" distL="114300" distR="114300" simplePos="0" relativeHeight="252008448" behindDoc="0" locked="0" layoutInCell="1" allowOverlap="1" wp14:anchorId="6BB6D823" wp14:editId="5C0C608B">
            <wp:simplePos x="0" y="0"/>
            <wp:positionH relativeFrom="column">
              <wp:posOffset>751481</wp:posOffset>
            </wp:positionH>
            <wp:positionV relativeFrom="paragraph">
              <wp:posOffset>260516</wp:posOffset>
            </wp:positionV>
            <wp:extent cx="3916172" cy="2407368"/>
            <wp:effectExtent l="0" t="0" r="8255" b="0"/>
            <wp:wrapTopAndBottom/>
            <wp:docPr id="81" name="Imagen 8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descr="Gráfico, Gráfico de barras&#10;&#10;Descripción generada automáticamente"/>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3916172" cy="2407368"/>
                    </a:xfrm>
                    <a:prstGeom prst="rect">
                      <a:avLst/>
                    </a:prstGeom>
                    <a:noFill/>
                  </pic:spPr>
                </pic:pic>
              </a:graphicData>
            </a:graphic>
          </wp:anchor>
        </w:drawing>
      </w:r>
    </w:p>
    <w:p w14:paraId="1918C820" w14:textId="77777777" w:rsidR="00281220" w:rsidRDefault="00281220" w:rsidP="00281220">
      <w:pPr>
        <w:pStyle w:val="Descripcin"/>
        <w:spacing w:after="80"/>
        <w:jc w:val="center"/>
        <w:rPr>
          <w:rFonts w:ascii="Arial" w:hAnsi="Arial" w:cs="Arial"/>
          <w:smallCaps w:val="0"/>
          <w:color w:val="9D2235" w:themeColor="accent1"/>
          <w:sz w:val="18"/>
          <w:szCs w:val="18"/>
        </w:rPr>
      </w:pPr>
    </w:p>
    <w:p w14:paraId="0EFBA186" w14:textId="302CC9BB" w:rsidR="007363ED" w:rsidRPr="00281220" w:rsidRDefault="00281220" w:rsidP="00FB6E01">
      <w:pPr>
        <w:pStyle w:val="Descripcin"/>
        <w:spacing w:after="240" w:line="276" w:lineRule="auto"/>
        <w:jc w:val="center"/>
        <w:rPr>
          <w:rFonts w:ascii="Arial" w:eastAsia="Times New Roman" w:hAnsi="Arial" w:cs="Arial"/>
          <w:smallCaps w:val="0"/>
          <w:sz w:val="18"/>
          <w:szCs w:val="18"/>
          <w:lang w:eastAsia="es-ES"/>
        </w:rPr>
      </w:pPr>
      <w:bookmarkStart w:id="453" w:name="_Toc99099824"/>
      <w:r w:rsidRPr="00281220">
        <w:rPr>
          <w:rFonts w:ascii="Arial" w:hAnsi="Arial" w:cs="Arial"/>
          <w:smallCaps w:val="0"/>
          <w:color w:val="9D2235" w:themeColor="accent1"/>
          <w:sz w:val="18"/>
          <w:szCs w:val="18"/>
        </w:rPr>
        <w:t xml:space="preserve">Gráfico </w:t>
      </w:r>
      <w:r w:rsidRPr="00281220">
        <w:rPr>
          <w:rFonts w:ascii="Arial" w:hAnsi="Arial" w:cs="Arial"/>
          <w:smallCaps w:val="0"/>
          <w:color w:val="9D2235" w:themeColor="accent1"/>
          <w:sz w:val="18"/>
          <w:szCs w:val="18"/>
        </w:rPr>
        <w:fldChar w:fldCharType="begin" w:fldLock="1"/>
      </w:r>
      <w:r w:rsidRPr="00281220">
        <w:rPr>
          <w:rFonts w:ascii="Arial" w:hAnsi="Arial" w:cs="Arial"/>
          <w:smallCaps w:val="0"/>
          <w:color w:val="9D2235" w:themeColor="accent1"/>
          <w:sz w:val="18"/>
          <w:szCs w:val="18"/>
        </w:rPr>
        <w:instrText xml:space="preserve"> SEQ Gráfico \* ARABIC </w:instrText>
      </w:r>
      <w:r w:rsidRPr="00281220">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25</w:t>
      </w:r>
      <w:r w:rsidRPr="00281220">
        <w:rPr>
          <w:rFonts w:ascii="Arial" w:hAnsi="Arial" w:cs="Arial"/>
          <w:smallCaps w:val="0"/>
          <w:color w:val="9D2235" w:themeColor="accent1"/>
          <w:sz w:val="18"/>
          <w:szCs w:val="18"/>
        </w:rPr>
        <w:fldChar w:fldCharType="end"/>
      </w:r>
      <w:r w:rsidRPr="00281220">
        <w:rPr>
          <w:rFonts w:ascii="Arial" w:hAnsi="Arial" w:cs="Arial"/>
          <w:smallCaps w:val="0"/>
          <w:color w:val="9D2235" w:themeColor="accent1"/>
          <w:sz w:val="18"/>
          <w:szCs w:val="18"/>
        </w:rPr>
        <w:t xml:space="preserve">. </w:t>
      </w:r>
      <w:r w:rsidRPr="00281220">
        <w:rPr>
          <w:rFonts w:ascii="Arial" w:hAnsi="Arial" w:cs="Arial"/>
          <w:smallCaps w:val="0"/>
          <w:sz w:val="18"/>
          <w:szCs w:val="18"/>
        </w:rPr>
        <w:t>Evolución participantes en actividades formativas 2017-2021</w:t>
      </w:r>
      <w:bookmarkEnd w:id="453"/>
    </w:p>
    <w:p w14:paraId="6F19E9DC" w14:textId="0AF69C81" w:rsidR="00281220" w:rsidRDefault="00281220" w:rsidP="00281220">
      <w:pPr>
        <w:spacing w:after="240" w:line="276" w:lineRule="auto"/>
        <w:jc w:val="both"/>
        <w:rPr>
          <w:rFonts w:ascii="Arial" w:hAnsi="Arial" w:cs="Arial"/>
          <w:sz w:val="21"/>
          <w:szCs w:val="21"/>
        </w:rPr>
      </w:pPr>
      <w:r>
        <w:rPr>
          <w:rFonts w:ascii="Arial" w:hAnsi="Arial" w:cs="Arial"/>
          <w:sz w:val="21"/>
          <w:szCs w:val="21"/>
        </w:rPr>
        <w:t xml:space="preserve">Finalmente, </w:t>
      </w:r>
      <w:r w:rsidRPr="003416AE">
        <w:rPr>
          <w:rFonts w:ascii="Arial" w:hAnsi="Arial" w:cs="Arial"/>
          <w:sz w:val="21"/>
          <w:szCs w:val="21"/>
        </w:rPr>
        <w:t xml:space="preserve">el gráfico </w:t>
      </w:r>
      <w:r w:rsidR="00E23A07" w:rsidRPr="003416AE">
        <w:rPr>
          <w:rFonts w:ascii="Arial" w:hAnsi="Arial" w:cs="Arial"/>
          <w:sz w:val="21"/>
          <w:szCs w:val="21"/>
        </w:rPr>
        <w:t>2</w:t>
      </w:r>
      <w:r w:rsidR="00676635" w:rsidRPr="003416AE">
        <w:rPr>
          <w:rFonts w:ascii="Arial" w:hAnsi="Arial" w:cs="Arial"/>
          <w:sz w:val="21"/>
          <w:szCs w:val="21"/>
        </w:rPr>
        <w:t>6</w:t>
      </w:r>
      <w:r w:rsidRPr="003416AE">
        <w:rPr>
          <w:rFonts w:ascii="Arial" w:hAnsi="Arial" w:cs="Arial"/>
          <w:sz w:val="21"/>
          <w:szCs w:val="21"/>
        </w:rPr>
        <w:t xml:space="preserve"> evidencia</w:t>
      </w:r>
      <w:r w:rsidRPr="00561EEC">
        <w:rPr>
          <w:rFonts w:ascii="Arial" w:hAnsi="Arial" w:cs="Arial"/>
          <w:sz w:val="21"/>
          <w:szCs w:val="21"/>
        </w:rPr>
        <w:t xml:space="preserve"> que en los últimos tres años se concentra la asistencia de personas a actividades formativas de la AVAF (91% del total) y, de manera singular, en el último año (50% del total).</w:t>
      </w:r>
    </w:p>
    <w:p w14:paraId="1E7D033D" w14:textId="77777777" w:rsidR="00676635" w:rsidRPr="0055259B" w:rsidRDefault="00676635" w:rsidP="00281220">
      <w:pPr>
        <w:spacing w:after="240" w:line="276" w:lineRule="auto"/>
        <w:jc w:val="both"/>
        <w:rPr>
          <w:rFonts w:ascii="Arial" w:hAnsi="Arial" w:cs="Arial"/>
          <w:sz w:val="21"/>
          <w:szCs w:val="21"/>
        </w:rPr>
      </w:pPr>
    </w:p>
    <w:p w14:paraId="380AF643" w14:textId="77777777" w:rsidR="00281220" w:rsidRDefault="00281220" w:rsidP="00281220">
      <w:pPr>
        <w:keepNext/>
        <w:spacing w:after="80" w:line="276" w:lineRule="auto"/>
        <w:jc w:val="center"/>
      </w:pPr>
      <w:r w:rsidRPr="00281220">
        <w:rPr>
          <w:rFonts w:ascii="Arial" w:eastAsia="Calibri" w:hAnsi="Arial" w:cs="Arial"/>
          <w:noProof/>
          <w:sz w:val="21"/>
          <w:szCs w:val="21"/>
        </w:rPr>
        <w:drawing>
          <wp:inline distT="0" distB="0" distL="0" distR="0" wp14:anchorId="663225BA" wp14:editId="2CDE49BB">
            <wp:extent cx="3548712" cy="3013256"/>
            <wp:effectExtent l="0" t="0" r="0" b="0"/>
            <wp:docPr id="17" name="Imagen 17"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Gráfico, Gráfico circular&#10;&#10;Descripción generada automáticamente"/>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3578817" cy="3038818"/>
                    </a:xfrm>
                    <a:prstGeom prst="rect">
                      <a:avLst/>
                    </a:prstGeom>
                    <a:noFill/>
                  </pic:spPr>
                </pic:pic>
              </a:graphicData>
            </a:graphic>
          </wp:inline>
        </w:drawing>
      </w:r>
    </w:p>
    <w:p w14:paraId="7F8699C1" w14:textId="03F2E963" w:rsidR="007363ED" w:rsidRPr="00281220" w:rsidRDefault="00281220" w:rsidP="00281220">
      <w:pPr>
        <w:pStyle w:val="Descripcin"/>
        <w:spacing w:after="240"/>
        <w:jc w:val="center"/>
        <w:rPr>
          <w:rFonts w:ascii="Arial" w:eastAsia="Times New Roman" w:hAnsi="Arial" w:cs="Arial"/>
          <w:smallCaps w:val="0"/>
          <w:sz w:val="18"/>
          <w:szCs w:val="18"/>
          <w:lang w:eastAsia="es-ES"/>
        </w:rPr>
      </w:pPr>
      <w:bookmarkStart w:id="454" w:name="_Toc99099825"/>
      <w:r w:rsidRPr="00281220">
        <w:rPr>
          <w:rFonts w:ascii="Arial" w:hAnsi="Arial" w:cs="Arial"/>
          <w:smallCaps w:val="0"/>
          <w:color w:val="9D2235" w:themeColor="accent1"/>
          <w:sz w:val="18"/>
          <w:szCs w:val="18"/>
        </w:rPr>
        <w:t xml:space="preserve">Gráfico </w:t>
      </w:r>
      <w:r w:rsidRPr="00281220">
        <w:rPr>
          <w:rFonts w:ascii="Arial" w:hAnsi="Arial" w:cs="Arial"/>
          <w:smallCaps w:val="0"/>
          <w:color w:val="9D2235" w:themeColor="accent1"/>
          <w:sz w:val="18"/>
          <w:szCs w:val="18"/>
        </w:rPr>
        <w:fldChar w:fldCharType="begin" w:fldLock="1"/>
      </w:r>
      <w:r w:rsidRPr="00281220">
        <w:rPr>
          <w:rFonts w:ascii="Arial" w:hAnsi="Arial" w:cs="Arial"/>
          <w:smallCaps w:val="0"/>
          <w:color w:val="9D2235" w:themeColor="accent1"/>
          <w:sz w:val="18"/>
          <w:szCs w:val="18"/>
        </w:rPr>
        <w:instrText xml:space="preserve"> SEQ Gráfico \* ARABIC </w:instrText>
      </w:r>
      <w:r w:rsidRPr="00281220">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26</w:t>
      </w:r>
      <w:r w:rsidRPr="00281220">
        <w:rPr>
          <w:rFonts w:ascii="Arial" w:hAnsi="Arial" w:cs="Arial"/>
          <w:smallCaps w:val="0"/>
          <w:color w:val="9D2235" w:themeColor="accent1"/>
          <w:sz w:val="18"/>
          <w:szCs w:val="18"/>
        </w:rPr>
        <w:fldChar w:fldCharType="end"/>
      </w:r>
      <w:r w:rsidRPr="00281220">
        <w:rPr>
          <w:rFonts w:ascii="Arial" w:hAnsi="Arial" w:cs="Arial"/>
          <w:smallCaps w:val="0"/>
          <w:color w:val="9D2235" w:themeColor="accent1"/>
          <w:sz w:val="18"/>
          <w:szCs w:val="18"/>
        </w:rPr>
        <w:t xml:space="preserve">. </w:t>
      </w:r>
      <w:r w:rsidRPr="00281220">
        <w:rPr>
          <w:rFonts w:ascii="Arial" w:hAnsi="Arial" w:cs="Arial"/>
          <w:smallCaps w:val="0"/>
          <w:sz w:val="18"/>
          <w:szCs w:val="18"/>
        </w:rPr>
        <w:t>Distribución de participantes en actividades formativas 2017-2021</w:t>
      </w:r>
      <w:bookmarkEnd w:id="454"/>
    </w:p>
    <w:p w14:paraId="33890EFA" w14:textId="2E3B851D" w:rsidR="006B10D4" w:rsidRPr="006B10D4" w:rsidRDefault="006B10D4" w:rsidP="00306B13">
      <w:pPr>
        <w:spacing w:after="80" w:line="276" w:lineRule="auto"/>
        <w:jc w:val="both"/>
        <w:rPr>
          <w:rFonts w:ascii="Arial" w:eastAsia="Times New Roman" w:hAnsi="Arial" w:cs="Arial"/>
          <w:b/>
          <w:i/>
          <w:iCs/>
          <w:sz w:val="21"/>
          <w:szCs w:val="21"/>
          <w:lang w:eastAsia="es-ES"/>
        </w:rPr>
      </w:pPr>
      <w:r w:rsidRPr="006B10D4">
        <w:rPr>
          <w:rFonts w:ascii="Arial" w:eastAsia="Times New Roman" w:hAnsi="Arial" w:cs="Arial"/>
          <w:b/>
          <w:i/>
          <w:iCs/>
          <w:sz w:val="21"/>
          <w:szCs w:val="21"/>
          <w:lang w:eastAsia="es-ES"/>
        </w:rPr>
        <w:t>Horas lectivas en actividades formativas</w:t>
      </w:r>
    </w:p>
    <w:p w14:paraId="2C105CD8" w14:textId="46FE67AF" w:rsidR="006B10D4" w:rsidRPr="006B10D4" w:rsidRDefault="006B10D4" w:rsidP="00306B13">
      <w:pPr>
        <w:spacing w:after="80" w:line="276" w:lineRule="auto"/>
        <w:rPr>
          <w:rFonts w:ascii="Arial" w:eastAsia="Times New Roman" w:hAnsi="Arial" w:cs="Arial"/>
          <w:bCs/>
          <w:iCs/>
          <w:sz w:val="21"/>
          <w:szCs w:val="21"/>
          <w:lang w:eastAsia="es-ES"/>
        </w:rPr>
      </w:pPr>
      <w:r w:rsidRPr="006B10D4">
        <w:rPr>
          <w:rFonts w:ascii="Arial" w:eastAsia="Times New Roman" w:hAnsi="Arial" w:cs="Arial"/>
          <w:bCs/>
          <w:iCs/>
          <w:sz w:val="21"/>
          <w:szCs w:val="21"/>
          <w:lang w:eastAsia="es-ES"/>
        </w:rPr>
        <w:t xml:space="preserve">En correspondencia con lo anterior, las horas lectivas también se han visto incrementadas durante el último ejercicio, un 63% respecto al año anterior y un 166% sobre 2019 </w:t>
      </w:r>
      <w:r w:rsidRPr="003416AE">
        <w:rPr>
          <w:rFonts w:ascii="Arial" w:eastAsia="Times New Roman" w:hAnsi="Arial" w:cs="Arial"/>
          <w:bCs/>
          <w:iCs/>
          <w:sz w:val="21"/>
          <w:szCs w:val="21"/>
          <w:lang w:eastAsia="es-ES"/>
        </w:rPr>
        <w:t xml:space="preserve">(Gráfico </w:t>
      </w:r>
      <w:r w:rsidR="00E23A07" w:rsidRPr="003416AE">
        <w:rPr>
          <w:rFonts w:ascii="Arial" w:eastAsia="Times New Roman" w:hAnsi="Arial" w:cs="Arial"/>
          <w:bCs/>
          <w:iCs/>
          <w:sz w:val="21"/>
          <w:szCs w:val="21"/>
          <w:lang w:eastAsia="es-ES"/>
        </w:rPr>
        <w:t>2</w:t>
      </w:r>
      <w:r w:rsidR="00676635" w:rsidRPr="003416AE">
        <w:rPr>
          <w:rFonts w:ascii="Arial" w:eastAsia="Times New Roman" w:hAnsi="Arial" w:cs="Arial"/>
          <w:bCs/>
          <w:iCs/>
          <w:sz w:val="21"/>
          <w:szCs w:val="21"/>
          <w:lang w:eastAsia="es-ES"/>
        </w:rPr>
        <w:t>7</w:t>
      </w:r>
      <w:r w:rsidRPr="003416AE">
        <w:rPr>
          <w:rFonts w:ascii="Arial" w:eastAsia="Times New Roman" w:hAnsi="Arial" w:cs="Arial"/>
          <w:bCs/>
          <w:iCs/>
          <w:sz w:val="21"/>
          <w:szCs w:val="21"/>
          <w:lang w:eastAsia="es-ES"/>
        </w:rPr>
        <w:t>).</w:t>
      </w:r>
    </w:p>
    <w:p w14:paraId="0AC6A403" w14:textId="583BDFCC" w:rsidR="006B10D4" w:rsidRPr="006B10D4" w:rsidRDefault="00306B13" w:rsidP="009B0CDE">
      <w:pPr>
        <w:spacing w:after="240" w:line="276" w:lineRule="auto"/>
        <w:rPr>
          <w:rFonts w:ascii="Arial" w:eastAsia="Times New Roman" w:hAnsi="Arial" w:cs="Arial"/>
          <w:bCs/>
          <w:iCs/>
          <w:sz w:val="21"/>
          <w:szCs w:val="21"/>
          <w:lang w:eastAsia="es-ES"/>
        </w:rPr>
      </w:pPr>
      <w:r w:rsidRPr="00281220">
        <w:rPr>
          <w:rFonts w:ascii="Arial" w:eastAsia="Calibri" w:hAnsi="Arial" w:cs="Arial"/>
          <w:noProof/>
          <w:sz w:val="21"/>
          <w:szCs w:val="21"/>
        </w:rPr>
        <w:drawing>
          <wp:anchor distT="0" distB="0" distL="114300" distR="114300" simplePos="0" relativeHeight="252009472" behindDoc="0" locked="0" layoutInCell="1" allowOverlap="1" wp14:anchorId="6ECC0B65" wp14:editId="4CD7CB72">
            <wp:simplePos x="0" y="0"/>
            <wp:positionH relativeFrom="column">
              <wp:posOffset>856615</wp:posOffset>
            </wp:positionH>
            <wp:positionV relativeFrom="paragraph">
              <wp:posOffset>623570</wp:posOffset>
            </wp:positionV>
            <wp:extent cx="3745230" cy="2408555"/>
            <wp:effectExtent l="0" t="0" r="7620" b="0"/>
            <wp:wrapTopAndBottom/>
            <wp:docPr id="86" name="Imagen 86"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descr="Gráfico&#10;&#10;Descripción generada automáticamente"/>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3745230" cy="2408555"/>
                    </a:xfrm>
                    <a:prstGeom prst="rect">
                      <a:avLst/>
                    </a:prstGeom>
                    <a:noFill/>
                  </pic:spPr>
                </pic:pic>
              </a:graphicData>
            </a:graphic>
          </wp:anchor>
        </w:drawing>
      </w:r>
      <w:r w:rsidR="006B10D4" w:rsidRPr="006B10D4">
        <w:rPr>
          <w:rFonts w:ascii="Arial" w:eastAsia="Times New Roman" w:hAnsi="Arial" w:cs="Arial"/>
          <w:bCs/>
          <w:iCs/>
          <w:sz w:val="21"/>
          <w:szCs w:val="21"/>
          <w:lang w:eastAsia="es-ES"/>
        </w:rPr>
        <w:t>Si a este hecho, se añade que ha habido también un incremento generalizado del número de horas en cursos formativos para especialistas y grupos de servidores públicos técnicos, el impacto de las horas lectivas puede considerarse cualitativamente más significativo.</w:t>
      </w:r>
    </w:p>
    <w:p w14:paraId="5A496360" w14:textId="10FD4F8D" w:rsidR="007363ED" w:rsidRPr="00905A4A" w:rsidRDefault="00905A4A" w:rsidP="00306B13">
      <w:pPr>
        <w:pStyle w:val="Descripcin"/>
        <w:spacing w:after="80" w:line="276" w:lineRule="auto"/>
        <w:jc w:val="center"/>
        <w:rPr>
          <w:rFonts w:ascii="Arial" w:eastAsia="Times New Roman" w:hAnsi="Arial" w:cs="Arial"/>
          <w:smallCaps w:val="0"/>
          <w:sz w:val="18"/>
          <w:szCs w:val="18"/>
          <w:lang w:eastAsia="es-ES"/>
        </w:rPr>
      </w:pPr>
      <w:bookmarkStart w:id="455" w:name="_Toc99099826"/>
      <w:r w:rsidRPr="00905A4A">
        <w:rPr>
          <w:rFonts w:ascii="Arial" w:hAnsi="Arial" w:cs="Arial"/>
          <w:smallCaps w:val="0"/>
          <w:color w:val="9D2235" w:themeColor="accent1"/>
          <w:sz w:val="18"/>
          <w:szCs w:val="18"/>
        </w:rPr>
        <w:t xml:space="preserve">Gráfico </w:t>
      </w:r>
      <w:r w:rsidRPr="00905A4A">
        <w:rPr>
          <w:rFonts w:ascii="Arial" w:hAnsi="Arial" w:cs="Arial"/>
          <w:smallCaps w:val="0"/>
          <w:color w:val="9D2235" w:themeColor="accent1"/>
          <w:sz w:val="18"/>
          <w:szCs w:val="18"/>
        </w:rPr>
        <w:fldChar w:fldCharType="begin" w:fldLock="1"/>
      </w:r>
      <w:r w:rsidRPr="00905A4A">
        <w:rPr>
          <w:rFonts w:ascii="Arial" w:hAnsi="Arial" w:cs="Arial"/>
          <w:smallCaps w:val="0"/>
          <w:color w:val="9D2235" w:themeColor="accent1"/>
          <w:sz w:val="18"/>
          <w:szCs w:val="18"/>
        </w:rPr>
        <w:instrText xml:space="preserve"> SEQ Gráfico \* ARABIC </w:instrText>
      </w:r>
      <w:r w:rsidRPr="00905A4A">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27</w:t>
      </w:r>
      <w:r w:rsidRPr="00905A4A">
        <w:rPr>
          <w:rFonts w:ascii="Arial" w:hAnsi="Arial" w:cs="Arial"/>
          <w:smallCaps w:val="0"/>
          <w:color w:val="9D2235" w:themeColor="accent1"/>
          <w:sz w:val="18"/>
          <w:szCs w:val="18"/>
        </w:rPr>
        <w:fldChar w:fldCharType="end"/>
      </w:r>
      <w:r w:rsidRPr="00905A4A">
        <w:rPr>
          <w:rFonts w:ascii="Arial" w:hAnsi="Arial" w:cs="Arial"/>
          <w:smallCaps w:val="0"/>
          <w:color w:val="9D2235" w:themeColor="accent1"/>
          <w:sz w:val="18"/>
          <w:szCs w:val="18"/>
        </w:rPr>
        <w:t xml:space="preserve">. </w:t>
      </w:r>
      <w:r w:rsidRPr="00905A4A">
        <w:rPr>
          <w:rFonts w:ascii="Arial" w:hAnsi="Arial" w:cs="Arial"/>
          <w:smallCaps w:val="0"/>
          <w:sz w:val="18"/>
          <w:szCs w:val="18"/>
        </w:rPr>
        <w:t>Evolución horas lectivas en actividades formativas 2017-2021</w:t>
      </w:r>
      <w:bookmarkEnd w:id="455"/>
    </w:p>
    <w:p w14:paraId="6152360E" w14:textId="2DBF5C1F" w:rsidR="006B10D4" w:rsidRDefault="00306B13" w:rsidP="00905A4A">
      <w:pPr>
        <w:spacing w:after="240" w:line="276" w:lineRule="auto"/>
        <w:jc w:val="both"/>
        <w:rPr>
          <w:rFonts w:ascii="Arial" w:eastAsia="Times New Roman" w:hAnsi="Arial" w:cs="Arial"/>
          <w:sz w:val="21"/>
          <w:szCs w:val="21"/>
          <w:lang w:eastAsia="es-ES"/>
        </w:rPr>
      </w:pPr>
      <w:r w:rsidRPr="00905A4A">
        <w:rPr>
          <w:rFonts w:ascii="Arial" w:eastAsia="Calibri" w:hAnsi="Arial" w:cs="Arial"/>
          <w:noProof/>
          <w:sz w:val="18"/>
          <w:szCs w:val="21"/>
        </w:rPr>
        <w:drawing>
          <wp:anchor distT="0" distB="0" distL="114300" distR="114300" simplePos="0" relativeHeight="252020736" behindDoc="0" locked="0" layoutInCell="1" allowOverlap="1" wp14:anchorId="1929BCE6" wp14:editId="2D2759C7">
            <wp:simplePos x="0" y="0"/>
            <wp:positionH relativeFrom="margin">
              <wp:align>center</wp:align>
            </wp:positionH>
            <wp:positionV relativeFrom="paragraph">
              <wp:posOffset>1097915</wp:posOffset>
            </wp:positionV>
            <wp:extent cx="3749675" cy="2883535"/>
            <wp:effectExtent l="0" t="0" r="3175" b="0"/>
            <wp:wrapTopAndBottom/>
            <wp:docPr id="7" name="Imagen 7"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Gráfico, Gráfico circular&#10;&#10;Descripción generada automáticamente"/>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749675" cy="2883535"/>
                    </a:xfrm>
                    <a:prstGeom prst="rect">
                      <a:avLst/>
                    </a:prstGeom>
                    <a:noFill/>
                  </pic:spPr>
                </pic:pic>
              </a:graphicData>
            </a:graphic>
          </wp:anchor>
        </w:drawing>
      </w:r>
      <w:r w:rsidR="006B10D4" w:rsidRPr="006B10D4">
        <w:rPr>
          <w:rFonts w:ascii="Arial" w:eastAsia="Times New Roman" w:hAnsi="Arial" w:cs="Arial"/>
          <w:sz w:val="21"/>
          <w:szCs w:val="21"/>
          <w:lang w:eastAsia="es-ES"/>
        </w:rPr>
        <w:t xml:space="preserve">El </w:t>
      </w:r>
      <w:r w:rsidR="006B10D4" w:rsidRPr="003416AE">
        <w:rPr>
          <w:rFonts w:ascii="Arial" w:eastAsia="Times New Roman" w:hAnsi="Arial" w:cs="Arial"/>
          <w:sz w:val="21"/>
          <w:szCs w:val="21"/>
          <w:lang w:eastAsia="es-ES"/>
        </w:rPr>
        <w:t xml:space="preserve">gráfico </w:t>
      </w:r>
      <w:r w:rsidR="00E23A07" w:rsidRPr="003416AE">
        <w:rPr>
          <w:rFonts w:ascii="Arial" w:eastAsia="Times New Roman" w:hAnsi="Arial" w:cs="Arial"/>
          <w:sz w:val="21"/>
          <w:szCs w:val="21"/>
          <w:lang w:eastAsia="es-ES"/>
        </w:rPr>
        <w:t>2</w:t>
      </w:r>
      <w:r w:rsidR="00676635" w:rsidRPr="003416AE">
        <w:rPr>
          <w:rFonts w:ascii="Arial" w:eastAsia="Times New Roman" w:hAnsi="Arial" w:cs="Arial"/>
          <w:sz w:val="21"/>
          <w:szCs w:val="21"/>
          <w:lang w:eastAsia="es-ES"/>
        </w:rPr>
        <w:t>8</w:t>
      </w:r>
      <w:r w:rsidR="006B10D4" w:rsidRPr="006B10D4">
        <w:rPr>
          <w:rFonts w:ascii="Arial" w:eastAsia="Times New Roman" w:hAnsi="Arial" w:cs="Arial"/>
          <w:sz w:val="21"/>
          <w:szCs w:val="21"/>
          <w:lang w:eastAsia="es-ES"/>
        </w:rPr>
        <w:t xml:space="preserve"> no sólo confirma lo dicho hasta el momento, sino que sirve también para subrayar el hecho de que se ha producido un aumento del número de actividades con una duración media de tiempo inferior, como bien ocurriendo en los últimos años: 2018 (3h 40min de media aproximada por actividad), 2019 (3h 10min), 2020 (2h 45min) y 2021 (2h 20min). Una tendencia motivada por el incremento de acciones formativas singulares con límite de tiempo, en parte por las medidas preventivas sanitarias.</w:t>
      </w:r>
    </w:p>
    <w:p w14:paraId="5D6BE5F8" w14:textId="2F06E3ED" w:rsidR="007363ED" w:rsidRPr="00905A4A" w:rsidRDefault="00905A4A" w:rsidP="00905A4A">
      <w:pPr>
        <w:pStyle w:val="Descripcin"/>
        <w:spacing w:after="240"/>
        <w:jc w:val="center"/>
        <w:rPr>
          <w:rFonts w:ascii="Arial" w:eastAsia="Times New Roman" w:hAnsi="Arial" w:cs="Arial"/>
          <w:smallCaps w:val="0"/>
          <w:sz w:val="18"/>
          <w:szCs w:val="18"/>
          <w:lang w:eastAsia="es-ES"/>
        </w:rPr>
      </w:pPr>
      <w:bookmarkStart w:id="456" w:name="_Toc99099827"/>
      <w:r w:rsidRPr="00905A4A">
        <w:rPr>
          <w:rFonts w:ascii="Arial" w:hAnsi="Arial" w:cs="Arial"/>
          <w:smallCaps w:val="0"/>
          <w:color w:val="9D2235" w:themeColor="accent1"/>
          <w:sz w:val="18"/>
          <w:szCs w:val="18"/>
        </w:rPr>
        <w:t xml:space="preserve">Gráfico </w:t>
      </w:r>
      <w:r w:rsidRPr="00905A4A">
        <w:rPr>
          <w:rFonts w:ascii="Arial" w:hAnsi="Arial" w:cs="Arial"/>
          <w:smallCaps w:val="0"/>
          <w:color w:val="9D2235" w:themeColor="accent1"/>
          <w:sz w:val="18"/>
          <w:szCs w:val="18"/>
        </w:rPr>
        <w:fldChar w:fldCharType="begin" w:fldLock="1"/>
      </w:r>
      <w:r w:rsidRPr="00905A4A">
        <w:rPr>
          <w:rFonts w:ascii="Arial" w:hAnsi="Arial" w:cs="Arial"/>
          <w:smallCaps w:val="0"/>
          <w:color w:val="9D2235" w:themeColor="accent1"/>
          <w:sz w:val="18"/>
          <w:szCs w:val="18"/>
        </w:rPr>
        <w:instrText xml:space="preserve"> SEQ Gráfico \* ARABIC </w:instrText>
      </w:r>
      <w:r w:rsidRPr="00905A4A">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28</w:t>
      </w:r>
      <w:r w:rsidRPr="00905A4A">
        <w:rPr>
          <w:rFonts w:ascii="Arial" w:hAnsi="Arial" w:cs="Arial"/>
          <w:smallCaps w:val="0"/>
          <w:color w:val="9D2235" w:themeColor="accent1"/>
          <w:sz w:val="18"/>
          <w:szCs w:val="18"/>
        </w:rPr>
        <w:fldChar w:fldCharType="end"/>
      </w:r>
      <w:r w:rsidRPr="00905A4A">
        <w:rPr>
          <w:rFonts w:ascii="Arial" w:hAnsi="Arial" w:cs="Arial"/>
          <w:smallCaps w:val="0"/>
          <w:color w:val="9D2235" w:themeColor="accent1"/>
          <w:sz w:val="18"/>
          <w:szCs w:val="18"/>
        </w:rPr>
        <w:t xml:space="preserve">. </w:t>
      </w:r>
      <w:r w:rsidRPr="00905A4A">
        <w:rPr>
          <w:rFonts w:ascii="Arial" w:hAnsi="Arial" w:cs="Arial"/>
          <w:smallCaps w:val="0"/>
          <w:sz w:val="18"/>
          <w:szCs w:val="18"/>
        </w:rPr>
        <w:t>Distribución horas lectivas en actividades formativas 2017-2021</w:t>
      </w:r>
      <w:bookmarkEnd w:id="456"/>
    </w:p>
    <w:p w14:paraId="175780D8" w14:textId="77777777" w:rsidR="006B10D4" w:rsidRPr="006B10D4" w:rsidRDefault="006B10D4" w:rsidP="006B10D4">
      <w:pPr>
        <w:spacing w:after="240" w:line="276" w:lineRule="auto"/>
        <w:jc w:val="both"/>
        <w:rPr>
          <w:rFonts w:ascii="Arial" w:eastAsia="Times New Roman" w:hAnsi="Arial" w:cs="Arial"/>
          <w:b/>
          <w:i/>
          <w:sz w:val="21"/>
          <w:szCs w:val="21"/>
          <w:lang w:eastAsia="es-ES"/>
        </w:rPr>
      </w:pPr>
      <w:r w:rsidRPr="006B10D4">
        <w:rPr>
          <w:rFonts w:ascii="Arial" w:eastAsia="Times New Roman" w:hAnsi="Arial" w:cs="Arial"/>
          <w:b/>
          <w:i/>
          <w:sz w:val="21"/>
          <w:szCs w:val="21"/>
          <w:lang w:eastAsia="es-ES"/>
        </w:rPr>
        <w:t xml:space="preserve">Distribución temporal de las actividades formativas </w:t>
      </w:r>
    </w:p>
    <w:p w14:paraId="12F69399" w14:textId="5D23D0A1" w:rsidR="006B10D4" w:rsidRPr="006B10D4" w:rsidRDefault="006B10D4" w:rsidP="006B10D4">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 xml:space="preserve">Como ya se ha comentado, durante 2021 se ha ido configurando el equipo de formación de la Agencia, incorporándose las últimas dos personas en abril de 2021. Este hecho, unido al ciclo de programación de actividades formativas, al aumento progresivo de la colaboración institucional y a la multiplicación de las demandas externas para que la AVAF participara en actividades formativas, en parte por la exigencia de que las administraciones que gestionen fondos europeos de recuperación cuenten con planes antifraude, explican que durante el último cuatrimestre del año se concentre un 63% de la actividad formativa cívica anual </w:t>
      </w:r>
      <w:r w:rsidRPr="003416AE">
        <w:rPr>
          <w:rFonts w:ascii="Arial" w:eastAsia="Times New Roman" w:hAnsi="Arial" w:cs="Arial"/>
          <w:sz w:val="21"/>
          <w:szCs w:val="21"/>
          <w:lang w:eastAsia="es-ES"/>
        </w:rPr>
        <w:t xml:space="preserve">(Gráfico </w:t>
      </w:r>
      <w:r w:rsidR="00E23A07" w:rsidRPr="003416AE">
        <w:rPr>
          <w:rFonts w:ascii="Arial" w:eastAsia="Times New Roman" w:hAnsi="Arial" w:cs="Arial"/>
          <w:sz w:val="21"/>
          <w:szCs w:val="21"/>
          <w:lang w:eastAsia="es-ES"/>
        </w:rPr>
        <w:t>2</w:t>
      </w:r>
      <w:r w:rsidR="005053ED" w:rsidRPr="003416AE">
        <w:rPr>
          <w:rFonts w:ascii="Arial" w:eastAsia="Times New Roman" w:hAnsi="Arial" w:cs="Arial"/>
          <w:sz w:val="21"/>
          <w:szCs w:val="21"/>
          <w:lang w:eastAsia="es-ES"/>
        </w:rPr>
        <w:t>9</w:t>
      </w:r>
      <w:r w:rsidRPr="003416AE">
        <w:rPr>
          <w:rFonts w:ascii="Arial" w:eastAsia="Times New Roman" w:hAnsi="Arial" w:cs="Arial"/>
          <w:sz w:val="21"/>
          <w:szCs w:val="21"/>
          <w:lang w:eastAsia="es-ES"/>
        </w:rPr>
        <w:t>).</w:t>
      </w:r>
      <w:r w:rsidRPr="006B10D4">
        <w:rPr>
          <w:rFonts w:ascii="Arial" w:eastAsia="Times New Roman" w:hAnsi="Arial" w:cs="Arial"/>
          <w:sz w:val="21"/>
          <w:szCs w:val="21"/>
          <w:lang w:eastAsia="es-ES"/>
        </w:rPr>
        <w:t xml:space="preserve"> </w:t>
      </w:r>
    </w:p>
    <w:p w14:paraId="1888FFBE" w14:textId="77777777" w:rsidR="006B10D4" w:rsidRPr="006B10D4" w:rsidRDefault="006B10D4" w:rsidP="006B10D4">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 xml:space="preserve">De hecho, además las actividades planificadas previamente, ha habido que responder a un número elevado de demandas de formación específica. </w:t>
      </w:r>
    </w:p>
    <w:p w14:paraId="023F9D5E" w14:textId="77777777" w:rsidR="00905A4A" w:rsidRDefault="00905A4A" w:rsidP="00905A4A">
      <w:pPr>
        <w:keepNext/>
        <w:spacing w:after="80" w:line="276" w:lineRule="auto"/>
        <w:jc w:val="center"/>
      </w:pPr>
      <w:r w:rsidRPr="00905A4A">
        <w:rPr>
          <w:rFonts w:ascii="Arial" w:eastAsia="Calibri" w:hAnsi="Arial" w:cs="Arial"/>
          <w:noProof/>
          <w:sz w:val="21"/>
          <w:szCs w:val="21"/>
        </w:rPr>
        <w:drawing>
          <wp:inline distT="0" distB="0" distL="0" distR="0" wp14:anchorId="5E33AE4D" wp14:editId="7FB29C48">
            <wp:extent cx="3753015" cy="3005326"/>
            <wp:effectExtent l="0" t="0" r="0" b="5080"/>
            <wp:docPr id="87" name="Imagen 87" descr="Gráfico, Gráfico de proyección so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descr="Gráfico, Gráfico de proyección solar&#10;&#10;Descripción generada automáticamente"/>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796754" cy="3040351"/>
                    </a:xfrm>
                    <a:prstGeom prst="rect">
                      <a:avLst/>
                    </a:prstGeom>
                    <a:noFill/>
                  </pic:spPr>
                </pic:pic>
              </a:graphicData>
            </a:graphic>
          </wp:inline>
        </w:drawing>
      </w:r>
    </w:p>
    <w:p w14:paraId="66B0E64F" w14:textId="0A56B86F" w:rsidR="00905A4A" w:rsidRPr="00905A4A" w:rsidRDefault="00905A4A" w:rsidP="00D15CE6">
      <w:pPr>
        <w:pStyle w:val="Descripcin"/>
        <w:spacing w:after="240" w:line="276" w:lineRule="auto"/>
        <w:jc w:val="center"/>
        <w:rPr>
          <w:rFonts w:ascii="Arial" w:eastAsia="Times New Roman" w:hAnsi="Arial" w:cs="Arial"/>
          <w:smallCaps w:val="0"/>
          <w:sz w:val="18"/>
          <w:szCs w:val="18"/>
          <w:lang w:eastAsia="es-ES"/>
        </w:rPr>
      </w:pPr>
      <w:bookmarkStart w:id="457" w:name="_Toc99099828"/>
      <w:r w:rsidRPr="00905A4A">
        <w:rPr>
          <w:rFonts w:ascii="Arial" w:hAnsi="Arial" w:cs="Arial"/>
          <w:smallCaps w:val="0"/>
          <w:color w:val="9D2235" w:themeColor="accent1"/>
          <w:sz w:val="18"/>
          <w:szCs w:val="18"/>
        </w:rPr>
        <w:t xml:space="preserve">Gráfico </w:t>
      </w:r>
      <w:r w:rsidRPr="00905A4A">
        <w:rPr>
          <w:rFonts w:ascii="Arial" w:hAnsi="Arial" w:cs="Arial"/>
          <w:smallCaps w:val="0"/>
          <w:color w:val="9D2235" w:themeColor="accent1"/>
          <w:sz w:val="18"/>
          <w:szCs w:val="18"/>
        </w:rPr>
        <w:fldChar w:fldCharType="begin" w:fldLock="1"/>
      </w:r>
      <w:r w:rsidRPr="00905A4A">
        <w:rPr>
          <w:rFonts w:ascii="Arial" w:hAnsi="Arial" w:cs="Arial"/>
          <w:smallCaps w:val="0"/>
          <w:color w:val="9D2235" w:themeColor="accent1"/>
          <w:sz w:val="18"/>
          <w:szCs w:val="18"/>
        </w:rPr>
        <w:instrText xml:space="preserve"> SEQ Gráfico \* ARABIC </w:instrText>
      </w:r>
      <w:r w:rsidRPr="00905A4A">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29</w:t>
      </w:r>
      <w:r w:rsidRPr="00905A4A">
        <w:rPr>
          <w:rFonts w:ascii="Arial" w:hAnsi="Arial" w:cs="Arial"/>
          <w:smallCaps w:val="0"/>
          <w:color w:val="9D2235" w:themeColor="accent1"/>
          <w:sz w:val="18"/>
          <w:szCs w:val="18"/>
        </w:rPr>
        <w:fldChar w:fldCharType="end"/>
      </w:r>
      <w:r w:rsidRPr="00905A4A">
        <w:rPr>
          <w:rFonts w:ascii="Arial" w:hAnsi="Arial" w:cs="Arial"/>
          <w:smallCaps w:val="0"/>
          <w:color w:val="9D2235" w:themeColor="accent1"/>
          <w:sz w:val="18"/>
          <w:szCs w:val="18"/>
        </w:rPr>
        <w:t xml:space="preserve">. </w:t>
      </w:r>
      <w:r w:rsidRPr="00905A4A">
        <w:rPr>
          <w:rFonts w:ascii="Arial" w:hAnsi="Arial" w:cs="Arial"/>
          <w:smallCaps w:val="0"/>
          <w:sz w:val="18"/>
          <w:szCs w:val="18"/>
        </w:rPr>
        <w:t>Distribución de actividades formativas por cuatrimestres 2021</w:t>
      </w:r>
      <w:bookmarkEnd w:id="457"/>
    </w:p>
    <w:p w14:paraId="202FF383" w14:textId="77777777" w:rsidR="006B10D4" w:rsidRPr="006B10D4" w:rsidRDefault="006B10D4" w:rsidP="006B10D4">
      <w:pPr>
        <w:spacing w:after="240" w:line="276" w:lineRule="auto"/>
        <w:jc w:val="both"/>
        <w:rPr>
          <w:rFonts w:ascii="Arial" w:eastAsia="Times New Roman" w:hAnsi="Arial" w:cs="Arial"/>
          <w:b/>
          <w:i/>
          <w:sz w:val="21"/>
          <w:szCs w:val="21"/>
          <w:lang w:eastAsia="es-ES"/>
        </w:rPr>
      </w:pPr>
      <w:r w:rsidRPr="006B10D4">
        <w:rPr>
          <w:rFonts w:ascii="Arial" w:eastAsia="Times New Roman" w:hAnsi="Arial" w:cs="Arial"/>
          <w:b/>
          <w:i/>
          <w:sz w:val="21"/>
          <w:szCs w:val="21"/>
          <w:lang w:eastAsia="es-ES"/>
        </w:rPr>
        <w:t>Distribución territorial de las actividades formativas</w:t>
      </w:r>
    </w:p>
    <w:p w14:paraId="6A9DBC6F" w14:textId="37C5D3E3" w:rsidR="006B10D4" w:rsidRPr="006B10D4" w:rsidRDefault="006B10D4" w:rsidP="006B10D4">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Durante el año 2021 la celebración de actividades se ha distribuido del siguiente modo: 6 actividades en la provincia de Alicante, 4 en la de Castellón, 28 en la de Val</w:t>
      </w:r>
      <w:r w:rsidR="00D15CE6">
        <w:rPr>
          <w:rFonts w:ascii="Arial" w:eastAsia="Times New Roman" w:hAnsi="Arial" w:cs="Arial"/>
          <w:sz w:val="21"/>
          <w:szCs w:val="21"/>
          <w:lang w:eastAsia="es-ES"/>
        </w:rPr>
        <w:t>è</w:t>
      </w:r>
      <w:r w:rsidRPr="006B10D4">
        <w:rPr>
          <w:rFonts w:ascii="Arial" w:eastAsia="Times New Roman" w:hAnsi="Arial" w:cs="Arial"/>
          <w:sz w:val="21"/>
          <w:szCs w:val="21"/>
          <w:lang w:eastAsia="es-ES"/>
        </w:rPr>
        <w:t xml:space="preserve">ncia, 1 actividad en Madrid, y 4 en línea. </w:t>
      </w:r>
    </w:p>
    <w:p w14:paraId="4052D1FB" w14:textId="335AFC73" w:rsidR="006B10D4" w:rsidRPr="006B10D4" w:rsidRDefault="006B10D4" w:rsidP="006B10D4">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Hay que señalar que todas las actividades realizadas en el marco del convenio firmado con la Universidad de València se realizan en la provincia de Val</w:t>
      </w:r>
      <w:r w:rsidR="00D15CE6">
        <w:rPr>
          <w:rFonts w:ascii="Arial" w:eastAsia="Times New Roman" w:hAnsi="Arial" w:cs="Arial"/>
          <w:sz w:val="21"/>
          <w:szCs w:val="21"/>
          <w:lang w:eastAsia="es-ES"/>
        </w:rPr>
        <w:t>e</w:t>
      </w:r>
      <w:r w:rsidRPr="006B10D4">
        <w:rPr>
          <w:rFonts w:ascii="Arial" w:eastAsia="Times New Roman" w:hAnsi="Arial" w:cs="Arial"/>
          <w:sz w:val="21"/>
          <w:szCs w:val="21"/>
          <w:lang w:eastAsia="es-ES"/>
        </w:rPr>
        <w:t xml:space="preserve">ncia, siendo este año 15. </w:t>
      </w:r>
    </w:p>
    <w:p w14:paraId="444E53FD" w14:textId="77777777" w:rsidR="006B10D4" w:rsidRPr="006B10D4" w:rsidRDefault="006B10D4" w:rsidP="006B10D4">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Con todo, el establecimiento de formas de colaboración estables con las diputaciones provinciales de Castellón y Alicante y con las universidades de las respectivas provincias ha incrementado la presencia formativa de la Agencia en Alicante y Castellón durante 2021 y es previsible que lo haga aún más en el futuro inmediato.</w:t>
      </w:r>
    </w:p>
    <w:p w14:paraId="0BF8E788" w14:textId="30AA5C66" w:rsidR="006B10D4" w:rsidRPr="006B10D4" w:rsidRDefault="006B10D4" w:rsidP="006B10D4">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De los 12 docuf</w:t>
      </w:r>
      <w:r w:rsidR="0084642A">
        <w:rPr>
          <w:rFonts w:ascii="Arial" w:eastAsia="Times New Roman" w:hAnsi="Arial" w:cs="Arial"/>
          <w:sz w:val="21"/>
          <w:szCs w:val="21"/>
          <w:lang w:eastAsia="es-ES"/>
        </w:rPr>
        <w:t>ó</w:t>
      </w:r>
      <w:r w:rsidRPr="006B10D4">
        <w:rPr>
          <w:rFonts w:ascii="Arial" w:eastAsia="Times New Roman" w:hAnsi="Arial" w:cs="Arial"/>
          <w:sz w:val="21"/>
          <w:szCs w:val="21"/>
          <w:lang w:eastAsia="es-ES"/>
        </w:rPr>
        <w:t xml:space="preserve">rums realizados, 7 se han realizado en las universidades localizadas en la provincia de Valencia (UV, UPV, CEU-CH), 1 en la provincia de Castellón (UJI), y 4 en la provincia de Alicante (1 en la UA y 3 en la UMH). </w:t>
      </w:r>
    </w:p>
    <w:p w14:paraId="66D6FEFB" w14:textId="6FC623A7" w:rsidR="006B10D4" w:rsidRPr="006B10D4" w:rsidRDefault="006B10D4" w:rsidP="006B10D4">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Fuera de la Comuni</w:t>
      </w:r>
      <w:r w:rsidR="008C1237">
        <w:rPr>
          <w:rFonts w:ascii="Arial" w:eastAsia="Times New Roman" w:hAnsi="Arial" w:cs="Arial"/>
          <w:sz w:val="21"/>
          <w:szCs w:val="21"/>
          <w:lang w:eastAsia="es-ES"/>
        </w:rPr>
        <w:t>tat</w:t>
      </w:r>
      <w:r w:rsidRPr="006B10D4">
        <w:rPr>
          <w:rFonts w:ascii="Arial" w:eastAsia="Times New Roman" w:hAnsi="Arial" w:cs="Arial"/>
          <w:sz w:val="21"/>
          <w:szCs w:val="21"/>
          <w:lang w:eastAsia="es-ES"/>
        </w:rPr>
        <w:t xml:space="preserve"> Valenciana, ha habido una actividad formativa en Madrid, así como 4 acciones en línea, en las que han podido participar personas de toda España. </w:t>
      </w:r>
    </w:p>
    <w:p w14:paraId="631552AA" w14:textId="77777777" w:rsidR="00905A4A" w:rsidRDefault="00905A4A" w:rsidP="00905A4A">
      <w:pPr>
        <w:keepNext/>
        <w:spacing w:after="80" w:line="276" w:lineRule="auto"/>
        <w:jc w:val="center"/>
      </w:pPr>
      <w:r w:rsidRPr="00905A4A">
        <w:rPr>
          <w:rFonts w:ascii="Arial" w:eastAsia="Calibri" w:hAnsi="Arial" w:cs="Arial"/>
          <w:noProof/>
          <w:sz w:val="21"/>
          <w:szCs w:val="21"/>
        </w:rPr>
        <w:drawing>
          <wp:inline distT="0" distB="0" distL="0" distR="0" wp14:anchorId="5DBCA61C" wp14:editId="293D5A9D">
            <wp:extent cx="4302290" cy="3021212"/>
            <wp:effectExtent l="0" t="0" r="3175" b="8255"/>
            <wp:docPr id="24" name="Imagen 24"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Gráfico, Gráfico circular&#10;&#10;Descripción generada automáticamente"/>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4314465" cy="3029761"/>
                    </a:xfrm>
                    <a:prstGeom prst="rect">
                      <a:avLst/>
                    </a:prstGeom>
                    <a:noFill/>
                  </pic:spPr>
                </pic:pic>
              </a:graphicData>
            </a:graphic>
          </wp:inline>
        </w:drawing>
      </w:r>
    </w:p>
    <w:p w14:paraId="39DD30FB" w14:textId="66B4999F" w:rsidR="00905A4A" w:rsidRPr="00905A4A" w:rsidRDefault="00905A4A" w:rsidP="00905A4A">
      <w:pPr>
        <w:pStyle w:val="Descripcin"/>
        <w:spacing w:after="240"/>
        <w:jc w:val="center"/>
        <w:rPr>
          <w:rFonts w:ascii="Arial" w:eastAsia="Times New Roman" w:hAnsi="Arial" w:cs="Arial"/>
          <w:smallCaps w:val="0"/>
          <w:sz w:val="18"/>
          <w:szCs w:val="18"/>
          <w:lang w:eastAsia="es-ES"/>
        </w:rPr>
      </w:pPr>
      <w:bookmarkStart w:id="458" w:name="_Toc99099829"/>
      <w:r w:rsidRPr="00905A4A">
        <w:rPr>
          <w:rFonts w:ascii="Arial" w:hAnsi="Arial" w:cs="Arial"/>
          <w:smallCaps w:val="0"/>
          <w:color w:val="9D2235" w:themeColor="accent1"/>
          <w:sz w:val="18"/>
          <w:szCs w:val="18"/>
        </w:rPr>
        <w:t xml:space="preserve">Gráfico </w:t>
      </w:r>
      <w:r w:rsidRPr="00905A4A">
        <w:rPr>
          <w:rFonts w:ascii="Arial" w:hAnsi="Arial" w:cs="Arial"/>
          <w:smallCaps w:val="0"/>
          <w:color w:val="9D2235" w:themeColor="accent1"/>
          <w:sz w:val="18"/>
          <w:szCs w:val="18"/>
        </w:rPr>
        <w:fldChar w:fldCharType="begin" w:fldLock="1"/>
      </w:r>
      <w:r w:rsidRPr="00905A4A">
        <w:rPr>
          <w:rFonts w:ascii="Arial" w:hAnsi="Arial" w:cs="Arial"/>
          <w:smallCaps w:val="0"/>
          <w:color w:val="9D2235" w:themeColor="accent1"/>
          <w:sz w:val="18"/>
          <w:szCs w:val="18"/>
        </w:rPr>
        <w:instrText xml:space="preserve"> SEQ Gráfico \* ARABIC </w:instrText>
      </w:r>
      <w:r w:rsidRPr="00905A4A">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30</w:t>
      </w:r>
      <w:r w:rsidRPr="00905A4A">
        <w:rPr>
          <w:rFonts w:ascii="Arial" w:hAnsi="Arial" w:cs="Arial"/>
          <w:smallCaps w:val="0"/>
          <w:color w:val="9D2235" w:themeColor="accent1"/>
          <w:sz w:val="18"/>
          <w:szCs w:val="18"/>
        </w:rPr>
        <w:fldChar w:fldCharType="end"/>
      </w:r>
      <w:r w:rsidRPr="00905A4A">
        <w:rPr>
          <w:rFonts w:ascii="Arial" w:hAnsi="Arial" w:cs="Arial"/>
          <w:smallCaps w:val="0"/>
          <w:color w:val="9D2235" w:themeColor="accent1"/>
          <w:sz w:val="18"/>
          <w:szCs w:val="18"/>
        </w:rPr>
        <w:t xml:space="preserve">. </w:t>
      </w:r>
      <w:r w:rsidRPr="00905A4A">
        <w:rPr>
          <w:rFonts w:ascii="Arial" w:hAnsi="Arial" w:cs="Arial"/>
          <w:smallCaps w:val="0"/>
          <w:sz w:val="18"/>
          <w:szCs w:val="18"/>
        </w:rPr>
        <w:t>Distribución territorial de actividades formativas 2021</w:t>
      </w:r>
      <w:bookmarkEnd w:id="458"/>
    </w:p>
    <w:p w14:paraId="740B7098" w14:textId="4B04034D" w:rsidR="00905A4A" w:rsidRPr="00905A4A" w:rsidRDefault="00905A4A" w:rsidP="006769B2">
      <w:pPr>
        <w:spacing w:after="240" w:line="276" w:lineRule="auto"/>
        <w:jc w:val="both"/>
        <w:rPr>
          <w:rFonts w:ascii="Arial" w:eastAsia="Times New Roman" w:hAnsi="Arial" w:cs="Arial"/>
          <w:sz w:val="21"/>
          <w:szCs w:val="21"/>
          <w:lang w:eastAsia="es-ES"/>
        </w:rPr>
      </w:pPr>
      <w:r w:rsidRPr="00905A4A">
        <w:rPr>
          <w:rFonts w:ascii="Arial" w:eastAsia="Times New Roman" w:hAnsi="Arial" w:cs="Arial"/>
          <w:sz w:val="21"/>
          <w:szCs w:val="21"/>
          <w:lang w:eastAsia="es-ES"/>
        </w:rPr>
        <w:t>Dentro de la Comuni</w:t>
      </w:r>
      <w:r w:rsidR="008C1237">
        <w:rPr>
          <w:rFonts w:ascii="Arial" w:eastAsia="Times New Roman" w:hAnsi="Arial" w:cs="Arial"/>
          <w:sz w:val="21"/>
          <w:szCs w:val="21"/>
          <w:lang w:eastAsia="es-ES"/>
        </w:rPr>
        <w:t>tat</w:t>
      </w:r>
      <w:r w:rsidRPr="00905A4A">
        <w:rPr>
          <w:rFonts w:ascii="Arial" w:eastAsia="Times New Roman" w:hAnsi="Arial" w:cs="Arial"/>
          <w:sz w:val="21"/>
          <w:szCs w:val="21"/>
          <w:lang w:eastAsia="es-ES"/>
        </w:rPr>
        <w:t xml:space="preserve"> Valenciana las actividades han tenido lugar en las localidades que se muestran en </w:t>
      </w:r>
      <w:r w:rsidRPr="003416AE">
        <w:rPr>
          <w:rFonts w:ascii="Arial" w:eastAsia="Times New Roman" w:hAnsi="Arial" w:cs="Arial"/>
          <w:sz w:val="21"/>
          <w:szCs w:val="21"/>
          <w:lang w:eastAsia="es-ES"/>
        </w:rPr>
        <w:t xml:space="preserve">el gráfico </w:t>
      </w:r>
      <w:r w:rsidR="00E23A07" w:rsidRPr="003416AE">
        <w:rPr>
          <w:rFonts w:ascii="Arial" w:eastAsia="Times New Roman" w:hAnsi="Arial" w:cs="Arial"/>
          <w:sz w:val="21"/>
          <w:szCs w:val="21"/>
          <w:lang w:eastAsia="es-ES"/>
        </w:rPr>
        <w:t>31</w:t>
      </w:r>
      <w:r w:rsidRPr="00905A4A">
        <w:rPr>
          <w:rFonts w:ascii="Arial" w:eastAsia="Times New Roman" w:hAnsi="Arial" w:cs="Arial"/>
          <w:sz w:val="21"/>
          <w:szCs w:val="21"/>
          <w:lang w:eastAsia="es-ES"/>
        </w:rPr>
        <w:t xml:space="preserve"> y que, de norte a sur, son las siguientes:</w:t>
      </w:r>
    </w:p>
    <w:p w14:paraId="75EB6330" w14:textId="77777777" w:rsidR="00905A4A" w:rsidRPr="00905A4A" w:rsidRDefault="00905A4A" w:rsidP="00E501D4">
      <w:pPr>
        <w:numPr>
          <w:ilvl w:val="0"/>
          <w:numId w:val="135"/>
        </w:numPr>
        <w:spacing w:after="80" w:line="276" w:lineRule="auto"/>
        <w:ind w:left="714" w:hanging="357"/>
        <w:jc w:val="both"/>
        <w:rPr>
          <w:rFonts w:ascii="Arial" w:eastAsia="Times New Roman" w:hAnsi="Arial" w:cs="Arial"/>
          <w:sz w:val="21"/>
          <w:szCs w:val="21"/>
          <w:lang w:eastAsia="es-ES"/>
        </w:rPr>
      </w:pPr>
      <w:r w:rsidRPr="00905A4A">
        <w:rPr>
          <w:rFonts w:ascii="Arial" w:eastAsia="Times New Roman" w:hAnsi="Arial" w:cs="Arial"/>
          <w:sz w:val="21"/>
          <w:szCs w:val="21"/>
          <w:lang w:eastAsia="es-ES"/>
        </w:rPr>
        <w:t>Castelló de la Plana (Plana Alta);</w:t>
      </w:r>
    </w:p>
    <w:p w14:paraId="62491EE6" w14:textId="77777777" w:rsidR="00905A4A" w:rsidRPr="00905A4A" w:rsidRDefault="00905A4A" w:rsidP="00E501D4">
      <w:pPr>
        <w:numPr>
          <w:ilvl w:val="0"/>
          <w:numId w:val="135"/>
        </w:numPr>
        <w:spacing w:after="80" w:line="276" w:lineRule="auto"/>
        <w:jc w:val="both"/>
        <w:rPr>
          <w:rFonts w:ascii="Arial" w:eastAsia="Times New Roman" w:hAnsi="Arial" w:cs="Arial"/>
          <w:sz w:val="21"/>
          <w:szCs w:val="21"/>
          <w:lang w:eastAsia="es-ES"/>
        </w:rPr>
      </w:pPr>
      <w:r w:rsidRPr="00905A4A">
        <w:rPr>
          <w:rFonts w:ascii="Arial" w:eastAsia="Times New Roman" w:hAnsi="Arial" w:cs="Arial"/>
          <w:sz w:val="21"/>
          <w:szCs w:val="21"/>
          <w:lang w:eastAsia="es-ES"/>
        </w:rPr>
        <w:t>Bétera, l’Eliana, Llíria i Riba-roja de Túria (Camp del Túria);</w:t>
      </w:r>
    </w:p>
    <w:p w14:paraId="2A333E24" w14:textId="77777777" w:rsidR="00905A4A" w:rsidRPr="00905A4A" w:rsidRDefault="00905A4A" w:rsidP="00E501D4">
      <w:pPr>
        <w:numPr>
          <w:ilvl w:val="0"/>
          <w:numId w:val="135"/>
        </w:numPr>
        <w:spacing w:after="80" w:line="276" w:lineRule="auto"/>
        <w:jc w:val="both"/>
        <w:rPr>
          <w:rFonts w:ascii="Arial" w:eastAsia="Times New Roman" w:hAnsi="Arial" w:cs="Arial"/>
          <w:sz w:val="21"/>
          <w:szCs w:val="21"/>
          <w:lang w:eastAsia="es-ES"/>
        </w:rPr>
      </w:pPr>
      <w:r w:rsidRPr="00905A4A">
        <w:rPr>
          <w:rFonts w:ascii="Arial" w:eastAsia="Times New Roman" w:hAnsi="Arial" w:cs="Arial"/>
          <w:sz w:val="21"/>
          <w:szCs w:val="21"/>
          <w:lang w:eastAsia="es-ES"/>
        </w:rPr>
        <w:t>Alfara del Patriarca, Massamagrell i Paterna (Horta Nord);</w:t>
      </w:r>
    </w:p>
    <w:p w14:paraId="0AE3A3BA" w14:textId="77777777" w:rsidR="00905A4A" w:rsidRPr="00905A4A" w:rsidRDefault="00905A4A" w:rsidP="00E501D4">
      <w:pPr>
        <w:numPr>
          <w:ilvl w:val="0"/>
          <w:numId w:val="135"/>
        </w:numPr>
        <w:spacing w:after="80" w:line="276" w:lineRule="auto"/>
        <w:jc w:val="both"/>
        <w:rPr>
          <w:rFonts w:ascii="Arial" w:eastAsia="Times New Roman" w:hAnsi="Arial" w:cs="Arial"/>
          <w:sz w:val="21"/>
          <w:szCs w:val="21"/>
          <w:lang w:eastAsia="es-ES"/>
        </w:rPr>
      </w:pPr>
      <w:r w:rsidRPr="00905A4A">
        <w:rPr>
          <w:rFonts w:ascii="Arial" w:eastAsia="Times New Roman" w:hAnsi="Arial" w:cs="Arial"/>
          <w:sz w:val="21"/>
          <w:szCs w:val="21"/>
          <w:lang w:eastAsia="es-ES"/>
        </w:rPr>
        <w:t>Requena (Plana Utiel-Requena);</w:t>
      </w:r>
    </w:p>
    <w:p w14:paraId="5A0CD655" w14:textId="77777777" w:rsidR="00905A4A" w:rsidRPr="00905A4A" w:rsidRDefault="00905A4A" w:rsidP="00E501D4">
      <w:pPr>
        <w:numPr>
          <w:ilvl w:val="0"/>
          <w:numId w:val="135"/>
        </w:numPr>
        <w:spacing w:after="80" w:line="276" w:lineRule="auto"/>
        <w:jc w:val="both"/>
        <w:rPr>
          <w:rFonts w:ascii="Arial" w:eastAsia="Times New Roman" w:hAnsi="Arial" w:cs="Arial"/>
          <w:sz w:val="21"/>
          <w:szCs w:val="21"/>
          <w:lang w:eastAsia="es-ES"/>
        </w:rPr>
      </w:pPr>
      <w:r w:rsidRPr="00905A4A">
        <w:rPr>
          <w:rFonts w:ascii="Arial" w:eastAsia="Times New Roman" w:hAnsi="Arial" w:cs="Arial"/>
          <w:sz w:val="21"/>
          <w:szCs w:val="21"/>
          <w:lang w:eastAsia="es-ES"/>
        </w:rPr>
        <w:t>València;</w:t>
      </w:r>
    </w:p>
    <w:p w14:paraId="39876AD3" w14:textId="77777777" w:rsidR="00905A4A" w:rsidRPr="00905A4A" w:rsidRDefault="00905A4A" w:rsidP="00E501D4">
      <w:pPr>
        <w:numPr>
          <w:ilvl w:val="0"/>
          <w:numId w:val="135"/>
        </w:numPr>
        <w:spacing w:after="80" w:line="276" w:lineRule="auto"/>
        <w:jc w:val="both"/>
        <w:rPr>
          <w:rFonts w:ascii="Arial" w:eastAsia="Times New Roman" w:hAnsi="Arial" w:cs="Arial"/>
          <w:sz w:val="21"/>
          <w:szCs w:val="21"/>
          <w:lang w:eastAsia="es-ES"/>
        </w:rPr>
      </w:pPr>
      <w:r w:rsidRPr="00905A4A">
        <w:rPr>
          <w:rFonts w:ascii="Arial" w:eastAsia="Times New Roman" w:hAnsi="Arial" w:cs="Arial"/>
          <w:sz w:val="21"/>
          <w:szCs w:val="21"/>
          <w:lang w:eastAsia="es-ES"/>
        </w:rPr>
        <w:t xml:space="preserve">Benetússer i Quart de Poblet (Horta Sud); </w:t>
      </w:r>
    </w:p>
    <w:p w14:paraId="1B19E25E" w14:textId="77777777" w:rsidR="00905A4A" w:rsidRPr="00905A4A" w:rsidRDefault="00905A4A" w:rsidP="00E501D4">
      <w:pPr>
        <w:numPr>
          <w:ilvl w:val="0"/>
          <w:numId w:val="135"/>
        </w:numPr>
        <w:spacing w:after="80" w:line="276" w:lineRule="auto"/>
        <w:jc w:val="both"/>
        <w:rPr>
          <w:rFonts w:ascii="Arial" w:eastAsia="Times New Roman" w:hAnsi="Arial" w:cs="Arial"/>
          <w:sz w:val="21"/>
          <w:szCs w:val="21"/>
          <w:lang w:eastAsia="es-ES"/>
        </w:rPr>
      </w:pPr>
      <w:r w:rsidRPr="00905A4A">
        <w:rPr>
          <w:rFonts w:ascii="Arial" w:eastAsia="Times New Roman" w:hAnsi="Arial" w:cs="Arial"/>
          <w:sz w:val="21"/>
          <w:szCs w:val="21"/>
          <w:lang w:eastAsia="es-ES"/>
        </w:rPr>
        <w:t>Torrent (Horta Oest);</w:t>
      </w:r>
    </w:p>
    <w:p w14:paraId="4B0DEF16" w14:textId="77777777" w:rsidR="00905A4A" w:rsidRPr="00905A4A" w:rsidRDefault="00905A4A" w:rsidP="00E501D4">
      <w:pPr>
        <w:numPr>
          <w:ilvl w:val="0"/>
          <w:numId w:val="135"/>
        </w:numPr>
        <w:spacing w:after="80" w:line="276" w:lineRule="auto"/>
        <w:jc w:val="both"/>
        <w:rPr>
          <w:rFonts w:ascii="Arial" w:eastAsia="Times New Roman" w:hAnsi="Arial" w:cs="Arial"/>
          <w:sz w:val="21"/>
          <w:szCs w:val="21"/>
          <w:lang w:eastAsia="es-ES"/>
        </w:rPr>
      </w:pPr>
      <w:r w:rsidRPr="00905A4A">
        <w:rPr>
          <w:rFonts w:ascii="Arial" w:eastAsia="Times New Roman" w:hAnsi="Arial" w:cs="Arial"/>
          <w:sz w:val="21"/>
          <w:szCs w:val="21"/>
          <w:lang w:eastAsia="es-ES"/>
        </w:rPr>
        <w:t>Alzira (Ribera Alta);</w:t>
      </w:r>
    </w:p>
    <w:p w14:paraId="709A0F02" w14:textId="77777777" w:rsidR="00905A4A" w:rsidRPr="00905A4A" w:rsidRDefault="00905A4A" w:rsidP="00E501D4">
      <w:pPr>
        <w:numPr>
          <w:ilvl w:val="0"/>
          <w:numId w:val="135"/>
        </w:numPr>
        <w:spacing w:after="80" w:line="276" w:lineRule="auto"/>
        <w:jc w:val="both"/>
        <w:rPr>
          <w:rFonts w:ascii="Arial" w:eastAsia="Times New Roman" w:hAnsi="Arial" w:cs="Arial"/>
          <w:sz w:val="21"/>
          <w:szCs w:val="21"/>
          <w:lang w:eastAsia="es-ES"/>
        </w:rPr>
      </w:pPr>
      <w:r w:rsidRPr="00905A4A">
        <w:rPr>
          <w:rFonts w:ascii="Arial" w:eastAsia="Times New Roman" w:hAnsi="Arial" w:cs="Arial"/>
          <w:sz w:val="21"/>
          <w:szCs w:val="21"/>
          <w:lang w:eastAsia="es-ES"/>
        </w:rPr>
        <w:t>Cullera (Ribera Baixa);</w:t>
      </w:r>
    </w:p>
    <w:p w14:paraId="613EAEC5" w14:textId="77777777" w:rsidR="00905A4A" w:rsidRPr="00905A4A" w:rsidRDefault="00905A4A" w:rsidP="00E501D4">
      <w:pPr>
        <w:numPr>
          <w:ilvl w:val="0"/>
          <w:numId w:val="135"/>
        </w:numPr>
        <w:spacing w:after="80" w:line="276" w:lineRule="auto"/>
        <w:jc w:val="both"/>
        <w:rPr>
          <w:rFonts w:ascii="Arial" w:eastAsia="Times New Roman" w:hAnsi="Arial" w:cs="Arial"/>
          <w:sz w:val="21"/>
          <w:szCs w:val="21"/>
          <w:lang w:eastAsia="es-ES"/>
        </w:rPr>
      </w:pPr>
      <w:r w:rsidRPr="00905A4A">
        <w:rPr>
          <w:rFonts w:ascii="Arial" w:eastAsia="Times New Roman" w:hAnsi="Arial" w:cs="Arial"/>
          <w:sz w:val="21"/>
          <w:szCs w:val="21"/>
          <w:lang w:eastAsia="es-ES"/>
        </w:rPr>
        <w:t>Gandia (Safor);</w:t>
      </w:r>
    </w:p>
    <w:p w14:paraId="3CC39CE6" w14:textId="77777777" w:rsidR="00905A4A" w:rsidRPr="00905A4A" w:rsidRDefault="00905A4A" w:rsidP="00E501D4">
      <w:pPr>
        <w:numPr>
          <w:ilvl w:val="0"/>
          <w:numId w:val="135"/>
        </w:numPr>
        <w:spacing w:after="80" w:line="276" w:lineRule="auto"/>
        <w:jc w:val="both"/>
        <w:rPr>
          <w:rFonts w:ascii="Arial" w:eastAsia="Times New Roman" w:hAnsi="Arial" w:cs="Arial"/>
          <w:sz w:val="21"/>
          <w:szCs w:val="21"/>
          <w:lang w:eastAsia="es-ES"/>
        </w:rPr>
      </w:pPr>
      <w:r w:rsidRPr="00905A4A">
        <w:rPr>
          <w:rFonts w:ascii="Arial" w:eastAsia="Times New Roman" w:hAnsi="Arial" w:cs="Arial"/>
          <w:sz w:val="21"/>
          <w:szCs w:val="21"/>
          <w:lang w:eastAsia="es-ES"/>
        </w:rPr>
        <w:t>Ontinyent (Vall d‘Albaida);</w:t>
      </w:r>
    </w:p>
    <w:p w14:paraId="3766FB85" w14:textId="77777777" w:rsidR="00905A4A" w:rsidRPr="00905A4A" w:rsidRDefault="00905A4A" w:rsidP="00E501D4">
      <w:pPr>
        <w:numPr>
          <w:ilvl w:val="0"/>
          <w:numId w:val="135"/>
        </w:numPr>
        <w:spacing w:after="80" w:line="276" w:lineRule="auto"/>
        <w:jc w:val="both"/>
        <w:rPr>
          <w:rFonts w:ascii="Arial" w:eastAsia="Times New Roman" w:hAnsi="Arial" w:cs="Arial"/>
          <w:sz w:val="21"/>
          <w:szCs w:val="21"/>
          <w:lang w:eastAsia="es-ES"/>
        </w:rPr>
      </w:pPr>
      <w:r w:rsidRPr="00905A4A">
        <w:rPr>
          <w:rFonts w:ascii="Arial" w:eastAsia="Times New Roman" w:hAnsi="Arial" w:cs="Arial"/>
          <w:sz w:val="21"/>
          <w:szCs w:val="21"/>
          <w:lang w:eastAsia="es-ES"/>
        </w:rPr>
        <w:t>Alacant (Alacantí);</w:t>
      </w:r>
    </w:p>
    <w:p w14:paraId="02F71C13" w14:textId="04CC009A" w:rsidR="00905A4A" w:rsidRPr="00905A4A" w:rsidRDefault="00905A4A" w:rsidP="00E501D4">
      <w:pPr>
        <w:pStyle w:val="Prrafodelista"/>
        <w:numPr>
          <w:ilvl w:val="0"/>
          <w:numId w:val="135"/>
        </w:numPr>
        <w:spacing w:after="80" w:line="276" w:lineRule="auto"/>
        <w:jc w:val="both"/>
        <w:rPr>
          <w:rFonts w:ascii="Arial" w:eastAsia="Times New Roman" w:hAnsi="Arial" w:cs="Arial"/>
          <w:sz w:val="21"/>
          <w:szCs w:val="21"/>
          <w:lang w:eastAsia="es-ES"/>
        </w:rPr>
      </w:pPr>
      <w:r w:rsidRPr="00905A4A">
        <w:rPr>
          <w:rFonts w:ascii="Arial" w:eastAsia="Times New Roman" w:hAnsi="Arial" w:cs="Arial"/>
          <w:sz w:val="21"/>
          <w:szCs w:val="21"/>
          <w:lang w:eastAsia="es-ES"/>
        </w:rPr>
        <w:t>Elx (Baix Vinalopó).</w:t>
      </w:r>
    </w:p>
    <w:p w14:paraId="2B1AA8DF" w14:textId="77777777" w:rsidR="00905A4A" w:rsidRDefault="00905A4A" w:rsidP="006769B2">
      <w:pPr>
        <w:keepNext/>
        <w:spacing w:after="80" w:line="276" w:lineRule="auto"/>
        <w:jc w:val="center"/>
      </w:pPr>
      <w:r w:rsidRPr="00905A4A">
        <w:rPr>
          <w:rFonts w:ascii="Calibri" w:eastAsia="Calibri" w:hAnsi="Calibri" w:cs="Times New Roman"/>
          <w:noProof/>
        </w:rPr>
        <w:drawing>
          <wp:inline distT="0" distB="0" distL="0" distR="0" wp14:anchorId="518456B3" wp14:editId="5CFF0385">
            <wp:extent cx="2718587" cy="4242816"/>
            <wp:effectExtent l="19050" t="19050" r="24765" b="24765"/>
            <wp:docPr id="88" name="Imagen 8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descr="Mapa&#10;&#10;Descripción generada automáticamente"/>
                    <pic:cNvPicPr/>
                  </pic:nvPicPr>
                  <pic:blipFill>
                    <a:blip r:embed="rId511"/>
                    <a:stretch>
                      <a:fillRect/>
                    </a:stretch>
                  </pic:blipFill>
                  <pic:spPr>
                    <a:xfrm>
                      <a:off x="0" y="0"/>
                      <a:ext cx="2725034" cy="4252878"/>
                    </a:xfrm>
                    <a:prstGeom prst="rect">
                      <a:avLst/>
                    </a:prstGeom>
                    <a:ln>
                      <a:solidFill>
                        <a:sysClr val="window" lastClr="FFFFFF">
                          <a:lumMod val="75000"/>
                        </a:sysClr>
                      </a:solidFill>
                    </a:ln>
                  </pic:spPr>
                </pic:pic>
              </a:graphicData>
            </a:graphic>
          </wp:inline>
        </w:drawing>
      </w:r>
    </w:p>
    <w:p w14:paraId="65DE370D" w14:textId="02FEAC84" w:rsidR="00905A4A" w:rsidRDefault="00905A4A" w:rsidP="006769B2">
      <w:pPr>
        <w:pStyle w:val="Descripcin"/>
        <w:spacing w:after="240"/>
        <w:jc w:val="center"/>
        <w:rPr>
          <w:rFonts w:ascii="Arial" w:hAnsi="Arial" w:cs="Arial"/>
          <w:smallCaps w:val="0"/>
          <w:sz w:val="18"/>
          <w:szCs w:val="18"/>
        </w:rPr>
      </w:pPr>
      <w:bookmarkStart w:id="459" w:name="_Toc99099830"/>
      <w:r w:rsidRPr="006769B2">
        <w:rPr>
          <w:rFonts w:ascii="Arial" w:hAnsi="Arial" w:cs="Arial"/>
          <w:smallCaps w:val="0"/>
          <w:color w:val="9D2235" w:themeColor="accent1"/>
          <w:sz w:val="18"/>
          <w:szCs w:val="18"/>
        </w:rPr>
        <w:t xml:space="preserve">Gráfico </w:t>
      </w:r>
      <w:r w:rsidRPr="006769B2">
        <w:rPr>
          <w:rFonts w:ascii="Arial" w:hAnsi="Arial" w:cs="Arial"/>
          <w:smallCaps w:val="0"/>
          <w:color w:val="9D2235" w:themeColor="accent1"/>
          <w:sz w:val="18"/>
          <w:szCs w:val="18"/>
        </w:rPr>
        <w:fldChar w:fldCharType="begin" w:fldLock="1"/>
      </w:r>
      <w:r w:rsidRPr="006769B2">
        <w:rPr>
          <w:rFonts w:ascii="Arial" w:hAnsi="Arial" w:cs="Arial"/>
          <w:smallCaps w:val="0"/>
          <w:color w:val="9D2235" w:themeColor="accent1"/>
          <w:sz w:val="18"/>
          <w:szCs w:val="18"/>
        </w:rPr>
        <w:instrText xml:space="preserve"> SEQ Gráfico \* ARABIC </w:instrText>
      </w:r>
      <w:r w:rsidRPr="006769B2">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31</w:t>
      </w:r>
      <w:r w:rsidRPr="006769B2">
        <w:rPr>
          <w:rFonts w:ascii="Arial" w:hAnsi="Arial" w:cs="Arial"/>
          <w:smallCaps w:val="0"/>
          <w:color w:val="9D2235" w:themeColor="accent1"/>
          <w:sz w:val="18"/>
          <w:szCs w:val="18"/>
        </w:rPr>
        <w:fldChar w:fldCharType="end"/>
      </w:r>
      <w:r w:rsidRPr="006769B2">
        <w:rPr>
          <w:rFonts w:ascii="Arial" w:hAnsi="Arial" w:cs="Arial"/>
          <w:smallCaps w:val="0"/>
          <w:color w:val="9D2235" w:themeColor="accent1"/>
          <w:sz w:val="18"/>
          <w:szCs w:val="18"/>
        </w:rPr>
        <w:t xml:space="preserve">. </w:t>
      </w:r>
      <w:r w:rsidRPr="006769B2">
        <w:rPr>
          <w:rFonts w:ascii="Arial" w:hAnsi="Arial" w:cs="Arial"/>
          <w:smallCaps w:val="0"/>
          <w:sz w:val="18"/>
          <w:szCs w:val="18"/>
        </w:rPr>
        <w:t>Localidades en las que se han desarrollado las actividades formativas 2021</w:t>
      </w:r>
      <w:bookmarkEnd w:id="459"/>
    </w:p>
    <w:p w14:paraId="39540462" w14:textId="77777777" w:rsidR="00306B13" w:rsidRPr="00306B13" w:rsidRDefault="00306B13" w:rsidP="00306B13"/>
    <w:p w14:paraId="01D89E0F" w14:textId="77777777" w:rsidR="006B10D4" w:rsidRPr="006B10D4" w:rsidRDefault="006B10D4" w:rsidP="006B10D4">
      <w:pPr>
        <w:spacing w:after="240" w:line="276" w:lineRule="auto"/>
        <w:jc w:val="both"/>
        <w:rPr>
          <w:rFonts w:ascii="Arial" w:eastAsia="Times New Roman" w:hAnsi="Arial" w:cs="Arial"/>
          <w:b/>
          <w:i/>
          <w:sz w:val="21"/>
          <w:szCs w:val="21"/>
          <w:lang w:eastAsia="es-ES"/>
        </w:rPr>
      </w:pPr>
      <w:r w:rsidRPr="006B10D4">
        <w:rPr>
          <w:rFonts w:ascii="Arial" w:eastAsia="Times New Roman" w:hAnsi="Arial" w:cs="Arial"/>
          <w:b/>
          <w:i/>
          <w:sz w:val="21"/>
          <w:szCs w:val="21"/>
          <w:lang w:eastAsia="es-ES"/>
        </w:rPr>
        <w:t>Origen de las iniciativas formativas</w:t>
      </w:r>
    </w:p>
    <w:p w14:paraId="6E34680F" w14:textId="77777777" w:rsidR="006B10D4" w:rsidRPr="006B10D4" w:rsidRDefault="006B10D4" w:rsidP="006B10D4">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 xml:space="preserve">El origen de las actividades formativas cívicas de la Agencia ha sido diverso. Por un lado, las iniciativas propias y singulares directamente planificadas por la Agencia (30% del total). Por otro, aquellas que se han llevado a cabo sobre la base de los protocolos de colaboración con otras instituciones al amparo de convenios marco o específicos (37% del total) y, finalmente, aquellas que han tenido su iniciación con algún tipo de demandas o propuesta originada en organizaciones de la sociedad civil o distintos organismos e instituciones. </w:t>
      </w:r>
    </w:p>
    <w:p w14:paraId="6B88F3A5" w14:textId="4F041A88" w:rsidR="006B10D4" w:rsidRPr="006B10D4" w:rsidRDefault="006B10D4" w:rsidP="006B10D4">
      <w:pPr>
        <w:spacing w:after="240" w:line="276" w:lineRule="auto"/>
        <w:jc w:val="both"/>
        <w:rPr>
          <w:rFonts w:ascii="Arial" w:eastAsia="Times New Roman" w:hAnsi="Arial" w:cs="Arial"/>
          <w:sz w:val="21"/>
          <w:szCs w:val="21"/>
          <w:lang w:eastAsia="es-ES"/>
        </w:rPr>
      </w:pPr>
      <w:r w:rsidRPr="006B10D4">
        <w:rPr>
          <w:rFonts w:ascii="Arial" w:eastAsia="Times New Roman" w:hAnsi="Arial" w:cs="Arial"/>
          <w:sz w:val="21"/>
          <w:szCs w:val="21"/>
          <w:lang w:eastAsia="es-ES"/>
        </w:rPr>
        <w:t xml:space="preserve">El resultado ha sido un origen de las actividades formativas bastante equilibrado </w:t>
      </w:r>
      <w:r w:rsidRPr="003416AE">
        <w:rPr>
          <w:rFonts w:ascii="Arial" w:eastAsia="Times New Roman" w:hAnsi="Arial" w:cs="Arial"/>
          <w:sz w:val="21"/>
          <w:szCs w:val="21"/>
          <w:lang w:eastAsia="es-ES"/>
        </w:rPr>
        <w:t xml:space="preserve">(Gráfico </w:t>
      </w:r>
      <w:r w:rsidR="000E5FE5" w:rsidRPr="003416AE">
        <w:rPr>
          <w:rFonts w:ascii="Arial" w:eastAsia="Times New Roman" w:hAnsi="Arial" w:cs="Arial"/>
          <w:sz w:val="21"/>
          <w:szCs w:val="21"/>
          <w:lang w:eastAsia="es-ES"/>
        </w:rPr>
        <w:t>3</w:t>
      </w:r>
      <w:r w:rsidR="00EB49DF" w:rsidRPr="003416AE">
        <w:rPr>
          <w:rFonts w:ascii="Arial" w:eastAsia="Times New Roman" w:hAnsi="Arial" w:cs="Arial"/>
          <w:sz w:val="21"/>
          <w:szCs w:val="21"/>
          <w:lang w:eastAsia="es-ES"/>
        </w:rPr>
        <w:t>2</w:t>
      </w:r>
      <w:r w:rsidRPr="003416AE">
        <w:rPr>
          <w:rFonts w:ascii="Arial" w:eastAsia="Times New Roman" w:hAnsi="Arial" w:cs="Arial"/>
          <w:sz w:val="21"/>
          <w:szCs w:val="21"/>
          <w:lang w:eastAsia="es-ES"/>
        </w:rPr>
        <w:t>).</w:t>
      </w:r>
    </w:p>
    <w:p w14:paraId="457D9875" w14:textId="77777777" w:rsidR="006B10D4" w:rsidRDefault="006B10D4" w:rsidP="00905A4A">
      <w:pPr>
        <w:spacing w:after="240" w:line="276" w:lineRule="auto"/>
        <w:jc w:val="both"/>
        <w:rPr>
          <w:rFonts w:ascii="Arial" w:eastAsia="Times New Roman" w:hAnsi="Arial" w:cs="Arial"/>
          <w:sz w:val="21"/>
          <w:szCs w:val="21"/>
          <w:lang w:eastAsia="es-ES"/>
        </w:rPr>
      </w:pPr>
    </w:p>
    <w:p w14:paraId="355A28E6" w14:textId="77777777" w:rsidR="006769B2" w:rsidRDefault="006769B2" w:rsidP="006769B2">
      <w:pPr>
        <w:keepNext/>
        <w:spacing w:after="80" w:line="276" w:lineRule="auto"/>
        <w:jc w:val="center"/>
      </w:pPr>
      <w:r w:rsidRPr="006769B2">
        <w:rPr>
          <w:rFonts w:ascii="Arial" w:eastAsia="Calibri" w:hAnsi="Arial" w:cs="Arial"/>
          <w:noProof/>
          <w:sz w:val="21"/>
          <w:szCs w:val="21"/>
        </w:rPr>
        <w:drawing>
          <wp:inline distT="0" distB="0" distL="0" distR="0" wp14:anchorId="424AB267" wp14:editId="46AAF462">
            <wp:extent cx="3991555" cy="2891851"/>
            <wp:effectExtent l="0" t="0" r="9525" b="3810"/>
            <wp:docPr id="25" name="Imagen 25"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Gráfico, Gráfico circular&#10;&#10;Descripción generada automáticamente"/>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4010309" cy="2905438"/>
                    </a:xfrm>
                    <a:prstGeom prst="rect">
                      <a:avLst/>
                    </a:prstGeom>
                    <a:noFill/>
                  </pic:spPr>
                </pic:pic>
              </a:graphicData>
            </a:graphic>
          </wp:inline>
        </w:drawing>
      </w:r>
    </w:p>
    <w:p w14:paraId="714CFB22" w14:textId="08242B5E" w:rsidR="00905A4A" w:rsidRPr="006769B2" w:rsidRDefault="006769B2" w:rsidP="006769B2">
      <w:pPr>
        <w:pStyle w:val="Descripcin"/>
        <w:spacing w:after="240"/>
        <w:jc w:val="center"/>
        <w:rPr>
          <w:rFonts w:ascii="Arial" w:eastAsia="Times New Roman" w:hAnsi="Arial" w:cs="Arial"/>
          <w:smallCaps w:val="0"/>
          <w:sz w:val="18"/>
          <w:szCs w:val="18"/>
          <w:lang w:eastAsia="es-ES"/>
        </w:rPr>
      </w:pPr>
      <w:bookmarkStart w:id="460" w:name="_Toc99099831"/>
      <w:r w:rsidRPr="006769B2">
        <w:rPr>
          <w:rFonts w:ascii="Arial" w:hAnsi="Arial" w:cs="Arial"/>
          <w:smallCaps w:val="0"/>
          <w:color w:val="9D2235" w:themeColor="accent1"/>
          <w:sz w:val="18"/>
          <w:szCs w:val="18"/>
        </w:rPr>
        <w:t xml:space="preserve">Gráfico </w:t>
      </w:r>
      <w:r w:rsidRPr="006769B2">
        <w:rPr>
          <w:rFonts w:ascii="Arial" w:hAnsi="Arial" w:cs="Arial"/>
          <w:smallCaps w:val="0"/>
          <w:color w:val="9D2235" w:themeColor="accent1"/>
          <w:sz w:val="18"/>
          <w:szCs w:val="18"/>
        </w:rPr>
        <w:fldChar w:fldCharType="begin" w:fldLock="1"/>
      </w:r>
      <w:r w:rsidRPr="006769B2">
        <w:rPr>
          <w:rFonts w:ascii="Arial" w:hAnsi="Arial" w:cs="Arial"/>
          <w:smallCaps w:val="0"/>
          <w:color w:val="9D2235" w:themeColor="accent1"/>
          <w:sz w:val="18"/>
          <w:szCs w:val="18"/>
        </w:rPr>
        <w:instrText xml:space="preserve"> SEQ Gráfico \* ARABIC </w:instrText>
      </w:r>
      <w:r w:rsidRPr="006769B2">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32</w:t>
      </w:r>
      <w:r w:rsidRPr="006769B2">
        <w:rPr>
          <w:rFonts w:ascii="Arial" w:hAnsi="Arial" w:cs="Arial"/>
          <w:smallCaps w:val="0"/>
          <w:color w:val="9D2235" w:themeColor="accent1"/>
          <w:sz w:val="18"/>
          <w:szCs w:val="18"/>
        </w:rPr>
        <w:fldChar w:fldCharType="end"/>
      </w:r>
      <w:r w:rsidRPr="006769B2">
        <w:rPr>
          <w:rFonts w:ascii="Arial" w:hAnsi="Arial" w:cs="Arial"/>
          <w:smallCaps w:val="0"/>
          <w:color w:val="9D2235" w:themeColor="accent1"/>
          <w:sz w:val="18"/>
          <w:szCs w:val="18"/>
        </w:rPr>
        <w:t xml:space="preserve">. </w:t>
      </w:r>
      <w:r w:rsidRPr="006769B2">
        <w:rPr>
          <w:rFonts w:ascii="Arial" w:hAnsi="Arial" w:cs="Arial"/>
          <w:smallCaps w:val="0"/>
          <w:sz w:val="18"/>
          <w:szCs w:val="18"/>
        </w:rPr>
        <w:t>Origen de la iniciativa de actividades formativas 2021</w:t>
      </w:r>
      <w:bookmarkEnd w:id="460"/>
    </w:p>
    <w:p w14:paraId="2EDFB186" w14:textId="4AE4C440" w:rsidR="00905A4A" w:rsidRDefault="006769B2" w:rsidP="006769B2">
      <w:pPr>
        <w:spacing w:after="240" w:line="276" w:lineRule="auto"/>
        <w:jc w:val="both"/>
        <w:rPr>
          <w:rFonts w:ascii="Arial" w:eastAsia="Times New Roman" w:hAnsi="Arial" w:cs="Arial"/>
          <w:sz w:val="21"/>
          <w:szCs w:val="21"/>
          <w:lang w:eastAsia="es-ES"/>
        </w:rPr>
      </w:pPr>
      <w:r w:rsidRPr="006769B2">
        <w:rPr>
          <w:rFonts w:ascii="Arial" w:eastAsia="Times New Roman" w:hAnsi="Arial" w:cs="Arial"/>
          <w:sz w:val="21"/>
          <w:szCs w:val="21"/>
          <w:lang w:eastAsia="es-ES"/>
        </w:rPr>
        <w:t>Las actividades formativas se dirigen a diferentes destinatarios: personal al servicio de las administraciones públicas, estudiantes universitarios y ciudadanía, esencialmente. A continuación, se exponen los aspectos más relevantes de cada línea de trabajo.</w:t>
      </w:r>
    </w:p>
    <w:p w14:paraId="7DA2534B" w14:textId="77777777" w:rsidR="006769B2" w:rsidRPr="006769B2" w:rsidRDefault="006769B2"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61" w:name="_Toc99107111"/>
      <w:r w:rsidRPr="006769B2">
        <w:rPr>
          <w:rFonts w:ascii="Arial" w:eastAsia="Times New Roman" w:hAnsi="Arial" w:cs="Arial"/>
          <w:b/>
          <w:bCs/>
          <w:color w:val="9D2235" w:themeColor="accent1"/>
          <w:sz w:val="28"/>
          <w:szCs w:val="28"/>
          <w:lang w:eastAsia="es-ES"/>
        </w:rPr>
        <w:t>Actividades de formación en la Función pública</w:t>
      </w:r>
      <w:bookmarkEnd w:id="461"/>
    </w:p>
    <w:p w14:paraId="193A2F13" w14:textId="622504C6" w:rsidR="005772E4" w:rsidRPr="005772E4" w:rsidRDefault="005772E4" w:rsidP="005772E4">
      <w:pPr>
        <w:spacing w:after="240" w:line="276" w:lineRule="auto"/>
        <w:jc w:val="both"/>
        <w:rPr>
          <w:rFonts w:ascii="Arial" w:eastAsia="Times New Roman" w:hAnsi="Arial" w:cs="Arial"/>
          <w:sz w:val="21"/>
          <w:szCs w:val="21"/>
          <w:lang w:eastAsia="es-ES"/>
        </w:rPr>
      </w:pPr>
      <w:r w:rsidRPr="005772E4">
        <w:rPr>
          <w:rFonts w:ascii="Arial" w:eastAsia="Times New Roman" w:hAnsi="Arial" w:cs="Arial"/>
          <w:sz w:val="21"/>
          <w:szCs w:val="21"/>
          <w:lang w:eastAsia="es-ES"/>
        </w:rPr>
        <w:t xml:space="preserve">De acuerdo con el Plan Estratégico de Formación y en coherencia con el Reglamento de la Agencia, la formación cívica en materia de integridad y ética pública se orienta de manera prioritaria a las personas con funciones de servicio público de las administraciones públicas. Por ello, se han establecido sistemas de colaboración estable con departamentos de la Generalitat, la FVMP, </w:t>
      </w:r>
      <w:r w:rsidR="004A64E1">
        <w:rPr>
          <w:rFonts w:ascii="Arial" w:eastAsia="Times New Roman" w:hAnsi="Arial" w:cs="Arial"/>
          <w:sz w:val="21"/>
          <w:szCs w:val="21"/>
          <w:lang w:eastAsia="es-ES"/>
        </w:rPr>
        <w:t>D</w:t>
      </w:r>
      <w:r w:rsidRPr="005772E4">
        <w:rPr>
          <w:rFonts w:ascii="Arial" w:eastAsia="Times New Roman" w:hAnsi="Arial" w:cs="Arial"/>
          <w:sz w:val="21"/>
          <w:szCs w:val="21"/>
          <w:lang w:eastAsia="es-ES"/>
        </w:rPr>
        <w:t xml:space="preserve">iputaciones </w:t>
      </w:r>
      <w:r w:rsidR="004A64E1">
        <w:rPr>
          <w:rFonts w:ascii="Arial" w:eastAsia="Times New Roman" w:hAnsi="Arial" w:cs="Arial"/>
          <w:sz w:val="21"/>
          <w:szCs w:val="21"/>
          <w:lang w:eastAsia="es-ES"/>
        </w:rPr>
        <w:t>P</w:t>
      </w:r>
      <w:r w:rsidRPr="005772E4">
        <w:rPr>
          <w:rFonts w:ascii="Arial" w:eastAsia="Times New Roman" w:hAnsi="Arial" w:cs="Arial"/>
          <w:sz w:val="21"/>
          <w:szCs w:val="21"/>
          <w:lang w:eastAsia="es-ES"/>
        </w:rPr>
        <w:t xml:space="preserve">rovinciales, </w:t>
      </w:r>
      <w:r w:rsidR="004A64E1">
        <w:rPr>
          <w:rFonts w:ascii="Arial" w:eastAsia="Times New Roman" w:hAnsi="Arial" w:cs="Arial"/>
          <w:sz w:val="21"/>
          <w:szCs w:val="21"/>
          <w:lang w:eastAsia="es-ES"/>
        </w:rPr>
        <w:t>A</w:t>
      </w:r>
      <w:r w:rsidRPr="005772E4">
        <w:rPr>
          <w:rFonts w:ascii="Arial" w:eastAsia="Times New Roman" w:hAnsi="Arial" w:cs="Arial"/>
          <w:sz w:val="21"/>
          <w:szCs w:val="21"/>
          <w:lang w:eastAsia="es-ES"/>
        </w:rPr>
        <w:t xml:space="preserve">yuntamientos o con el Instituto Nacional de Administración Pública (INAP). De hecho, en 2021, se ha establecido convenios de colaboración funcional con la Diputación de Castelló y el Ayuntamiento de València, que previsiblemente se extenderán a otras diputaciones y administraciones valencianas. </w:t>
      </w:r>
    </w:p>
    <w:p w14:paraId="682CA093" w14:textId="14C26593" w:rsidR="005772E4" w:rsidRPr="005772E4" w:rsidRDefault="005772E4" w:rsidP="00E9031B">
      <w:pPr>
        <w:spacing w:after="240" w:line="276" w:lineRule="auto"/>
        <w:jc w:val="both"/>
        <w:rPr>
          <w:rFonts w:ascii="Arial" w:eastAsia="Times New Roman" w:hAnsi="Arial" w:cs="Arial"/>
          <w:iCs/>
          <w:sz w:val="21"/>
          <w:szCs w:val="21"/>
          <w:lang w:eastAsia="es-ES"/>
        </w:rPr>
      </w:pPr>
      <w:r w:rsidRPr="005772E4">
        <w:rPr>
          <w:rFonts w:ascii="Arial" w:eastAsia="Times New Roman" w:hAnsi="Arial" w:cs="Arial"/>
          <w:sz w:val="21"/>
          <w:szCs w:val="21"/>
          <w:lang w:eastAsia="es-ES"/>
        </w:rPr>
        <w:t xml:space="preserve">Entre las diferentes actividades llevadas a cabo, se han impartido módulos formativos en cursos organizados por diversas instituciones públicas y también se ha elaborado y tutorizado el curso completo de 15 horas del INAP, </w:t>
      </w:r>
      <w:r w:rsidRPr="005772E4">
        <w:rPr>
          <w:rFonts w:ascii="Arial" w:eastAsia="Times New Roman" w:hAnsi="Arial" w:cs="Arial"/>
          <w:i/>
          <w:sz w:val="21"/>
          <w:szCs w:val="21"/>
          <w:lang w:eastAsia="es-ES"/>
        </w:rPr>
        <w:t xml:space="preserve">Prevención de la corrupción en las Administraciones Públicas </w:t>
      </w:r>
      <w:r w:rsidRPr="003416AE">
        <w:rPr>
          <w:rFonts w:ascii="Arial" w:eastAsia="Times New Roman" w:hAnsi="Arial" w:cs="Arial"/>
          <w:iCs/>
          <w:sz w:val="21"/>
          <w:szCs w:val="21"/>
          <w:lang w:eastAsia="es-ES"/>
        </w:rPr>
        <w:t xml:space="preserve">(Tabla </w:t>
      </w:r>
      <w:r w:rsidR="000E5FE5" w:rsidRPr="003416AE">
        <w:rPr>
          <w:rFonts w:ascii="Arial" w:eastAsia="Times New Roman" w:hAnsi="Arial" w:cs="Arial"/>
          <w:iCs/>
          <w:sz w:val="21"/>
          <w:szCs w:val="21"/>
          <w:lang w:eastAsia="es-ES"/>
        </w:rPr>
        <w:t>22</w:t>
      </w:r>
      <w:r w:rsidRPr="005772E4">
        <w:rPr>
          <w:rFonts w:ascii="Arial" w:eastAsia="Times New Roman" w:hAnsi="Arial" w:cs="Arial"/>
          <w:iCs/>
          <w:sz w:val="21"/>
          <w:szCs w:val="21"/>
          <w:lang w:eastAsia="es-ES"/>
        </w:rPr>
        <w:t>)</w:t>
      </w:r>
      <w:r w:rsidR="00CF0839">
        <w:rPr>
          <w:rFonts w:ascii="Arial" w:eastAsia="Times New Roman" w:hAnsi="Arial" w:cs="Arial"/>
          <w:iCs/>
          <w:sz w:val="21"/>
          <w:szCs w:val="21"/>
          <w:lang w:eastAsia="es-ES"/>
        </w:rPr>
        <w:t>:</w:t>
      </w:r>
    </w:p>
    <w:p w14:paraId="13191BD8" w14:textId="77777777" w:rsidR="005772E4" w:rsidRPr="005772E4" w:rsidRDefault="005772E4" w:rsidP="00E9031B">
      <w:pPr>
        <w:numPr>
          <w:ilvl w:val="0"/>
          <w:numId w:val="136"/>
        </w:numPr>
        <w:spacing w:after="120" w:line="276" w:lineRule="auto"/>
        <w:ind w:left="709" w:hanging="357"/>
        <w:jc w:val="both"/>
        <w:rPr>
          <w:rFonts w:ascii="Arial" w:eastAsia="Times New Roman" w:hAnsi="Arial" w:cs="Arial"/>
          <w:sz w:val="21"/>
          <w:szCs w:val="21"/>
          <w:lang w:eastAsia="es-ES"/>
        </w:rPr>
      </w:pPr>
      <w:r w:rsidRPr="005772E4">
        <w:rPr>
          <w:rFonts w:ascii="Arial" w:eastAsia="Times New Roman" w:hAnsi="Arial" w:cs="Arial"/>
          <w:sz w:val="21"/>
          <w:szCs w:val="21"/>
          <w:lang w:eastAsia="es-ES"/>
        </w:rPr>
        <w:t xml:space="preserve">El 21 de junio, se participó en el curso de </w:t>
      </w:r>
      <w:r w:rsidRPr="005772E4">
        <w:rPr>
          <w:rFonts w:ascii="Arial" w:eastAsia="Times New Roman" w:hAnsi="Arial" w:cs="Arial"/>
          <w:b/>
          <w:sz w:val="21"/>
          <w:szCs w:val="21"/>
          <w:lang w:eastAsia="es-ES"/>
        </w:rPr>
        <w:t xml:space="preserve">La Ley de Transparencia: implantación en la Administración Local, </w:t>
      </w:r>
      <w:r w:rsidRPr="005772E4">
        <w:rPr>
          <w:rFonts w:ascii="Arial" w:eastAsia="Times New Roman" w:hAnsi="Arial" w:cs="Arial"/>
          <w:sz w:val="21"/>
          <w:szCs w:val="21"/>
          <w:lang w:eastAsia="es-ES"/>
        </w:rPr>
        <w:t xml:space="preserve">organizado por la Diputación de Alicante. El módulo formativo de la Agencia fue “La Agencia Valenciana Antifraude. El papel del personal al servicio de las administraciones públicas en la lucha contra la corrupción”, en el que se dio conocer la AVAF, sus funciones y actuaciones relacionadas con los empleados públicos locales. </w:t>
      </w:r>
    </w:p>
    <w:p w14:paraId="454DEB49" w14:textId="77777777" w:rsidR="005772E4" w:rsidRPr="005772E4" w:rsidRDefault="005772E4" w:rsidP="00E9031B">
      <w:pPr>
        <w:numPr>
          <w:ilvl w:val="0"/>
          <w:numId w:val="136"/>
        </w:numPr>
        <w:spacing w:after="120" w:line="276" w:lineRule="auto"/>
        <w:ind w:left="709" w:hanging="357"/>
        <w:jc w:val="both"/>
        <w:rPr>
          <w:rFonts w:ascii="Arial" w:eastAsia="Times New Roman" w:hAnsi="Arial" w:cs="Arial"/>
          <w:sz w:val="21"/>
          <w:szCs w:val="21"/>
          <w:lang w:eastAsia="es-ES"/>
        </w:rPr>
      </w:pPr>
      <w:r w:rsidRPr="005772E4">
        <w:rPr>
          <w:rFonts w:ascii="Arial" w:eastAsia="Times New Roman" w:hAnsi="Arial" w:cs="Arial"/>
          <w:sz w:val="21"/>
          <w:szCs w:val="21"/>
          <w:lang w:eastAsia="es-ES"/>
        </w:rPr>
        <w:t xml:space="preserve">El 7 de octubre, se participó en la segunda edición del curso de </w:t>
      </w:r>
      <w:r w:rsidRPr="005772E4">
        <w:rPr>
          <w:rFonts w:ascii="Arial" w:eastAsia="Times New Roman" w:hAnsi="Arial" w:cs="Arial"/>
          <w:b/>
          <w:sz w:val="21"/>
          <w:szCs w:val="21"/>
          <w:lang w:eastAsia="es-ES"/>
        </w:rPr>
        <w:t xml:space="preserve">La Ley de Transparencia: implantación en la Administración Local, </w:t>
      </w:r>
      <w:r w:rsidRPr="005772E4">
        <w:rPr>
          <w:rFonts w:ascii="Arial" w:eastAsia="Times New Roman" w:hAnsi="Arial" w:cs="Arial"/>
          <w:sz w:val="21"/>
          <w:szCs w:val="21"/>
          <w:lang w:eastAsia="es-ES"/>
        </w:rPr>
        <w:t xml:space="preserve">organizado por la Diputación de Alicante, correspondiendo a la Agencia el módulo formativo “La Agencia Valenciana Antifraude. El papel del personal al servicio de las administraciones públicas en la lucha contra la corrupción”. El objetivo, nuevamente, fue dar a conocer la AVAF, sus funciones y actuaciones relacionadas con los empleados públicos locales y su impacto en la transparencia y el buen gobierno. </w:t>
      </w:r>
    </w:p>
    <w:p w14:paraId="594823BD" w14:textId="77777777" w:rsidR="005772E4" w:rsidRPr="005772E4" w:rsidRDefault="005772E4" w:rsidP="00E9031B">
      <w:pPr>
        <w:numPr>
          <w:ilvl w:val="0"/>
          <w:numId w:val="136"/>
        </w:numPr>
        <w:spacing w:after="120" w:line="276" w:lineRule="auto"/>
        <w:ind w:left="709" w:hanging="357"/>
        <w:jc w:val="both"/>
        <w:rPr>
          <w:rFonts w:ascii="Arial" w:eastAsia="Times New Roman" w:hAnsi="Arial" w:cs="Arial"/>
          <w:sz w:val="21"/>
          <w:szCs w:val="21"/>
          <w:lang w:eastAsia="es-ES"/>
        </w:rPr>
      </w:pPr>
      <w:r w:rsidRPr="005772E4">
        <w:rPr>
          <w:rFonts w:ascii="Arial" w:eastAsia="Times New Roman" w:hAnsi="Arial" w:cs="Arial"/>
          <w:sz w:val="21"/>
          <w:szCs w:val="21"/>
          <w:lang w:eastAsia="es-ES"/>
        </w:rPr>
        <w:t xml:space="preserve">Del 18 de octubre al 7 de noviembre, se realizó el curso en línea, organizado por el INAP, de 15 horas lectivas sobre </w:t>
      </w:r>
      <w:r w:rsidRPr="005772E4">
        <w:rPr>
          <w:rFonts w:ascii="Arial" w:eastAsia="Times New Roman" w:hAnsi="Arial" w:cs="Arial"/>
          <w:b/>
          <w:sz w:val="21"/>
          <w:szCs w:val="21"/>
          <w:lang w:eastAsia="es-ES"/>
        </w:rPr>
        <w:t xml:space="preserve">Prevención de la corrupción en las Administraciones Públicas. </w:t>
      </w:r>
      <w:r w:rsidRPr="005772E4">
        <w:rPr>
          <w:rFonts w:ascii="Arial" w:eastAsia="Times New Roman" w:hAnsi="Arial" w:cs="Arial"/>
          <w:sz w:val="21"/>
          <w:szCs w:val="21"/>
          <w:lang w:eastAsia="es-ES"/>
        </w:rPr>
        <w:t xml:space="preserve">El curso se dirigió a realizar una experiencia formativa orientada al conocimiento de las políticas anticorrupción de la UE, las instituciones que las protagonizan, las principales líneas preventivas y los principios de la ética y la integridad públicas. </w:t>
      </w:r>
    </w:p>
    <w:p w14:paraId="0474B9B0" w14:textId="77777777" w:rsidR="00076B71" w:rsidRPr="00076B71" w:rsidRDefault="005772E4" w:rsidP="00E9031B">
      <w:pPr>
        <w:numPr>
          <w:ilvl w:val="0"/>
          <w:numId w:val="136"/>
        </w:numPr>
        <w:spacing w:after="120" w:line="276" w:lineRule="auto"/>
        <w:ind w:left="709" w:hanging="357"/>
        <w:jc w:val="both"/>
        <w:rPr>
          <w:rFonts w:ascii="Arial" w:eastAsia="Times New Roman" w:hAnsi="Arial" w:cs="Arial"/>
          <w:sz w:val="21"/>
          <w:szCs w:val="21"/>
          <w:lang w:eastAsia="es-ES"/>
        </w:rPr>
      </w:pPr>
      <w:r w:rsidRPr="005772E4">
        <w:rPr>
          <w:rFonts w:ascii="Arial" w:eastAsia="Times New Roman" w:hAnsi="Arial" w:cs="Arial"/>
          <w:sz w:val="21"/>
          <w:szCs w:val="21"/>
          <w:lang w:eastAsia="es-ES"/>
        </w:rPr>
        <w:t xml:space="preserve">El 2 de noviembre la Agencia participó en el curso selectivo para Técnicos Administradores Civiles del Estado (TAC) organizado por el INAP, con la intervención </w:t>
      </w:r>
      <w:r w:rsidRPr="005772E4">
        <w:rPr>
          <w:rFonts w:ascii="Arial" w:eastAsia="Times New Roman" w:hAnsi="Arial" w:cs="Arial"/>
          <w:b/>
          <w:sz w:val="21"/>
          <w:szCs w:val="21"/>
          <w:lang w:eastAsia="es-ES"/>
        </w:rPr>
        <w:t>El papel de las agencias antifraude en la lucha contra la corrupción y por la integridad pública.</w:t>
      </w:r>
    </w:p>
    <w:p w14:paraId="5C750695" w14:textId="2A81CD90" w:rsidR="00905A4A" w:rsidRPr="00076B71" w:rsidRDefault="005772E4" w:rsidP="00076B71">
      <w:pPr>
        <w:numPr>
          <w:ilvl w:val="0"/>
          <w:numId w:val="136"/>
        </w:numPr>
        <w:spacing w:after="240" w:line="276" w:lineRule="auto"/>
        <w:ind w:left="709"/>
        <w:jc w:val="both"/>
        <w:rPr>
          <w:rFonts w:ascii="Arial" w:eastAsia="Times New Roman" w:hAnsi="Arial" w:cs="Arial"/>
          <w:sz w:val="21"/>
          <w:szCs w:val="21"/>
          <w:lang w:eastAsia="es-ES"/>
        </w:rPr>
      </w:pPr>
      <w:r w:rsidRPr="005772E4">
        <w:rPr>
          <w:rFonts w:ascii="Arial" w:eastAsia="Times New Roman" w:hAnsi="Arial" w:cs="Arial"/>
          <w:b/>
          <w:sz w:val="21"/>
          <w:szCs w:val="21"/>
          <w:lang w:eastAsia="es-ES"/>
        </w:rPr>
        <w:t xml:space="preserve"> </w:t>
      </w:r>
      <w:r w:rsidR="00076B71" w:rsidRPr="00076B71">
        <w:rPr>
          <w:rFonts w:ascii="Arial" w:eastAsia="Times New Roman" w:hAnsi="Arial" w:cs="Arial"/>
          <w:sz w:val="21"/>
          <w:szCs w:val="21"/>
          <w:lang w:eastAsia="es-ES"/>
        </w:rPr>
        <w:t xml:space="preserve">El 23 de noviembre, dentro del “Los nuevos retos de la contratación del sector público: instrumentos prácticos. ODS y fondos </w:t>
      </w:r>
      <w:r w:rsidR="00076B71" w:rsidRPr="00076B71">
        <w:rPr>
          <w:rFonts w:ascii="Arial" w:eastAsia="Times New Roman" w:hAnsi="Arial" w:cs="Arial"/>
          <w:i/>
          <w:sz w:val="21"/>
          <w:szCs w:val="21"/>
          <w:lang w:eastAsia="es-ES"/>
        </w:rPr>
        <w:t>Next Generation EU</w:t>
      </w:r>
      <w:r w:rsidR="00076B71" w:rsidRPr="00076B71">
        <w:rPr>
          <w:rFonts w:ascii="Arial" w:eastAsia="Times New Roman" w:hAnsi="Arial" w:cs="Arial"/>
          <w:sz w:val="21"/>
          <w:szCs w:val="21"/>
          <w:lang w:eastAsia="es-ES"/>
        </w:rPr>
        <w:t xml:space="preserve"> para una cultura administrativa sostenible”, organizado por la Diputación de Valencia, se desarrolló el módulo formativo de la AVAF </w:t>
      </w:r>
      <w:r w:rsidR="00076B71" w:rsidRPr="00076B71">
        <w:rPr>
          <w:rFonts w:ascii="Arial" w:eastAsia="Times New Roman" w:hAnsi="Arial" w:cs="Arial"/>
          <w:b/>
          <w:sz w:val="21"/>
          <w:szCs w:val="21"/>
          <w:lang w:eastAsia="es-ES"/>
        </w:rPr>
        <w:t>Los canales de denuncia como a instrumentos para la consecución de instituciones sólidas</w:t>
      </w:r>
      <w:r w:rsidR="00076B71" w:rsidRPr="00076B71">
        <w:rPr>
          <w:rFonts w:ascii="Arial" w:eastAsia="Times New Roman" w:hAnsi="Arial" w:cs="Arial"/>
          <w:sz w:val="21"/>
          <w:szCs w:val="21"/>
          <w:lang w:eastAsia="es-ES"/>
        </w:rPr>
        <w:t>, que, además de explicar las funciones y actuaciones de la AVAF, centró la atención en la necesidad de implantar los canales de denuncia.</w:t>
      </w:r>
    </w:p>
    <w:p w14:paraId="475A4EC6" w14:textId="40DFBF1E" w:rsidR="006769B2" w:rsidRPr="006769B2" w:rsidRDefault="006769B2" w:rsidP="006769B2">
      <w:pPr>
        <w:pStyle w:val="Descripcin"/>
        <w:keepNext/>
        <w:spacing w:after="80"/>
        <w:rPr>
          <w:rFonts w:ascii="Arial" w:hAnsi="Arial" w:cs="Arial"/>
          <w:smallCaps w:val="0"/>
          <w:sz w:val="18"/>
          <w:szCs w:val="18"/>
        </w:rPr>
      </w:pPr>
      <w:bookmarkStart w:id="462" w:name="_Toc99107160"/>
      <w:r w:rsidRPr="006769B2">
        <w:rPr>
          <w:rFonts w:ascii="Arial" w:hAnsi="Arial" w:cs="Arial"/>
          <w:smallCaps w:val="0"/>
          <w:color w:val="9D2235" w:themeColor="accent1"/>
          <w:sz w:val="18"/>
          <w:szCs w:val="18"/>
        </w:rPr>
        <w:t xml:space="preserve">Tabla </w:t>
      </w:r>
      <w:r w:rsidRPr="006769B2">
        <w:rPr>
          <w:rFonts w:ascii="Arial" w:hAnsi="Arial" w:cs="Arial"/>
          <w:smallCaps w:val="0"/>
          <w:color w:val="9D2235" w:themeColor="accent1"/>
          <w:sz w:val="18"/>
          <w:szCs w:val="18"/>
        </w:rPr>
        <w:fldChar w:fldCharType="begin" w:fldLock="1"/>
      </w:r>
      <w:r w:rsidRPr="006769B2">
        <w:rPr>
          <w:rFonts w:ascii="Arial" w:hAnsi="Arial" w:cs="Arial"/>
          <w:smallCaps w:val="0"/>
          <w:color w:val="9D2235" w:themeColor="accent1"/>
          <w:sz w:val="18"/>
          <w:szCs w:val="18"/>
        </w:rPr>
        <w:instrText xml:space="preserve"> SEQ Tabla \* ARABIC </w:instrText>
      </w:r>
      <w:r w:rsidRPr="006769B2">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22</w:t>
      </w:r>
      <w:r w:rsidRPr="006769B2">
        <w:rPr>
          <w:rFonts w:ascii="Arial" w:hAnsi="Arial" w:cs="Arial"/>
          <w:smallCaps w:val="0"/>
          <w:color w:val="9D2235" w:themeColor="accent1"/>
          <w:sz w:val="18"/>
          <w:szCs w:val="18"/>
        </w:rPr>
        <w:fldChar w:fldCharType="end"/>
      </w:r>
      <w:r w:rsidRPr="006769B2">
        <w:rPr>
          <w:rFonts w:ascii="Arial" w:hAnsi="Arial" w:cs="Arial"/>
          <w:smallCaps w:val="0"/>
          <w:color w:val="9D2235" w:themeColor="accent1"/>
          <w:sz w:val="18"/>
          <w:szCs w:val="18"/>
        </w:rPr>
        <w:t xml:space="preserve">. </w:t>
      </w:r>
      <w:r w:rsidRPr="006769B2">
        <w:rPr>
          <w:rFonts w:ascii="Arial" w:hAnsi="Arial" w:cs="Arial"/>
          <w:smallCaps w:val="0"/>
          <w:sz w:val="18"/>
          <w:szCs w:val="18"/>
        </w:rPr>
        <w:t>Participación en cursos dirigidos a servidores públicos</w:t>
      </w:r>
      <w:bookmarkEnd w:id="462"/>
    </w:p>
    <w:tbl>
      <w:tblPr>
        <w:tblStyle w:val="Tablaconcuadrcula5"/>
        <w:tblW w:w="8575" w:type="dxa"/>
        <w:tblLayout w:type="fixed"/>
        <w:tblLook w:val="04A0" w:firstRow="1" w:lastRow="0" w:firstColumn="1" w:lastColumn="0" w:noHBand="0" w:noVBand="1"/>
      </w:tblPr>
      <w:tblGrid>
        <w:gridCol w:w="1129"/>
        <w:gridCol w:w="1701"/>
        <w:gridCol w:w="2694"/>
        <w:gridCol w:w="850"/>
        <w:gridCol w:w="1418"/>
        <w:gridCol w:w="783"/>
      </w:tblGrid>
      <w:tr w:rsidR="006769B2" w:rsidRPr="006769B2" w14:paraId="75F22F53" w14:textId="77777777" w:rsidTr="00EB49DF">
        <w:trPr>
          <w:trHeight w:val="423"/>
        </w:trPr>
        <w:tc>
          <w:tcPr>
            <w:tcW w:w="1129" w:type="dxa"/>
            <w:shd w:val="clear" w:color="auto" w:fill="9D2235"/>
            <w:vAlign w:val="center"/>
          </w:tcPr>
          <w:p w14:paraId="4503EF5B" w14:textId="77777777" w:rsidR="006769B2" w:rsidRPr="00EB49DF" w:rsidRDefault="006769B2" w:rsidP="006769B2">
            <w:pPr>
              <w:rPr>
                <w:rFonts w:ascii="Arial" w:hAnsi="Arial" w:cs="Arial"/>
                <w:b/>
                <w:color w:val="FFFFFF"/>
                <w:sz w:val="17"/>
                <w:szCs w:val="17"/>
              </w:rPr>
            </w:pPr>
            <w:r w:rsidRPr="00EB49DF">
              <w:rPr>
                <w:rFonts w:ascii="Arial" w:hAnsi="Arial" w:cs="Arial"/>
                <w:b/>
                <w:color w:val="FFFFFF"/>
                <w:sz w:val="17"/>
                <w:szCs w:val="17"/>
              </w:rPr>
              <w:t>Entidad</w:t>
            </w:r>
          </w:p>
        </w:tc>
        <w:tc>
          <w:tcPr>
            <w:tcW w:w="1701" w:type="dxa"/>
            <w:shd w:val="clear" w:color="auto" w:fill="9D2235"/>
            <w:vAlign w:val="center"/>
          </w:tcPr>
          <w:p w14:paraId="430249FA" w14:textId="77777777" w:rsidR="006769B2" w:rsidRPr="00EB49DF" w:rsidRDefault="006769B2" w:rsidP="006769B2">
            <w:pPr>
              <w:rPr>
                <w:rFonts w:ascii="Arial" w:hAnsi="Arial" w:cs="Arial"/>
                <w:b/>
                <w:color w:val="FFFFFF"/>
                <w:sz w:val="17"/>
                <w:szCs w:val="17"/>
              </w:rPr>
            </w:pPr>
            <w:r w:rsidRPr="00EB49DF">
              <w:rPr>
                <w:rFonts w:ascii="Arial" w:hAnsi="Arial" w:cs="Arial"/>
                <w:b/>
                <w:color w:val="FFFFFF"/>
                <w:sz w:val="17"/>
                <w:szCs w:val="17"/>
              </w:rPr>
              <w:t>Curso</w:t>
            </w:r>
          </w:p>
        </w:tc>
        <w:tc>
          <w:tcPr>
            <w:tcW w:w="2694" w:type="dxa"/>
            <w:shd w:val="clear" w:color="auto" w:fill="9D2235"/>
            <w:vAlign w:val="center"/>
          </w:tcPr>
          <w:p w14:paraId="49DCE671" w14:textId="77777777" w:rsidR="006769B2" w:rsidRPr="00EB49DF" w:rsidRDefault="006769B2" w:rsidP="006769B2">
            <w:pPr>
              <w:rPr>
                <w:rFonts w:ascii="Arial" w:hAnsi="Arial" w:cs="Arial"/>
                <w:b/>
                <w:color w:val="FFFFFF"/>
                <w:sz w:val="17"/>
                <w:szCs w:val="17"/>
              </w:rPr>
            </w:pPr>
            <w:r w:rsidRPr="00EB49DF">
              <w:rPr>
                <w:rFonts w:ascii="Arial" w:hAnsi="Arial" w:cs="Arial"/>
                <w:b/>
                <w:color w:val="FFFFFF"/>
                <w:sz w:val="17"/>
                <w:szCs w:val="17"/>
              </w:rPr>
              <w:t>Módulo formativo</w:t>
            </w:r>
          </w:p>
        </w:tc>
        <w:tc>
          <w:tcPr>
            <w:tcW w:w="850" w:type="dxa"/>
            <w:shd w:val="clear" w:color="auto" w:fill="9D2235"/>
            <w:vAlign w:val="center"/>
          </w:tcPr>
          <w:p w14:paraId="3A816919" w14:textId="77777777" w:rsidR="006769B2" w:rsidRPr="00EB49DF" w:rsidRDefault="006769B2" w:rsidP="006769B2">
            <w:pPr>
              <w:rPr>
                <w:rFonts w:ascii="Arial" w:hAnsi="Arial" w:cs="Arial"/>
                <w:b/>
                <w:color w:val="FFFFFF"/>
                <w:sz w:val="17"/>
                <w:szCs w:val="17"/>
              </w:rPr>
            </w:pPr>
            <w:r w:rsidRPr="00EB49DF">
              <w:rPr>
                <w:rFonts w:ascii="Arial" w:hAnsi="Arial" w:cs="Arial"/>
                <w:b/>
                <w:color w:val="FFFFFF"/>
                <w:sz w:val="17"/>
                <w:szCs w:val="17"/>
              </w:rPr>
              <w:t>Fecha</w:t>
            </w:r>
          </w:p>
        </w:tc>
        <w:tc>
          <w:tcPr>
            <w:tcW w:w="1418" w:type="dxa"/>
            <w:shd w:val="clear" w:color="auto" w:fill="9D2235"/>
            <w:vAlign w:val="center"/>
          </w:tcPr>
          <w:p w14:paraId="11A9BB14" w14:textId="77777777" w:rsidR="006769B2" w:rsidRPr="00EB49DF" w:rsidRDefault="006769B2" w:rsidP="006769B2">
            <w:pPr>
              <w:rPr>
                <w:rFonts w:ascii="Arial" w:hAnsi="Arial" w:cs="Arial"/>
                <w:b/>
                <w:color w:val="FFFFFF"/>
                <w:sz w:val="17"/>
                <w:szCs w:val="17"/>
              </w:rPr>
            </w:pPr>
            <w:r w:rsidRPr="00EB49DF">
              <w:rPr>
                <w:rFonts w:ascii="Arial" w:hAnsi="Arial" w:cs="Arial"/>
                <w:b/>
                <w:color w:val="FFFFFF"/>
                <w:sz w:val="17"/>
                <w:szCs w:val="17"/>
              </w:rPr>
              <w:t>Participantes</w:t>
            </w:r>
          </w:p>
        </w:tc>
        <w:tc>
          <w:tcPr>
            <w:tcW w:w="783" w:type="dxa"/>
            <w:shd w:val="clear" w:color="auto" w:fill="9D2235"/>
            <w:vAlign w:val="center"/>
          </w:tcPr>
          <w:p w14:paraId="377A9D52" w14:textId="77777777" w:rsidR="006769B2" w:rsidRPr="00EB49DF" w:rsidRDefault="006769B2" w:rsidP="006769B2">
            <w:pPr>
              <w:rPr>
                <w:rFonts w:ascii="Arial" w:hAnsi="Arial" w:cs="Arial"/>
                <w:b/>
                <w:color w:val="FFFFFF"/>
                <w:sz w:val="17"/>
                <w:szCs w:val="17"/>
              </w:rPr>
            </w:pPr>
            <w:r w:rsidRPr="00EB49DF">
              <w:rPr>
                <w:rFonts w:ascii="Arial" w:hAnsi="Arial" w:cs="Arial"/>
                <w:b/>
                <w:color w:val="FFFFFF"/>
                <w:sz w:val="17"/>
                <w:szCs w:val="17"/>
              </w:rPr>
              <w:t>Horas</w:t>
            </w:r>
          </w:p>
        </w:tc>
      </w:tr>
      <w:tr w:rsidR="006769B2" w:rsidRPr="006769B2" w14:paraId="57337EB5" w14:textId="77777777" w:rsidTr="00EB49DF">
        <w:trPr>
          <w:trHeight w:val="239"/>
        </w:trPr>
        <w:tc>
          <w:tcPr>
            <w:tcW w:w="1129" w:type="dxa"/>
            <w:vAlign w:val="center"/>
          </w:tcPr>
          <w:p w14:paraId="2EF25880" w14:textId="1803861A" w:rsidR="006769B2" w:rsidRPr="00EB49DF" w:rsidRDefault="006769B2" w:rsidP="00EB49DF">
            <w:pPr>
              <w:rPr>
                <w:rFonts w:ascii="Arial" w:hAnsi="Arial" w:cs="Arial"/>
                <w:sz w:val="17"/>
                <w:szCs w:val="17"/>
              </w:rPr>
            </w:pPr>
            <w:r w:rsidRPr="00EB49DF">
              <w:rPr>
                <w:rFonts w:ascii="Arial" w:hAnsi="Arial" w:cs="Arial"/>
                <w:sz w:val="17"/>
                <w:szCs w:val="17"/>
              </w:rPr>
              <w:t>Diputación de Alicante</w:t>
            </w:r>
          </w:p>
        </w:tc>
        <w:tc>
          <w:tcPr>
            <w:tcW w:w="1701" w:type="dxa"/>
            <w:vAlign w:val="center"/>
          </w:tcPr>
          <w:p w14:paraId="2239E9CA" w14:textId="77777777" w:rsidR="006769B2" w:rsidRPr="00EB49DF" w:rsidRDefault="006769B2" w:rsidP="00EB49DF">
            <w:pPr>
              <w:rPr>
                <w:rFonts w:ascii="Arial" w:hAnsi="Arial" w:cs="Arial"/>
                <w:sz w:val="17"/>
                <w:szCs w:val="17"/>
              </w:rPr>
            </w:pPr>
            <w:r w:rsidRPr="00EB49DF">
              <w:rPr>
                <w:rFonts w:ascii="Arial" w:hAnsi="Arial" w:cs="Arial"/>
                <w:sz w:val="17"/>
                <w:szCs w:val="17"/>
              </w:rPr>
              <w:t>La Ley de Transparencia: implantación en la Administración Local</w:t>
            </w:r>
          </w:p>
        </w:tc>
        <w:tc>
          <w:tcPr>
            <w:tcW w:w="2694" w:type="dxa"/>
            <w:vAlign w:val="center"/>
          </w:tcPr>
          <w:p w14:paraId="22CAA235" w14:textId="77777777" w:rsidR="006769B2" w:rsidRPr="00EB49DF" w:rsidRDefault="006769B2" w:rsidP="00EB49DF">
            <w:pPr>
              <w:jc w:val="both"/>
              <w:rPr>
                <w:rFonts w:ascii="Arial" w:hAnsi="Arial" w:cs="Arial"/>
                <w:sz w:val="17"/>
                <w:szCs w:val="17"/>
              </w:rPr>
            </w:pPr>
            <w:r w:rsidRPr="00EB49DF">
              <w:rPr>
                <w:rFonts w:ascii="Arial" w:hAnsi="Arial" w:cs="Arial"/>
                <w:sz w:val="17"/>
                <w:szCs w:val="17"/>
              </w:rPr>
              <w:t>La Agencia Valenciana Antifraude. El papel del personal al servicio de las administraciones públicas en la lucha contra la corrupción</w:t>
            </w:r>
          </w:p>
        </w:tc>
        <w:tc>
          <w:tcPr>
            <w:tcW w:w="850" w:type="dxa"/>
            <w:vAlign w:val="center"/>
          </w:tcPr>
          <w:p w14:paraId="52BD8B18"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 xml:space="preserve">21-jun </w:t>
            </w:r>
          </w:p>
        </w:tc>
        <w:tc>
          <w:tcPr>
            <w:tcW w:w="1418" w:type="dxa"/>
            <w:vAlign w:val="center"/>
          </w:tcPr>
          <w:p w14:paraId="4C8DE844"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19</w:t>
            </w:r>
          </w:p>
        </w:tc>
        <w:tc>
          <w:tcPr>
            <w:tcW w:w="783" w:type="dxa"/>
            <w:vAlign w:val="center"/>
          </w:tcPr>
          <w:p w14:paraId="7B145CA7"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1</w:t>
            </w:r>
          </w:p>
        </w:tc>
      </w:tr>
      <w:tr w:rsidR="006769B2" w:rsidRPr="006769B2" w14:paraId="733EABA6" w14:textId="77777777" w:rsidTr="00EB49DF">
        <w:trPr>
          <w:trHeight w:val="253"/>
        </w:trPr>
        <w:tc>
          <w:tcPr>
            <w:tcW w:w="1129" w:type="dxa"/>
            <w:vAlign w:val="center"/>
          </w:tcPr>
          <w:p w14:paraId="67E19B8F" w14:textId="59E34A94" w:rsidR="006769B2" w:rsidRPr="00EB49DF" w:rsidRDefault="006769B2" w:rsidP="00EB49DF">
            <w:pPr>
              <w:rPr>
                <w:rFonts w:ascii="Arial" w:hAnsi="Arial" w:cs="Arial"/>
                <w:sz w:val="17"/>
                <w:szCs w:val="17"/>
              </w:rPr>
            </w:pPr>
            <w:r w:rsidRPr="00EB49DF">
              <w:rPr>
                <w:rFonts w:ascii="Arial" w:hAnsi="Arial" w:cs="Arial"/>
                <w:sz w:val="17"/>
                <w:szCs w:val="17"/>
              </w:rPr>
              <w:t>Diputación de Alicante</w:t>
            </w:r>
          </w:p>
        </w:tc>
        <w:tc>
          <w:tcPr>
            <w:tcW w:w="1701" w:type="dxa"/>
            <w:vAlign w:val="center"/>
          </w:tcPr>
          <w:p w14:paraId="55199BE2" w14:textId="77777777" w:rsidR="006769B2" w:rsidRPr="00EB49DF" w:rsidRDefault="006769B2" w:rsidP="00EB49DF">
            <w:pPr>
              <w:rPr>
                <w:rFonts w:ascii="Arial" w:hAnsi="Arial" w:cs="Arial"/>
                <w:sz w:val="17"/>
                <w:szCs w:val="17"/>
              </w:rPr>
            </w:pPr>
            <w:r w:rsidRPr="00EB49DF">
              <w:rPr>
                <w:rFonts w:ascii="Arial" w:hAnsi="Arial" w:cs="Arial"/>
                <w:sz w:val="17"/>
                <w:szCs w:val="17"/>
              </w:rPr>
              <w:t>La Ley de Transparencia: implantación en la Administración Local</w:t>
            </w:r>
          </w:p>
        </w:tc>
        <w:tc>
          <w:tcPr>
            <w:tcW w:w="2694" w:type="dxa"/>
            <w:vAlign w:val="center"/>
          </w:tcPr>
          <w:p w14:paraId="527E0C42" w14:textId="77777777" w:rsidR="006769B2" w:rsidRPr="00EB49DF" w:rsidRDefault="006769B2" w:rsidP="00EB49DF">
            <w:pPr>
              <w:jc w:val="both"/>
              <w:rPr>
                <w:rFonts w:ascii="Arial" w:hAnsi="Arial" w:cs="Arial"/>
                <w:sz w:val="17"/>
                <w:szCs w:val="17"/>
              </w:rPr>
            </w:pPr>
            <w:r w:rsidRPr="00EB49DF">
              <w:rPr>
                <w:rFonts w:ascii="Arial" w:hAnsi="Arial" w:cs="Arial"/>
                <w:sz w:val="17"/>
                <w:szCs w:val="17"/>
              </w:rPr>
              <w:t>La Agencia Valenciana Antifraude. El papel del personal al servicio de las administraciones públicas en la lucha contra la corrupción</w:t>
            </w:r>
          </w:p>
        </w:tc>
        <w:tc>
          <w:tcPr>
            <w:tcW w:w="850" w:type="dxa"/>
            <w:vAlign w:val="center"/>
          </w:tcPr>
          <w:p w14:paraId="48A9340A"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7-oct</w:t>
            </w:r>
          </w:p>
        </w:tc>
        <w:tc>
          <w:tcPr>
            <w:tcW w:w="1418" w:type="dxa"/>
            <w:vAlign w:val="center"/>
          </w:tcPr>
          <w:p w14:paraId="1E3E4B56"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13</w:t>
            </w:r>
          </w:p>
        </w:tc>
        <w:tc>
          <w:tcPr>
            <w:tcW w:w="783" w:type="dxa"/>
            <w:vAlign w:val="center"/>
          </w:tcPr>
          <w:p w14:paraId="56DCE4B4"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1</w:t>
            </w:r>
          </w:p>
        </w:tc>
      </w:tr>
      <w:tr w:rsidR="006769B2" w:rsidRPr="006769B2" w14:paraId="4937F75B" w14:textId="77777777" w:rsidTr="00EB49DF">
        <w:trPr>
          <w:trHeight w:val="239"/>
        </w:trPr>
        <w:tc>
          <w:tcPr>
            <w:tcW w:w="1129" w:type="dxa"/>
            <w:vAlign w:val="center"/>
          </w:tcPr>
          <w:p w14:paraId="464BEC7A" w14:textId="77777777" w:rsidR="006769B2" w:rsidRPr="00EB49DF" w:rsidRDefault="006769B2" w:rsidP="00EB49DF">
            <w:pPr>
              <w:rPr>
                <w:rFonts w:ascii="Arial" w:hAnsi="Arial" w:cs="Arial"/>
                <w:sz w:val="17"/>
                <w:szCs w:val="17"/>
              </w:rPr>
            </w:pPr>
            <w:r w:rsidRPr="00EB49DF">
              <w:rPr>
                <w:rFonts w:ascii="Arial" w:hAnsi="Arial" w:cs="Arial"/>
                <w:sz w:val="17"/>
                <w:szCs w:val="17"/>
              </w:rPr>
              <w:t>INAP</w:t>
            </w:r>
          </w:p>
        </w:tc>
        <w:tc>
          <w:tcPr>
            <w:tcW w:w="1701" w:type="dxa"/>
            <w:vAlign w:val="center"/>
          </w:tcPr>
          <w:p w14:paraId="69BBD0D2" w14:textId="77777777" w:rsidR="006769B2" w:rsidRPr="00EB49DF" w:rsidRDefault="006769B2" w:rsidP="00EB49DF">
            <w:pPr>
              <w:rPr>
                <w:rFonts w:ascii="Arial" w:hAnsi="Arial" w:cs="Arial"/>
                <w:sz w:val="17"/>
                <w:szCs w:val="17"/>
              </w:rPr>
            </w:pPr>
            <w:r w:rsidRPr="00EB49DF">
              <w:rPr>
                <w:rFonts w:ascii="Arial" w:hAnsi="Arial" w:cs="Arial"/>
                <w:sz w:val="17"/>
                <w:szCs w:val="17"/>
              </w:rPr>
              <w:t>Prevención de la corrupción en la Administración Pública</w:t>
            </w:r>
          </w:p>
        </w:tc>
        <w:tc>
          <w:tcPr>
            <w:tcW w:w="2694" w:type="dxa"/>
            <w:vAlign w:val="center"/>
          </w:tcPr>
          <w:p w14:paraId="6546F396" w14:textId="77777777" w:rsidR="006769B2" w:rsidRPr="00EB49DF" w:rsidRDefault="006769B2" w:rsidP="00EB49DF">
            <w:pPr>
              <w:jc w:val="both"/>
              <w:rPr>
                <w:rFonts w:ascii="Arial" w:hAnsi="Arial" w:cs="Arial"/>
                <w:sz w:val="17"/>
                <w:szCs w:val="17"/>
              </w:rPr>
            </w:pPr>
            <w:r w:rsidRPr="00EB49DF">
              <w:rPr>
                <w:rFonts w:ascii="Arial" w:hAnsi="Arial" w:cs="Arial"/>
                <w:sz w:val="17"/>
                <w:szCs w:val="17"/>
              </w:rPr>
              <w:t>Curso completo en línea (</w:t>
            </w:r>
            <w:r w:rsidRPr="00EB49DF">
              <w:rPr>
                <w:rFonts w:ascii="Arial" w:hAnsi="Arial" w:cs="Arial"/>
                <w:i/>
                <w:iCs/>
                <w:sz w:val="17"/>
                <w:szCs w:val="17"/>
              </w:rPr>
              <w:t>online)</w:t>
            </w:r>
            <w:r w:rsidRPr="00EB49DF">
              <w:rPr>
                <w:rFonts w:ascii="Arial" w:hAnsi="Arial" w:cs="Arial"/>
                <w:sz w:val="17"/>
                <w:szCs w:val="17"/>
              </w:rPr>
              <w:t xml:space="preserve"> </w:t>
            </w:r>
          </w:p>
        </w:tc>
        <w:tc>
          <w:tcPr>
            <w:tcW w:w="850" w:type="dxa"/>
            <w:vAlign w:val="center"/>
          </w:tcPr>
          <w:p w14:paraId="6DFB9F86"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18-oct a 7-nov</w:t>
            </w:r>
          </w:p>
        </w:tc>
        <w:tc>
          <w:tcPr>
            <w:tcW w:w="1418" w:type="dxa"/>
            <w:vAlign w:val="center"/>
          </w:tcPr>
          <w:p w14:paraId="6923D64E"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60</w:t>
            </w:r>
          </w:p>
        </w:tc>
        <w:tc>
          <w:tcPr>
            <w:tcW w:w="783" w:type="dxa"/>
            <w:vAlign w:val="center"/>
          </w:tcPr>
          <w:p w14:paraId="1EE16DA4"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15</w:t>
            </w:r>
          </w:p>
        </w:tc>
      </w:tr>
      <w:tr w:rsidR="006769B2" w:rsidRPr="006769B2" w14:paraId="033921F8" w14:textId="77777777" w:rsidTr="00EB49DF">
        <w:trPr>
          <w:trHeight w:val="239"/>
        </w:trPr>
        <w:tc>
          <w:tcPr>
            <w:tcW w:w="1129" w:type="dxa"/>
            <w:vAlign w:val="center"/>
          </w:tcPr>
          <w:p w14:paraId="0319428B" w14:textId="77777777" w:rsidR="006769B2" w:rsidRPr="00EB49DF" w:rsidRDefault="006769B2" w:rsidP="00EB49DF">
            <w:pPr>
              <w:rPr>
                <w:rFonts w:ascii="Arial" w:hAnsi="Arial" w:cs="Arial"/>
                <w:sz w:val="17"/>
                <w:szCs w:val="17"/>
              </w:rPr>
            </w:pPr>
            <w:r w:rsidRPr="00EB49DF">
              <w:rPr>
                <w:rFonts w:ascii="Arial" w:hAnsi="Arial" w:cs="Arial"/>
                <w:sz w:val="17"/>
                <w:szCs w:val="17"/>
              </w:rPr>
              <w:t>INAP</w:t>
            </w:r>
          </w:p>
        </w:tc>
        <w:tc>
          <w:tcPr>
            <w:tcW w:w="1701" w:type="dxa"/>
            <w:vAlign w:val="center"/>
          </w:tcPr>
          <w:p w14:paraId="7B1A71DC" w14:textId="77777777" w:rsidR="006769B2" w:rsidRPr="00EB49DF" w:rsidRDefault="006769B2" w:rsidP="00EB49DF">
            <w:pPr>
              <w:rPr>
                <w:rFonts w:ascii="Arial" w:hAnsi="Arial" w:cs="Arial"/>
                <w:sz w:val="17"/>
                <w:szCs w:val="17"/>
              </w:rPr>
            </w:pPr>
            <w:r w:rsidRPr="00EB49DF">
              <w:rPr>
                <w:rFonts w:ascii="Arial" w:hAnsi="Arial" w:cs="Arial"/>
                <w:sz w:val="17"/>
                <w:szCs w:val="17"/>
              </w:rPr>
              <w:t>Curso selectivo TAC</w:t>
            </w:r>
          </w:p>
        </w:tc>
        <w:tc>
          <w:tcPr>
            <w:tcW w:w="2694" w:type="dxa"/>
            <w:vAlign w:val="center"/>
          </w:tcPr>
          <w:p w14:paraId="408EFAF0" w14:textId="77777777" w:rsidR="006769B2" w:rsidRPr="00EB49DF" w:rsidRDefault="006769B2" w:rsidP="00EB49DF">
            <w:pPr>
              <w:jc w:val="both"/>
              <w:rPr>
                <w:rFonts w:ascii="Arial" w:hAnsi="Arial" w:cs="Arial"/>
                <w:sz w:val="17"/>
                <w:szCs w:val="17"/>
              </w:rPr>
            </w:pPr>
            <w:r w:rsidRPr="00EB49DF">
              <w:rPr>
                <w:rFonts w:ascii="Arial" w:hAnsi="Arial" w:cs="Arial"/>
                <w:sz w:val="17"/>
                <w:szCs w:val="17"/>
              </w:rPr>
              <w:t>El papel de las agencias antifraude en la lucha contra la corrupción y por la integridad pública</w:t>
            </w:r>
          </w:p>
        </w:tc>
        <w:tc>
          <w:tcPr>
            <w:tcW w:w="850" w:type="dxa"/>
            <w:vAlign w:val="center"/>
          </w:tcPr>
          <w:p w14:paraId="483D96E3"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2-nov</w:t>
            </w:r>
          </w:p>
        </w:tc>
        <w:tc>
          <w:tcPr>
            <w:tcW w:w="1418" w:type="dxa"/>
            <w:vAlign w:val="center"/>
          </w:tcPr>
          <w:p w14:paraId="7DD26A2A"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65</w:t>
            </w:r>
          </w:p>
        </w:tc>
        <w:tc>
          <w:tcPr>
            <w:tcW w:w="783" w:type="dxa"/>
            <w:vAlign w:val="center"/>
          </w:tcPr>
          <w:p w14:paraId="0C3FB616"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1</w:t>
            </w:r>
          </w:p>
        </w:tc>
      </w:tr>
      <w:tr w:rsidR="006769B2" w:rsidRPr="006769B2" w14:paraId="3C494DCA" w14:textId="77777777" w:rsidTr="00EB49DF">
        <w:trPr>
          <w:trHeight w:val="239"/>
        </w:trPr>
        <w:tc>
          <w:tcPr>
            <w:tcW w:w="1129" w:type="dxa"/>
            <w:vAlign w:val="center"/>
          </w:tcPr>
          <w:p w14:paraId="41D8CE82" w14:textId="77777777" w:rsidR="006769B2" w:rsidRPr="00EB49DF" w:rsidRDefault="006769B2" w:rsidP="00EB49DF">
            <w:pPr>
              <w:rPr>
                <w:rFonts w:ascii="Arial" w:hAnsi="Arial" w:cs="Arial"/>
                <w:sz w:val="17"/>
                <w:szCs w:val="17"/>
              </w:rPr>
            </w:pPr>
            <w:r w:rsidRPr="00EB49DF">
              <w:rPr>
                <w:rFonts w:ascii="Arial" w:hAnsi="Arial" w:cs="Arial"/>
                <w:sz w:val="17"/>
                <w:szCs w:val="17"/>
              </w:rPr>
              <w:t>Diputación de Valencia</w:t>
            </w:r>
          </w:p>
        </w:tc>
        <w:tc>
          <w:tcPr>
            <w:tcW w:w="1701" w:type="dxa"/>
            <w:vAlign w:val="center"/>
          </w:tcPr>
          <w:p w14:paraId="35771989" w14:textId="77777777" w:rsidR="006769B2" w:rsidRPr="00EB49DF" w:rsidRDefault="006769B2" w:rsidP="00EB49DF">
            <w:pPr>
              <w:rPr>
                <w:rFonts w:ascii="Arial" w:hAnsi="Arial" w:cs="Arial"/>
                <w:sz w:val="17"/>
                <w:szCs w:val="17"/>
              </w:rPr>
            </w:pPr>
            <w:r w:rsidRPr="00EB49DF">
              <w:rPr>
                <w:rFonts w:ascii="Arial" w:hAnsi="Arial" w:cs="Arial"/>
                <w:sz w:val="17"/>
                <w:szCs w:val="17"/>
              </w:rPr>
              <w:t>Los nuevos retos de la contratación pública</w:t>
            </w:r>
          </w:p>
        </w:tc>
        <w:tc>
          <w:tcPr>
            <w:tcW w:w="2694" w:type="dxa"/>
            <w:vAlign w:val="center"/>
          </w:tcPr>
          <w:p w14:paraId="351B721D" w14:textId="77777777" w:rsidR="006769B2" w:rsidRPr="00EB49DF" w:rsidRDefault="006769B2" w:rsidP="00EB49DF">
            <w:pPr>
              <w:jc w:val="both"/>
              <w:rPr>
                <w:rFonts w:ascii="Arial" w:hAnsi="Arial" w:cs="Arial"/>
                <w:sz w:val="17"/>
                <w:szCs w:val="17"/>
              </w:rPr>
            </w:pPr>
            <w:r w:rsidRPr="00EB49DF">
              <w:rPr>
                <w:rFonts w:ascii="Arial" w:hAnsi="Arial" w:cs="Arial"/>
                <w:sz w:val="17"/>
                <w:szCs w:val="17"/>
              </w:rPr>
              <w:t>Contratación íntegra. Los canales de denuncia como instrumento para la consecución de instituciones sólidas</w:t>
            </w:r>
          </w:p>
        </w:tc>
        <w:tc>
          <w:tcPr>
            <w:tcW w:w="850" w:type="dxa"/>
            <w:vAlign w:val="center"/>
          </w:tcPr>
          <w:p w14:paraId="78F5981A"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23-nov</w:t>
            </w:r>
          </w:p>
        </w:tc>
        <w:tc>
          <w:tcPr>
            <w:tcW w:w="1418" w:type="dxa"/>
            <w:vAlign w:val="center"/>
          </w:tcPr>
          <w:p w14:paraId="00D907EC"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51</w:t>
            </w:r>
          </w:p>
        </w:tc>
        <w:tc>
          <w:tcPr>
            <w:tcW w:w="783" w:type="dxa"/>
            <w:vAlign w:val="center"/>
          </w:tcPr>
          <w:p w14:paraId="2111A08F" w14:textId="77777777" w:rsidR="006769B2" w:rsidRPr="00EB49DF" w:rsidRDefault="006769B2" w:rsidP="006769B2">
            <w:pPr>
              <w:jc w:val="center"/>
              <w:rPr>
                <w:rFonts w:ascii="Arial" w:hAnsi="Arial" w:cs="Arial"/>
                <w:sz w:val="17"/>
                <w:szCs w:val="17"/>
              </w:rPr>
            </w:pPr>
            <w:r w:rsidRPr="00EB49DF">
              <w:rPr>
                <w:rFonts w:ascii="Arial" w:hAnsi="Arial" w:cs="Arial"/>
                <w:sz w:val="17"/>
                <w:szCs w:val="17"/>
              </w:rPr>
              <w:t>2</w:t>
            </w:r>
          </w:p>
        </w:tc>
      </w:tr>
      <w:tr w:rsidR="006769B2" w:rsidRPr="006769B2" w14:paraId="24A5AFA4" w14:textId="77777777" w:rsidTr="00EB49DF">
        <w:trPr>
          <w:trHeight w:val="239"/>
        </w:trPr>
        <w:tc>
          <w:tcPr>
            <w:tcW w:w="6374" w:type="dxa"/>
            <w:gridSpan w:val="4"/>
            <w:shd w:val="clear" w:color="auto" w:fill="D9D9D9"/>
            <w:vAlign w:val="center"/>
          </w:tcPr>
          <w:p w14:paraId="633A1A6E" w14:textId="77777777" w:rsidR="006769B2" w:rsidRPr="00EB49DF" w:rsidRDefault="006769B2" w:rsidP="006769B2">
            <w:pPr>
              <w:jc w:val="right"/>
              <w:rPr>
                <w:rFonts w:ascii="Arial" w:hAnsi="Arial" w:cs="Arial"/>
                <w:b/>
                <w:sz w:val="17"/>
                <w:szCs w:val="17"/>
              </w:rPr>
            </w:pPr>
            <w:r w:rsidRPr="00EB49DF">
              <w:rPr>
                <w:rFonts w:ascii="Arial" w:hAnsi="Arial" w:cs="Arial"/>
                <w:b/>
                <w:sz w:val="17"/>
                <w:szCs w:val="17"/>
              </w:rPr>
              <w:t>Totales de cursos</w:t>
            </w:r>
          </w:p>
        </w:tc>
        <w:tc>
          <w:tcPr>
            <w:tcW w:w="1418" w:type="dxa"/>
            <w:shd w:val="clear" w:color="auto" w:fill="D9D9D9"/>
            <w:vAlign w:val="center"/>
          </w:tcPr>
          <w:p w14:paraId="4714E09A" w14:textId="69D9290A" w:rsidR="006769B2" w:rsidRPr="00EB49DF" w:rsidRDefault="006769B2" w:rsidP="006769B2">
            <w:pPr>
              <w:jc w:val="center"/>
              <w:rPr>
                <w:rFonts w:ascii="Arial" w:hAnsi="Arial" w:cs="Arial"/>
                <w:b/>
                <w:sz w:val="17"/>
                <w:szCs w:val="17"/>
              </w:rPr>
            </w:pPr>
            <w:r w:rsidRPr="00EB49DF">
              <w:rPr>
                <w:rFonts w:ascii="Arial" w:hAnsi="Arial" w:cs="Arial"/>
                <w:b/>
                <w:sz w:val="17"/>
                <w:szCs w:val="17"/>
              </w:rPr>
              <w:t xml:space="preserve">208 </w:t>
            </w:r>
          </w:p>
        </w:tc>
        <w:tc>
          <w:tcPr>
            <w:tcW w:w="783" w:type="dxa"/>
            <w:shd w:val="clear" w:color="auto" w:fill="D9D9D9"/>
            <w:vAlign w:val="center"/>
          </w:tcPr>
          <w:p w14:paraId="06F94A57" w14:textId="4B0849C9" w:rsidR="006769B2" w:rsidRPr="00EB49DF" w:rsidRDefault="006769B2" w:rsidP="006769B2">
            <w:pPr>
              <w:jc w:val="center"/>
              <w:rPr>
                <w:rFonts w:ascii="Arial" w:hAnsi="Arial" w:cs="Arial"/>
                <w:b/>
                <w:sz w:val="17"/>
                <w:szCs w:val="17"/>
              </w:rPr>
            </w:pPr>
            <w:r w:rsidRPr="00EB49DF">
              <w:rPr>
                <w:rFonts w:ascii="Arial" w:hAnsi="Arial" w:cs="Arial"/>
                <w:b/>
                <w:sz w:val="17"/>
                <w:szCs w:val="17"/>
              </w:rPr>
              <w:t xml:space="preserve">20 </w:t>
            </w:r>
          </w:p>
        </w:tc>
      </w:tr>
    </w:tbl>
    <w:p w14:paraId="26FFAA61" w14:textId="39381844" w:rsidR="00905A4A" w:rsidRDefault="00905A4A" w:rsidP="007C27F4">
      <w:pPr>
        <w:spacing w:after="240" w:line="276" w:lineRule="auto"/>
        <w:jc w:val="both"/>
        <w:rPr>
          <w:rFonts w:ascii="Arial" w:eastAsia="Times New Roman" w:hAnsi="Arial" w:cs="Arial"/>
          <w:sz w:val="21"/>
          <w:szCs w:val="21"/>
          <w:lang w:eastAsia="es-ES"/>
        </w:rPr>
      </w:pPr>
    </w:p>
    <w:p w14:paraId="770DEADF" w14:textId="4E1B400F" w:rsidR="00CF0839" w:rsidRPr="00CF0839" w:rsidRDefault="00CF0839" w:rsidP="00E9031B">
      <w:pPr>
        <w:spacing w:after="24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Además de los cursos, se ha colaborado con diferentes instituciones en jornadas, congresos y conferencias dirigidas a personal al servicio de las administraciones públicas </w:t>
      </w:r>
      <w:r w:rsidRPr="003416AE">
        <w:rPr>
          <w:rFonts w:ascii="Arial" w:eastAsia="Times New Roman" w:hAnsi="Arial" w:cs="Arial"/>
          <w:sz w:val="21"/>
          <w:szCs w:val="21"/>
          <w:lang w:eastAsia="es-ES"/>
        </w:rPr>
        <w:t xml:space="preserve">(Tabla </w:t>
      </w:r>
      <w:r w:rsidR="005976FC" w:rsidRPr="003416AE">
        <w:rPr>
          <w:rFonts w:ascii="Arial" w:eastAsia="Times New Roman" w:hAnsi="Arial" w:cs="Arial"/>
          <w:sz w:val="21"/>
          <w:szCs w:val="21"/>
          <w:lang w:eastAsia="es-ES"/>
        </w:rPr>
        <w:t>2</w:t>
      </w:r>
      <w:r w:rsidR="000E5FE5" w:rsidRPr="003416AE">
        <w:rPr>
          <w:rFonts w:ascii="Arial" w:eastAsia="Times New Roman" w:hAnsi="Arial" w:cs="Arial"/>
          <w:sz w:val="21"/>
          <w:szCs w:val="21"/>
          <w:lang w:eastAsia="es-ES"/>
        </w:rPr>
        <w:t>3</w:t>
      </w:r>
      <w:r w:rsidRPr="003416AE">
        <w:rPr>
          <w:rFonts w:ascii="Arial" w:eastAsia="Times New Roman" w:hAnsi="Arial" w:cs="Arial"/>
          <w:sz w:val="21"/>
          <w:szCs w:val="21"/>
          <w:lang w:eastAsia="es-ES"/>
        </w:rPr>
        <w:t>):</w:t>
      </w:r>
    </w:p>
    <w:p w14:paraId="6BF868B7" w14:textId="77777777" w:rsidR="00CF0839" w:rsidRPr="00CF0839" w:rsidRDefault="00CF0839" w:rsidP="00E9031B">
      <w:pPr>
        <w:numPr>
          <w:ilvl w:val="0"/>
          <w:numId w:val="137"/>
        </w:numPr>
        <w:spacing w:after="120" w:line="276" w:lineRule="auto"/>
        <w:ind w:left="709" w:hanging="357"/>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7 de junio. Conferencia</w:t>
      </w:r>
      <w:r w:rsidRPr="00CF0839">
        <w:rPr>
          <w:rFonts w:ascii="Arial" w:eastAsia="Times New Roman" w:hAnsi="Arial" w:cs="Arial"/>
          <w:b/>
          <w:sz w:val="21"/>
          <w:szCs w:val="21"/>
          <w:lang w:eastAsia="es-ES"/>
        </w:rPr>
        <w:t xml:space="preserve"> Urbanismo, medio ambiente y corrupción. </w:t>
      </w:r>
      <w:r w:rsidRPr="00CF0839">
        <w:rPr>
          <w:rFonts w:ascii="Arial" w:eastAsia="Times New Roman" w:hAnsi="Arial" w:cs="Arial"/>
          <w:sz w:val="21"/>
          <w:szCs w:val="21"/>
          <w:lang w:eastAsia="es-ES"/>
        </w:rPr>
        <w:t xml:space="preserve">Actividad organizada por la Agencia en colaboración con la Fiscalía de Sala de Medio Ambiente y Urbanismo. La acción formativa estuvo motivada per ser la Agencia un organismo que mantiene relaciones de soporte y de colaboración con las autoridades judiciales y el ministerio fiscal, y consistió en un análisis de los principales aspectos a considerar en una investigación sobre potenciales problemas de corrupción en materia de medio ambiente y urbanismo. </w:t>
      </w:r>
    </w:p>
    <w:p w14:paraId="33D6307D" w14:textId="77777777" w:rsidR="00CF0839" w:rsidRPr="00CF0839" w:rsidRDefault="00CF0839" w:rsidP="00E9031B">
      <w:pPr>
        <w:numPr>
          <w:ilvl w:val="0"/>
          <w:numId w:val="137"/>
        </w:numPr>
        <w:spacing w:after="120" w:line="276" w:lineRule="auto"/>
        <w:ind w:left="709" w:hanging="357"/>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El 18 de agosto. Coloquio sobre </w:t>
      </w:r>
      <w:r w:rsidRPr="00CF0839">
        <w:rPr>
          <w:rFonts w:ascii="Arial" w:eastAsia="Times New Roman" w:hAnsi="Arial" w:cs="Arial"/>
          <w:b/>
          <w:sz w:val="21"/>
          <w:szCs w:val="21"/>
          <w:lang w:eastAsia="es-ES"/>
        </w:rPr>
        <w:t>Procesos de innovación en gobierno abierto en diferentes instituciones y áreas</w:t>
      </w:r>
      <w:r w:rsidRPr="00CF0839">
        <w:rPr>
          <w:rFonts w:ascii="Arial" w:eastAsia="Times New Roman" w:hAnsi="Arial" w:cs="Arial"/>
          <w:sz w:val="21"/>
          <w:szCs w:val="21"/>
          <w:lang w:eastAsia="es-ES"/>
        </w:rPr>
        <w:t xml:space="preserve">, organizado por el Instituto Trivium de México, en el marco del Diplomado de Gobierno e innovación pública. </w:t>
      </w:r>
    </w:p>
    <w:p w14:paraId="3B0EF690" w14:textId="50EC6DD5" w:rsidR="00CF0839" w:rsidRPr="00CF0839" w:rsidRDefault="00CF0839" w:rsidP="00E9031B">
      <w:pPr>
        <w:numPr>
          <w:ilvl w:val="0"/>
          <w:numId w:val="137"/>
        </w:numPr>
        <w:spacing w:after="120" w:line="276" w:lineRule="auto"/>
        <w:ind w:left="709" w:hanging="357"/>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El 22 de septiembre. Presentación en el Rectorado de la Universidad de València, el documental </w:t>
      </w:r>
      <w:r w:rsidRPr="00CF0839">
        <w:rPr>
          <w:rFonts w:ascii="Arial" w:eastAsia="Times New Roman" w:hAnsi="Arial" w:cs="Arial"/>
          <w:b/>
          <w:sz w:val="21"/>
          <w:szCs w:val="21"/>
          <w:lang w:eastAsia="es-ES"/>
        </w:rPr>
        <w:t>Los conflictos de interés y la integridad pública</w:t>
      </w:r>
      <w:r w:rsidRPr="00CF0839">
        <w:rPr>
          <w:rFonts w:ascii="Arial" w:eastAsia="Times New Roman" w:hAnsi="Arial" w:cs="Arial"/>
          <w:sz w:val="21"/>
          <w:szCs w:val="21"/>
          <w:lang w:eastAsia="es-ES"/>
        </w:rPr>
        <w:t xml:space="preserve">, realizado en el marco del convenio de colaboración de la AVAF y la UV. </w:t>
      </w:r>
    </w:p>
    <w:p w14:paraId="4815D345" w14:textId="77777777" w:rsidR="00CF0839" w:rsidRPr="00CF0839" w:rsidRDefault="00CF0839" w:rsidP="00E9031B">
      <w:pPr>
        <w:numPr>
          <w:ilvl w:val="0"/>
          <w:numId w:val="137"/>
        </w:numPr>
        <w:spacing w:after="120" w:line="276" w:lineRule="auto"/>
        <w:ind w:left="709" w:hanging="357"/>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29 de octubre. Participación </w:t>
      </w:r>
      <w:r w:rsidRPr="00CF0839">
        <w:rPr>
          <w:rFonts w:ascii="Arial" w:eastAsia="Times New Roman" w:hAnsi="Arial" w:cs="Arial"/>
          <w:i/>
          <w:iCs/>
          <w:sz w:val="21"/>
          <w:szCs w:val="21"/>
          <w:lang w:eastAsia="es-ES"/>
        </w:rPr>
        <w:t xml:space="preserve">online </w:t>
      </w:r>
      <w:r w:rsidRPr="00CF0839">
        <w:rPr>
          <w:rFonts w:ascii="Arial" w:eastAsia="Times New Roman" w:hAnsi="Arial" w:cs="Arial"/>
          <w:sz w:val="21"/>
          <w:szCs w:val="21"/>
          <w:lang w:eastAsia="es-ES"/>
        </w:rPr>
        <w:t xml:space="preserve">en el VIII Congreso NovaGob de Innovación Pública, en la mesa redonda </w:t>
      </w:r>
      <w:r w:rsidRPr="00CF0839">
        <w:rPr>
          <w:rFonts w:ascii="Arial" w:eastAsia="Times New Roman" w:hAnsi="Arial" w:cs="Arial"/>
          <w:b/>
          <w:sz w:val="21"/>
          <w:szCs w:val="21"/>
          <w:lang w:eastAsia="es-ES"/>
        </w:rPr>
        <w:t>Fórmulas para una Administración más abierta e íntegra.</w:t>
      </w:r>
      <w:r w:rsidRPr="00CF0839">
        <w:rPr>
          <w:rFonts w:ascii="Arial" w:eastAsia="Times New Roman" w:hAnsi="Arial" w:cs="Arial"/>
          <w:sz w:val="21"/>
          <w:szCs w:val="21"/>
          <w:lang w:eastAsia="es-ES"/>
        </w:rPr>
        <w:t xml:space="preserve"> </w:t>
      </w:r>
    </w:p>
    <w:p w14:paraId="0856D98F" w14:textId="77777777" w:rsidR="00CF0839" w:rsidRPr="00CF0839" w:rsidRDefault="00CF0839" w:rsidP="00E9031B">
      <w:pPr>
        <w:numPr>
          <w:ilvl w:val="0"/>
          <w:numId w:val="137"/>
        </w:numPr>
        <w:spacing w:after="120" w:line="276" w:lineRule="auto"/>
        <w:ind w:left="709" w:hanging="357"/>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25 de noviembre. Participación, en Madrid, en el XI Congreso Nacional de Innovación y Servicios Públicos, CNIS. La conferencia trató sobre </w:t>
      </w:r>
      <w:r w:rsidRPr="00CF0839">
        <w:rPr>
          <w:rFonts w:ascii="Arial" w:eastAsia="Times New Roman" w:hAnsi="Arial" w:cs="Arial"/>
          <w:b/>
          <w:sz w:val="21"/>
          <w:szCs w:val="21"/>
          <w:lang w:eastAsia="es-ES"/>
        </w:rPr>
        <w:t>Formación en integridad: una necesidad emergente en la administración pública</w:t>
      </w:r>
      <w:r w:rsidRPr="00CF0839">
        <w:rPr>
          <w:rFonts w:ascii="Arial" w:eastAsia="Times New Roman" w:hAnsi="Arial" w:cs="Arial"/>
          <w:sz w:val="21"/>
          <w:szCs w:val="21"/>
          <w:lang w:eastAsia="es-ES"/>
        </w:rPr>
        <w:t xml:space="preserve">. </w:t>
      </w:r>
    </w:p>
    <w:p w14:paraId="06E4EE1D" w14:textId="1DF0EB5C" w:rsidR="00CF0839" w:rsidRDefault="00CF0839" w:rsidP="00E9031B">
      <w:pPr>
        <w:numPr>
          <w:ilvl w:val="0"/>
          <w:numId w:val="137"/>
        </w:numPr>
        <w:spacing w:after="120" w:line="276" w:lineRule="auto"/>
        <w:ind w:left="709" w:hanging="357"/>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3 de diciembre. Participación en la jornada </w:t>
      </w:r>
      <w:r w:rsidRPr="00CF0839">
        <w:rPr>
          <w:rFonts w:ascii="Arial" w:eastAsia="Times New Roman" w:hAnsi="Arial" w:cs="Arial"/>
          <w:b/>
          <w:sz w:val="21"/>
          <w:szCs w:val="21"/>
          <w:lang w:eastAsia="es-ES"/>
        </w:rPr>
        <w:t xml:space="preserve">Los planes antifraude en la gestión del Plan de Recuperación, Transformación y Resiliencia, </w:t>
      </w:r>
      <w:r w:rsidRPr="00CF0839">
        <w:rPr>
          <w:rFonts w:ascii="Arial" w:eastAsia="Times New Roman" w:hAnsi="Arial" w:cs="Arial"/>
          <w:bCs/>
          <w:sz w:val="21"/>
          <w:szCs w:val="21"/>
          <w:lang w:eastAsia="es-ES"/>
        </w:rPr>
        <w:t>organizada por la Universidad Jaume I de Castelló en colaboración con la AVAF.</w:t>
      </w:r>
      <w:r w:rsidRPr="00CF0839">
        <w:rPr>
          <w:rFonts w:ascii="Arial" w:eastAsia="Times New Roman" w:hAnsi="Arial" w:cs="Arial"/>
          <w:b/>
          <w:sz w:val="21"/>
          <w:szCs w:val="21"/>
          <w:lang w:eastAsia="es-ES"/>
        </w:rPr>
        <w:t xml:space="preserve"> </w:t>
      </w:r>
      <w:r w:rsidRPr="00CF0839">
        <w:rPr>
          <w:rFonts w:ascii="Arial" w:eastAsia="Times New Roman" w:hAnsi="Arial" w:cs="Arial"/>
          <w:bCs/>
          <w:sz w:val="21"/>
          <w:szCs w:val="21"/>
          <w:lang w:eastAsia="es-ES"/>
        </w:rPr>
        <w:t>L</w:t>
      </w:r>
      <w:r w:rsidRPr="00CF0839">
        <w:rPr>
          <w:rFonts w:ascii="Arial" w:eastAsia="Times New Roman" w:hAnsi="Arial" w:cs="Arial"/>
          <w:sz w:val="21"/>
          <w:szCs w:val="21"/>
          <w:lang w:eastAsia="es-ES"/>
        </w:rPr>
        <w:t>a intervención de la AVAF se centró en “Los planes antifraude en clave de integridad pública”.</w:t>
      </w:r>
    </w:p>
    <w:p w14:paraId="79F58F8D" w14:textId="66142A6A" w:rsidR="00CF0839" w:rsidRPr="00F05B05" w:rsidRDefault="00F05B05" w:rsidP="00906C86">
      <w:pPr>
        <w:numPr>
          <w:ilvl w:val="0"/>
          <w:numId w:val="137"/>
        </w:numPr>
        <w:spacing w:after="240" w:line="276" w:lineRule="auto"/>
        <w:ind w:left="709"/>
        <w:jc w:val="both"/>
        <w:rPr>
          <w:rFonts w:ascii="Arial" w:eastAsia="Times New Roman" w:hAnsi="Arial" w:cs="Arial"/>
          <w:sz w:val="21"/>
          <w:szCs w:val="21"/>
          <w:lang w:eastAsia="es-ES"/>
        </w:rPr>
      </w:pPr>
      <w:r w:rsidRPr="00F05B05">
        <w:rPr>
          <w:rFonts w:ascii="Arial" w:eastAsia="Times New Roman" w:hAnsi="Arial" w:cs="Arial"/>
          <w:sz w:val="21"/>
          <w:szCs w:val="21"/>
          <w:lang w:eastAsia="es-ES"/>
        </w:rPr>
        <w:t xml:space="preserve">21 de diciembre. Participación en la jornada </w:t>
      </w:r>
      <w:r w:rsidRPr="00F05B05">
        <w:rPr>
          <w:rFonts w:ascii="Arial" w:eastAsia="Times New Roman" w:hAnsi="Arial" w:cs="Arial"/>
          <w:b/>
          <w:sz w:val="21"/>
          <w:szCs w:val="21"/>
          <w:lang w:eastAsia="es-ES"/>
        </w:rPr>
        <w:t>Elaboración de un plan antifraude en el ámbito local</w:t>
      </w:r>
      <w:r w:rsidRPr="00F05B05">
        <w:rPr>
          <w:rFonts w:ascii="Arial" w:eastAsia="Times New Roman" w:hAnsi="Arial" w:cs="Arial"/>
          <w:sz w:val="21"/>
          <w:szCs w:val="21"/>
          <w:lang w:eastAsia="es-ES"/>
        </w:rPr>
        <w:t xml:space="preserve">, organizada por la Generalitat Valenciana, en colaboración con las </w:t>
      </w:r>
      <w:r>
        <w:rPr>
          <w:rFonts w:ascii="Arial" w:eastAsia="Times New Roman" w:hAnsi="Arial" w:cs="Arial"/>
          <w:sz w:val="21"/>
          <w:szCs w:val="21"/>
          <w:lang w:eastAsia="es-ES"/>
        </w:rPr>
        <w:t>Di</w:t>
      </w:r>
      <w:r w:rsidRPr="00F05B05">
        <w:rPr>
          <w:rFonts w:ascii="Arial" w:eastAsia="Times New Roman" w:hAnsi="Arial" w:cs="Arial"/>
          <w:sz w:val="21"/>
          <w:szCs w:val="21"/>
          <w:lang w:eastAsia="es-ES"/>
        </w:rPr>
        <w:t xml:space="preserve">putaciones </w:t>
      </w:r>
      <w:r>
        <w:rPr>
          <w:rFonts w:ascii="Arial" w:eastAsia="Times New Roman" w:hAnsi="Arial" w:cs="Arial"/>
          <w:sz w:val="21"/>
          <w:szCs w:val="21"/>
          <w:lang w:eastAsia="es-ES"/>
        </w:rPr>
        <w:t>P</w:t>
      </w:r>
      <w:r w:rsidRPr="00F05B05">
        <w:rPr>
          <w:rFonts w:ascii="Arial" w:eastAsia="Times New Roman" w:hAnsi="Arial" w:cs="Arial"/>
          <w:sz w:val="21"/>
          <w:szCs w:val="21"/>
          <w:lang w:eastAsia="es-ES"/>
        </w:rPr>
        <w:t>rovinciales y la FVMP. En la jornada se explicó la propuesta de la AVAF sobre la necesidad de elaborar planes de integridad en las administraciones públicas.</w:t>
      </w:r>
    </w:p>
    <w:p w14:paraId="794AF0F2" w14:textId="44FA1F57" w:rsidR="00752504" w:rsidRPr="00274AE4" w:rsidRDefault="00752504" w:rsidP="00752504">
      <w:pPr>
        <w:pStyle w:val="Descripcin"/>
        <w:keepNext/>
        <w:spacing w:after="80"/>
        <w:rPr>
          <w:rFonts w:ascii="Arial" w:hAnsi="Arial" w:cs="Arial"/>
          <w:smallCaps w:val="0"/>
          <w:sz w:val="18"/>
          <w:szCs w:val="18"/>
        </w:rPr>
      </w:pPr>
      <w:bookmarkStart w:id="463" w:name="_Toc99107161"/>
      <w:r w:rsidRPr="00EA5676">
        <w:rPr>
          <w:rFonts w:ascii="Arial" w:hAnsi="Arial" w:cs="Arial"/>
          <w:smallCaps w:val="0"/>
          <w:color w:val="9D2235" w:themeColor="accent1"/>
          <w:sz w:val="18"/>
          <w:szCs w:val="18"/>
        </w:rPr>
        <w:t xml:space="preserve">Tabla </w:t>
      </w:r>
      <w:r w:rsidR="00C847DF" w:rsidRPr="00EA5676">
        <w:rPr>
          <w:rFonts w:ascii="Arial" w:hAnsi="Arial" w:cs="Arial"/>
          <w:smallCaps w:val="0"/>
          <w:color w:val="9D2235" w:themeColor="accent1"/>
          <w:sz w:val="18"/>
          <w:szCs w:val="18"/>
        </w:rPr>
        <w:fldChar w:fldCharType="begin" w:fldLock="1"/>
      </w:r>
      <w:r w:rsidR="00C847DF" w:rsidRPr="00EA5676">
        <w:rPr>
          <w:rFonts w:ascii="Arial" w:hAnsi="Arial" w:cs="Arial"/>
          <w:smallCaps w:val="0"/>
          <w:color w:val="9D2235" w:themeColor="accent1"/>
          <w:sz w:val="18"/>
          <w:szCs w:val="18"/>
        </w:rPr>
        <w:instrText xml:space="preserve"> SEQ Tabla \* ARABIC </w:instrText>
      </w:r>
      <w:r w:rsidR="00C847DF" w:rsidRPr="00EA5676">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23</w:t>
      </w:r>
      <w:r w:rsidR="00C847DF" w:rsidRPr="00EA5676">
        <w:rPr>
          <w:rFonts w:ascii="Arial" w:hAnsi="Arial" w:cs="Arial"/>
          <w:smallCaps w:val="0"/>
          <w:noProof/>
          <w:color w:val="9D2235" w:themeColor="accent1"/>
          <w:sz w:val="18"/>
          <w:szCs w:val="18"/>
        </w:rPr>
        <w:fldChar w:fldCharType="end"/>
      </w:r>
      <w:r w:rsidRPr="00EA5676">
        <w:rPr>
          <w:rFonts w:ascii="Arial" w:hAnsi="Arial" w:cs="Arial"/>
          <w:smallCaps w:val="0"/>
          <w:color w:val="9D2235" w:themeColor="accent1"/>
          <w:sz w:val="18"/>
          <w:szCs w:val="18"/>
        </w:rPr>
        <w:t>.</w:t>
      </w:r>
      <w:r w:rsidRPr="00274AE4">
        <w:rPr>
          <w:rFonts w:ascii="Arial" w:hAnsi="Arial" w:cs="Arial"/>
          <w:smallCaps w:val="0"/>
          <w:color w:val="9D2235" w:themeColor="accent1"/>
          <w:sz w:val="18"/>
          <w:szCs w:val="18"/>
        </w:rPr>
        <w:t xml:space="preserve"> </w:t>
      </w:r>
      <w:r w:rsidRPr="00274AE4">
        <w:rPr>
          <w:rFonts w:ascii="Arial" w:hAnsi="Arial" w:cs="Arial"/>
          <w:smallCaps w:val="0"/>
          <w:sz w:val="18"/>
          <w:szCs w:val="18"/>
        </w:rPr>
        <w:t>Participación en Jornadas y otras actividades formativas singulares</w:t>
      </w:r>
      <w:bookmarkEnd w:id="463"/>
    </w:p>
    <w:tbl>
      <w:tblPr>
        <w:tblStyle w:val="Tablaconcuadrcula6"/>
        <w:tblW w:w="8520" w:type="dxa"/>
        <w:tblLook w:val="04A0" w:firstRow="1" w:lastRow="0" w:firstColumn="1" w:lastColumn="0" w:noHBand="0" w:noVBand="1"/>
      </w:tblPr>
      <w:tblGrid>
        <w:gridCol w:w="1493"/>
        <w:gridCol w:w="1209"/>
        <w:gridCol w:w="2779"/>
        <w:gridCol w:w="795"/>
        <w:gridCol w:w="1461"/>
        <w:gridCol w:w="783"/>
      </w:tblGrid>
      <w:tr w:rsidR="00752504" w:rsidRPr="00752504" w14:paraId="1C4DBC67" w14:textId="77777777" w:rsidTr="005976FC">
        <w:trPr>
          <w:trHeight w:val="391"/>
          <w:tblHeader/>
        </w:trPr>
        <w:tc>
          <w:tcPr>
            <w:tcW w:w="1495" w:type="dxa"/>
            <w:tcBorders>
              <w:bottom w:val="single" w:sz="4" w:space="0" w:color="auto"/>
            </w:tcBorders>
            <w:shd w:val="clear" w:color="auto" w:fill="9D2235"/>
            <w:vAlign w:val="center"/>
          </w:tcPr>
          <w:p w14:paraId="36710014" w14:textId="77777777" w:rsidR="00752504" w:rsidRPr="005976FC" w:rsidRDefault="00752504" w:rsidP="00752504">
            <w:pPr>
              <w:rPr>
                <w:rFonts w:ascii="Arial" w:hAnsi="Arial" w:cs="Arial"/>
                <w:b/>
                <w:color w:val="FFFFFF"/>
                <w:sz w:val="17"/>
                <w:szCs w:val="17"/>
              </w:rPr>
            </w:pPr>
            <w:r w:rsidRPr="005976FC">
              <w:rPr>
                <w:rFonts w:ascii="Arial" w:hAnsi="Arial" w:cs="Arial"/>
                <w:b/>
                <w:color w:val="FFFFFF"/>
                <w:sz w:val="17"/>
                <w:szCs w:val="17"/>
              </w:rPr>
              <w:t>Entidad</w:t>
            </w:r>
          </w:p>
        </w:tc>
        <w:tc>
          <w:tcPr>
            <w:tcW w:w="1204" w:type="dxa"/>
            <w:tcBorders>
              <w:bottom w:val="single" w:sz="4" w:space="0" w:color="auto"/>
            </w:tcBorders>
            <w:shd w:val="clear" w:color="auto" w:fill="9D2235"/>
            <w:vAlign w:val="center"/>
          </w:tcPr>
          <w:p w14:paraId="281CDCB4" w14:textId="77777777" w:rsidR="00752504" w:rsidRPr="005976FC" w:rsidRDefault="00752504" w:rsidP="00752504">
            <w:pPr>
              <w:rPr>
                <w:rFonts w:ascii="Arial" w:hAnsi="Arial" w:cs="Arial"/>
                <w:b/>
                <w:color w:val="FFFFFF"/>
                <w:sz w:val="17"/>
                <w:szCs w:val="17"/>
              </w:rPr>
            </w:pPr>
            <w:r w:rsidRPr="005976FC">
              <w:rPr>
                <w:rFonts w:ascii="Arial" w:hAnsi="Arial" w:cs="Arial"/>
                <w:b/>
                <w:color w:val="FFFFFF"/>
                <w:sz w:val="17"/>
                <w:szCs w:val="17"/>
              </w:rPr>
              <w:t>Actividad</w:t>
            </w:r>
          </w:p>
        </w:tc>
        <w:tc>
          <w:tcPr>
            <w:tcW w:w="2782" w:type="dxa"/>
            <w:tcBorders>
              <w:bottom w:val="single" w:sz="4" w:space="0" w:color="auto"/>
            </w:tcBorders>
            <w:shd w:val="clear" w:color="auto" w:fill="9D2235"/>
            <w:vAlign w:val="center"/>
          </w:tcPr>
          <w:p w14:paraId="764BAC45" w14:textId="77777777" w:rsidR="00752504" w:rsidRPr="005976FC" w:rsidRDefault="00752504" w:rsidP="00752504">
            <w:pPr>
              <w:rPr>
                <w:rFonts w:ascii="Arial" w:hAnsi="Arial" w:cs="Arial"/>
                <w:b/>
                <w:color w:val="FFFFFF"/>
                <w:sz w:val="17"/>
                <w:szCs w:val="17"/>
              </w:rPr>
            </w:pPr>
            <w:r w:rsidRPr="005976FC">
              <w:rPr>
                <w:rFonts w:ascii="Arial" w:hAnsi="Arial" w:cs="Arial"/>
                <w:b/>
                <w:color w:val="FFFFFF"/>
                <w:sz w:val="17"/>
                <w:szCs w:val="17"/>
              </w:rPr>
              <w:t>Intervención</w:t>
            </w:r>
          </w:p>
        </w:tc>
        <w:tc>
          <w:tcPr>
            <w:tcW w:w="795" w:type="dxa"/>
            <w:tcBorders>
              <w:bottom w:val="single" w:sz="4" w:space="0" w:color="auto"/>
            </w:tcBorders>
            <w:shd w:val="clear" w:color="auto" w:fill="9D2235"/>
            <w:vAlign w:val="center"/>
          </w:tcPr>
          <w:p w14:paraId="501CCCD3" w14:textId="77777777" w:rsidR="00752504" w:rsidRPr="005976FC" w:rsidRDefault="00752504" w:rsidP="00752504">
            <w:pPr>
              <w:jc w:val="center"/>
              <w:rPr>
                <w:rFonts w:ascii="Arial" w:hAnsi="Arial" w:cs="Arial"/>
                <w:b/>
                <w:color w:val="FFFFFF"/>
                <w:sz w:val="17"/>
                <w:szCs w:val="17"/>
              </w:rPr>
            </w:pPr>
            <w:r w:rsidRPr="005976FC">
              <w:rPr>
                <w:rFonts w:ascii="Arial" w:hAnsi="Arial" w:cs="Arial"/>
                <w:b/>
                <w:color w:val="FFFFFF"/>
                <w:sz w:val="17"/>
                <w:szCs w:val="17"/>
              </w:rPr>
              <w:t>Fecha</w:t>
            </w:r>
          </w:p>
        </w:tc>
        <w:tc>
          <w:tcPr>
            <w:tcW w:w="1461" w:type="dxa"/>
            <w:tcBorders>
              <w:bottom w:val="single" w:sz="4" w:space="0" w:color="auto"/>
            </w:tcBorders>
            <w:shd w:val="clear" w:color="auto" w:fill="9D2235"/>
            <w:vAlign w:val="center"/>
          </w:tcPr>
          <w:p w14:paraId="7BEA9AEF" w14:textId="77777777" w:rsidR="00752504" w:rsidRPr="005976FC" w:rsidRDefault="00752504" w:rsidP="00752504">
            <w:pPr>
              <w:jc w:val="center"/>
              <w:rPr>
                <w:rFonts w:ascii="Arial" w:hAnsi="Arial" w:cs="Arial"/>
                <w:b/>
                <w:color w:val="FFFFFF"/>
                <w:sz w:val="17"/>
                <w:szCs w:val="17"/>
              </w:rPr>
            </w:pPr>
            <w:r w:rsidRPr="005976FC">
              <w:rPr>
                <w:rFonts w:ascii="Arial" w:hAnsi="Arial" w:cs="Arial"/>
                <w:b/>
                <w:color w:val="FFFFFF"/>
                <w:sz w:val="17"/>
                <w:szCs w:val="17"/>
              </w:rPr>
              <w:t>Participantes</w:t>
            </w:r>
          </w:p>
        </w:tc>
        <w:tc>
          <w:tcPr>
            <w:tcW w:w="783" w:type="dxa"/>
            <w:tcBorders>
              <w:bottom w:val="single" w:sz="4" w:space="0" w:color="auto"/>
            </w:tcBorders>
            <w:shd w:val="clear" w:color="auto" w:fill="9D2235"/>
            <w:vAlign w:val="center"/>
          </w:tcPr>
          <w:p w14:paraId="7246AC52" w14:textId="77777777" w:rsidR="00752504" w:rsidRPr="005976FC" w:rsidRDefault="00752504" w:rsidP="00752504">
            <w:pPr>
              <w:jc w:val="center"/>
              <w:rPr>
                <w:rFonts w:ascii="Arial" w:hAnsi="Arial" w:cs="Arial"/>
                <w:b/>
                <w:color w:val="FFFFFF"/>
                <w:sz w:val="17"/>
                <w:szCs w:val="17"/>
              </w:rPr>
            </w:pPr>
            <w:r w:rsidRPr="005976FC">
              <w:rPr>
                <w:rFonts w:ascii="Arial" w:hAnsi="Arial" w:cs="Arial"/>
                <w:b/>
                <w:color w:val="FFFFFF"/>
                <w:sz w:val="17"/>
                <w:szCs w:val="17"/>
              </w:rPr>
              <w:t>Horas</w:t>
            </w:r>
          </w:p>
        </w:tc>
      </w:tr>
      <w:tr w:rsidR="00752504" w:rsidRPr="00752504" w14:paraId="1EB9E5C8" w14:textId="77777777" w:rsidTr="005976FC">
        <w:trPr>
          <w:trHeight w:val="257"/>
        </w:trPr>
        <w:tc>
          <w:tcPr>
            <w:tcW w:w="1495" w:type="dxa"/>
            <w:shd w:val="clear" w:color="auto" w:fill="auto"/>
            <w:vAlign w:val="center"/>
          </w:tcPr>
          <w:p w14:paraId="6D418392" w14:textId="77777777" w:rsidR="00752504" w:rsidRPr="005976FC" w:rsidRDefault="00752504" w:rsidP="00752504">
            <w:pPr>
              <w:rPr>
                <w:rFonts w:ascii="Arial" w:hAnsi="Arial" w:cs="Arial"/>
                <w:sz w:val="17"/>
                <w:szCs w:val="17"/>
              </w:rPr>
            </w:pPr>
            <w:r w:rsidRPr="005976FC">
              <w:rPr>
                <w:rFonts w:ascii="Arial" w:hAnsi="Arial" w:cs="Arial"/>
                <w:sz w:val="17"/>
                <w:szCs w:val="17"/>
              </w:rPr>
              <w:t>AVAF</w:t>
            </w:r>
          </w:p>
        </w:tc>
        <w:tc>
          <w:tcPr>
            <w:tcW w:w="1204" w:type="dxa"/>
            <w:shd w:val="clear" w:color="auto" w:fill="auto"/>
            <w:vAlign w:val="center"/>
          </w:tcPr>
          <w:p w14:paraId="0561752C" w14:textId="77777777" w:rsidR="00752504" w:rsidRPr="005976FC" w:rsidRDefault="00752504" w:rsidP="00752504">
            <w:pPr>
              <w:rPr>
                <w:rFonts w:ascii="Arial" w:hAnsi="Arial" w:cs="Arial"/>
                <w:sz w:val="17"/>
                <w:szCs w:val="17"/>
              </w:rPr>
            </w:pPr>
            <w:r w:rsidRPr="005976FC">
              <w:rPr>
                <w:rFonts w:ascii="Arial" w:hAnsi="Arial" w:cs="Arial"/>
                <w:sz w:val="17"/>
                <w:szCs w:val="17"/>
              </w:rPr>
              <w:t>Conferencia</w:t>
            </w:r>
          </w:p>
        </w:tc>
        <w:tc>
          <w:tcPr>
            <w:tcW w:w="2782" w:type="dxa"/>
            <w:shd w:val="clear" w:color="auto" w:fill="auto"/>
            <w:vAlign w:val="center"/>
          </w:tcPr>
          <w:p w14:paraId="06D8D9A7" w14:textId="77777777" w:rsidR="00752504" w:rsidRPr="005976FC" w:rsidRDefault="00752504" w:rsidP="00752504">
            <w:pPr>
              <w:jc w:val="both"/>
              <w:rPr>
                <w:rFonts w:ascii="Arial" w:hAnsi="Arial" w:cs="Arial"/>
                <w:sz w:val="17"/>
                <w:szCs w:val="17"/>
              </w:rPr>
            </w:pPr>
            <w:r w:rsidRPr="005976FC">
              <w:rPr>
                <w:rFonts w:ascii="Arial" w:hAnsi="Arial" w:cs="Arial"/>
                <w:sz w:val="17"/>
                <w:szCs w:val="17"/>
              </w:rPr>
              <w:t xml:space="preserve">Urbanismo, medio ambiente y corrupción. </w:t>
            </w:r>
          </w:p>
          <w:p w14:paraId="482285C7" w14:textId="77777777" w:rsidR="00752504" w:rsidRPr="005976FC" w:rsidRDefault="00752504" w:rsidP="00752504">
            <w:pPr>
              <w:jc w:val="both"/>
              <w:rPr>
                <w:rFonts w:ascii="Arial" w:hAnsi="Arial" w:cs="Arial"/>
                <w:sz w:val="17"/>
                <w:szCs w:val="17"/>
              </w:rPr>
            </w:pPr>
            <w:r w:rsidRPr="005976FC">
              <w:rPr>
                <w:rFonts w:ascii="Arial" w:hAnsi="Arial" w:cs="Arial"/>
                <w:sz w:val="17"/>
                <w:szCs w:val="17"/>
              </w:rPr>
              <w:t>Coordinador de Medio Ambiente y Urbanismo de la Fiscalía General del Estado</w:t>
            </w:r>
          </w:p>
        </w:tc>
        <w:tc>
          <w:tcPr>
            <w:tcW w:w="795" w:type="dxa"/>
            <w:shd w:val="clear" w:color="auto" w:fill="auto"/>
            <w:vAlign w:val="center"/>
          </w:tcPr>
          <w:p w14:paraId="6F730047" w14:textId="77777777" w:rsidR="00752504" w:rsidRPr="005976FC" w:rsidRDefault="00752504" w:rsidP="00752504">
            <w:pPr>
              <w:rPr>
                <w:rFonts w:ascii="Arial" w:hAnsi="Arial" w:cs="Arial"/>
                <w:sz w:val="17"/>
                <w:szCs w:val="17"/>
              </w:rPr>
            </w:pPr>
            <w:r w:rsidRPr="005976FC">
              <w:rPr>
                <w:rFonts w:ascii="Arial" w:hAnsi="Arial" w:cs="Arial"/>
                <w:sz w:val="17"/>
                <w:szCs w:val="17"/>
              </w:rPr>
              <w:t>7-jun</w:t>
            </w:r>
          </w:p>
        </w:tc>
        <w:tc>
          <w:tcPr>
            <w:tcW w:w="1461" w:type="dxa"/>
            <w:shd w:val="clear" w:color="auto" w:fill="auto"/>
            <w:vAlign w:val="center"/>
          </w:tcPr>
          <w:p w14:paraId="29DE8D98"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36</w:t>
            </w:r>
          </w:p>
        </w:tc>
        <w:tc>
          <w:tcPr>
            <w:tcW w:w="783" w:type="dxa"/>
            <w:shd w:val="clear" w:color="auto" w:fill="auto"/>
            <w:vAlign w:val="center"/>
          </w:tcPr>
          <w:p w14:paraId="59EAC5FA"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5</w:t>
            </w:r>
          </w:p>
        </w:tc>
      </w:tr>
      <w:tr w:rsidR="00752504" w:rsidRPr="00752504" w14:paraId="41B0FE0A" w14:textId="77777777" w:rsidTr="005976FC">
        <w:trPr>
          <w:trHeight w:val="257"/>
        </w:trPr>
        <w:tc>
          <w:tcPr>
            <w:tcW w:w="1495" w:type="dxa"/>
            <w:shd w:val="clear" w:color="auto" w:fill="auto"/>
            <w:vAlign w:val="center"/>
          </w:tcPr>
          <w:p w14:paraId="5CB0FAF4" w14:textId="77777777" w:rsidR="00752504" w:rsidRPr="005976FC" w:rsidRDefault="00752504" w:rsidP="00752504">
            <w:pPr>
              <w:rPr>
                <w:rFonts w:ascii="Arial" w:hAnsi="Arial" w:cs="Arial"/>
                <w:sz w:val="17"/>
                <w:szCs w:val="17"/>
              </w:rPr>
            </w:pPr>
            <w:r w:rsidRPr="005976FC">
              <w:rPr>
                <w:rFonts w:ascii="Arial" w:hAnsi="Arial" w:cs="Arial"/>
                <w:sz w:val="17"/>
                <w:szCs w:val="17"/>
              </w:rPr>
              <w:t>Instituto Trivium</w:t>
            </w:r>
          </w:p>
        </w:tc>
        <w:tc>
          <w:tcPr>
            <w:tcW w:w="1204" w:type="dxa"/>
            <w:shd w:val="clear" w:color="auto" w:fill="auto"/>
            <w:vAlign w:val="center"/>
          </w:tcPr>
          <w:p w14:paraId="0C983F8E" w14:textId="77777777" w:rsidR="00752504" w:rsidRPr="005976FC" w:rsidRDefault="00752504" w:rsidP="00752504">
            <w:pPr>
              <w:rPr>
                <w:rFonts w:ascii="Arial" w:hAnsi="Arial" w:cs="Arial"/>
                <w:sz w:val="17"/>
                <w:szCs w:val="17"/>
              </w:rPr>
            </w:pPr>
            <w:r w:rsidRPr="005976FC">
              <w:rPr>
                <w:rFonts w:ascii="Arial" w:hAnsi="Arial" w:cs="Arial"/>
                <w:sz w:val="17"/>
                <w:szCs w:val="17"/>
              </w:rPr>
              <w:t>Coloquio</w:t>
            </w:r>
          </w:p>
        </w:tc>
        <w:tc>
          <w:tcPr>
            <w:tcW w:w="2782" w:type="dxa"/>
            <w:shd w:val="clear" w:color="auto" w:fill="auto"/>
            <w:vAlign w:val="center"/>
          </w:tcPr>
          <w:p w14:paraId="47CAE70E" w14:textId="77777777" w:rsidR="00752504" w:rsidRPr="005976FC" w:rsidRDefault="00752504" w:rsidP="00752504">
            <w:pPr>
              <w:jc w:val="both"/>
              <w:rPr>
                <w:rFonts w:ascii="Arial" w:hAnsi="Arial" w:cs="Arial"/>
                <w:sz w:val="17"/>
                <w:szCs w:val="17"/>
              </w:rPr>
            </w:pPr>
            <w:r w:rsidRPr="005976FC">
              <w:rPr>
                <w:rFonts w:ascii="Arial" w:hAnsi="Arial" w:cs="Arial"/>
                <w:sz w:val="17"/>
                <w:szCs w:val="17"/>
              </w:rPr>
              <w:t>AVAF – Gobierno abierto e innovación</w:t>
            </w:r>
          </w:p>
        </w:tc>
        <w:tc>
          <w:tcPr>
            <w:tcW w:w="795" w:type="dxa"/>
            <w:shd w:val="clear" w:color="auto" w:fill="auto"/>
            <w:vAlign w:val="center"/>
          </w:tcPr>
          <w:p w14:paraId="4E0ECDF7"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18-ago</w:t>
            </w:r>
          </w:p>
        </w:tc>
        <w:tc>
          <w:tcPr>
            <w:tcW w:w="1461" w:type="dxa"/>
            <w:shd w:val="clear" w:color="auto" w:fill="auto"/>
            <w:vAlign w:val="center"/>
          </w:tcPr>
          <w:p w14:paraId="29005A51"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40</w:t>
            </w:r>
          </w:p>
        </w:tc>
        <w:tc>
          <w:tcPr>
            <w:tcW w:w="783" w:type="dxa"/>
            <w:shd w:val="clear" w:color="auto" w:fill="auto"/>
            <w:vAlign w:val="center"/>
          </w:tcPr>
          <w:p w14:paraId="0D95AA3F"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1</w:t>
            </w:r>
          </w:p>
        </w:tc>
      </w:tr>
      <w:tr w:rsidR="00752504" w:rsidRPr="00752504" w14:paraId="0F6339BD" w14:textId="77777777" w:rsidTr="005976FC">
        <w:trPr>
          <w:trHeight w:val="257"/>
        </w:trPr>
        <w:tc>
          <w:tcPr>
            <w:tcW w:w="1495" w:type="dxa"/>
            <w:shd w:val="clear" w:color="auto" w:fill="auto"/>
            <w:vAlign w:val="center"/>
          </w:tcPr>
          <w:p w14:paraId="3E0EA697" w14:textId="77777777" w:rsidR="00752504" w:rsidRPr="005976FC" w:rsidRDefault="00752504" w:rsidP="00752504">
            <w:pPr>
              <w:rPr>
                <w:rFonts w:ascii="Arial" w:hAnsi="Arial" w:cs="Arial"/>
                <w:sz w:val="17"/>
                <w:szCs w:val="17"/>
              </w:rPr>
            </w:pPr>
            <w:r w:rsidRPr="005976FC">
              <w:rPr>
                <w:rFonts w:ascii="Arial" w:hAnsi="Arial" w:cs="Arial"/>
                <w:sz w:val="17"/>
                <w:szCs w:val="17"/>
              </w:rPr>
              <w:t>Universidad de València</w:t>
            </w:r>
          </w:p>
        </w:tc>
        <w:tc>
          <w:tcPr>
            <w:tcW w:w="1204" w:type="dxa"/>
            <w:shd w:val="clear" w:color="auto" w:fill="auto"/>
            <w:vAlign w:val="center"/>
          </w:tcPr>
          <w:p w14:paraId="5319CA58" w14:textId="77777777" w:rsidR="00752504" w:rsidRPr="005976FC" w:rsidRDefault="00752504" w:rsidP="00752504">
            <w:pPr>
              <w:rPr>
                <w:rFonts w:ascii="Arial" w:hAnsi="Arial" w:cs="Arial"/>
                <w:sz w:val="17"/>
                <w:szCs w:val="17"/>
              </w:rPr>
            </w:pPr>
            <w:r w:rsidRPr="005976FC">
              <w:rPr>
                <w:rFonts w:ascii="Arial" w:hAnsi="Arial" w:cs="Arial"/>
                <w:sz w:val="17"/>
                <w:szCs w:val="17"/>
              </w:rPr>
              <w:t>Presentación documental</w:t>
            </w:r>
          </w:p>
        </w:tc>
        <w:tc>
          <w:tcPr>
            <w:tcW w:w="2782" w:type="dxa"/>
            <w:shd w:val="clear" w:color="auto" w:fill="auto"/>
            <w:vAlign w:val="center"/>
          </w:tcPr>
          <w:p w14:paraId="1F74637E" w14:textId="77777777" w:rsidR="00752504" w:rsidRPr="005976FC" w:rsidRDefault="00752504" w:rsidP="00752504">
            <w:pPr>
              <w:jc w:val="both"/>
              <w:rPr>
                <w:rFonts w:ascii="Arial" w:hAnsi="Arial" w:cs="Arial"/>
                <w:sz w:val="17"/>
                <w:szCs w:val="17"/>
              </w:rPr>
            </w:pPr>
            <w:r w:rsidRPr="005976FC">
              <w:rPr>
                <w:rFonts w:ascii="Arial" w:hAnsi="Arial" w:cs="Arial"/>
                <w:sz w:val="17"/>
                <w:szCs w:val="17"/>
              </w:rPr>
              <w:t>Conflicto de interés</w:t>
            </w:r>
          </w:p>
        </w:tc>
        <w:tc>
          <w:tcPr>
            <w:tcW w:w="795" w:type="dxa"/>
            <w:shd w:val="clear" w:color="auto" w:fill="auto"/>
            <w:vAlign w:val="center"/>
          </w:tcPr>
          <w:p w14:paraId="4F19A43A"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22-sep</w:t>
            </w:r>
          </w:p>
        </w:tc>
        <w:tc>
          <w:tcPr>
            <w:tcW w:w="1461" w:type="dxa"/>
            <w:shd w:val="clear" w:color="auto" w:fill="auto"/>
            <w:vAlign w:val="center"/>
          </w:tcPr>
          <w:p w14:paraId="25BE1B8A"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20</w:t>
            </w:r>
          </w:p>
        </w:tc>
        <w:tc>
          <w:tcPr>
            <w:tcW w:w="783" w:type="dxa"/>
            <w:shd w:val="clear" w:color="auto" w:fill="auto"/>
            <w:vAlign w:val="center"/>
          </w:tcPr>
          <w:p w14:paraId="09334824"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1</w:t>
            </w:r>
          </w:p>
        </w:tc>
      </w:tr>
      <w:tr w:rsidR="00752504" w:rsidRPr="00752504" w14:paraId="250191BC" w14:textId="77777777" w:rsidTr="005976FC">
        <w:trPr>
          <w:trHeight w:val="257"/>
        </w:trPr>
        <w:tc>
          <w:tcPr>
            <w:tcW w:w="1495" w:type="dxa"/>
            <w:shd w:val="clear" w:color="auto" w:fill="auto"/>
            <w:vAlign w:val="center"/>
          </w:tcPr>
          <w:p w14:paraId="6CAAC506" w14:textId="77777777" w:rsidR="00752504" w:rsidRPr="005976FC" w:rsidRDefault="00752504" w:rsidP="00752504">
            <w:pPr>
              <w:rPr>
                <w:rFonts w:ascii="Arial" w:hAnsi="Arial" w:cs="Arial"/>
                <w:sz w:val="17"/>
                <w:szCs w:val="17"/>
              </w:rPr>
            </w:pPr>
            <w:r w:rsidRPr="005976FC">
              <w:rPr>
                <w:rFonts w:ascii="Arial" w:hAnsi="Arial" w:cs="Arial"/>
                <w:sz w:val="17"/>
                <w:szCs w:val="17"/>
              </w:rPr>
              <w:t>NovaGob</w:t>
            </w:r>
          </w:p>
        </w:tc>
        <w:tc>
          <w:tcPr>
            <w:tcW w:w="1204" w:type="dxa"/>
            <w:shd w:val="clear" w:color="auto" w:fill="auto"/>
            <w:vAlign w:val="center"/>
          </w:tcPr>
          <w:p w14:paraId="6E556E50" w14:textId="77777777" w:rsidR="00752504" w:rsidRPr="005976FC" w:rsidRDefault="00752504" w:rsidP="00752504">
            <w:pPr>
              <w:rPr>
                <w:rFonts w:ascii="Arial" w:hAnsi="Arial" w:cs="Arial"/>
                <w:sz w:val="17"/>
                <w:szCs w:val="17"/>
              </w:rPr>
            </w:pPr>
            <w:r w:rsidRPr="005976FC">
              <w:rPr>
                <w:rFonts w:ascii="Arial" w:hAnsi="Arial" w:cs="Arial"/>
                <w:sz w:val="17"/>
                <w:szCs w:val="17"/>
              </w:rPr>
              <w:t>Congreso</w:t>
            </w:r>
          </w:p>
        </w:tc>
        <w:tc>
          <w:tcPr>
            <w:tcW w:w="2782" w:type="dxa"/>
            <w:shd w:val="clear" w:color="auto" w:fill="auto"/>
            <w:vAlign w:val="center"/>
          </w:tcPr>
          <w:p w14:paraId="5E75EC12" w14:textId="77777777" w:rsidR="00752504" w:rsidRPr="005976FC" w:rsidRDefault="00752504" w:rsidP="00752504">
            <w:pPr>
              <w:jc w:val="both"/>
              <w:rPr>
                <w:rFonts w:ascii="Arial" w:hAnsi="Arial" w:cs="Arial"/>
                <w:sz w:val="17"/>
                <w:szCs w:val="17"/>
              </w:rPr>
            </w:pPr>
            <w:r w:rsidRPr="005976FC">
              <w:rPr>
                <w:rFonts w:ascii="Arial" w:hAnsi="Arial" w:cs="Arial"/>
                <w:sz w:val="17"/>
                <w:szCs w:val="17"/>
              </w:rPr>
              <w:t>Fórmulas para una Administración más abierta</w:t>
            </w:r>
          </w:p>
        </w:tc>
        <w:tc>
          <w:tcPr>
            <w:tcW w:w="795" w:type="dxa"/>
            <w:shd w:val="clear" w:color="auto" w:fill="auto"/>
            <w:vAlign w:val="center"/>
          </w:tcPr>
          <w:p w14:paraId="6CEE55DD"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29-oct</w:t>
            </w:r>
          </w:p>
        </w:tc>
        <w:tc>
          <w:tcPr>
            <w:tcW w:w="1461" w:type="dxa"/>
            <w:shd w:val="clear" w:color="auto" w:fill="auto"/>
            <w:vAlign w:val="center"/>
          </w:tcPr>
          <w:p w14:paraId="0E60EBA3"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118</w:t>
            </w:r>
          </w:p>
        </w:tc>
        <w:tc>
          <w:tcPr>
            <w:tcW w:w="783" w:type="dxa"/>
            <w:shd w:val="clear" w:color="auto" w:fill="auto"/>
            <w:vAlign w:val="center"/>
          </w:tcPr>
          <w:p w14:paraId="373C7281"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1</w:t>
            </w:r>
          </w:p>
        </w:tc>
      </w:tr>
      <w:tr w:rsidR="00752504" w:rsidRPr="00752504" w14:paraId="4DCBBE9A" w14:textId="77777777" w:rsidTr="005976FC">
        <w:trPr>
          <w:trHeight w:val="257"/>
        </w:trPr>
        <w:tc>
          <w:tcPr>
            <w:tcW w:w="1495" w:type="dxa"/>
            <w:vAlign w:val="center"/>
          </w:tcPr>
          <w:p w14:paraId="4840AF17" w14:textId="77777777" w:rsidR="00752504" w:rsidRPr="005976FC" w:rsidRDefault="00752504" w:rsidP="00752504">
            <w:pPr>
              <w:rPr>
                <w:rFonts w:ascii="Arial" w:hAnsi="Arial" w:cs="Arial"/>
                <w:sz w:val="17"/>
                <w:szCs w:val="17"/>
              </w:rPr>
            </w:pPr>
            <w:r w:rsidRPr="005976FC">
              <w:rPr>
                <w:rFonts w:ascii="Arial" w:hAnsi="Arial" w:cs="Arial"/>
                <w:sz w:val="17"/>
                <w:szCs w:val="17"/>
              </w:rPr>
              <w:t>Congreso CNIS</w:t>
            </w:r>
          </w:p>
        </w:tc>
        <w:tc>
          <w:tcPr>
            <w:tcW w:w="1204" w:type="dxa"/>
            <w:vAlign w:val="center"/>
          </w:tcPr>
          <w:p w14:paraId="7489DE5E" w14:textId="77777777" w:rsidR="00752504" w:rsidRPr="005976FC" w:rsidRDefault="00752504" w:rsidP="00752504">
            <w:pPr>
              <w:rPr>
                <w:rFonts w:ascii="Arial" w:hAnsi="Arial" w:cs="Arial"/>
                <w:sz w:val="17"/>
                <w:szCs w:val="17"/>
              </w:rPr>
            </w:pPr>
            <w:r w:rsidRPr="005976FC">
              <w:rPr>
                <w:rFonts w:ascii="Arial" w:hAnsi="Arial" w:cs="Arial"/>
                <w:sz w:val="17"/>
                <w:szCs w:val="17"/>
              </w:rPr>
              <w:t>Congreso</w:t>
            </w:r>
          </w:p>
        </w:tc>
        <w:tc>
          <w:tcPr>
            <w:tcW w:w="2782" w:type="dxa"/>
            <w:vAlign w:val="center"/>
          </w:tcPr>
          <w:p w14:paraId="6824B442" w14:textId="77777777" w:rsidR="00752504" w:rsidRPr="005976FC" w:rsidRDefault="00752504" w:rsidP="00752504">
            <w:pPr>
              <w:jc w:val="both"/>
              <w:rPr>
                <w:rFonts w:ascii="Arial" w:hAnsi="Arial" w:cs="Arial"/>
                <w:sz w:val="17"/>
                <w:szCs w:val="17"/>
              </w:rPr>
            </w:pPr>
            <w:r w:rsidRPr="005976FC">
              <w:rPr>
                <w:rFonts w:ascii="Arial" w:hAnsi="Arial" w:cs="Arial"/>
                <w:sz w:val="17"/>
                <w:szCs w:val="17"/>
              </w:rPr>
              <w:t>Formación en integridad: una necesidad emergente en la administración pública</w:t>
            </w:r>
          </w:p>
        </w:tc>
        <w:tc>
          <w:tcPr>
            <w:tcW w:w="795" w:type="dxa"/>
            <w:vAlign w:val="center"/>
          </w:tcPr>
          <w:p w14:paraId="63242868"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25-nov</w:t>
            </w:r>
          </w:p>
        </w:tc>
        <w:tc>
          <w:tcPr>
            <w:tcW w:w="1461" w:type="dxa"/>
            <w:vAlign w:val="center"/>
          </w:tcPr>
          <w:p w14:paraId="7D2F1537"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32</w:t>
            </w:r>
          </w:p>
        </w:tc>
        <w:tc>
          <w:tcPr>
            <w:tcW w:w="783" w:type="dxa"/>
            <w:vAlign w:val="center"/>
          </w:tcPr>
          <w:p w14:paraId="124DCD5A"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1</w:t>
            </w:r>
          </w:p>
        </w:tc>
      </w:tr>
      <w:tr w:rsidR="00752504" w:rsidRPr="00752504" w14:paraId="125CD21A" w14:textId="77777777" w:rsidTr="005976FC">
        <w:trPr>
          <w:trHeight w:val="257"/>
        </w:trPr>
        <w:tc>
          <w:tcPr>
            <w:tcW w:w="1495" w:type="dxa"/>
            <w:vAlign w:val="center"/>
          </w:tcPr>
          <w:p w14:paraId="1C5BE9AC" w14:textId="77777777" w:rsidR="00752504" w:rsidRPr="005976FC" w:rsidRDefault="00752504" w:rsidP="00752504">
            <w:pPr>
              <w:rPr>
                <w:rFonts w:ascii="Arial" w:hAnsi="Arial" w:cs="Arial"/>
                <w:sz w:val="17"/>
                <w:szCs w:val="17"/>
              </w:rPr>
            </w:pPr>
            <w:r w:rsidRPr="005976FC">
              <w:rPr>
                <w:rFonts w:ascii="Arial" w:hAnsi="Arial" w:cs="Arial"/>
                <w:sz w:val="17"/>
                <w:szCs w:val="17"/>
              </w:rPr>
              <w:t>Universidad Jaume I</w:t>
            </w:r>
          </w:p>
        </w:tc>
        <w:tc>
          <w:tcPr>
            <w:tcW w:w="1204" w:type="dxa"/>
            <w:vAlign w:val="center"/>
          </w:tcPr>
          <w:p w14:paraId="0D202927" w14:textId="77777777" w:rsidR="00752504" w:rsidRPr="005976FC" w:rsidRDefault="00752504" w:rsidP="00752504">
            <w:pPr>
              <w:rPr>
                <w:rFonts w:ascii="Arial" w:hAnsi="Arial" w:cs="Arial"/>
                <w:sz w:val="17"/>
                <w:szCs w:val="17"/>
              </w:rPr>
            </w:pPr>
            <w:r w:rsidRPr="005976FC">
              <w:rPr>
                <w:rFonts w:ascii="Arial" w:hAnsi="Arial" w:cs="Arial"/>
                <w:sz w:val="17"/>
                <w:szCs w:val="17"/>
              </w:rPr>
              <w:t>Jornada</w:t>
            </w:r>
          </w:p>
        </w:tc>
        <w:tc>
          <w:tcPr>
            <w:tcW w:w="2782" w:type="dxa"/>
            <w:vAlign w:val="center"/>
          </w:tcPr>
          <w:p w14:paraId="25D78374" w14:textId="77777777" w:rsidR="00752504" w:rsidRPr="005976FC" w:rsidRDefault="00752504" w:rsidP="00752504">
            <w:pPr>
              <w:jc w:val="both"/>
              <w:rPr>
                <w:rFonts w:ascii="Arial" w:hAnsi="Arial" w:cs="Arial"/>
                <w:sz w:val="17"/>
                <w:szCs w:val="17"/>
              </w:rPr>
            </w:pPr>
            <w:r w:rsidRPr="005976FC">
              <w:rPr>
                <w:rFonts w:ascii="Arial" w:hAnsi="Arial" w:cs="Arial"/>
                <w:sz w:val="17"/>
                <w:szCs w:val="17"/>
              </w:rPr>
              <w:t>Planes antifraude en la gestión del Plan de Recuperación, Transformación y Resiliencia</w:t>
            </w:r>
          </w:p>
        </w:tc>
        <w:tc>
          <w:tcPr>
            <w:tcW w:w="795" w:type="dxa"/>
            <w:vAlign w:val="center"/>
          </w:tcPr>
          <w:p w14:paraId="57DABB27"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3-dic</w:t>
            </w:r>
          </w:p>
        </w:tc>
        <w:tc>
          <w:tcPr>
            <w:tcW w:w="1461" w:type="dxa"/>
            <w:vAlign w:val="center"/>
          </w:tcPr>
          <w:p w14:paraId="7D4AA1FA"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57</w:t>
            </w:r>
          </w:p>
        </w:tc>
        <w:tc>
          <w:tcPr>
            <w:tcW w:w="783" w:type="dxa"/>
            <w:vAlign w:val="center"/>
          </w:tcPr>
          <w:p w14:paraId="3334F9B8"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1</w:t>
            </w:r>
          </w:p>
        </w:tc>
      </w:tr>
      <w:tr w:rsidR="00752504" w:rsidRPr="00752504" w14:paraId="66F731C1" w14:textId="77777777" w:rsidTr="005976FC">
        <w:trPr>
          <w:trHeight w:val="243"/>
        </w:trPr>
        <w:tc>
          <w:tcPr>
            <w:tcW w:w="1495" w:type="dxa"/>
            <w:vAlign w:val="center"/>
          </w:tcPr>
          <w:p w14:paraId="0DF4E326" w14:textId="77777777" w:rsidR="00752504" w:rsidRPr="005976FC" w:rsidRDefault="00752504" w:rsidP="00752504">
            <w:pPr>
              <w:rPr>
                <w:rFonts w:ascii="Arial" w:hAnsi="Arial" w:cs="Arial"/>
                <w:sz w:val="17"/>
                <w:szCs w:val="17"/>
              </w:rPr>
            </w:pPr>
            <w:r w:rsidRPr="005976FC">
              <w:rPr>
                <w:rFonts w:ascii="Arial" w:hAnsi="Arial" w:cs="Arial"/>
                <w:sz w:val="17"/>
                <w:szCs w:val="17"/>
              </w:rPr>
              <w:t>GVA-FVMP-Diputaciones</w:t>
            </w:r>
          </w:p>
        </w:tc>
        <w:tc>
          <w:tcPr>
            <w:tcW w:w="1204" w:type="dxa"/>
            <w:vAlign w:val="center"/>
          </w:tcPr>
          <w:p w14:paraId="06BAE906" w14:textId="77777777" w:rsidR="00752504" w:rsidRPr="005976FC" w:rsidRDefault="00752504" w:rsidP="00752504">
            <w:pPr>
              <w:rPr>
                <w:rFonts w:ascii="Arial" w:hAnsi="Arial" w:cs="Arial"/>
                <w:sz w:val="17"/>
                <w:szCs w:val="17"/>
              </w:rPr>
            </w:pPr>
            <w:r w:rsidRPr="005976FC">
              <w:rPr>
                <w:rFonts w:ascii="Arial" w:hAnsi="Arial" w:cs="Arial"/>
                <w:sz w:val="17"/>
                <w:szCs w:val="17"/>
              </w:rPr>
              <w:t>Jornada</w:t>
            </w:r>
          </w:p>
        </w:tc>
        <w:tc>
          <w:tcPr>
            <w:tcW w:w="2782" w:type="dxa"/>
            <w:vAlign w:val="center"/>
          </w:tcPr>
          <w:p w14:paraId="4B8A31D8" w14:textId="77777777" w:rsidR="00752504" w:rsidRPr="005976FC" w:rsidRDefault="00752504" w:rsidP="00752504">
            <w:pPr>
              <w:jc w:val="both"/>
              <w:rPr>
                <w:rFonts w:ascii="Arial" w:hAnsi="Arial" w:cs="Arial"/>
                <w:sz w:val="17"/>
                <w:szCs w:val="17"/>
              </w:rPr>
            </w:pPr>
            <w:r w:rsidRPr="005976FC">
              <w:rPr>
                <w:rFonts w:ascii="Arial" w:hAnsi="Arial" w:cs="Arial"/>
                <w:sz w:val="17"/>
                <w:szCs w:val="17"/>
              </w:rPr>
              <w:t>Planes antifraude en la gestión del Plan de Recuperación, Transformación y Resiliencia</w:t>
            </w:r>
          </w:p>
        </w:tc>
        <w:tc>
          <w:tcPr>
            <w:tcW w:w="795" w:type="dxa"/>
            <w:vAlign w:val="center"/>
          </w:tcPr>
          <w:p w14:paraId="0FA6FAD2"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21-dic</w:t>
            </w:r>
          </w:p>
        </w:tc>
        <w:tc>
          <w:tcPr>
            <w:tcW w:w="1461" w:type="dxa"/>
            <w:vAlign w:val="center"/>
          </w:tcPr>
          <w:p w14:paraId="13F10B7B"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116</w:t>
            </w:r>
          </w:p>
        </w:tc>
        <w:tc>
          <w:tcPr>
            <w:tcW w:w="783" w:type="dxa"/>
            <w:vAlign w:val="center"/>
          </w:tcPr>
          <w:p w14:paraId="21522236" w14:textId="77777777" w:rsidR="00752504" w:rsidRPr="005976FC" w:rsidRDefault="00752504" w:rsidP="00752504">
            <w:pPr>
              <w:jc w:val="center"/>
              <w:rPr>
                <w:rFonts w:ascii="Arial" w:hAnsi="Arial" w:cs="Arial"/>
                <w:sz w:val="17"/>
                <w:szCs w:val="17"/>
              </w:rPr>
            </w:pPr>
            <w:r w:rsidRPr="005976FC">
              <w:rPr>
                <w:rFonts w:ascii="Arial" w:hAnsi="Arial" w:cs="Arial"/>
                <w:sz w:val="17"/>
                <w:szCs w:val="17"/>
              </w:rPr>
              <w:t>2</w:t>
            </w:r>
          </w:p>
        </w:tc>
      </w:tr>
      <w:tr w:rsidR="00752504" w:rsidRPr="00752504" w14:paraId="6F346CA6" w14:textId="77777777" w:rsidTr="00752504">
        <w:trPr>
          <w:trHeight w:val="243"/>
        </w:trPr>
        <w:tc>
          <w:tcPr>
            <w:tcW w:w="6276" w:type="dxa"/>
            <w:gridSpan w:val="4"/>
            <w:shd w:val="clear" w:color="auto" w:fill="D9D9D9"/>
            <w:vAlign w:val="center"/>
          </w:tcPr>
          <w:p w14:paraId="343CA589" w14:textId="77777777" w:rsidR="00752504" w:rsidRPr="005976FC" w:rsidRDefault="00752504" w:rsidP="00752504">
            <w:pPr>
              <w:jc w:val="right"/>
              <w:rPr>
                <w:rFonts w:ascii="Arial" w:hAnsi="Arial" w:cs="Arial"/>
                <w:b/>
                <w:sz w:val="17"/>
                <w:szCs w:val="17"/>
              </w:rPr>
            </w:pPr>
            <w:r w:rsidRPr="005976FC">
              <w:rPr>
                <w:rFonts w:ascii="Arial" w:hAnsi="Arial" w:cs="Arial"/>
                <w:b/>
                <w:sz w:val="17"/>
                <w:szCs w:val="17"/>
              </w:rPr>
              <w:t xml:space="preserve">Totales de jornadas y otras actividades </w:t>
            </w:r>
          </w:p>
        </w:tc>
        <w:tc>
          <w:tcPr>
            <w:tcW w:w="1461" w:type="dxa"/>
            <w:shd w:val="clear" w:color="auto" w:fill="D9D9D9"/>
            <w:vAlign w:val="center"/>
          </w:tcPr>
          <w:p w14:paraId="15A74C3E" w14:textId="47518FD7" w:rsidR="00752504" w:rsidRPr="005976FC" w:rsidRDefault="00752504" w:rsidP="00752504">
            <w:pPr>
              <w:jc w:val="center"/>
              <w:rPr>
                <w:rFonts w:ascii="Arial" w:hAnsi="Arial" w:cs="Arial"/>
                <w:b/>
                <w:sz w:val="17"/>
                <w:szCs w:val="17"/>
              </w:rPr>
            </w:pPr>
            <w:r w:rsidRPr="005976FC">
              <w:rPr>
                <w:rFonts w:ascii="Arial" w:hAnsi="Arial" w:cs="Arial"/>
                <w:b/>
                <w:sz w:val="17"/>
                <w:szCs w:val="17"/>
              </w:rPr>
              <w:t xml:space="preserve">419 </w:t>
            </w:r>
          </w:p>
        </w:tc>
        <w:tc>
          <w:tcPr>
            <w:tcW w:w="783" w:type="dxa"/>
            <w:shd w:val="clear" w:color="auto" w:fill="D9D9D9"/>
            <w:vAlign w:val="center"/>
          </w:tcPr>
          <w:p w14:paraId="4E24A756" w14:textId="1F080B51" w:rsidR="00752504" w:rsidRPr="005976FC" w:rsidRDefault="00752504" w:rsidP="00752504">
            <w:pPr>
              <w:jc w:val="center"/>
              <w:rPr>
                <w:rFonts w:ascii="Arial" w:hAnsi="Arial" w:cs="Arial"/>
                <w:b/>
                <w:sz w:val="17"/>
                <w:szCs w:val="17"/>
              </w:rPr>
            </w:pPr>
            <w:r w:rsidRPr="005976FC">
              <w:rPr>
                <w:rFonts w:ascii="Arial" w:hAnsi="Arial" w:cs="Arial"/>
                <w:b/>
                <w:sz w:val="17"/>
                <w:szCs w:val="17"/>
              </w:rPr>
              <w:t xml:space="preserve">12 </w:t>
            </w:r>
          </w:p>
        </w:tc>
      </w:tr>
    </w:tbl>
    <w:p w14:paraId="7CDA4784" w14:textId="387771E3" w:rsidR="00905A4A" w:rsidRDefault="00905A4A" w:rsidP="007C27F4">
      <w:pPr>
        <w:spacing w:after="240" w:line="276" w:lineRule="auto"/>
        <w:jc w:val="both"/>
        <w:rPr>
          <w:rFonts w:ascii="Arial" w:eastAsia="Times New Roman" w:hAnsi="Arial" w:cs="Arial"/>
          <w:sz w:val="21"/>
          <w:szCs w:val="21"/>
          <w:lang w:eastAsia="es-ES"/>
        </w:rPr>
      </w:pPr>
    </w:p>
    <w:p w14:paraId="7A52C010" w14:textId="77777777" w:rsidR="00752504" w:rsidRPr="00752504" w:rsidRDefault="00752504" w:rsidP="00AC1A12">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64" w:name="_Toc99107112"/>
      <w:r w:rsidRPr="00752504">
        <w:rPr>
          <w:rFonts w:ascii="Arial" w:eastAsia="Times New Roman" w:hAnsi="Arial" w:cs="Arial"/>
          <w:b/>
          <w:bCs/>
          <w:color w:val="9D2235" w:themeColor="accent1"/>
          <w:sz w:val="28"/>
          <w:szCs w:val="28"/>
          <w:lang w:eastAsia="es-ES"/>
        </w:rPr>
        <w:t>Actividades en las universidades y para la ciudadanía</w:t>
      </w:r>
      <w:bookmarkEnd w:id="464"/>
    </w:p>
    <w:p w14:paraId="17B3496A" w14:textId="77777777" w:rsidR="00CF0839" w:rsidRPr="00CF0839" w:rsidRDefault="00CF0839" w:rsidP="00CF0839">
      <w:pPr>
        <w:spacing w:after="24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En este ámbito de actuación de formación cívica y sensibilización colectiva del conjunto de la población, las actividades se han orientado hacia la universidad, tanto para incardinar acciones formativas dentro de la actividad académica reglada de grado y postgrado como en las acciones de divulgación de conocimiento de las universidades en el conjunto de la sociedad. </w:t>
      </w:r>
    </w:p>
    <w:p w14:paraId="6E177419" w14:textId="77777777" w:rsidR="00752504" w:rsidRPr="0081074F" w:rsidRDefault="00752504" w:rsidP="0081074F">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4"/>
          <w:szCs w:val="24"/>
          <w:lang w:eastAsia="es-ES"/>
        </w:rPr>
      </w:pPr>
      <w:r w:rsidRPr="0081074F">
        <w:rPr>
          <w:rFonts w:ascii="Arial" w:eastAsia="Times New Roman" w:hAnsi="Arial" w:cs="Arial"/>
          <w:b/>
          <w:bCs/>
          <w:color w:val="9D2235" w:themeColor="accent1"/>
          <w:sz w:val="24"/>
          <w:szCs w:val="24"/>
          <w:lang w:eastAsia="es-ES"/>
        </w:rPr>
        <w:t>Actividades formativas dentro de grados y postgrados universitarios</w:t>
      </w:r>
    </w:p>
    <w:p w14:paraId="543658BF" w14:textId="3E085C8F" w:rsidR="00CF0839" w:rsidRPr="00CF0839" w:rsidRDefault="00CF0839" w:rsidP="00CF0839">
      <w:pPr>
        <w:spacing w:after="24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Los docuf</w:t>
      </w:r>
      <w:r w:rsidR="0084642A">
        <w:rPr>
          <w:rFonts w:ascii="Arial" w:eastAsia="Times New Roman" w:hAnsi="Arial" w:cs="Arial"/>
          <w:sz w:val="21"/>
          <w:szCs w:val="21"/>
          <w:lang w:eastAsia="es-ES"/>
        </w:rPr>
        <w:t>ó</w:t>
      </w:r>
      <w:r w:rsidRPr="00CF0839">
        <w:rPr>
          <w:rFonts w:ascii="Arial" w:eastAsia="Times New Roman" w:hAnsi="Arial" w:cs="Arial"/>
          <w:sz w:val="21"/>
          <w:szCs w:val="21"/>
          <w:lang w:eastAsia="es-ES"/>
        </w:rPr>
        <w:t xml:space="preserve">rum universitarios son una actividad formativa de la Agencia Valenciana Antifraude que está orientada a incrementar la cultura social de ética cívica, integridad pública y prevención del fraude y lucha contra la corrupción, de manera singularizada entre las generaciones más jóvenes que estudian en las universidades valencianas. </w:t>
      </w:r>
    </w:p>
    <w:p w14:paraId="43F76EFA" w14:textId="77777777" w:rsidR="00CF0839" w:rsidRPr="00CF0839" w:rsidRDefault="00CF0839" w:rsidP="00CF0839">
      <w:pPr>
        <w:spacing w:after="24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La actividad formativa se integra dentro de las clases prácticas regulares de las asignaturas que son impartidas por el profesorado y que tratan materias que pueden tener vinculación directa o genérica con las funciones y los ámbitos de la prevención del fraude y de la corrupción, o sobre ética pública e integridad. De momento la actividad se ha realizado, principalmente, en las asignaturas de Derecho, Ciencia Política, Administración de Empresas, Economía, Sociología y Periodismo. Han participado más de 1.350 estudiantes de las universidades valencianas en los últimos cuatro años de manera presencial o en línea. </w:t>
      </w:r>
    </w:p>
    <w:p w14:paraId="066953A0" w14:textId="2CB2DACF" w:rsidR="00CF0839" w:rsidRPr="00CF0839" w:rsidRDefault="00CF0839" w:rsidP="00E9031B">
      <w:pPr>
        <w:spacing w:after="24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Con estas actividades</w:t>
      </w:r>
      <w:r w:rsidR="00300DFC">
        <w:rPr>
          <w:rFonts w:ascii="Arial" w:eastAsia="Times New Roman" w:hAnsi="Arial" w:cs="Arial"/>
          <w:sz w:val="21"/>
          <w:szCs w:val="21"/>
          <w:lang w:eastAsia="es-ES"/>
        </w:rPr>
        <w:t>,</w:t>
      </w:r>
      <w:r w:rsidRPr="00CF0839">
        <w:rPr>
          <w:rFonts w:ascii="Arial" w:eastAsia="Times New Roman" w:hAnsi="Arial" w:cs="Arial"/>
          <w:sz w:val="21"/>
          <w:szCs w:val="21"/>
          <w:lang w:eastAsia="es-ES"/>
        </w:rPr>
        <w:t xml:space="preserve"> se pretende: </w:t>
      </w:r>
    </w:p>
    <w:p w14:paraId="11B9DCB2" w14:textId="77777777" w:rsidR="00CF0839" w:rsidRPr="00CF0839" w:rsidRDefault="00CF0839" w:rsidP="00E9031B">
      <w:pPr>
        <w:numPr>
          <w:ilvl w:val="0"/>
          <w:numId w:val="138"/>
        </w:numPr>
        <w:spacing w:after="120" w:line="276" w:lineRule="auto"/>
        <w:ind w:left="714" w:hanging="357"/>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Desarrollar una experiencia formativa crítica y autorreflexiva. </w:t>
      </w:r>
    </w:p>
    <w:p w14:paraId="22545BA7" w14:textId="77777777" w:rsidR="00CF0839" w:rsidRPr="00CF0839" w:rsidRDefault="00CF0839" w:rsidP="00E9031B">
      <w:pPr>
        <w:numPr>
          <w:ilvl w:val="0"/>
          <w:numId w:val="138"/>
        </w:numPr>
        <w:spacing w:after="120" w:line="276" w:lineRule="auto"/>
        <w:ind w:left="714" w:hanging="357"/>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Otorgar el mayor protagonismo posible al alumnado en la acción formativa.</w:t>
      </w:r>
    </w:p>
    <w:p w14:paraId="194CD7FB" w14:textId="77777777" w:rsidR="00CF0839" w:rsidRPr="00CF0839" w:rsidRDefault="00CF0839" w:rsidP="00E9031B">
      <w:pPr>
        <w:numPr>
          <w:ilvl w:val="0"/>
          <w:numId w:val="138"/>
        </w:numPr>
        <w:spacing w:after="120" w:line="276" w:lineRule="auto"/>
        <w:ind w:left="714" w:hanging="357"/>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Transmitir al alumnado la necesidad de su papel activo contra la corrupción. </w:t>
      </w:r>
    </w:p>
    <w:p w14:paraId="34068882" w14:textId="77777777" w:rsidR="00CF0839" w:rsidRPr="00CF0839" w:rsidRDefault="00CF0839" w:rsidP="00E9031B">
      <w:pPr>
        <w:numPr>
          <w:ilvl w:val="0"/>
          <w:numId w:val="138"/>
        </w:numPr>
        <w:spacing w:after="120" w:line="276" w:lineRule="auto"/>
        <w:ind w:left="714" w:hanging="357"/>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Crear conciencia de la existencia de riesgos de diversos tipos de corrupción, y que hay también instrumentos y estrategias para reducir las prácticas corruptas y el fraude a la mínima expresión. </w:t>
      </w:r>
    </w:p>
    <w:p w14:paraId="79AFB246" w14:textId="77777777" w:rsidR="00CF0839" w:rsidRPr="00CF0839" w:rsidRDefault="00CF0839" w:rsidP="00E501D4">
      <w:pPr>
        <w:numPr>
          <w:ilvl w:val="0"/>
          <w:numId w:val="138"/>
        </w:numPr>
        <w:spacing w:after="24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Dar a conocer la Agencia, sus objetivos y funciones. </w:t>
      </w:r>
    </w:p>
    <w:p w14:paraId="2B783DB4" w14:textId="77777777" w:rsidR="006A4A70" w:rsidRDefault="006A4A70" w:rsidP="00CF0839">
      <w:pPr>
        <w:spacing w:after="240" w:line="276" w:lineRule="auto"/>
        <w:jc w:val="both"/>
        <w:rPr>
          <w:rFonts w:ascii="Arial" w:eastAsia="Times New Roman" w:hAnsi="Arial" w:cs="Arial"/>
          <w:b/>
          <w:i/>
          <w:sz w:val="21"/>
          <w:szCs w:val="21"/>
          <w:lang w:eastAsia="es-ES"/>
        </w:rPr>
      </w:pPr>
    </w:p>
    <w:p w14:paraId="7C78FC1D" w14:textId="4D4A0395" w:rsidR="00CF0839" w:rsidRPr="00CF0839" w:rsidRDefault="00CF0839" w:rsidP="00CF0839">
      <w:pPr>
        <w:spacing w:after="240" w:line="276" w:lineRule="auto"/>
        <w:jc w:val="both"/>
        <w:rPr>
          <w:rFonts w:ascii="Arial" w:eastAsia="Times New Roman" w:hAnsi="Arial" w:cs="Arial"/>
          <w:b/>
          <w:i/>
          <w:sz w:val="21"/>
          <w:szCs w:val="21"/>
          <w:lang w:eastAsia="es-ES"/>
        </w:rPr>
      </w:pPr>
      <w:r w:rsidRPr="00CF0839">
        <w:rPr>
          <w:rFonts w:ascii="Arial" w:eastAsia="Times New Roman" w:hAnsi="Arial" w:cs="Arial"/>
          <w:b/>
          <w:i/>
          <w:sz w:val="21"/>
          <w:szCs w:val="21"/>
          <w:lang w:eastAsia="es-ES"/>
        </w:rPr>
        <w:t>Docuf</w:t>
      </w:r>
      <w:r w:rsidR="0084642A">
        <w:rPr>
          <w:rFonts w:ascii="Arial" w:eastAsia="Times New Roman" w:hAnsi="Arial" w:cs="Arial"/>
          <w:b/>
          <w:i/>
          <w:sz w:val="21"/>
          <w:szCs w:val="21"/>
          <w:lang w:eastAsia="es-ES"/>
        </w:rPr>
        <w:t>ó</w:t>
      </w:r>
      <w:r w:rsidRPr="00CF0839">
        <w:rPr>
          <w:rFonts w:ascii="Arial" w:eastAsia="Times New Roman" w:hAnsi="Arial" w:cs="Arial"/>
          <w:b/>
          <w:i/>
          <w:sz w:val="21"/>
          <w:szCs w:val="21"/>
          <w:lang w:eastAsia="es-ES"/>
        </w:rPr>
        <w:t>rums en grados universitarios</w:t>
      </w:r>
    </w:p>
    <w:p w14:paraId="486CD77A" w14:textId="61A6E9B8" w:rsidR="00CF0839" w:rsidRPr="00CF0839" w:rsidRDefault="00CF0839" w:rsidP="00CF0839">
      <w:pPr>
        <w:spacing w:after="24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Desde el 2019 en que se creó el documental “</w:t>
      </w:r>
      <w:r w:rsidRPr="00CF0839">
        <w:rPr>
          <w:rFonts w:ascii="Arial" w:eastAsia="Times New Roman" w:hAnsi="Arial" w:cs="Arial"/>
          <w:b/>
          <w:sz w:val="21"/>
          <w:szCs w:val="21"/>
          <w:lang w:eastAsia="es-ES"/>
        </w:rPr>
        <w:t>Corrupción: organismo nocivo</w:t>
      </w:r>
      <w:r w:rsidRPr="00CF0839">
        <w:rPr>
          <w:rFonts w:ascii="Arial" w:eastAsia="Times New Roman" w:hAnsi="Arial" w:cs="Arial"/>
          <w:sz w:val="21"/>
          <w:szCs w:val="21"/>
          <w:lang w:eastAsia="es-ES"/>
        </w:rPr>
        <w:t>”, se han realizado actividades en diferentes grados de las seis universidades de la Comuni</w:t>
      </w:r>
      <w:r w:rsidR="008C1237">
        <w:rPr>
          <w:rFonts w:ascii="Arial" w:eastAsia="Times New Roman" w:hAnsi="Arial" w:cs="Arial"/>
          <w:sz w:val="21"/>
          <w:szCs w:val="21"/>
          <w:lang w:eastAsia="es-ES"/>
        </w:rPr>
        <w:t>tat</w:t>
      </w:r>
      <w:r w:rsidRPr="00CF0839">
        <w:rPr>
          <w:rFonts w:ascii="Arial" w:eastAsia="Times New Roman" w:hAnsi="Arial" w:cs="Arial"/>
          <w:sz w:val="21"/>
          <w:szCs w:val="21"/>
          <w:lang w:eastAsia="es-ES"/>
        </w:rPr>
        <w:t xml:space="preserve"> Valenciana </w:t>
      </w:r>
      <w:r w:rsidRPr="003416AE">
        <w:rPr>
          <w:rFonts w:ascii="Arial" w:eastAsia="Times New Roman" w:hAnsi="Arial" w:cs="Arial"/>
          <w:sz w:val="21"/>
          <w:szCs w:val="21"/>
          <w:lang w:eastAsia="es-ES"/>
        </w:rPr>
        <w:t xml:space="preserve">(Gráfico </w:t>
      </w:r>
      <w:r w:rsidR="000E5FE5" w:rsidRPr="003416AE">
        <w:rPr>
          <w:rFonts w:ascii="Arial" w:eastAsia="Times New Roman" w:hAnsi="Arial" w:cs="Arial"/>
          <w:sz w:val="21"/>
          <w:szCs w:val="21"/>
          <w:lang w:eastAsia="es-ES"/>
        </w:rPr>
        <w:t>3</w:t>
      </w:r>
      <w:r w:rsidR="005976FC" w:rsidRPr="003416AE">
        <w:rPr>
          <w:rFonts w:ascii="Arial" w:eastAsia="Times New Roman" w:hAnsi="Arial" w:cs="Arial"/>
          <w:sz w:val="21"/>
          <w:szCs w:val="21"/>
          <w:lang w:eastAsia="es-ES"/>
        </w:rPr>
        <w:t>3</w:t>
      </w:r>
      <w:r w:rsidRPr="003416AE">
        <w:rPr>
          <w:rFonts w:ascii="Arial" w:eastAsia="Times New Roman" w:hAnsi="Arial" w:cs="Arial"/>
          <w:sz w:val="21"/>
          <w:szCs w:val="21"/>
          <w:lang w:eastAsia="es-ES"/>
        </w:rPr>
        <w:t>).</w:t>
      </w:r>
      <w:r w:rsidRPr="00CF0839">
        <w:rPr>
          <w:rFonts w:ascii="Arial" w:eastAsia="Times New Roman" w:hAnsi="Arial" w:cs="Arial"/>
          <w:sz w:val="21"/>
          <w:szCs w:val="21"/>
          <w:lang w:eastAsia="es-ES"/>
        </w:rPr>
        <w:t xml:space="preserve"> </w:t>
      </w:r>
    </w:p>
    <w:p w14:paraId="2B739918" w14:textId="77777777" w:rsidR="00752504" w:rsidRDefault="00752504" w:rsidP="00752504">
      <w:pPr>
        <w:keepNext/>
        <w:spacing w:after="80" w:line="276" w:lineRule="auto"/>
        <w:jc w:val="center"/>
      </w:pPr>
      <w:r w:rsidRPr="00752504">
        <w:rPr>
          <w:rFonts w:ascii="Calibri" w:eastAsia="Calibri" w:hAnsi="Calibri" w:cs="Times New Roman"/>
          <w:noProof/>
        </w:rPr>
        <w:drawing>
          <wp:inline distT="0" distB="0" distL="0" distR="0" wp14:anchorId="10631564" wp14:editId="3F1ADF5D">
            <wp:extent cx="5400040" cy="3239770"/>
            <wp:effectExtent l="19050" t="19050" r="10160" b="17780"/>
            <wp:docPr id="89" name="Imagen 89"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descr="Gráfico&#10;&#10;Descripción generada automáticamente con confianza baja"/>
                    <pic:cNvPicPr/>
                  </pic:nvPicPr>
                  <pic:blipFill>
                    <a:blip r:embed="rId513"/>
                    <a:stretch>
                      <a:fillRect/>
                    </a:stretch>
                  </pic:blipFill>
                  <pic:spPr>
                    <a:xfrm>
                      <a:off x="0" y="0"/>
                      <a:ext cx="5400040" cy="3239770"/>
                    </a:xfrm>
                    <a:prstGeom prst="rect">
                      <a:avLst/>
                    </a:prstGeom>
                    <a:ln>
                      <a:solidFill>
                        <a:sysClr val="window" lastClr="FFFFFF">
                          <a:lumMod val="85000"/>
                        </a:sysClr>
                      </a:solidFill>
                    </a:ln>
                  </pic:spPr>
                </pic:pic>
              </a:graphicData>
            </a:graphic>
          </wp:inline>
        </w:drawing>
      </w:r>
    </w:p>
    <w:p w14:paraId="21E967C6" w14:textId="5090FAE1" w:rsidR="00752504" w:rsidRPr="00752504" w:rsidRDefault="00752504" w:rsidP="00752504">
      <w:pPr>
        <w:pStyle w:val="Descripcin"/>
        <w:spacing w:after="240"/>
        <w:jc w:val="center"/>
        <w:rPr>
          <w:rFonts w:ascii="Arial" w:eastAsia="Times New Roman" w:hAnsi="Arial" w:cs="Arial"/>
          <w:smallCaps w:val="0"/>
          <w:sz w:val="18"/>
          <w:szCs w:val="18"/>
          <w:lang w:eastAsia="es-ES"/>
        </w:rPr>
      </w:pPr>
      <w:bookmarkStart w:id="465" w:name="_Toc99099832"/>
      <w:r w:rsidRPr="00752504">
        <w:rPr>
          <w:rFonts w:ascii="Arial" w:hAnsi="Arial" w:cs="Arial"/>
          <w:smallCaps w:val="0"/>
          <w:color w:val="9D2235" w:themeColor="accent1"/>
          <w:sz w:val="18"/>
          <w:szCs w:val="18"/>
        </w:rPr>
        <w:t xml:space="preserve">Gráfico </w:t>
      </w:r>
      <w:r w:rsidRPr="00752504">
        <w:rPr>
          <w:rFonts w:ascii="Arial" w:hAnsi="Arial" w:cs="Arial"/>
          <w:smallCaps w:val="0"/>
          <w:color w:val="9D2235" w:themeColor="accent1"/>
          <w:sz w:val="18"/>
          <w:szCs w:val="18"/>
        </w:rPr>
        <w:fldChar w:fldCharType="begin" w:fldLock="1"/>
      </w:r>
      <w:r w:rsidRPr="00752504">
        <w:rPr>
          <w:rFonts w:ascii="Arial" w:hAnsi="Arial" w:cs="Arial"/>
          <w:smallCaps w:val="0"/>
          <w:color w:val="9D2235" w:themeColor="accent1"/>
          <w:sz w:val="18"/>
          <w:szCs w:val="18"/>
        </w:rPr>
        <w:instrText xml:space="preserve"> SEQ Gráfico \* ARABIC </w:instrText>
      </w:r>
      <w:r w:rsidRPr="00752504">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33</w:t>
      </w:r>
      <w:r w:rsidRPr="00752504">
        <w:rPr>
          <w:rFonts w:ascii="Arial" w:hAnsi="Arial" w:cs="Arial"/>
          <w:smallCaps w:val="0"/>
          <w:color w:val="9D2235" w:themeColor="accent1"/>
          <w:sz w:val="18"/>
          <w:szCs w:val="18"/>
        </w:rPr>
        <w:fldChar w:fldCharType="end"/>
      </w:r>
      <w:r w:rsidRPr="00752504">
        <w:rPr>
          <w:rFonts w:ascii="Arial" w:hAnsi="Arial" w:cs="Arial"/>
          <w:smallCaps w:val="0"/>
          <w:color w:val="9D2235" w:themeColor="accent1"/>
          <w:sz w:val="18"/>
          <w:szCs w:val="18"/>
        </w:rPr>
        <w:t xml:space="preserve">. </w:t>
      </w:r>
      <w:r w:rsidRPr="00752504">
        <w:rPr>
          <w:rFonts w:ascii="Arial" w:hAnsi="Arial" w:cs="Arial"/>
          <w:smallCaps w:val="0"/>
          <w:sz w:val="18"/>
          <w:szCs w:val="18"/>
        </w:rPr>
        <w:t>Mapa de Universidades que han participado del docuf</w:t>
      </w:r>
      <w:r w:rsidR="006A0FF8">
        <w:rPr>
          <w:rFonts w:ascii="Arial" w:hAnsi="Arial" w:cs="Arial"/>
          <w:smallCaps w:val="0"/>
          <w:sz w:val="18"/>
          <w:szCs w:val="18"/>
        </w:rPr>
        <w:t>ó</w:t>
      </w:r>
      <w:r w:rsidRPr="00752504">
        <w:rPr>
          <w:rFonts w:ascii="Arial" w:hAnsi="Arial" w:cs="Arial"/>
          <w:smallCaps w:val="0"/>
          <w:sz w:val="18"/>
          <w:szCs w:val="18"/>
        </w:rPr>
        <w:t>rum</w:t>
      </w:r>
      <w:bookmarkEnd w:id="465"/>
    </w:p>
    <w:p w14:paraId="0C8AE732" w14:textId="3A70E463" w:rsidR="00CF0839" w:rsidRPr="00CF0839" w:rsidRDefault="00CF0839" w:rsidP="00CF0839">
      <w:pPr>
        <w:spacing w:after="24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Durante el 2021 se han realizado 12 docufórums, tantos como la suma de los realizados en 2019 y 2020, llegando a todas las universidades públicas de la Comuni</w:t>
      </w:r>
      <w:r w:rsidR="008C1237">
        <w:rPr>
          <w:rFonts w:ascii="Arial" w:eastAsia="Times New Roman" w:hAnsi="Arial" w:cs="Arial"/>
          <w:sz w:val="21"/>
          <w:szCs w:val="21"/>
          <w:lang w:eastAsia="es-ES"/>
        </w:rPr>
        <w:t>tat</w:t>
      </w:r>
      <w:r w:rsidRPr="00CF0839">
        <w:rPr>
          <w:rFonts w:ascii="Arial" w:eastAsia="Times New Roman" w:hAnsi="Arial" w:cs="Arial"/>
          <w:sz w:val="21"/>
          <w:szCs w:val="21"/>
          <w:lang w:eastAsia="es-ES"/>
        </w:rPr>
        <w:t xml:space="preserve"> Valenciana: </w:t>
      </w:r>
      <w:r w:rsidRPr="00CF0839">
        <w:rPr>
          <w:rFonts w:ascii="Arial" w:eastAsia="Times New Roman" w:hAnsi="Arial" w:cs="Arial"/>
          <w:sz w:val="21"/>
          <w:szCs w:val="21"/>
          <w:lang w:val="es" w:eastAsia="es-ES"/>
        </w:rPr>
        <w:t xml:space="preserve">Universidad de Valencia, Universidad Politécnica de Valencia, Universidad Jaume I, Universidad de Alicante, Universidad Miguel Hernández de Elche </w:t>
      </w:r>
      <w:r w:rsidRPr="00CF0839">
        <w:rPr>
          <w:rFonts w:ascii="Arial" w:eastAsia="Times New Roman" w:hAnsi="Arial" w:cs="Arial"/>
          <w:sz w:val="21"/>
          <w:szCs w:val="21"/>
          <w:lang w:eastAsia="es-ES"/>
        </w:rPr>
        <w:t>y así como a la Universidad Cardenal Herrera-</w:t>
      </w:r>
      <w:r w:rsidRPr="003416AE">
        <w:rPr>
          <w:rFonts w:ascii="Arial" w:eastAsia="Times New Roman" w:hAnsi="Arial" w:cs="Arial"/>
          <w:sz w:val="21"/>
          <w:szCs w:val="21"/>
          <w:lang w:eastAsia="es-ES"/>
        </w:rPr>
        <w:t xml:space="preserve">CEU (Tabla </w:t>
      </w:r>
      <w:r w:rsidR="005976FC" w:rsidRPr="003416AE">
        <w:rPr>
          <w:rFonts w:ascii="Arial" w:eastAsia="Times New Roman" w:hAnsi="Arial" w:cs="Arial"/>
          <w:sz w:val="21"/>
          <w:szCs w:val="21"/>
          <w:lang w:eastAsia="es-ES"/>
        </w:rPr>
        <w:t>2</w:t>
      </w:r>
      <w:r w:rsidR="000E5FE5" w:rsidRPr="003416AE">
        <w:rPr>
          <w:rFonts w:ascii="Arial" w:eastAsia="Times New Roman" w:hAnsi="Arial" w:cs="Arial"/>
          <w:sz w:val="21"/>
          <w:szCs w:val="21"/>
          <w:lang w:eastAsia="es-ES"/>
        </w:rPr>
        <w:t>4</w:t>
      </w:r>
      <w:r w:rsidRPr="003416AE">
        <w:rPr>
          <w:rFonts w:ascii="Arial" w:eastAsia="Times New Roman" w:hAnsi="Arial" w:cs="Arial"/>
          <w:sz w:val="21"/>
          <w:szCs w:val="21"/>
          <w:lang w:eastAsia="es-ES"/>
        </w:rPr>
        <w:t>).</w:t>
      </w:r>
      <w:r w:rsidRPr="00CF0839">
        <w:rPr>
          <w:rFonts w:ascii="Arial" w:eastAsia="Times New Roman" w:hAnsi="Arial" w:cs="Arial"/>
          <w:sz w:val="21"/>
          <w:szCs w:val="21"/>
          <w:lang w:eastAsia="es-ES"/>
        </w:rPr>
        <w:t xml:space="preserve">  </w:t>
      </w:r>
    </w:p>
    <w:p w14:paraId="31B45639" w14:textId="77777777" w:rsidR="00CF0839" w:rsidRPr="00CF0839" w:rsidRDefault="00CF0839" w:rsidP="001539F3">
      <w:pPr>
        <w:spacing w:after="120" w:line="276" w:lineRule="auto"/>
        <w:jc w:val="both"/>
        <w:rPr>
          <w:rFonts w:ascii="Arial" w:eastAsia="Times New Roman" w:hAnsi="Arial" w:cs="Arial"/>
          <w:b/>
          <w:sz w:val="21"/>
          <w:szCs w:val="21"/>
          <w:lang w:eastAsia="es-ES"/>
        </w:rPr>
      </w:pPr>
      <w:r w:rsidRPr="00CF0839">
        <w:rPr>
          <w:rFonts w:ascii="Arial" w:eastAsia="Times New Roman" w:hAnsi="Arial" w:cs="Arial"/>
          <w:b/>
          <w:sz w:val="21"/>
          <w:szCs w:val="21"/>
          <w:lang w:eastAsia="es-ES"/>
        </w:rPr>
        <w:t>Universidad de València</w:t>
      </w:r>
    </w:p>
    <w:p w14:paraId="6E5C90C9" w14:textId="77777777" w:rsidR="00CF0839" w:rsidRPr="00CF0839" w:rsidRDefault="00CF0839" w:rsidP="00E9031B">
      <w:pPr>
        <w:numPr>
          <w:ilvl w:val="0"/>
          <w:numId w:val="139"/>
        </w:numPr>
        <w:spacing w:after="120" w:line="276" w:lineRule="auto"/>
        <w:jc w:val="both"/>
        <w:rPr>
          <w:rFonts w:ascii="Arial" w:eastAsia="Times New Roman" w:hAnsi="Arial" w:cs="Arial"/>
          <w:b/>
          <w:i/>
          <w:sz w:val="21"/>
          <w:szCs w:val="21"/>
          <w:lang w:eastAsia="es-ES"/>
        </w:rPr>
      </w:pPr>
      <w:r w:rsidRPr="00CF0839">
        <w:rPr>
          <w:rFonts w:ascii="Arial" w:eastAsia="Times New Roman" w:hAnsi="Arial" w:cs="Arial"/>
          <w:b/>
          <w:i/>
          <w:sz w:val="21"/>
          <w:szCs w:val="21"/>
          <w:lang w:eastAsia="es-ES"/>
        </w:rPr>
        <w:t>Grado de Derecho</w:t>
      </w:r>
    </w:p>
    <w:p w14:paraId="702B652E" w14:textId="77777777" w:rsidR="00CF0839" w:rsidRPr="00CF0839" w:rsidRDefault="00CF0839" w:rsidP="00E9031B">
      <w:pPr>
        <w:spacing w:after="12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1 de octubre. De manera presencial. Docufórum con el alumnado de la asignatura de Derecho Constitucional del Grado de Derecho.</w:t>
      </w:r>
    </w:p>
    <w:p w14:paraId="4BD580C8" w14:textId="77777777" w:rsidR="00CF0839" w:rsidRPr="00CF0839" w:rsidRDefault="00CF0839" w:rsidP="00E9031B">
      <w:pPr>
        <w:numPr>
          <w:ilvl w:val="0"/>
          <w:numId w:val="139"/>
        </w:numPr>
        <w:spacing w:after="120" w:line="276" w:lineRule="auto"/>
        <w:jc w:val="both"/>
        <w:rPr>
          <w:rFonts w:ascii="Arial" w:eastAsia="Times New Roman" w:hAnsi="Arial" w:cs="Arial"/>
          <w:b/>
          <w:i/>
          <w:sz w:val="21"/>
          <w:szCs w:val="21"/>
          <w:lang w:eastAsia="es-ES"/>
        </w:rPr>
      </w:pPr>
      <w:r w:rsidRPr="00CF0839">
        <w:rPr>
          <w:rFonts w:ascii="Arial" w:eastAsia="Times New Roman" w:hAnsi="Arial" w:cs="Arial"/>
          <w:b/>
          <w:i/>
          <w:sz w:val="21"/>
          <w:szCs w:val="21"/>
          <w:lang w:eastAsia="es-ES"/>
        </w:rPr>
        <w:t>Grado de Criminología</w:t>
      </w:r>
    </w:p>
    <w:p w14:paraId="58BA6839" w14:textId="77777777" w:rsidR="00CF0839" w:rsidRPr="00CF0839" w:rsidRDefault="00CF0839" w:rsidP="005976FC">
      <w:pPr>
        <w:spacing w:after="24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26 de octubre. De manera presencial. Docufórum con el alumnado de la asignatura de Habilidades y destrezas del Grado de Criminología. </w:t>
      </w:r>
    </w:p>
    <w:p w14:paraId="028C09E3" w14:textId="0163EDD7" w:rsidR="00CF0839" w:rsidRPr="00CF0839" w:rsidRDefault="00CF0839" w:rsidP="001539F3">
      <w:pPr>
        <w:spacing w:after="120" w:line="276" w:lineRule="auto"/>
        <w:jc w:val="both"/>
        <w:rPr>
          <w:rFonts w:ascii="Arial" w:eastAsia="Times New Roman" w:hAnsi="Arial" w:cs="Arial"/>
          <w:b/>
          <w:sz w:val="21"/>
          <w:szCs w:val="21"/>
          <w:lang w:eastAsia="es-ES"/>
        </w:rPr>
      </w:pPr>
      <w:r w:rsidRPr="00CF0839">
        <w:rPr>
          <w:rFonts w:ascii="Arial" w:eastAsia="Times New Roman" w:hAnsi="Arial" w:cs="Arial"/>
          <w:b/>
          <w:sz w:val="21"/>
          <w:szCs w:val="21"/>
          <w:lang w:eastAsia="es-ES"/>
        </w:rPr>
        <w:t>Universidad Politécnica de València</w:t>
      </w:r>
    </w:p>
    <w:p w14:paraId="5163EAE2" w14:textId="77777777" w:rsidR="00CF0839" w:rsidRPr="00CF0839" w:rsidRDefault="00CF0839" w:rsidP="005D34B3">
      <w:pPr>
        <w:numPr>
          <w:ilvl w:val="0"/>
          <w:numId w:val="139"/>
        </w:numPr>
        <w:spacing w:after="120" w:line="276" w:lineRule="auto"/>
        <w:ind w:left="357" w:hanging="357"/>
        <w:jc w:val="both"/>
        <w:rPr>
          <w:rFonts w:ascii="Arial" w:eastAsia="Times New Roman" w:hAnsi="Arial" w:cs="Arial"/>
          <w:b/>
          <w:i/>
          <w:sz w:val="21"/>
          <w:szCs w:val="21"/>
          <w:lang w:eastAsia="es-ES"/>
        </w:rPr>
      </w:pPr>
      <w:r w:rsidRPr="00CF0839">
        <w:rPr>
          <w:rFonts w:ascii="Arial" w:eastAsia="Times New Roman" w:hAnsi="Arial" w:cs="Arial"/>
          <w:b/>
          <w:i/>
          <w:sz w:val="21"/>
          <w:szCs w:val="21"/>
          <w:lang w:eastAsia="es-ES"/>
        </w:rPr>
        <w:t>Grado de Gestión y Administración Pública</w:t>
      </w:r>
    </w:p>
    <w:p w14:paraId="0136D165" w14:textId="77777777" w:rsidR="00CF0839" w:rsidRPr="00CF0839" w:rsidRDefault="00CF0839" w:rsidP="00CF0839">
      <w:pPr>
        <w:spacing w:after="24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20 de octubre. De manera presencial. Docufórum con el alumnado de la asignatura de Información y documentación administrativa del Grado de Gestión y Administración Pública. </w:t>
      </w:r>
    </w:p>
    <w:p w14:paraId="6E14FF47" w14:textId="77777777" w:rsidR="00CF0839" w:rsidRPr="00CF0839" w:rsidRDefault="00CF0839" w:rsidP="001539F3">
      <w:pPr>
        <w:spacing w:after="120" w:line="276" w:lineRule="auto"/>
        <w:jc w:val="both"/>
        <w:rPr>
          <w:rFonts w:ascii="Arial" w:eastAsia="Times New Roman" w:hAnsi="Arial" w:cs="Arial"/>
          <w:b/>
          <w:sz w:val="21"/>
          <w:szCs w:val="21"/>
          <w:lang w:eastAsia="es-ES"/>
        </w:rPr>
      </w:pPr>
      <w:r w:rsidRPr="00CF0839">
        <w:rPr>
          <w:rFonts w:ascii="Arial" w:eastAsia="Times New Roman" w:hAnsi="Arial" w:cs="Arial"/>
          <w:b/>
          <w:sz w:val="21"/>
          <w:szCs w:val="21"/>
          <w:lang w:eastAsia="es-ES"/>
        </w:rPr>
        <w:t>Universidad de Alicante</w:t>
      </w:r>
    </w:p>
    <w:p w14:paraId="36924769" w14:textId="77777777" w:rsidR="00CF0839" w:rsidRPr="00CF0839" w:rsidRDefault="00CF0839" w:rsidP="005D34B3">
      <w:pPr>
        <w:numPr>
          <w:ilvl w:val="0"/>
          <w:numId w:val="139"/>
        </w:numPr>
        <w:spacing w:after="120" w:line="276" w:lineRule="auto"/>
        <w:ind w:left="357" w:hanging="357"/>
        <w:jc w:val="both"/>
        <w:rPr>
          <w:rFonts w:ascii="Arial" w:eastAsia="Times New Roman" w:hAnsi="Arial" w:cs="Arial"/>
          <w:b/>
          <w:i/>
          <w:sz w:val="21"/>
          <w:szCs w:val="21"/>
          <w:lang w:eastAsia="es-ES"/>
        </w:rPr>
      </w:pPr>
      <w:r w:rsidRPr="00CF0839">
        <w:rPr>
          <w:rFonts w:ascii="Arial" w:eastAsia="Times New Roman" w:hAnsi="Arial" w:cs="Arial"/>
          <w:b/>
          <w:i/>
          <w:sz w:val="21"/>
          <w:szCs w:val="21"/>
          <w:lang w:eastAsia="es-ES"/>
        </w:rPr>
        <w:t>Grado de Derecho</w:t>
      </w:r>
    </w:p>
    <w:p w14:paraId="24CA45B6" w14:textId="77777777" w:rsidR="00CF0839" w:rsidRPr="00CF0839" w:rsidRDefault="00CF0839" w:rsidP="00CF0839">
      <w:pPr>
        <w:spacing w:after="24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20 de octubre. De manera presencial. Docufórum con el alumnado de la asignatura de Historia del Derecho, primer curso del Grado de Derecho. </w:t>
      </w:r>
    </w:p>
    <w:p w14:paraId="1E3A2E89" w14:textId="77777777" w:rsidR="00CF0839" w:rsidRPr="00CF0839" w:rsidRDefault="00CF0839" w:rsidP="001539F3">
      <w:pPr>
        <w:spacing w:after="120" w:line="276" w:lineRule="auto"/>
        <w:jc w:val="both"/>
        <w:rPr>
          <w:rFonts w:ascii="Arial" w:eastAsia="Times New Roman" w:hAnsi="Arial" w:cs="Arial"/>
          <w:b/>
          <w:sz w:val="21"/>
          <w:szCs w:val="21"/>
          <w:lang w:eastAsia="es-ES"/>
        </w:rPr>
      </w:pPr>
      <w:r w:rsidRPr="00CF0839">
        <w:rPr>
          <w:rFonts w:ascii="Arial" w:eastAsia="Times New Roman" w:hAnsi="Arial" w:cs="Arial"/>
          <w:b/>
          <w:sz w:val="21"/>
          <w:szCs w:val="21"/>
          <w:lang w:eastAsia="es-ES"/>
        </w:rPr>
        <w:t>Universidad Jaume I</w:t>
      </w:r>
    </w:p>
    <w:p w14:paraId="3917F6CA" w14:textId="77777777" w:rsidR="00CF0839" w:rsidRPr="00CF0839" w:rsidRDefault="00CF0839" w:rsidP="005D34B3">
      <w:pPr>
        <w:numPr>
          <w:ilvl w:val="0"/>
          <w:numId w:val="139"/>
        </w:numPr>
        <w:spacing w:after="120" w:line="276" w:lineRule="auto"/>
        <w:ind w:left="357" w:hanging="357"/>
        <w:jc w:val="both"/>
        <w:rPr>
          <w:rFonts w:ascii="Arial" w:eastAsia="Times New Roman" w:hAnsi="Arial" w:cs="Arial"/>
          <w:b/>
          <w:i/>
          <w:sz w:val="21"/>
          <w:szCs w:val="21"/>
          <w:lang w:eastAsia="es-ES"/>
        </w:rPr>
      </w:pPr>
      <w:r w:rsidRPr="00CF0839">
        <w:rPr>
          <w:rFonts w:ascii="Arial" w:eastAsia="Times New Roman" w:hAnsi="Arial" w:cs="Arial"/>
          <w:b/>
          <w:i/>
          <w:sz w:val="21"/>
          <w:szCs w:val="21"/>
          <w:lang w:eastAsia="es-ES"/>
        </w:rPr>
        <w:t>Grado de Derecho</w:t>
      </w:r>
    </w:p>
    <w:p w14:paraId="676385FD" w14:textId="77777777" w:rsidR="00CF0839" w:rsidRPr="00CF0839" w:rsidRDefault="00CF0839" w:rsidP="00CF0839">
      <w:pPr>
        <w:spacing w:after="24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11 de noviembre. De manera presencial. Docufórum con los alumnos de la asignatura de Derecho de la Unión Europea del Grado de Derecho. </w:t>
      </w:r>
    </w:p>
    <w:p w14:paraId="671A58D5" w14:textId="77777777" w:rsidR="00CF0839" w:rsidRPr="00CF0839" w:rsidRDefault="00CF0839" w:rsidP="001539F3">
      <w:pPr>
        <w:spacing w:after="120" w:line="276" w:lineRule="auto"/>
        <w:jc w:val="both"/>
        <w:rPr>
          <w:rFonts w:ascii="Arial" w:eastAsia="Times New Roman" w:hAnsi="Arial" w:cs="Arial"/>
          <w:b/>
          <w:sz w:val="21"/>
          <w:szCs w:val="21"/>
          <w:lang w:eastAsia="es-ES"/>
        </w:rPr>
      </w:pPr>
      <w:r w:rsidRPr="00CF0839">
        <w:rPr>
          <w:rFonts w:ascii="Arial" w:eastAsia="Times New Roman" w:hAnsi="Arial" w:cs="Arial"/>
          <w:b/>
          <w:sz w:val="21"/>
          <w:szCs w:val="21"/>
          <w:lang w:eastAsia="es-ES"/>
        </w:rPr>
        <w:t>Universidad Miguel Hernández de Elche (UMH)</w:t>
      </w:r>
    </w:p>
    <w:p w14:paraId="78CEDD95" w14:textId="77777777" w:rsidR="00CF0839" w:rsidRPr="00CF0839" w:rsidRDefault="00CF0839" w:rsidP="005D34B3">
      <w:pPr>
        <w:numPr>
          <w:ilvl w:val="0"/>
          <w:numId w:val="139"/>
        </w:numPr>
        <w:spacing w:after="120" w:line="276" w:lineRule="auto"/>
        <w:jc w:val="both"/>
        <w:rPr>
          <w:rFonts w:ascii="Arial" w:eastAsia="Times New Roman" w:hAnsi="Arial" w:cs="Arial"/>
          <w:b/>
          <w:i/>
          <w:sz w:val="21"/>
          <w:szCs w:val="21"/>
          <w:lang w:eastAsia="es-ES"/>
        </w:rPr>
      </w:pPr>
      <w:r w:rsidRPr="00CF0839">
        <w:rPr>
          <w:rFonts w:ascii="Arial" w:eastAsia="Times New Roman" w:hAnsi="Arial" w:cs="Arial"/>
          <w:b/>
          <w:i/>
          <w:sz w:val="21"/>
          <w:szCs w:val="21"/>
          <w:lang w:eastAsia="es-ES"/>
        </w:rPr>
        <w:t>Grado de Periodismo</w:t>
      </w:r>
    </w:p>
    <w:p w14:paraId="3317A726" w14:textId="77777777" w:rsidR="00CF0839" w:rsidRPr="00CF0839" w:rsidRDefault="00CF0839" w:rsidP="005D34B3">
      <w:pPr>
        <w:spacing w:after="12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8 de enero. En línea. Docufórum con alumnos de cuarto de Periodismo, en las asignaturas de Comunicación Política y Opinión Pública, y Ética y Deontología Profesional en colaboración con el Departamento de Ciencias Sociales y Humanas del Área de Ciencia Política y de la Administración de la Facultad de Ciencias Sociales y Jurídicas. </w:t>
      </w:r>
    </w:p>
    <w:p w14:paraId="2D7426C3" w14:textId="77777777" w:rsidR="00CF0839" w:rsidRPr="00CF0839" w:rsidRDefault="00CF0839" w:rsidP="005D34B3">
      <w:pPr>
        <w:spacing w:after="120" w:line="276" w:lineRule="auto"/>
        <w:jc w:val="both"/>
        <w:rPr>
          <w:rFonts w:ascii="Arial" w:eastAsia="Times New Roman" w:hAnsi="Arial" w:cs="Arial"/>
          <w:b/>
          <w:i/>
          <w:sz w:val="21"/>
          <w:szCs w:val="21"/>
          <w:lang w:eastAsia="es-ES"/>
        </w:rPr>
      </w:pPr>
      <w:r w:rsidRPr="00CF0839">
        <w:rPr>
          <w:rFonts w:ascii="Arial" w:eastAsia="Times New Roman" w:hAnsi="Arial" w:cs="Arial"/>
          <w:sz w:val="21"/>
          <w:szCs w:val="21"/>
          <w:lang w:eastAsia="es-ES"/>
        </w:rPr>
        <w:t>3 de diciembre. De manera presencial. Docufórum con alumnos del cuarto curso del Grado en Periodismo de la asignatura de Ética y Deontología Profesional y Comunicación Política, en la Facultad de Ciencias Sociales y Jurídicas.</w:t>
      </w:r>
    </w:p>
    <w:p w14:paraId="5BFFC507" w14:textId="77777777" w:rsidR="00CF0839" w:rsidRPr="00CF0839" w:rsidRDefault="00CF0839" w:rsidP="00CF0839">
      <w:pPr>
        <w:spacing w:after="24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16 de diciembre. De manera presencial. Docufórum con alumnos del segundo curso del Grado en Periodismo de la asignatura de Instituciones Jurídico-políticas. En colaboración con el Departamento de Ciencias Sociales y Humanas del Área de Ciencia Política y de la Administración de la Facultad de Ciencias Sociales y Jurídicas.  </w:t>
      </w:r>
    </w:p>
    <w:p w14:paraId="0EEFC9D7" w14:textId="77777777" w:rsidR="00CF0839" w:rsidRPr="00CF0839" w:rsidRDefault="00CF0839" w:rsidP="001539F3">
      <w:pPr>
        <w:spacing w:after="120" w:line="276" w:lineRule="auto"/>
        <w:jc w:val="both"/>
        <w:rPr>
          <w:rFonts w:ascii="Arial" w:eastAsia="Times New Roman" w:hAnsi="Arial" w:cs="Arial"/>
          <w:b/>
          <w:sz w:val="21"/>
          <w:szCs w:val="21"/>
          <w:lang w:eastAsia="es-ES"/>
        </w:rPr>
      </w:pPr>
      <w:r w:rsidRPr="00CF0839">
        <w:rPr>
          <w:rFonts w:ascii="Arial" w:eastAsia="Times New Roman" w:hAnsi="Arial" w:cs="Arial"/>
          <w:b/>
          <w:sz w:val="21"/>
          <w:szCs w:val="21"/>
          <w:lang w:eastAsia="es-ES"/>
        </w:rPr>
        <w:t>Universidad Cardenal Herrera - CEU</w:t>
      </w:r>
    </w:p>
    <w:p w14:paraId="201EF42E" w14:textId="77777777" w:rsidR="00CF0839" w:rsidRPr="00CF0839" w:rsidRDefault="00CF0839" w:rsidP="005D34B3">
      <w:pPr>
        <w:numPr>
          <w:ilvl w:val="0"/>
          <w:numId w:val="139"/>
        </w:numPr>
        <w:spacing w:after="120" w:line="276" w:lineRule="auto"/>
        <w:jc w:val="both"/>
        <w:rPr>
          <w:rFonts w:ascii="Arial" w:eastAsia="Times New Roman" w:hAnsi="Arial" w:cs="Arial"/>
          <w:b/>
          <w:i/>
          <w:sz w:val="21"/>
          <w:szCs w:val="21"/>
          <w:lang w:eastAsia="es-ES"/>
        </w:rPr>
      </w:pPr>
      <w:r w:rsidRPr="00CF0839">
        <w:rPr>
          <w:rFonts w:ascii="Arial" w:eastAsia="Times New Roman" w:hAnsi="Arial" w:cs="Arial"/>
          <w:b/>
          <w:i/>
          <w:sz w:val="21"/>
          <w:szCs w:val="21"/>
          <w:lang w:eastAsia="es-ES"/>
        </w:rPr>
        <w:t>Grado de Comunicación Audiovisual</w:t>
      </w:r>
    </w:p>
    <w:p w14:paraId="5E8A4F97" w14:textId="77777777" w:rsidR="00CF0839" w:rsidRPr="00CF0839" w:rsidRDefault="00CF0839" w:rsidP="005D34B3">
      <w:pPr>
        <w:spacing w:after="12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23 de abril. De manera presencial. Docufórum con el alumnado de la asignatura de Ética de la Comunicación, del Grado de Comunicación Audiovisual, con la colaboración del Observatorio de Gobernanza, Transparencia y RSC de la UCH-CEU.</w:t>
      </w:r>
    </w:p>
    <w:p w14:paraId="7B1C4D9C" w14:textId="77777777" w:rsidR="00CF0839" w:rsidRPr="00CF0839" w:rsidRDefault="00CF0839" w:rsidP="005D34B3">
      <w:pPr>
        <w:numPr>
          <w:ilvl w:val="0"/>
          <w:numId w:val="139"/>
        </w:numPr>
        <w:spacing w:after="120" w:line="276" w:lineRule="auto"/>
        <w:jc w:val="both"/>
        <w:rPr>
          <w:rFonts w:ascii="Arial" w:eastAsia="Times New Roman" w:hAnsi="Arial" w:cs="Arial"/>
          <w:b/>
          <w:i/>
          <w:sz w:val="21"/>
          <w:szCs w:val="21"/>
          <w:lang w:eastAsia="es-ES"/>
        </w:rPr>
      </w:pPr>
      <w:r w:rsidRPr="00CF0839">
        <w:rPr>
          <w:rFonts w:ascii="Arial" w:eastAsia="Times New Roman" w:hAnsi="Arial" w:cs="Arial"/>
          <w:b/>
          <w:i/>
          <w:sz w:val="21"/>
          <w:szCs w:val="21"/>
          <w:lang w:eastAsia="es-ES"/>
        </w:rPr>
        <w:t>Doble Grado de Ciencias Políticas y Periodismo</w:t>
      </w:r>
    </w:p>
    <w:p w14:paraId="3A6EF463" w14:textId="3C612CAB" w:rsidR="006021BC" w:rsidRDefault="00CF0839" w:rsidP="005D34B3">
      <w:pPr>
        <w:spacing w:after="12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30 de septiembre. De manera presencial. Docufórum en el aula universitaria de la asignatura de Ética Pública, en el cuarto curso del Grado en Ciencias Políticas de la Facultad de Derecho, Empresa y Ciencias Políticas de la Universidad Cardenal Herrera CEU. La mayoría de los alumnos cursaban doble grado en Periodismo. </w:t>
      </w:r>
    </w:p>
    <w:p w14:paraId="5FAB0D0D" w14:textId="77777777" w:rsidR="00CF0839" w:rsidRPr="006021BC" w:rsidRDefault="00CF0839" w:rsidP="005D34B3">
      <w:pPr>
        <w:pStyle w:val="Prrafodelista"/>
        <w:numPr>
          <w:ilvl w:val="0"/>
          <w:numId w:val="139"/>
        </w:numPr>
        <w:spacing w:after="120" w:line="276" w:lineRule="auto"/>
        <w:jc w:val="both"/>
        <w:rPr>
          <w:rFonts w:ascii="Arial" w:eastAsia="Times New Roman" w:hAnsi="Arial" w:cs="Arial"/>
          <w:b/>
          <w:i/>
          <w:sz w:val="21"/>
          <w:szCs w:val="21"/>
          <w:lang w:eastAsia="es-ES"/>
        </w:rPr>
      </w:pPr>
      <w:r w:rsidRPr="006021BC">
        <w:rPr>
          <w:rFonts w:ascii="Arial" w:eastAsia="Times New Roman" w:hAnsi="Arial" w:cs="Arial"/>
          <w:b/>
          <w:i/>
          <w:sz w:val="21"/>
          <w:szCs w:val="21"/>
          <w:lang w:eastAsia="es-ES"/>
        </w:rPr>
        <w:t>Grado de Periodismo</w:t>
      </w:r>
    </w:p>
    <w:p w14:paraId="4020A675" w14:textId="77777777" w:rsidR="00CF0839" w:rsidRPr="00CF0839" w:rsidRDefault="00CF0839" w:rsidP="005D34B3">
      <w:pPr>
        <w:spacing w:after="12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 xml:space="preserve">14 de diciembre. De manera presencial. Docufórum con el alumnado de la asignatura de Ética de la Comunicación de segundo curso del Grado de Periodismo. </w:t>
      </w:r>
    </w:p>
    <w:p w14:paraId="3F9E9E36" w14:textId="77777777" w:rsidR="00CF0839" w:rsidRPr="006021BC" w:rsidRDefault="00CF0839" w:rsidP="005D34B3">
      <w:pPr>
        <w:pStyle w:val="Prrafodelista"/>
        <w:numPr>
          <w:ilvl w:val="0"/>
          <w:numId w:val="139"/>
        </w:numPr>
        <w:spacing w:after="120" w:line="276" w:lineRule="auto"/>
        <w:jc w:val="both"/>
        <w:rPr>
          <w:rFonts w:ascii="Arial" w:eastAsia="Times New Roman" w:hAnsi="Arial" w:cs="Arial"/>
          <w:b/>
          <w:i/>
          <w:sz w:val="21"/>
          <w:szCs w:val="21"/>
          <w:lang w:eastAsia="es-ES"/>
        </w:rPr>
      </w:pPr>
      <w:r w:rsidRPr="006021BC">
        <w:rPr>
          <w:rFonts w:ascii="Arial" w:eastAsia="Times New Roman" w:hAnsi="Arial" w:cs="Arial"/>
          <w:b/>
          <w:i/>
          <w:sz w:val="21"/>
          <w:szCs w:val="21"/>
          <w:lang w:eastAsia="es-ES"/>
        </w:rPr>
        <w:t>Grado de Derecho</w:t>
      </w:r>
    </w:p>
    <w:p w14:paraId="432850F0" w14:textId="77777777" w:rsidR="00CF0839" w:rsidRPr="00CF0839" w:rsidRDefault="00CF0839" w:rsidP="00CF0839">
      <w:pPr>
        <w:spacing w:after="240" w:line="276" w:lineRule="auto"/>
        <w:jc w:val="both"/>
        <w:rPr>
          <w:rFonts w:ascii="Arial" w:eastAsia="Times New Roman" w:hAnsi="Arial" w:cs="Arial"/>
          <w:sz w:val="21"/>
          <w:szCs w:val="21"/>
          <w:lang w:eastAsia="es-ES"/>
        </w:rPr>
      </w:pPr>
      <w:r w:rsidRPr="00CF0839">
        <w:rPr>
          <w:rFonts w:ascii="Arial" w:eastAsia="Times New Roman" w:hAnsi="Arial" w:cs="Arial"/>
          <w:sz w:val="21"/>
          <w:szCs w:val="21"/>
          <w:lang w:eastAsia="es-ES"/>
        </w:rPr>
        <w:t>20 de diciembre De manera presencial. Docufórum con alumnado de la asignatura de Derecho Administrativo II, del Grado de Derecho.</w:t>
      </w:r>
    </w:p>
    <w:p w14:paraId="15C347F8" w14:textId="5686316C" w:rsidR="006A0FF8" w:rsidRPr="006A0FF8" w:rsidRDefault="006A0FF8" w:rsidP="006A0FF8">
      <w:pPr>
        <w:pStyle w:val="Descripcin"/>
        <w:keepNext/>
        <w:spacing w:after="80"/>
        <w:rPr>
          <w:rFonts w:ascii="Arial" w:hAnsi="Arial" w:cs="Arial"/>
          <w:smallCaps w:val="0"/>
          <w:sz w:val="18"/>
          <w:szCs w:val="18"/>
        </w:rPr>
      </w:pPr>
      <w:bookmarkStart w:id="466" w:name="_Toc99107162"/>
      <w:r w:rsidRPr="006A0FF8">
        <w:rPr>
          <w:rFonts w:ascii="Arial" w:hAnsi="Arial" w:cs="Arial"/>
          <w:smallCaps w:val="0"/>
          <w:color w:val="9D2235" w:themeColor="accent1"/>
          <w:sz w:val="18"/>
          <w:szCs w:val="18"/>
        </w:rPr>
        <w:t xml:space="preserve">Tabla </w:t>
      </w:r>
      <w:r w:rsidRPr="006A0FF8">
        <w:rPr>
          <w:rFonts w:ascii="Arial" w:hAnsi="Arial" w:cs="Arial"/>
          <w:smallCaps w:val="0"/>
          <w:color w:val="9D2235" w:themeColor="accent1"/>
          <w:sz w:val="18"/>
          <w:szCs w:val="18"/>
        </w:rPr>
        <w:fldChar w:fldCharType="begin" w:fldLock="1"/>
      </w:r>
      <w:r w:rsidRPr="006A0FF8">
        <w:rPr>
          <w:rFonts w:ascii="Arial" w:hAnsi="Arial" w:cs="Arial"/>
          <w:smallCaps w:val="0"/>
          <w:color w:val="9D2235" w:themeColor="accent1"/>
          <w:sz w:val="18"/>
          <w:szCs w:val="18"/>
        </w:rPr>
        <w:instrText xml:space="preserve"> SEQ Tabla \* ARABIC </w:instrText>
      </w:r>
      <w:r w:rsidRPr="006A0FF8">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24</w:t>
      </w:r>
      <w:r w:rsidRPr="006A0FF8">
        <w:rPr>
          <w:rFonts w:ascii="Arial" w:hAnsi="Arial" w:cs="Arial"/>
          <w:smallCaps w:val="0"/>
          <w:color w:val="9D2235" w:themeColor="accent1"/>
          <w:sz w:val="18"/>
          <w:szCs w:val="18"/>
        </w:rPr>
        <w:fldChar w:fldCharType="end"/>
      </w:r>
      <w:r w:rsidRPr="006A0FF8">
        <w:rPr>
          <w:rFonts w:ascii="Arial" w:hAnsi="Arial" w:cs="Arial"/>
          <w:smallCaps w:val="0"/>
          <w:color w:val="9D2235" w:themeColor="accent1"/>
          <w:sz w:val="18"/>
          <w:szCs w:val="18"/>
        </w:rPr>
        <w:t xml:space="preserve">. </w:t>
      </w:r>
      <w:r w:rsidRPr="006A0FF8">
        <w:rPr>
          <w:rFonts w:ascii="Arial" w:hAnsi="Arial" w:cs="Arial"/>
          <w:smallCaps w:val="0"/>
          <w:sz w:val="18"/>
          <w:szCs w:val="18"/>
        </w:rPr>
        <w:t>Resumen de docufórum en universidades valencianas</w:t>
      </w:r>
      <w:bookmarkEnd w:id="466"/>
    </w:p>
    <w:tbl>
      <w:tblPr>
        <w:tblW w:w="8851"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70" w:type="dxa"/>
          <w:right w:w="70" w:type="dxa"/>
        </w:tblCellMar>
        <w:tblLook w:val="04A0" w:firstRow="1" w:lastRow="0" w:firstColumn="1" w:lastColumn="0" w:noHBand="0" w:noVBand="1"/>
      </w:tblPr>
      <w:tblGrid>
        <w:gridCol w:w="1452"/>
        <w:gridCol w:w="1485"/>
        <w:gridCol w:w="641"/>
        <w:gridCol w:w="1639"/>
        <w:gridCol w:w="578"/>
        <w:gridCol w:w="908"/>
        <w:gridCol w:w="985"/>
        <w:gridCol w:w="1163"/>
      </w:tblGrid>
      <w:tr w:rsidR="006A0FF8" w:rsidRPr="006A0FF8" w14:paraId="5F0D1541" w14:textId="77777777" w:rsidTr="006A0FF8">
        <w:trPr>
          <w:trHeight w:val="502"/>
        </w:trPr>
        <w:tc>
          <w:tcPr>
            <w:tcW w:w="1452" w:type="dxa"/>
            <w:shd w:val="clear" w:color="auto" w:fill="9D2235"/>
            <w:vAlign w:val="center"/>
            <w:hideMark/>
          </w:tcPr>
          <w:p w14:paraId="03B3D57C" w14:textId="77777777" w:rsidR="006A0FF8" w:rsidRPr="006A0FF8" w:rsidRDefault="006A0FF8" w:rsidP="006A0FF8">
            <w:pPr>
              <w:spacing w:after="0" w:line="240" w:lineRule="auto"/>
              <w:rPr>
                <w:rFonts w:ascii="Arial" w:eastAsia="Times New Roman" w:hAnsi="Arial" w:cs="Arial"/>
                <w:b/>
                <w:bCs/>
                <w:color w:val="FFFFFF"/>
                <w:sz w:val="18"/>
                <w:szCs w:val="18"/>
                <w:lang w:eastAsia="es-ES"/>
              </w:rPr>
            </w:pPr>
            <w:r w:rsidRPr="006A0FF8">
              <w:rPr>
                <w:rFonts w:ascii="Arial" w:eastAsia="Times New Roman" w:hAnsi="Arial" w:cs="Arial"/>
                <w:b/>
                <w:bCs/>
                <w:color w:val="FFFFFF"/>
                <w:sz w:val="18"/>
                <w:szCs w:val="18"/>
                <w:lang w:eastAsia="es-ES"/>
              </w:rPr>
              <w:t>Grado</w:t>
            </w:r>
          </w:p>
        </w:tc>
        <w:tc>
          <w:tcPr>
            <w:tcW w:w="1485" w:type="dxa"/>
            <w:shd w:val="clear" w:color="auto" w:fill="9D2235"/>
            <w:vAlign w:val="center"/>
            <w:hideMark/>
          </w:tcPr>
          <w:p w14:paraId="2511B1D7" w14:textId="77777777" w:rsidR="006A0FF8" w:rsidRPr="006A0FF8" w:rsidRDefault="006A0FF8" w:rsidP="006A0FF8">
            <w:pPr>
              <w:spacing w:after="0" w:line="240" w:lineRule="auto"/>
              <w:rPr>
                <w:rFonts w:ascii="Arial" w:eastAsia="Times New Roman" w:hAnsi="Arial" w:cs="Arial"/>
                <w:b/>
                <w:bCs/>
                <w:color w:val="FFFFFF"/>
                <w:sz w:val="18"/>
                <w:szCs w:val="18"/>
                <w:lang w:eastAsia="es-ES"/>
              </w:rPr>
            </w:pPr>
            <w:r w:rsidRPr="006A0FF8">
              <w:rPr>
                <w:rFonts w:ascii="Arial" w:eastAsia="Times New Roman" w:hAnsi="Arial" w:cs="Arial"/>
                <w:b/>
                <w:bCs/>
                <w:color w:val="FFFFFF"/>
                <w:sz w:val="18"/>
                <w:szCs w:val="18"/>
                <w:lang w:eastAsia="es-ES"/>
              </w:rPr>
              <w:t>Departamento</w:t>
            </w:r>
          </w:p>
        </w:tc>
        <w:tc>
          <w:tcPr>
            <w:tcW w:w="641" w:type="dxa"/>
            <w:shd w:val="clear" w:color="auto" w:fill="9D2235"/>
            <w:vAlign w:val="center"/>
            <w:hideMark/>
          </w:tcPr>
          <w:p w14:paraId="32E05CFF" w14:textId="77777777" w:rsidR="006A0FF8" w:rsidRPr="006A0FF8" w:rsidRDefault="006A0FF8" w:rsidP="006A0FF8">
            <w:pPr>
              <w:spacing w:after="0" w:line="240" w:lineRule="auto"/>
              <w:jc w:val="center"/>
              <w:rPr>
                <w:rFonts w:ascii="Arial" w:eastAsia="Times New Roman" w:hAnsi="Arial" w:cs="Arial"/>
                <w:b/>
                <w:bCs/>
                <w:color w:val="FFFFFF"/>
                <w:sz w:val="18"/>
                <w:szCs w:val="18"/>
                <w:lang w:eastAsia="es-ES"/>
              </w:rPr>
            </w:pPr>
            <w:r w:rsidRPr="006A0FF8">
              <w:rPr>
                <w:rFonts w:ascii="Arial" w:eastAsia="Times New Roman" w:hAnsi="Arial" w:cs="Arial"/>
                <w:b/>
                <w:bCs/>
                <w:color w:val="FFFFFF"/>
                <w:sz w:val="18"/>
                <w:szCs w:val="18"/>
                <w:lang w:eastAsia="es-ES"/>
              </w:rPr>
              <w:t>Día</w:t>
            </w:r>
          </w:p>
        </w:tc>
        <w:tc>
          <w:tcPr>
            <w:tcW w:w="1639" w:type="dxa"/>
            <w:shd w:val="clear" w:color="auto" w:fill="9D2235"/>
            <w:vAlign w:val="center"/>
            <w:hideMark/>
          </w:tcPr>
          <w:p w14:paraId="645C7EF2" w14:textId="77777777" w:rsidR="006A0FF8" w:rsidRPr="006A0FF8" w:rsidRDefault="006A0FF8" w:rsidP="006A0FF8">
            <w:pPr>
              <w:spacing w:after="0" w:line="240" w:lineRule="auto"/>
              <w:rPr>
                <w:rFonts w:ascii="Arial" w:eastAsia="Times New Roman" w:hAnsi="Arial" w:cs="Arial"/>
                <w:b/>
                <w:bCs/>
                <w:color w:val="FFFFFF"/>
                <w:sz w:val="18"/>
                <w:szCs w:val="18"/>
                <w:lang w:eastAsia="es-ES"/>
              </w:rPr>
            </w:pPr>
            <w:r w:rsidRPr="006A0FF8">
              <w:rPr>
                <w:rFonts w:ascii="Arial" w:eastAsia="Times New Roman" w:hAnsi="Arial" w:cs="Arial"/>
                <w:b/>
                <w:bCs/>
                <w:color w:val="FFFFFF"/>
                <w:sz w:val="18"/>
                <w:szCs w:val="18"/>
                <w:lang w:eastAsia="es-ES"/>
              </w:rPr>
              <w:t>Perfil alumnado</w:t>
            </w:r>
          </w:p>
        </w:tc>
        <w:tc>
          <w:tcPr>
            <w:tcW w:w="578" w:type="dxa"/>
            <w:shd w:val="clear" w:color="auto" w:fill="9D2235"/>
            <w:vAlign w:val="center"/>
            <w:hideMark/>
          </w:tcPr>
          <w:p w14:paraId="4B7F01B9" w14:textId="77777777" w:rsidR="006A0FF8" w:rsidRPr="006A0FF8" w:rsidRDefault="006A0FF8" w:rsidP="006A0FF8">
            <w:pPr>
              <w:spacing w:after="0" w:line="240" w:lineRule="auto"/>
              <w:jc w:val="center"/>
              <w:rPr>
                <w:rFonts w:ascii="Arial" w:eastAsia="Times New Roman" w:hAnsi="Arial" w:cs="Arial"/>
                <w:b/>
                <w:bCs/>
                <w:color w:val="FFFFFF"/>
                <w:sz w:val="18"/>
                <w:szCs w:val="18"/>
                <w:lang w:eastAsia="es-ES"/>
              </w:rPr>
            </w:pPr>
            <w:r w:rsidRPr="006A0FF8">
              <w:rPr>
                <w:rFonts w:ascii="Arial" w:eastAsia="Times New Roman" w:hAnsi="Arial" w:cs="Arial"/>
                <w:b/>
                <w:bCs/>
                <w:color w:val="FFFFFF"/>
                <w:sz w:val="18"/>
                <w:szCs w:val="18"/>
                <w:lang w:eastAsia="es-ES"/>
              </w:rPr>
              <w:t>Nº</w:t>
            </w:r>
          </w:p>
          <w:p w14:paraId="6272010E" w14:textId="77777777" w:rsidR="006A0FF8" w:rsidRPr="006A0FF8" w:rsidRDefault="006A0FF8" w:rsidP="006A0FF8">
            <w:pPr>
              <w:spacing w:after="0" w:line="240" w:lineRule="auto"/>
              <w:jc w:val="center"/>
              <w:rPr>
                <w:rFonts w:ascii="Arial" w:eastAsia="Times New Roman" w:hAnsi="Arial" w:cs="Arial"/>
                <w:b/>
                <w:bCs/>
                <w:color w:val="FFFFFF"/>
                <w:sz w:val="18"/>
                <w:szCs w:val="18"/>
                <w:lang w:eastAsia="es-ES"/>
              </w:rPr>
            </w:pPr>
          </w:p>
        </w:tc>
        <w:tc>
          <w:tcPr>
            <w:tcW w:w="908" w:type="dxa"/>
            <w:shd w:val="clear" w:color="auto" w:fill="9D2235"/>
            <w:vAlign w:val="center"/>
            <w:hideMark/>
          </w:tcPr>
          <w:p w14:paraId="4A9F50AD" w14:textId="77777777" w:rsidR="006A0FF8" w:rsidRPr="006A0FF8" w:rsidRDefault="006A0FF8" w:rsidP="006A0FF8">
            <w:pPr>
              <w:spacing w:after="0" w:line="240" w:lineRule="auto"/>
              <w:jc w:val="center"/>
              <w:rPr>
                <w:rFonts w:ascii="Arial" w:eastAsia="Times New Roman" w:hAnsi="Arial" w:cs="Arial"/>
                <w:b/>
                <w:bCs/>
                <w:color w:val="FFFFFF"/>
                <w:sz w:val="18"/>
                <w:szCs w:val="18"/>
                <w:lang w:eastAsia="es-ES"/>
              </w:rPr>
            </w:pPr>
            <w:r w:rsidRPr="006A0FF8">
              <w:rPr>
                <w:rFonts w:ascii="Arial" w:eastAsia="Times New Roman" w:hAnsi="Arial" w:cs="Arial"/>
                <w:b/>
                <w:bCs/>
                <w:color w:val="FFFFFF"/>
                <w:sz w:val="18"/>
                <w:szCs w:val="18"/>
                <w:lang w:eastAsia="es-ES"/>
              </w:rPr>
              <w:t>% mujeres</w:t>
            </w:r>
          </w:p>
        </w:tc>
        <w:tc>
          <w:tcPr>
            <w:tcW w:w="985" w:type="dxa"/>
            <w:shd w:val="clear" w:color="auto" w:fill="9D2235"/>
            <w:vAlign w:val="center"/>
            <w:hideMark/>
          </w:tcPr>
          <w:p w14:paraId="5CE6C77A" w14:textId="77777777" w:rsidR="006A0FF8" w:rsidRPr="006A0FF8" w:rsidRDefault="006A0FF8" w:rsidP="006A0FF8">
            <w:pPr>
              <w:spacing w:after="0" w:line="240" w:lineRule="auto"/>
              <w:jc w:val="center"/>
              <w:rPr>
                <w:rFonts w:ascii="Arial" w:eastAsia="Times New Roman" w:hAnsi="Arial" w:cs="Arial"/>
                <w:b/>
                <w:bCs/>
                <w:color w:val="FFFFFF"/>
                <w:sz w:val="18"/>
                <w:szCs w:val="18"/>
                <w:lang w:eastAsia="es-ES"/>
              </w:rPr>
            </w:pPr>
            <w:r w:rsidRPr="006A0FF8">
              <w:rPr>
                <w:rFonts w:ascii="Arial" w:eastAsia="Times New Roman" w:hAnsi="Arial" w:cs="Arial"/>
                <w:b/>
                <w:bCs/>
                <w:color w:val="FFFFFF"/>
                <w:sz w:val="18"/>
                <w:szCs w:val="18"/>
                <w:lang w:eastAsia="es-ES"/>
              </w:rPr>
              <w:t>% hombres</w:t>
            </w:r>
          </w:p>
        </w:tc>
        <w:tc>
          <w:tcPr>
            <w:tcW w:w="1163" w:type="dxa"/>
            <w:shd w:val="clear" w:color="auto" w:fill="9D2235"/>
            <w:vAlign w:val="center"/>
            <w:hideMark/>
          </w:tcPr>
          <w:p w14:paraId="1C7F69DD" w14:textId="77777777" w:rsidR="006A0FF8" w:rsidRPr="006A0FF8" w:rsidRDefault="006A0FF8" w:rsidP="006A0FF8">
            <w:pPr>
              <w:spacing w:after="0" w:line="240" w:lineRule="auto"/>
              <w:jc w:val="center"/>
              <w:rPr>
                <w:rFonts w:ascii="Arial" w:eastAsia="Times New Roman" w:hAnsi="Arial" w:cs="Arial"/>
                <w:b/>
                <w:bCs/>
                <w:color w:val="FFFFFF"/>
                <w:sz w:val="18"/>
                <w:szCs w:val="18"/>
                <w:lang w:eastAsia="es-ES"/>
              </w:rPr>
            </w:pPr>
            <w:r w:rsidRPr="006A0FF8">
              <w:rPr>
                <w:rFonts w:ascii="Arial" w:eastAsia="Times New Roman" w:hAnsi="Arial" w:cs="Arial"/>
                <w:b/>
                <w:bCs/>
                <w:color w:val="FFFFFF"/>
                <w:sz w:val="18"/>
                <w:szCs w:val="18"/>
                <w:lang w:eastAsia="es-ES"/>
              </w:rPr>
              <w:t>Valoración</w:t>
            </w:r>
          </w:p>
        </w:tc>
      </w:tr>
      <w:tr w:rsidR="006A0FF8" w:rsidRPr="006A0FF8" w14:paraId="459F9C7B" w14:textId="77777777" w:rsidTr="006A0FF8">
        <w:trPr>
          <w:trHeight w:val="248"/>
        </w:trPr>
        <w:tc>
          <w:tcPr>
            <w:tcW w:w="8851" w:type="dxa"/>
            <w:gridSpan w:val="8"/>
            <w:shd w:val="clear" w:color="000000" w:fill="D9D9D9"/>
            <w:noWrap/>
            <w:vAlign w:val="center"/>
            <w:hideMark/>
          </w:tcPr>
          <w:p w14:paraId="13F553E1" w14:textId="77777777" w:rsidR="006A0FF8" w:rsidRPr="006A0FF8" w:rsidRDefault="006A0FF8" w:rsidP="006A0FF8">
            <w:pPr>
              <w:spacing w:after="0" w:line="240" w:lineRule="auto"/>
              <w:jc w:val="center"/>
              <w:rPr>
                <w:rFonts w:ascii="Arial" w:eastAsia="Times New Roman" w:hAnsi="Arial" w:cs="Arial"/>
                <w:b/>
                <w:bCs/>
                <w:sz w:val="18"/>
                <w:szCs w:val="18"/>
                <w:lang w:eastAsia="es-ES"/>
              </w:rPr>
            </w:pPr>
            <w:r w:rsidRPr="006A0FF8">
              <w:rPr>
                <w:rFonts w:ascii="Arial" w:eastAsia="Times New Roman" w:hAnsi="Arial" w:cs="Arial"/>
                <w:b/>
                <w:bCs/>
                <w:sz w:val="18"/>
                <w:szCs w:val="18"/>
                <w:lang w:eastAsia="es-ES"/>
              </w:rPr>
              <w:t>UNIVERSIDAD DE VALÈNCIA</w:t>
            </w:r>
          </w:p>
        </w:tc>
      </w:tr>
      <w:tr w:rsidR="006A0FF8" w:rsidRPr="006A0FF8" w14:paraId="157D1192" w14:textId="77777777" w:rsidTr="006A0FF8">
        <w:trPr>
          <w:trHeight w:val="245"/>
        </w:trPr>
        <w:tc>
          <w:tcPr>
            <w:tcW w:w="1452" w:type="dxa"/>
            <w:shd w:val="clear" w:color="auto" w:fill="auto"/>
            <w:noWrap/>
            <w:vAlign w:val="center"/>
            <w:hideMark/>
          </w:tcPr>
          <w:p w14:paraId="1742E7F0"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Derecho</w:t>
            </w:r>
          </w:p>
        </w:tc>
        <w:tc>
          <w:tcPr>
            <w:tcW w:w="1485" w:type="dxa"/>
            <w:shd w:val="clear" w:color="auto" w:fill="auto"/>
            <w:noWrap/>
            <w:vAlign w:val="center"/>
            <w:hideMark/>
          </w:tcPr>
          <w:p w14:paraId="7CC8A013" w14:textId="77777777" w:rsidR="006A0FF8" w:rsidRPr="006A0FF8" w:rsidRDefault="006A0FF8" w:rsidP="006A0FF8">
            <w:pPr>
              <w:spacing w:after="0" w:line="240" w:lineRule="auto"/>
              <w:rPr>
                <w:rFonts w:ascii="Arial" w:eastAsia="Times New Roman" w:hAnsi="Arial" w:cs="Arial"/>
                <w:color w:val="000000"/>
                <w:sz w:val="18"/>
                <w:szCs w:val="18"/>
                <w:lang w:eastAsia="es-ES"/>
              </w:rPr>
            </w:pPr>
          </w:p>
        </w:tc>
        <w:tc>
          <w:tcPr>
            <w:tcW w:w="641" w:type="dxa"/>
            <w:shd w:val="clear" w:color="auto" w:fill="auto"/>
            <w:noWrap/>
            <w:vAlign w:val="center"/>
            <w:hideMark/>
          </w:tcPr>
          <w:p w14:paraId="37B1FA74"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01/10</w:t>
            </w:r>
          </w:p>
        </w:tc>
        <w:tc>
          <w:tcPr>
            <w:tcW w:w="1639" w:type="dxa"/>
            <w:shd w:val="clear" w:color="auto" w:fill="auto"/>
            <w:noWrap/>
            <w:vAlign w:val="center"/>
            <w:hideMark/>
          </w:tcPr>
          <w:p w14:paraId="41E2103A"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Derecho Constitucional</w:t>
            </w:r>
          </w:p>
        </w:tc>
        <w:tc>
          <w:tcPr>
            <w:tcW w:w="578" w:type="dxa"/>
            <w:shd w:val="clear" w:color="auto" w:fill="auto"/>
            <w:noWrap/>
            <w:vAlign w:val="center"/>
            <w:hideMark/>
          </w:tcPr>
          <w:p w14:paraId="189563FA"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39</w:t>
            </w:r>
          </w:p>
        </w:tc>
        <w:tc>
          <w:tcPr>
            <w:tcW w:w="908" w:type="dxa"/>
            <w:shd w:val="clear" w:color="auto" w:fill="auto"/>
            <w:noWrap/>
            <w:vAlign w:val="center"/>
            <w:hideMark/>
          </w:tcPr>
          <w:p w14:paraId="36293EAB"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63%</w:t>
            </w:r>
          </w:p>
        </w:tc>
        <w:tc>
          <w:tcPr>
            <w:tcW w:w="985" w:type="dxa"/>
            <w:shd w:val="clear" w:color="auto" w:fill="auto"/>
            <w:noWrap/>
            <w:vAlign w:val="center"/>
            <w:hideMark/>
          </w:tcPr>
          <w:p w14:paraId="6755FF95"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37%</w:t>
            </w:r>
          </w:p>
        </w:tc>
        <w:tc>
          <w:tcPr>
            <w:tcW w:w="1163" w:type="dxa"/>
            <w:shd w:val="clear" w:color="auto" w:fill="auto"/>
            <w:noWrap/>
            <w:vAlign w:val="center"/>
            <w:hideMark/>
          </w:tcPr>
          <w:p w14:paraId="693AF2AF"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8,27</w:t>
            </w:r>
          </w:p>
        </w:tc>
      </w:tr>
      <w:tr w:rsidR="006A0FF8" w:rsidRPr="006A0FF8" w14:paraId="0C6BE4A1" w14:textId="77777777" w:rsidTr="006A0FF8">
        <w:trPr>
          <w:trHeight w:val="245"/>
        </w:trPr>
        <w:tc>
          <w:tcPr>
            <w:tcW w:w="1452" w:type="dxa"/>
            <w:shd w:val="clear" w:color="auto" w:fill="auto"/>
            <w:noWrap/>
            <w:vAlign w:val="center"/>
            <w:hideMark/>
          </w:tcPr>
          <w:p w14:paraId="7A17DA63"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Criminología</w:t>
            </w:r>
          </w:p>
        </w:tc>
        <w:tc>
          <w:tcPr>
            <w:tcW w:w="1485" w:type="dxa"/>
            <w:shd w:val="clear" w:color="auto" w:fill="auto"/>
            <w:noWrap/>
            <w:vAlign w:val="center"/>
            <w:hideMark/>
          </w:tcPr>
          <w:p w14:paraId="00220BB1" w14:textId="77777777" w:rsidR="006A0FF8" w:rsidRPr="006A0FF8" w:rsidRDefault="006A0FF8" w:rsidP="006A0FF8">
            <w:pPr>
              <w:spacing w:after="0" w:line="240" w:lineRule="auto"/>
              <w:rPr>
                <w:rFonts w:ascii="Arial" w:eastAsia="Times New Roman" w:hAnsi="Arial" w:cs="Arial"/>
                <w:color w:val="000000"/>
                <w:sz w:val="18"/>
                <w:szCs w:val="18"/>
                <w:lang w:eastAsia="es-ES"/>
              </w:rPr>
            </w:pPr>
          </w:p>
        </w:tc>
        <w:tc>
          <w:tcPr>
            <w:tcW w:w="641" w:type="dxa"/>
            <w:shd w:val="clear" w:color="auto" w:fill="auto"/>
            <w:noWrap/>
            <w:vAlign w:val="center"/>
            <w:hideMark/>
          </w:tcPr>
          <w:p w14:paraId="3527455E"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26/10</w:t>
            </w:r>
          </w:p>
        </w:tc>
        <w:tc>
          <w:tcPr>
            <w:tcW w:w="1639" w:type="dxa"/>
            <w:shd w:val="clear" w:color="auto" w:fill="auto"/>
            <w:noWrap/>
            <w:vAlign w:val="center"/>
            <w:hideMark/>
          </w:tcPr>
          <w:p w14:paraId="3E9CE63D"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Habilidades y destrezas</w:t>
            </w:r>
          </w:p>
        </w:tc>
        <w:tc>
          <w:tcPr>
            <w:tcW w:w="578" w:type="dxa"/>
            <w:shd w:val="clear" w:color="auto" w:fill="auto"/>
            <w:noWrap/>
            <w:vAlign w:val="center"/>
            <w:hideMark/>
          </w:tcPr>
          <w:p w14:paraId="24399824"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81</w:t>
            </w:r>
          </w:p>
        </w:tc>
        <w:tc>
          <w:tcPr>
            <w:tcW w:w="908" w:type="dxa"/>
            <w:shd w:val="clear" w:color="auto" w:fill="auto"/>
            <w:noWrap/>
            <w:vAlign w:val="center"/>
            <w:hideMark/>
          </w:tcPr>
          <w:p w14:paraId="508E58B8"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52%</w:t>
            </w:r>
          </w:p>
        </w:tc>
        <w:tc>
          <w:tcPr>
            <w:tcW w:w="985" w:type="dxa"/>
            <w:shd w:val="clear" w:color="auto" w:fill="auto"/>
            <w:noWrap/>
            <w:vAlign w:val="center"/>
            <w:hideMark/>
          </w:tcPr>
          <w:p w14:paraId="7FEE7B28"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48%</w:t>
            </w:r>
          </w:p>
        </w:tc>
        <w:tc>
          <w:tcPr>
            <w:tcW w:w="1163" w:type="dxa"/>
            <w:shd w:val="clear" w:color="auto" w:fill="auto"/>
            <w:noWrap/>
            <w:vAlign w:val="center"/>
            <w:hideMark/>
          </w:tcPr>
          <w:p w14:paraId="7AF7B872"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8,08</w:t>
            </w:r>
          </w:p>
        </w:tc>
      </w:tr>
      <w:tr w:rsidR="006A0FF8" w:rsidRPr="006A0FF8" w14:paraId="72E300EB" w14:textId="77777777" w:rsidTr="006A0FF8">
        <w:trPr>
          <w:trHeight w:val="245"/>
        </w:trPr>
        <w:tc>
          <w:tcPr>
            <w:tcW w:w="8851" w:type="dxa"/>
            <w:gridSpan w:val="8"/>
            <w:shd w:val="clear" w:color="000000" w:fill="D9D9D9"/>
            <w:noWrap/>
            <w:vAlign w:val="center"/>
            <w:hideMark/>
          </w:tcPr>
          <w:p w14:paraId="222EA7AB" w14:textId="77777777" w:rsidR="006A0FF8" w:rsidRPr="006A0FF8" w:rsidRDefault="006A0FF8" w:rsidP="006A0FF8">
            <w:pPr>
              <w:spacing w:after="0" w:line="240" w:lineRule="auto"/>
              <w:jc w:val="center"/>
              <w:rPr>
                <w:rFonts w:ascii="Arial" w:eastAsia="Times New Roman" w:hAnsi="Arial" w:cs="Arial"/>
                <w:b/>
                <w:bCs/>
                <w:sz w:val="18"/>
                <w:szCs w:val="18"/>
                <w:lang w:eastAsia="es-ES"/>
              </w:rPr>
            </w:pPr>
            <w:r w:rsidRPr="006A0FF8">
              <w:rPr>
                <w:rFonts w:ascii="Arial" w:eastAsia="Times New Roman" w:hAnsi="Arial" w:cs="Arial"/>
                <w:b/>
                <w:bCs/>
                <w:sz w:val="18"/>
                <w:szCs w:val="18"/>
                <w:lang w:eastAsia="es-ES"/>
              </w:rPr>
              <w:t>UNIVERSIDAD POLITÉCNICA DE VALÈNCIA</w:t>
            </w:r>
          </w:p>
        </w:tc>
      </w:tr>
      <w:tr w:rsidR="006A0FF8" w:rsidRPr="006A0FF8" w14:paraId="2BBE4D44" w14:textId="77777777" w:rsidTr="006A0FF8">
        <w:trPr>
          <w:trHeight w:val="642"/>
        </w:trPr>
        <w:tc>
          <w:tcPr>
            <w:tcW w:w="1452" w:type="dxa"/>
            <w:shd w:val="clear" w:color="auto" w:fill="auto"/>
            <w:vAlign w:val="center"/>
            <w:hideMark/>
          </w:tcPr>
          <w:p w14:paraId="09A72140"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Gestión de Administración Pública</w:t>
            </w:r>
          </w:p>
        </w:tc>
        <w:tc>
          <w:tcPr>
            <w:tcW w:w="1485" w:type="dxa"/>
            <w:shd w:val="clear" w:color="auto" w:fill="auto"/>
            <w:noWrap/>
            <w:vAlign w:val="center"/>
            <w:hideMark/>
          </w:tcPr>
          <w:p w14:paraId="6BB33AB0" w14:textId="77777777" w:rsidR="006A0FF8" w:rsidRPr="006A0FF8" w:rsidRDefault="006A0FF8" w:rsidP="006A0FF8">
            <w:pPr>
              <w:spacing w:after="0" w:line="240" w:lineRule="auto"/>
              <w:rPr>
                <w:rFonts w:ascii="Arial" w:eastAsia="Times New Roman" w:hAnsi="Arial" w:cs="Arial"/>
                <w:color w:val="000000"/>
                <w:sz w:val="18"/>
                <w:szCs w:val="18"/>
                <w:lang w:eastAsia="es-ES"/>
              </w:rPr>
            </w:pPr>
          </w:p>
        </w:tc>
        <w:tc>
          <w:tcPr>
            <w:tcW w:w="641" w:type="dxa"/>
            <w:shd w:val="clear" w:color="auto" w:fill="auto"/>
            <w:noWrap/>
            <w:vAlign w:val="center"/>
            <w:hideMark/>
          </w:tcPr>
          <w:p w14:paraId="55DF52BE"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20/10</w:t>
            </w:r>
          </w:p>
        </w:tc>
        <w:tc>
          <w:tcPr>
            <w:tcW w:w="1639" w:type="dxa"/>
            <w:shd w:val="clear" w:color="auto" w:fill="auto"/>
            <w:noWrap/>
            <w:vAlign w:val="center"/>
            <w:hideMark/>
          </w:tcPr>
          <w:p w14:paraId="737636EF"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Información y Documentación Administrativa</w:t>
            </w:r>
          </w:p>
        </w:tc>
        <w:tc>
          <w:tcPr>
            <w:tcW w:w="578" w:type="dxa"/>
            <w:shd w:val="clear" w:color="auto" w:fill="auto"/>
            <w:noWrap/>
            <w:vAlign w:val="center"/>
            <w:hideMark/>
          </w:tcPr>
          <w:p w14:paraId="19266EF4"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13</w:t>
            </w:r>
          </w:p>
        </w:tc>
        <w:tc>
          <w:tcPr>
            <w:tcW w:w="908" w:type="dxa"/>
            <w:shd w:val="clear" w:color="auto" w:fill="auto"/>
            <w:noWrap/>
            <w:vAlign w:val="center"/>
            <w:hideMark/>
          </w:tcPr>
          <w:p w14:paraId="727B517E"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23%</w:t>
            </w:r>
          </w:p>
        </w:tc>
        <w:tc>
          <w:tcPr>
            <w:tcW w:w="985" w:type="dxa"/>
            <w:shd w:val="clear" w:color="auto" w:fill="auto"/>
            <w:noWrap/>
            <w:vAlign w:val="center"/>
            <w:hideMark/>
          </w:tcPr>
          <w:p w14:paraId="7FF23A38"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77%</w:t>
            </w:r>
          </w:p>
        </w:tc>
        <w:tc>
          <w:tcPr>
            <w:tcW w:w="1163" w:type="dxa"/>
            <w:shd w:val="clear" w:color="auto" w:fill="auto"/>
            <w:noWrap/>
            <w:vAlign w:val="center"/>
            <w:hideMark/>
          </w:tcPr>
          <w:p w14:paraId="0AB06278"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8,50</w:t>
            </w:r>
          </w:p>
        </w:tc>
      </w:tr>
      <w:tr w:rsidR="006A0FF8" w:rsidRPr="006A0FF8" w14:paraId="28035FE3" w14:textId="77777777" w:rsidTr="006A0FF8">
        <w:trPr>
          <w:trHeight w:val="245"/>
        </w:trPr>
        <w:tc>
          <w:tcPr>
            <w:tcW w:w="8851" w:type="dxa"/>
            <w:gridSpan w:val="8"/>
            <w:shd w:val="clear" w:color="000000" w:fill="D9D9D9"/>
            <w:noWrap/>
            <w:vAlign w:val="center"/>
            <w:hideMark/>
          </w:tcPr>
          <w:p w14:paraId="3EA701F8" w14:textId="77777777" w:rsidR="006A0FF8" w:rsidRPr="006A0FF8" w:rsidRDefault="006A0FF8" w:rsidP="006A0FF8">
            <w:pPr>
              <w:spacing w:after="0" w:line="240" w:lineRule="auto"/>
              <w:jc w:val="center"/>
              <w:rPr>
                <w:rFonts w:ascii="Arial" w:eastAsia="Times New Roman" w:hAnsi="Arial" w:cs="Arial"/>
                <w:b/>
                <w:bCs/>
                <w:sz w:val="18"/>
                <w:szCs w:val="18"/>
                <w:lang w:eastAsia="es-ES"/>
              </w:rPr>
            </w:pPr>
            <w:r w:rsidRPr="006A0FF8">
              <w:rPr>
                <w:rFonts w:ascii="Arial" w:eastAsia="Times New Roman" w:hAnsi="Arial" w:cs="Arial"/>
                <w:b/>
                <w:bCs/>
                <w:sz w:val="18"/>
                <w:szCs w:val="18"/>
                <w:lang w:eastAsia="es-ES"/>
              </w:rPr>
              <w:t>UNIVERSIDAD DE ALICANTE</w:t>
            </w:r>
          </w:p>
        </w:tc>
      </w:tr>
      <w:tr w:rsidR="006A0FF8" w:rsidRPr="006A0FF8" w14:paraId="4618CC9C" w14:textId="77777777" w:rsidTr="006A0FF8">
        <w:trPr>
          <w:trHeight w:val="493"/>
        </w:trPr>
        <w:tc>
          <w:tcPr>
            <w:tcW w:w="1452" w:type="dxa"/>
            <w:shd w:val="clear" w:color="auto" w:fill="auto"/>
            <w:noWrap/>
            <w:vAlign w:val="center"/>
            <w:hideMark/>
          </w:tcPr>
          <w:p w14:paraId="2482444F"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Derecho</w:t>
            </w:r>
          </w:p>
        </w:tc>
        <w:tc>
          <w:tcPr>
            <w:tcW w:w="1485" w:type="dxa"/>
            <w:shd w:val="clear" w:color="auto" w:fill="auto"/>
            <w:noWrap/>
            <w:vAlign w:val="center"/>
            <w:hideMark/>
          </w:tcPr>
          <w:p w14:paraId="3483510F" w14:textId="77777777" w:rsidR="006A0FF8" w:rsidRPr="006A0FF8" w:rsidRDefault="006A0FF8" w:rsidP="006A0FF8">
            <w:pPr>
              <w:spacing w:after="0" w:line="240" w:lineRule="auto"/>
              <w:rPr>
                <w:rFonts w:ascii="Arial" w:eastAsia="Times New Roman" w:hAnsi="Arial" w:cs="Arial"/>
                <w:color w:val="000000"/>
                <w:sz w:val="18"/>
                <w:szCs w:val="18"/>
                <w:lang w:eastAsia="es-ES"/>
              </w:rPr>
            </w:pPr>
          </w:p>
        </w:tc>
        <w:tc>
          <w:tcPr>
            <w:tcW w:w="641" w:type="dxa"/>
            <w:shd w:val="clear" w:color="auto" w:fill="auto"/>
            <w:noWrap/>
            <w:vAlign w:val="center"/>
            <w:hideMark/>
          </w:tcPr>
          <w:p w14:paraId="2CC9756E"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20/10</w:t>
            </w:r>
          </w:p>
        </w:tc>
        <w:tc>
          <w:tcPr>
            <w:tcW w:w="1639" w:type="dxa"/>
            <w:shd w:val="clear" w:color="auto" w:fill="auto"/>
            <w:vAlign w:val="center"/>
            <w:hideMark/>
          </w:tcPr>
          <w:p w14:paraId="47AAD3A7"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Primer Curso</w:t>
            </w:r>
            <w:r w:rsidRPr="006A0FF8">
              <w:rPr>
                <w:rFonts w:ascii="Arial" w:eastAsia="Times New Roman" w:hAnsi="Arial" w:cs="Arial"/>
                <w:color w:val="000000"/>
                <w:sz w:val="18"/>
                <w:szCs w:val="18"/>
                <w:lang w:eastAsia="es-ES"/>
              </w:rPr>
              <w:br/>
              <w:t>Historia del Derecho</w:t>
            </w:r>
          </w:p>
        </w:tc>
        <w:tc>
          <w:tcPr>
            <w:tcW w:w="578" w:type="dxa"/>
            <w:shd w:val="clear" w:color="auto" w:fill="auto"/>
            <w:noWrap/>
            <w:vAlign w:val="center"/>
            <w:hideMark/>
          </w:tcPr>
          <w:p w14:paraId="7F868D93"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66</w:t>
            </w:r>
          </w:p>
        </w:tc>
        <w:tc>
          <w:tcPr>
            <w:tcW w:w="908" w:type="dxa"/>
            <w:shd w:val="clear" w:color="auto" w:fill="auto"/>
            <w:noWrap/>
            <w:vAlign w:val="center"/>
            <w:hideMark/>
          </w:tcPr>
          <w:p w14:paraId="67F22D6C"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64%</w:t>
            </w:r>
          </w:p>
        </w:tc>
        <w:tc>
          <w:tcPr>
            <w:tcW w:w="985" w:type="dxa"/>
            <w:shd w:val="clear" w:color="auto" w:fill="auto"/>
            <w:noWrap/>
            <w:vAlign w:val="center"/>
            <w:hideMark/>
          </w:tcPr>
          <w:p w14:paraId="50C56D29"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36%</w:t>
            </w:r>
          </w:p>
        </w:tc>
        <w:tc>
          <w:tcPr>
            <w:tcW w:w="1163" w:type="dxa"/>
            <w:shd w:val="clear" w:color="auto" w:fill="auto"/>
            <w:noWrap/>
            <w:vAlign w:val="center"/>
            <w:hideMark/>
          </w:tcPr>
          <w:p w14:paraId="40F9B16F"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9,10</w:t>
            </w:r>
          </w:p>
        </w:tc>
      </w:tr>
      <w:tr w:rsidR="006A0FF8" w:rsidRPr="006A0FF8" w14:paraId="64CB87D2" w14:textId="77777777" w:rsidTr="006A0FF8">
        <w:trPr>
          <w:trHeight w:val="245"/>
        </w:trPr>
        <w:tc>
          <w:tcPr>
            <w:tcW w:w="8851" w:type="dxa"/>
            <w:gridSpan w:val="8"/>
            <w:shd w:val="clear" w:color="000000" w:fill="D9D9D9"/>
            <w:noWrap/>
            <w:vAlign w:val="center"/>
            <w:hideMark/>
          </w:tcPr>
          <w:p w14:paraId="406E5BFB" w14:textId="77777777" w:rsidR="006A0FF8" w:rsidRPr="006A0FF8" w:rsidRDefault="006A0FF8" w:rsidP="006A0FF8">
            <w:pPr>
              <w:spacing w:after="0" w:line="240" w:lineRule="auto"/>
              <w:jc w:val="center"/>
              <w:rPr>
                <w:rFonts w:ascii="Arial" w:eastAsia="Times New Roman" w:hAnsi="Arial" w:cs="Arial"/>
                <w:b/>
                <w:bCs/>
                <w:sz w:val="18"/>
                <w:szCs w:val="18"/>
                <w:lang w:eastAsia="es-ES"/>
              </w:rPr>
            </w:pPr>
            <w:r w:rsidRPr="006A0FF8">
              <w:rPr>
                <w:rFonts w:ascii="Arial" w:eastAsia="Times New Roman" w:hAnsi="Arial" w:cs="Arial"/>
                <w:b/>
                <w:bCs/>
                <w:sz w:val="18"/>
                <w:szCs w:val="18"/>
                <w:lang w:eastAsia="es-ES"/>
              </w:rPr>
              <w:t>UNIVERSIDAD JAUME I - CASTELLÓ</w:t>
            </w:r>
          </w:p>
        </w:tc>
      </w:tr>
      <w:tr w:rsidR="006A0FF8" w:rsidRPr="006A0FF8" w14:paraId="0E11151B" w14:textId="77777777" w:rsidTr="006A0FF8">
        <w:trPr>
          <w:trHeight w:val="493"/>
        </w:trPr>
        <w:tc>
          <w:tcPr>
            <w:tcW w:w="1452" w:type="dxa"/>
            <w:shd w:val="clear" w:color="auto" w:fill="auto"/>
            <w:noWrap/>
            <w:vAlign w:val="center"/>
          </w:tcPr>
          <w:p w14:paraId="6F2662BF"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Derecho</w:t>
            </w:r>
          </w:p>
        </w:tc>
        <w:tc>
          <w:tcPr>
            <w:tcW w:w="1485" w:type="dxa"/>
            <w:shd w:val="clear" w:color="auto" w:fill="auto"/>
            <w:noWrap/>
            <w:vAlign w:val="center"/>
          </w:tcPr>
          <w:p w14:paraId="2EA722F6"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Derecho Público</w:t>
            </w:r>
          </w:p>
        </w:tc>
        <w:tc>
          <w:tcPr>
            <w:tcW w:w="641" w:type="dxa"/>
            <w:shd w:val="clear" w:color="auto" w:fill="auto"/>
            <w:noWrap/>
            <w:vAlign w:val="center"/>
          </w:tcPr>
          <w:p w14:paraId="5CF50EA8"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11/11</w:t>
            </w:r>
          </w:p>
        </w:tc>
        <w:tc>
          <w:tcPr>
            <w:tcW w:w="1639" w:type="dxa"/>
            <w:shd w:val="clear" w:color="auto" w:fill="auto"/>
            <w:vAlign w:val="center"/>
          </w:tcPr>
          <w:p w14:paraId="40403453"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Derecho de la Unión Europea</w:t>
            </w:r>
          </w:p>
        </w:tc>
        <w:tc>
          <w:tcPr>
            <w:tcW w:w="578" w:type="dxa"/>
            <w:shd w:val="clear" w:color="auto" w:fill="auto"/>
            <w:noWrap/>
            <w:vAlign w:val="center"/>
          </w:tcPr>
          <w:p w14:paraId="7A242034"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32</w:t>
            </w:r>
          </w:p>
        </w:tc>
        <w:tc>
          <w:tcPr>
            <w:tcW w:w="908" w:type="dxa"/>
            <w:shd w:val="clear" w:color="auto" w:fill="auto"/>
            <w:noWrap/>
            <w:vAlign w:val="center"/>
          </w:tcPr>
          <w:p w14:paraId="56F452BD"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75%</w:t>
            </w:r>
          </w:p>
        </w:tc>
        <w:tc>
          <w:tcPr>
            <w:tcW w:w="985" w:type="dxa"/>
            <w:shd w:val="clear" w:color="auto" w:fill="auto"/>
            <w:noWrap/>
            <w:vAlign w:val="center"/>
          </w:tcPr>
          <w:p w14:paraId="76171392"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25%</w:t>
            </w:r>
          </w:p>
        </w:tc>
        <w:tc>
          <w:tcPr>
            <w:tcW w:w="1163" w:type="dxa"/>
            <w:shd w:val="clear" w:color="auto" w:fill="auto"/>
            <w:noWrap/>
            <w:vAlign w:val="center"/>
          </w:tcPr>
          <w:p w14:paraId="6E56ABFE"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9,00</w:t>
            </w:r>
          </w:p>
        </w:tc>
      </w:tr>
      <w:tr w:rsidR="006A0FF8" w:rsidRPr="006A0FF8" w14:paraId="3E972C05" w14:textId="77777777" w:rsidTr="006A0FF8">
        <w:trPr>
          <w:trHeight w:val="245"/>
        </w:trPr>
        <w:tc>
          <w:tcPr>
            <w:tcW w:w="8851" w:type="dxa"/>
            <w:gridSpan w:val="8"/>
            <w:shd w:val="clear" w:color="000000" w:fill="D9D9D9"/>
            <w:noWrap/>
            <w:vAlign w:val="center"/>
            <w:hideMark/>
          </w:tcPr>
          <w:p w14:paraId="40635A97" w14:textId="77777777" w:rsidR="006A0FF8" w:rsidRPr="006A0FF8" w:rsidRDefault="006A0FF8" w:rsidP="006A0FF8">
            <w:pPr>
              <w:spacing w:after="0" w:line="240" w:lineRule="auto"/>
              <w:jc w:val="center"/>
              <w:rPr>
                <w:rFonts w:ascii="Arial" w:eastAsia="Times New Roman" w:hAnsi="Arial" w:cs="Arial"/>
                <w:b/>
                <w:bCs/>
                <w:sz w:val="18"/>
                <w:szCs w:val="18"/>
                <w:lang w:eastAsia="es-ES"/>
              </w:rPr>
            </w:pPr>
            <w:r w:rsidRPr="006A0FF8">
              <w:rPr>
                <w:rFonts w:ascii="Arial" w:eastAsia="Times New Roman" w:hAnsi="Arial" w:cs="Arial"/>
                <w:b/>
                <w:bCs/>
                <w:sz w:val="18"/>
                <w:szCs w:val="18"/>
                <w:lang w:eastAsia="es-ES"/>
              </w:rPr>
              <w:t>UNIVERSIDAD MIGUEL HERNÁNDEZ - ELCHE</w:t>
            </w:r>
          </w:p>
        </w:tc>
      </w:tr>
      <w:tr w:rsidR="006A0FF8" w:rsidRPr="006A0FF8" w14:paraId="5430F783" w14:textId="77777777" w:rsidTr="006A0FF8">
        <w:trPr>
          <w:trHeight w:val="848"/>
        </w:trPr>
        <w:tc>
          <w:tcPr>
            <w:tcW w:w="1452" w:type="dxa"/>
            <w:shd w:val="clear" w:color="auto" w:fill="auto"/>
            <w:noWrap/>
            <w:vAlign w:val="center"/>
            <w:hideMark/>
          </w:tcPr>
          <w:p w14:paraId="48809B80"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Periodismo</w:t>
            </w:r>
          </w:p>
        </w:tc>
        <w:tc>
          <w:tcPr>
            <w:tcW w:w="1485" w:type="dxa"/>
            <w:shd w:val="clear" w:color="auto" w:fill="auto"/>
            <w:noWrap/>
            <w:vAlign w:val="center"/>
            <w:hideMark/>
          </w:tcPr>
          <w:p w14:paraId="08DA559F"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Ciencias Sociales y Humanas</w:t>
            </w:r>
          </w:p>
        </w:tc>
        <w:tc>
          <w:tcPr>
            <w:tcW w:w="641" w:type="dxa"/>
            <w:shd w:val="clear" w:color="auto" w:fill="auto"/>
            <w:noWrap/>
            <w:vAlign w:val="center"/>
            <w:hideMark/>
          </w:tcPr>
          <w:p w14:paraId="3B135941"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08/01</w:t>
            </w:r>
          </w:p>
        </w:tc>
        <w:tc>
          <w:tcPr>
            <w:tcW w:w="1639" w:type="dxa"/>
            <w:shd w:val="clear" w:color="auto" w:fill="auto"/>
            <w:vAlign w:val="center"/>
            <w:hideMark/>
          </w:tcPr>
          <w:p w14:paraId="7053D7B2"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Cuarto curso.</w:t>
            </w:r>
            <w:r w:rsidRPr="006A0FF8">
              <w:rPr>
                <w:rFonts w:ascii="Arial" w:eastAsia="Times New Roman" w:hAnsi="Arial" w:cs="Arial"/>
                <w:color w:val="000000"/>
                <w:sz w:val="18"/>
                <w:szCs w:val="18"/>
                <w:lang w:eastAsia="es-ES"/>
              </w:rPr>
              <w:br/>
              <w:t>Comunicación Política y Opinión Pública, Ética y Deontología Profesional</w:t>
            </w:r>
          </w:p>
        </w:tc>
        <w:tc>
          <w:tcPr>
            <w:tcW w:w="578" w:type="dxa"/>
            <w:shd w:val="clear" w:color="auto" w:fill="auto"/>
            <w:noWrap/>
            <w:vAlign w:val="center"/>
            <w:hideMark/>
          </w:tcPr>
          <w:p w14:paraId="5B86B3A2"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47</w:t>
            </w:r>
          </w:p>
        </w:tc>
        <w:tc>
          <w:tcPr>
            <w:tcW w:w="908" w:type="dxa"/>
            <w:shd w:val="clear" w:color="auto" w:fill="auto"/>
            <w:noWrap/>
            <w:vAlign w:val="center"/>
            <w:hideMark/>
          </w:tcPr>
          <w:p w14:paraId="59A64450"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46%</w:t>
            </w:r>
          </w:p>
        </w:tc>
        <w:tc>
          <w:tcPr>
            <w:tcW w:w="985" w:type="dxa"/>
            <w:shd w:val="clear" w:color="auto" w:fill="auto"/>
            <w:noWrap/>
            <w:vAlign w:val="center"/>
            <w:hideMark/>
          </w:tcPr>
          <w:p w14:paraId="5A979192"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54%</w:t>
            </w:r>
          </w:p>
        </w:tc>
        <w:tc>
          <w:tcPr>
            <w:tcW w:w="1163" w:type="dxa"/>
            <w:shd w:val="clear" w:color="auto" w:fill="auto"/>
            <w:noWrap/>
            <w:vAlign w:val="center"/>
            <w:hideMark/>
          </w:tcPr>
          <w:p w14:paraId="03B86615"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8,00</w:t>
            </w:r>
          </w:p>
        </w:tc>
      </w:tr>
      <w:tr w:rsidR="006A0FF8" w:rsidRPr="006A0FF8" w14:paraId="45A82F5C" w14:textId="77777777" w:rsidTr="006A0FF8">
        <w:trPr>
          <w:trHeight w:val="638"/>
        </w:trPr>
        <w:tc>
          <w:tcPr>
            <w:tcW w:w="1452" w:type="dxa"/>
            <w:shd w:val="clear" w:color="auto" w:fill="auto"/>
            <w:noWrap/>
            <w:vAlign w:val="center"/>
            <w:hideMark/>
          </w:tcPr>
          <w:p w14:paraId="75944C28"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Periodismo</w:t>
            </w:r>
          </w:p>
        </w:tc>
        <w:tc>
          <w:tcPr>
            <w:tcW w:w="1485" w:type="dxa"/>
            <w:shd w:val="clear" w:color="auto" w:fill="auto"/>
            <w:noWrap/>
            <w:vAlign w:val="center"/>
            <w:hideMark/>
          </w:tcPr>
          <w:p w14:paraId="553A8621"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Ciencias Sociales y Jurídicas</w:t>
            </w:r>
          </w:p>
        </w:tc>
        <w:tc>
          <w:tcPr>
            <w:tcW w:w="641" w:type="dxa"/>
            <w:shd w:val="clear" w:color="auto" w:fill="auto"/>
            <w:noWrap/>
            <w:vAlign w:val="center"/>
            <w:hideMark/>
          </w:tcPr>
          <w:p w14:paraId="41387389"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03/12</w:t>
            </w:r>
          </w:p>
        </w:tc>
        <w:tc>
          <w:tcPr>
            <w:tcW w:w="1639" w:type="dxa"/>
            <w:shd w:val="clear" w:color="auto" w:fill="auto"/>
            <w:vAlign w:val="center"/>
            <w:hideMark/>
          </w:tcPr>
          <w:p w14:paraId="2DB5168D"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Cuarto curso.</w:t>
            </w:r>
            <w:r w:rsidRPr="006A0FF8">
              <w:rPr>
                <w:rFonts w:ascii="Arial" w:eastAsia="Times New Roman" w:hAnsi="Arial" w:cs="Arial"/>
                <w:color w:val="000000"/>
                <w:sz w:val="18"/>
                <w:szCs w:val="18"/>
                <w:lang w:eastAsia="es-ES"/>
              </w:rPr>
              <w:br/>
              <w:t>Ética i Deontología Profesional y Comunicación Política</w:t>
            </w:r>
          </w:p>
        </w:tc>
        <w:tc>
          <w:tcPr>
            <w:tcW w:w="578" w:type="dxa"/>
            <w:shd w:val="clear" w:color="auto" w:fill="auto"/>
            <w:noWrap/>
            <w:vAlign w:val="center"/>
            <w:hideMark/>
          </w:tcPr>
          <w:p w14:paraId="172EF984"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23</w:t>
            </w:r>
          </w:p>
        </w:tc>
        <w:tc>
          <w:tcPr>
            <w:tcW w:w="908" w:type="dxa"/>
            <w:shd w:val="clear" w:color="auto" w:fill="auto"/>
            <w:noWrap/>
            <w:vAlign w:val="center"/>
            <w:hideMark/>
          </w:tcPr>
          <w:p w14:paraId="0026EBB6"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43%</w:t>
            </w:r>
          </w:p>
        </w:tc>
        <w:tc>
          <w:tcPr>
            <w:tcW w:w="985" w:type="dxa"/>
            <w:shd w:val="clear" w:color="auto" w:fill="auto"/>
            <w:noWrap/>
            <w:vAlign w:val="center"/>
            <w:hideMark/>
          </w:tcPr>
          <w:p w14:paraId="702D65C7"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57%</w:t>
            </w:r>
          </w:p>
        </w:tc>
        <w:tc>
          <w:tcPr>
            <w:tcW w:w="1163" w:type="dxa"/>
            <w:shd w:val="clear" w:color="auto" w:fill="auto"/>
            <w:noWrap/>
            <w:vAlign w:val="center"/>
            <w:hideMark/>
          </w:tcPr>
          <w:p w14:paraId="18A67A22"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8,26</w:t>
            </w:r>
          </w:p>
        </w:tc>
      </w:tr>
      <w:tr w:rsidR="006A0FF8" w:rsidRPr="006A0FF8" w14:paraId="24EFB80E" w14:textId="77777777" w:rsidTr="006A0FF8">
        <w:trPr>
          <w:trHeight w:val="634"/>
        </w:trPr>
        <w:tc>
          <w:tcPr>
            <w:tcW w:w="1452" w:type="dxa"/>
            <w:shd w:val="clear" w:color="000000" w:fill="auto"/>
            <w:noWrap/>
            <w:vAlign w:val="center"/>
            <w:hideMark/>
          </w:tcPr>
          <w:p w14:paraId="602DC16C"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Periodismo</w:t>
            </w:r>
          </w:p>
        </w:tc>
        <w:tc>
          <w:tcPr>
            <w:tcW w:w="1485" w:type="dxa"/>
            <w:shd w:val="clear" w:color="000000" w:fill="auto"/>
            <w:noWrap/>
            <w:vAlign w:val="center"/>
            <w:hideMark/>
          </w:tcPr>
          <w:p w14:paraId="566246BE"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Ciencias Sociales y Jurídicas</w:t>
            </w:r>
          </w:p>
        </w:tc>
        <w:tc>
          <w:tcPr>
            <w:tcW w:w="641" w:type="dxa"/>
            <w:shd w:val="clear" w:color="000000" w:fill="auto"/>
            <w:noWrap/>
            <w:vAlign w:val="center"/>
            <w:hideMark/>
          </w:tcPr>
          <w:p w14:paraId="1340C031"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16/12</w:t>
            </w:r>
          </w:p>
        </w:tc>
        <w:tc>
          <w:tcPr>
            <w:tcW w:w="1639" w:type="dxa"/>
            <w:shd w:val="clear" w:color="000000" w:fill="auto"/>
            <w:vAlign w:val="center"/>
            <w:hideMark/>
          </w:tcPr>
          <w:p w14:paraId="3619D11F"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Segundo curso.</w:t>
            </w:r>
            <w:r w:rsidRPr="006A0FF8">
              <w:rPr>
                <w:rFonts w:ascii="Arial" w:eastAsia="Times New Roman" w:hAnsi="Arial" w:cs="Arial"/>
                <w:color w:val="000000"/>
                <w:sz w:val="18"/>
                <w:szCs w:val="18"/>
                <w:lang w:eastAsia="es-ES"/>
              </w:rPr>
              <w:br/>
              <w:t>Instituciones Jurídico Políticas</w:t>
            </w:r>
          </w:p>
        </w:tc>
        <w:tc>
          <w:tcPr>
            <w:tcW w:w="578" w:type="dxa"/>
            <w:shd w:val="clear" w:color="000000" w:fill="auto"/>
            <w:noWrap/>
            <w:vAlign w:val="center"/>
            <w:hideMark/>
          </w:tcPr>
          <w:p w14:paraId="17786A61"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49</w:t>
            </w:r>
          </w:p>
        </w:tc>
        <w:tc>
          <w:tcPr>
            <w:tcW w:w="908" w:type="dxa"/>
            <w:shd w:val="clear" w:color="000000" w:fill="auto"/>
            <w:noWrap/>
            <w:vAlign w:val="center"/>
            <w:hideMark/>
          </w:tcPr>
          <w:p w14:paraId="0195D619"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57%</w:t>
            </w:r>
          </w:p>
        </w:tc>
        <w:tc>
          <w:tcPr>
            <w:tcW w:w="985" w:type="dxa"/>
            <w:shd w:val="clear" w:color="000000" w:fill="auto"/>
            <w:noWrap/>
            <w:vAlign w:val="center"/>
            <w:hideMark/>
          </w:tcPr>
          <w:p w14:paraId="6C431BCD"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43%</w:t>
            </w:r>
          </w:p>
        </w:tc>
        <w:tc>
          <w:tcPr>
            <w:tcW w:w="1163" w:type="dxa"/>
            <w:shd w:val="clear" w:color="000000" w:fill="auto"/>
            <w:noWrap/>
            <w:vAlign w:val="center"/>
            <w:hideMark/>
          </w:tcPr>
          <w:p w14:paraId="658E7372"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7,95</w:t>
            </w:r>
          </w:p>
        </w:tc>
      </w:tr>
      <w:tr w:rsidR="006A0FF8" w:rsidRPr="006A0FF8" w14:paraId="65B19048" w14:textId="77777777" w:rsidTr="006A0FF8">
        <w:trPr>
          <w:trHeight w:val="245"/>
        </w:trPr>
        <w:tc>
          <w:tcPr>
            <w:tcW w:w="8851" w:type="dxa"/>
            <w:gridSpan w:val="8"/>
            <w:shd w:val="clear" w:color="000000" w:fill="D9D9D9"/>
            <w:noWrap/>
            <w:vAlign w:val="center"/>
            <w:hideMark/>
          </w:tcPr>
          <w:p w14:paraId="1B74AA2F" w14:textId="77777777" w:rsidR="006A0FF8" w:rsidRPr="006A0FF8" w:rsidRDefault="006A0FF8" w:rsidP="006A0FF8">
            <w:pPr>
              <w:spacing w:after="0" w:line="240" w:lineRule="auto"/>
              <w:jc w:val="center"/>
              <w:rPr>
                <w:rFonts w:ascii="Arial" w:eastAsia="Times New Roman" w:hAnsi="Arial" w:cs="Arial"/>
                <w:b/>
                <w:bCs/>
                <w:sz w:val="18"/>
                <w:szCs w:val="18"/>
                <w:lang w:eastAsia="es-ES"/>
              </w:rPr>
            </w:pPr>
            <w:r w:rsidRPr="006A0FF8">
              <w:rPr>
                <w:rFonts w:ascii="Arial" w:eastAsia="Times New Roman" w:hAnsi="Arial" w:cs="Arial"/>
                <w:b/>
                <w:bCs/>
                <w:sz w:val="18"/>
                <w:szCs w:val="18"/>
                <w:lang w:eastAsia="es-ES"/>
              </w:rPr>
              <w:t>UNIVERSIDAD CARDENAL HERRERA - CEU</w:t>
            </w:r>
          </w:p>
        </w:tc>
      </w:tr>
      <w:tr w:rsidR="006A0FF8" w:rsidRPr="006A0FF8" w14:paraId="6783D71E" w14:textId="77777777" w:rsidTr="006A0FF8">
        <w:trPr>
          <w:trHeight w:val="741"/>
        </w:trPr>
        <w:tc>
          <w:tcPr>
            <w:tcW w:w="1452" w:type="dxa"/>
            <w:shd w:val="clear" w:color="auto" w:fill="auto"/>
            <w:vAlign w:val="center"/>
            <w:hideMark/>
          </w:tcPr>
          <w:p w14:paraId="67F917BC"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Comunicación Audiovisual</w:t>
            </w:r>
          </w:p>
        </w:tc>
        <w:tc>
          <w:tcPr>
            <w:tcW w:w="1485" w:type="dxa"/>
            <w:shd w:val="clear" w:color="auto" w:fill="auto"/>
            <w:vAlign w:val="center"/>
            <w:hideMark/>
          </w:tcPr>
          <w:p w14:paraId="5A10719E"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Humanidades y Ciencias de la Comunicación</w:t>
            </w:r>
          </w:p>
        </w:tc>
        <w:tc>
          <w:tcPr>
            <w:tcW w:w="641" w:type="dxa"/>
            <w:shd w:val="clear" w:color="auto" w:fill="auto"/>
            <w:noWrap/>
            <w:vAlign w:val="center"/>
            <w:hideMark/>
          </w:tcPr>
          <w:p w14:paraId="43E3B0EF"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23/04</w:t>
            </w:r>
          </w:p>
        </w:tc>
        <w:tc>
          <w:tcPr>
            <w:tcW w:w="1639" w:type="dxa"/>
            <w:shd w:val="clear" w:color="auto" w:fill="auto"/>
            <w:vAlign w:val="center"/>
            <w:hideMark/>
          </w:tcPr>
          <w:p w14:paraId="1107A84E"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Segundo curso.</w:t>
            </w:r>
            <w:r w:rsidRPr="006A0FF8">
              <w:rPr>
                <w:rFonts w:ascii="Arial" w:eastAsia="Times New Roman" w:hAnsi="Arial" w:cs="Arial"/>
                <w:color w:val="000000"/>
                <w:sz w:val="18"/>
                <w:szCs w:val="18"/>
                <w:lang w:eastAsia="es-ES"/>
              </w:rPr>
              <w:br/>
              <w:t>Ética de la Comunicación</w:t>
            </w:r>
          </w:p>
        </w:tc>
        <w:tc>
          <w:tcPr>
            <w:tcW w:w="578" w:type="dxa"/>
            <w:shd w:val="clear" w:color="auto" w:fill="auto"/>
            <w:noWrap/>
            <w:vAlign w:val="center"/>
            <w:hideMark/>
          </w:tcPr>
          <w:p w14:paraId="6DD065E4"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35</w:t>
            </w:r>
          </w:p>
        </w:tc>
        <w:tc>
          <w:tcPr>
            <w:tcW w:w="908" w:type="dxa"/>
            <w:shd w:val="clear" w:color="auto" w:fill="auto"/>
            <w:noWrap/>
            <w:vAlign w:val="center"/>
            <w:hideMark/>
          </w:tcPr>
          <w:p w14:paraId="6EE1C673"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63%</w:t>
            </w:r>
          </w:p>
        </w:tc>
        <w:tc>
          <w:tcPr>
            <w:tcW w:w="985" w:type="dxa"/>
            <w:shd w:val="clear" w:color="auto" w:fill="auto"/>
            <w:noWrap/>
            <w:vAlign w:val="center"/>
            <w:hideMark/>
          </w:tcPr>
          <w:p w14:paraId="668715E6"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37%</w:t>
            </w:r>
          </w:p>
        </w:tc>
        <w:tc>
          <w:tcPr>
            <w:tcW w:w="1163" w:type="dxa"/>
            <w:shd w:val="clear" w:color="auto" w:fill="auto"/>
            <w:noWrap/>
            <w:vAlign w:val="center"/>
            <w:hideMark/>
          </w:tcPr>
          <w:p w14:paraId="675FF696"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8,09</w:t>
            </w:r>
          </w:p>
        </w:tc>
      </w:tr>
      <w:tr w:rsidR="006A0FF8" w:rsidRPr="006A0FF8" w14:paraId="08470D9C" w14:textId="77777777" w:rsidTr="006A0FF8">
        <w:trPr>
          <w:trHeight w:val="493"/>
        </w:trPr>
        <w:tc>
          <w:tcPr>
            <w:tcW w:w="1452" w:type="dxa"/>
            <w:shd w:val="clear" w:color="auto" w:fill="auto"/>
            <w:vAlign w:val="center"/>
            <w:hideMark/>
          </w:tcPr>
          <w:p w14:paraId="47E0990D"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Doble grado Periodismo</w:t>
            </w:r>
          </w:p>
        </w:tc>
        <w:tc>
          <w:tcPr>
            <w:tcW w:w="1485" w:type="dxa"/>
            <w:shd w:val="clear" w:color="auto" w:fill="auto"/>
            <w:noWrap/>
            <w:vAlign w:val="center"/>
            <w:hideMark/>
          </w:tcPr>
          <w:p w14:paraId="0E5C6AEE"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Derecho, Empresa y Ciencias Políticas</w:t>
            </w:r>
          </w:p>
        </w:tc>
        <w:tc>
          <w:tcPr>
            <w:tcW w:w="641" w:type="dxa"/>
            <w:shd w:val="clear" w:color="auto" w:fill="auto"/>
            <w:noWrap/>
            <w:vAlign w:val="center"/>
            <w:hideMark/>
          </w:tcPr>
          <w:p w14:paraId="0A7EF2D2"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30/09</w:t>
            </w:r>
          </w:p>
        </w:tc>
        <w:tc>
          <w:tcPr>
            <w:tcW w:w="1639" w:type="dxa"/>
            <w:shd w:val="clear" w:color="auto" w:fill="auto"/>
            <w:vAlign w:val="center"/>
            <w:hideMark/>
          </w:tcPr>
          <w:p w14:paraId="43362B45"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Cuarto curso.</w:t>
            </w:r>
            <w:r w:rsidRPr="006A0FF8">
              <w:rPr>
                <w:rFonts w:ascii="Arial" w:eastAsia="Times New Roman" w:hAnsi="Arial" w:cs="Arial"/>
                <w:color w:val="000000"/>
                <w:sz w:val="18"/>
                <w:szCs w:val="18"/>
                <w:lang w:eastAsia="es-ES"/>
              </w:rPr>
              <w:br/>
              <w:t>Ciencias Políticas</w:t>
            </w:r>
          </w:p>
        </w:tc>
        <w:tc>
          <w:tcPr>
            <w:tcW w:w="578" w:type="dxa"/>
            <w:shd w:val="clear" w:color="auto" w:fill="auto"/>
            <w:noWrap/>
            <w:vAlign w:val="center"/>
            <w:hideMark/>
          </w:tcPr>
          <w:p w14:paraId="1026CCC3"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18</w:t>
            </w:r>
          </w:p>
        </w:tc>
        <w:tc>
          <w:tcPr>
            <w:tcW w:w="908" w:type="dxa"/>
            <w:shd w:val="clear" w:color="auto" w:fill="auto"/>
            <w:noWrap/>
            <w:vAlign w:val="center"/>
            <w:hideMark/>
          </w:tcPr>
          <w:p w14:paraId="3B8A0E63"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61%</w:t>
            </w:r>
          </w:p>
        </w:tc>
        <w:tc>
          <w:tcPr>
            <w:tcW w:w="985" w:type="dxa"/>
            <w:shd w:val="clear" w:color="auto" w:fill="auto"/>
            <w:noWrap/>
            <w:vAlign w:val="center"/>
            <w:hideMark/>
          </w:tcPr>
          <w:p w14:paraId="3A56B29F"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49%</w:t>
            </w:r>
          </w:p>
        </w:tc>
        <w:tc>
          <w:tcPr>
            <w:tcW w:w="1163" w:type="dxa"/>
            <w:shd w:val="clear" w:color="auto" w:fill="auto"/>
            <w:noWrap/>
            <w:vAlign w:val="center"/>
            <w:hideMark/>
          </w:tcPr>
          <w:p w14:paraId="2B0F629E"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8,10</w:t>
            </w:r>
          </w:p>
        </w:tc>
      </w:tr>
      <w:tr w:rsidR="006A0FF8" w:rsidRPr="006A0FF8" w14:paraId="496EE016" w14:textId="77777777" w:rsidTr="006A0FF8">
        <w:trPr>
          <w:trHeight w:val="741"/>
        </w:trPr>
        <w:tc>
          <w:tcPr>
            <w:tcW w:w="1452" w:type="dxa"/>
            <w:shd w:val="clear" w:color="auto" w:fill="auto"/>
            <w:noWrap/>
            <w:vAlign w:val="center"/>
            <w:hideMark/>
          </w:tcPr>
          <w:p w14:paraId="28E1D4B8"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Periodismo</w:t>
            </w:r>
          </w:p>
        </w:tc>
        <w:tc>
          <w:tcPr>
            <w:tcW w:w="1485" w:type="dxa"/>
            <w:shd w:val="clear" w:color="auto" w:fill="auto"/>
            <w:vAlign w:val="center"/>
            <w:hideMark/>
          </w:tcPr>
          <w:p w14:paraId="7AAA4F69"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Ciencias Políticas, Ética y Sociología</w:t>
            </w:r>
          </w:p>
        </w:tc>
        <w:tc>
          <w:tcPr>
            <w:tcW w:w="641" w:type="dxa"/>
            <w:shd w:val="clear" w:color="auto" w:fill="auto"/>
            <w:noWrap/>
            <w:vAlign w:val="center"/>
            <w:hideMark/>
          </w:tcPr>
          <w:p w14:paraId="72B574AA"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14/12</w:t>
            </w:r>
          </w:p>
        </w:tc>
        <w:tc>
          <w:tcPr>
            <w:tcW w:w="1639" w:type="dxa"/>
            <w:shd w:val="clear" w:color="auto" w:fill="auto"/>
            <w:vAlign w:val="center"/>
            <w:hideMark/>
          </w:tcPr>
          <w:p w14:paraId="364991F9"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 xml:space="preserve">Segundo curso. </w:t>
            </w:r>
            <w:r w:rsidRPr="006A0FF8">
              <w:rPr>
                <w:rFonts w:ascii="Arial" w:eastAsia="Times New Roman" w:hAnsi="Arial" w:cs="Arial"/>
                <w:color w:val="000000"/>
                <w:sz w:val="18"/>
                <w:szCs w:val="18"/>
                <w:lang w:eastAsia="es-ES"/>
              </w:rPr>
              <w:br/>
              <w:t>Ética de la Comunicación</w:t>
            </w:r>
          </w:p>
        </w:tc>
        <w:tc>
          <w:tcPr>
            <w:tcW w:w="578" w:type="dxa"/>
            <w:shd w:val="clear" w:color="auto" w:fill="auto"/>
            <w:noWrap/>
            <w:vAlign w:val="center"/>
            <w:hideMark/>
          </w:tcPr>
          <w:p w14:paraId="3F71CCCE"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23</w:t>
            </w:r>
          </w:p>
        </w:tc>
        <w:tc>
          <w:tcPr>
            <w:tcW w:w="908" w:type="dxa"/>
            <w:shd w:val="clear" w:color="auto" w:fill="auto"/>
            <w:noWrap/>
            <w:vAlign w:val="center"/>
            <w:hideMark/>
          </w:tcPr>
          <w:p w14:paraId="0BCAE264"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96%</w:t>
            </w:r>
          </w:p>
        </w:tc>
        <w:tc>
          <w:tcPr>
            <w:tcW w:w="985" w:type="dxa"/>
            <w:shd w:val="clear" w:color="auto" w:fill="auto"/>
            <w:noWrap/>
            <w:vAlign w:val="center"/>
            <w:hideMark/>
          </w:tcPr>
          <w:p w14:paraId="015BCADB"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4%</w:t>
            </w:r>
          </w:p>
        </w:tc>
        <w:tc>
          <w:tcPr>
            <w:tcW w:w="1163" w:type="dxa"/>
            <w:shd w:val="clear" w:color="auto" w:fill="auto"/>
            <w:noWrap/>
            <w:vAlign w:val="center"/>
            <w:hideMark/>
          </w:tcPr>
          <w:p w14:paraId="3981F3B3"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8,18</w:t>
            </w:r>
          </w:p>
        </w:tc>
      </w:tr>
      <w:tr w:rsidR="006A0FF8" w:rsidRPr="006A0FF8" w14:paraId="1661F48B" w14:textId="77777777" w:rsidTr="006A0FF8">
        <w:trPr>
          <w:trHeight w:val="741"/>
        </w:trPr>
        <w:tc>
          <w:tcPr>
            <w:tcW w:w="1452" w:type="dxa"/>
            <w:shd w:val="clear" w:color="auto" w:fill="auto"/>
            <w:noWrap/>
            <w:vAlign w:val="center"/>
            <w:hideMark/>
          </w:tcPr>
          <w:p w14:paraId="3D978AED"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Derecho</w:t>
            </w:r>
          </w:p>
        </w:tc>
        <w:tc>
          <w:tcPr>
            <w:tcW w:w="1485" w:type="dxa"/>
            <w:shd w:val="clear" w:color="auto" w:fill="auto"/>
            <w:noWrap/>
            <w:vAlign w:val="center"/>
            <w:hideMark/>
          </w:tcPr>
          <w:p w14:paraId="79B98541"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Derecho Administrativo</w:t>
            </w:r>
          </w:p>
        </w:tc>
        <w:tc>
          <w:tcPr>
            <w:tcW w:w="641" w:type="dxa"/>
            <w:shd w:val="clear" w:color="auto" w:fill="auto"/>
            <w:noWrap/>
            <w:vAlign w:val="center"/>
            <w:hideMark/>
          </w:tcPr>
          <w:p w14:paraId="5D3A02AD"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20/12</w:t>
            </w:r>
          </w:p>
        </w:tc>
        <w:tc>
          <w:tcPr>
            <w:tcW w:w="1639" w:type="dxa"/>
            <w:shd w:val="clear" w:color="auto" w:fill="auto"/>
            <w:vAlign w:val="center"/>
            <w:hideMark/>
          </w:tcPr>
          <w:p w14:paraId="15858EA0" w14:textId="77777777" w:rsidR="006A0FF8" w:rsidRPr="006A0FF8" w:rsidRDefault="006A0FF8" w:rsidP="006A0FF8">
            <w:pPr>
              <w:spacing w:after="0" w:line="240" w:lineRule="auto"/>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Tercer curso.</w:t>
            </w:r>
            <w:r w:rsidRPr="006A0FF8">
              <w:rPr>
                <w:rFonts w:ascii="Arial" w:eastAsia="Times New Roman" w:hAnsi="Arial" w:cs="Arial"/>
                <w:color w:val="000000"/>
                <w:sz w:val="18"/>
                <w:szCs w:val="18"/>
                <w:lang w:eastAsia="es-ES"/>
              </w:rPr>
              <w:br/>
              <w:t>Derecho Administrativo</w:t>
            </w:r>
          </w:p>
        </w:tc>
        <w:tc>
          <w:tcPr>
            <w:tcW w:w="578" w:type="dxa"/>
            <w:shd w:val="clear" w:color="auto" w:fill="auto"/>
            <w:noWrap/>
            <w:vAlign w:val="center"/>
            <w:hideMark/>
          </w:tcPr>
          <w:p w14:paraId="3FBD598E"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19</w:t>
            </w:r>
          </w:p>
        </w:tc>
        <w:tc>
          <w:tcPr>
            <w:tcW w:w="908" w:type="dxa"/>
            <w:shd w:val="clear" w:color="auto" w:fill="auto"/>
            <w:noWrap/>
            <w:vAlign w:val="center"/>
            <w:hideMark/>
          </w:tcPr>
          <w:p w14:paraId="5E2176B9"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42%</w:t>
            </w:r>
          </w:p>
        </w:tc>
        <w:tc>
          <w:tcPr>
            <w:tcW w:w="985" w:type="dxa"/>
            <w:shd w:val="clear" w:color="auto" w:fill="auto"/>
            <w:noWrap/>
            <w:vAlign w:val="center"/>
            <w:hideMark/>
          </w:tcPr>
          <w:p w14:paraId="44D484C1"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58%</w:t>
            </w:r>
          </w:p>
        </w:tc>
        <w:tc>
          <w:tcPr>
            <w:tcW w:w="1163" w:type="dxa"/>
            <w:shd w:val="clear" w:color="auto" w:fill="auto"/>
            <w:noWrap/>
            <w:vAlign w:val="center"/>
            <w:hideMark/>
          </w:tcPr>
          <w:p w14:paraId="27F5A905" w14:textId="77777777" w:rsidR="006A0FF8" w:rsidRPr="006A0FF8" w:rsidRDefault="006A0FF8" w:rsidP="006A0FF8">
            <w:pPr>
              <w:spacing w:after="0" w:line="240" w:lineRule="auto"/>
              <w:jc w:val="center"/>
              <w:rPr>
                <w:rFonts w:ascii="Arial" w:eastAsia="Times New Roman" w:hAnsi="Arial" w:cs="Arial"/>
                <w:color w:val="000000"/>
                <w:sz w:val="18"/>
                <w:szCs w:val="18"/>
                <w:lang w:eastAsia="es-ES"/>
              </w:rPr>
            </w:pPr>
            <w:r w:rsidRPr="006A0FF8">
              <w:rPr>
                <w:rFonts w:ascii="Arial" w:eastAsia="Times New Roman" w:hAnsi="Arial" w:cs="Arial"/>
                <w:color w:val="000000"/>
                <w:sz w:val="18"/>
                <w:szCs w:val="18"/>
                <w:lang w:eastAsia="es-ES"/>
              </w:rPr>
              <w:t>9,05</w:t>
            </w:r>
          </w:p>
        </w:tc>
      </w:tr>
      <w:tr w:rsidR="006A0FF8" w:rsidRPr="006A0FF8" w14:paraId="3DF93B0A" w14:textId="77777777" w:rsidTr="006A0FF8">
        <w:trPr>
          <w:trHeight w:val="378"/>
        </w:trPr>
        <w:tc>
          <w:tcPr>
            <w:tcW w:w="5217" w:type="dxa"/>
            <w:gridSpan w:val="4"/>
            <w:shd w:val="clear" w:color="auto" w:fill="D9D9D9"/>
            <w:noWrap/>
            <w:vAlign w:val="center"/>
          </w:tcPr>
          <w:p w14:paraId="46EF3629" w14:textId="77777777" w:rsidR="006A0FF8" w:rsidRPr="006A0FF8" w:rsidRDefault="006A0FF8" w:rsidP="006A0FF8">
            <w:pPr>
              <w:spacing w:after="0" w:line="240" w:lineRule="auto"/>
              <w:jc w:val="right"/>
              <w:rPr>
                <w:rFonts w:ascii="Arial" w:eastAsia="Times New Roman" w:hAnsi="Arial" w:cs="Arial"/>
                <w:b/>
                <w:color w:val="000000"/>
                <w:sz w:val="18"/>
                <w:szCs w:val="18"/>
                <w:lang w:eastAsia="es-ES"/>
              </w:rPr>
            </w:pPr>
            <w:r w:rsidRPr="006A0FF8">
              <w:rPr>
                <w:rFonts w:ascii="Arial" w:eastAsia="Times New Roman" w:hAnsi="Arial" w:cs="Arial"/>
                <w:b/>
                <w:color w:val="000000"/>
                <w:sz w:val="18"/>
                <w:szCs w:val="18"/>
                <w:lang w:eastAsia="es-ES"/>
              </w:rPr>
              <w:t>Total de personas asistentes a Docufórum</w:t>
            </w:r>
          </w:p>
        </w:tc>
        <w:tc>
          <w:tcPr>
            <w:tcW w:w="578" w:type="dxa"/>
            <w:shd w:val="clear" w:color="auto" w:fill="D9D9D9"/>
            <w:noWrap/>
            <w:vAlign w:val="center"/>
          </w:tcPr>
          <w:p w14:paraId="61FDAF8A" w14:textId="77777777" w:rsidR="006A0FF8" w:rsidRPr="006A0FF8" w:rsidRDefault="006A0FF8" w:rsidP="006A0FF8">
            <w:pPr>
              <w:spacing w:after="0" w:line="240" w:lineRule="auto"/>
              <w:jc w:val="center"/>
              <w:rPr>
                <w:rFonts w:ascii="Arial" w:eastAsia="Times New Roman" w:hAnsi="Arial" w:cs="Arial"/>
                <w:b/>
                <w:color w:val="000000"/>
                <w:sz w:val="18"/>
                <w:szCs w:val="18"/>
                <w:lang w:eastAsia="es-ES"/>
              </w:rPr>
            </w:pPr>
            <w:r w:rsidRPr="006A0FF8">
              <w:rPr>
                <w:rFonts w:ascii="Arial" w:eastAsia="Times New Roman" w:hAnsi="Arial" w:cs="Arial"/>
                <w:b/>
                <w:color w:val="000000"/>
                <w:sz w:val="18"/>
                <w:szCs w:val="18"/>
                <w:lang w:eastAsia="es-ES"/>
              </w:rPr>
              <w:t>445</w:t>
            </w:r>
          </w:p>
        </w:tc>
        <w:tc>
          <w:tcPr>
            <w:tcW w:w="3056" w:type="dxa"/>
            <w:gridSpan w:val="3"/>
            <w:shd w:val="clear" w:color="auto" w:fill="D9D9D9"/>
            <w:noWrap/>
            <w:vAlign w:val="center"/>
          </w:tcPr>
          <w:p w14:paraId="5C442982" w14:textId="77777777" w:rsidR="006A0FF8" w:rsidRPr="006A0FF8" w:rsidRDefault="006A0FF8" w:rsidP="006A0FF8">
            <w:pPr>
              <w:spacing w:after="0" w:line="240" w:lineRule="auto"/>
              <w:jc w:val="center"/>
              <w:rPr>
                <w:rFonts w:ascii="Arial" w:eastAsia="Times New Roman" w:hAnsi="Arial" w:cs="Arial"/>
                <w:b/>
                <w:color w:val="000000"/>
                <w:sz w:val="18"/>
                <w:szCs w:val="18"/>
                <w:lang w:eastAsia="es-ES"/>
              </w:rPr>
            </w:pPr>
          </w:p>
        </w:tc>
      </w:tr>
    </w:tbl>
    <w:p w14:paraId="6CD76383" w14:textId="52D342E2" w:rsidR="006A0FF8" w:rsidRDefault="006A0FF8" w:rsidP="007C27F4">
      <w:pPr>
        <w:spacing w:after="240" w:line="276" w:lineRule="auto"/>
        <w:jc w:val="both"/>
        <w:rPr>
          <w:rFonts w:ascii="Arial" w:eastAsia="Times New Roman" w:hAnsi="Arial" w:cs="Arial"/>
          <w:sz w:val="21"/>
          <w:szCs w:val="21"/>
          <w:lang w:eastAsia="es-ES"/>
        </w:rPr>
      </w:pPr>
    </w:p>
    <w:p w14:paraId="0DB9B923" w14:textId="32D91B10" w:rsidR="005D34B3" w:rsidRDefault="005D34B3" w:rsidP="007C27F4">
      <w:pPr>
        <w:spacing w:after="240" w:line="276" w:lineRule="auto"/>
        <w:jc w:val="both"/>
        <w:rPr>
          <w:rFonts w:ascii="Arial" w:eastAsia="Times New Roman" w:hAnsi="Arial" w:cs="Arial"/>
          <w:sz w:val="21"/>
          <w:szCs w:val="21"/>
          <w:lang w:eastAsia="es-ES"/>
        </w:rPr>
      </w:pPr>
    </w:p>
    <w:p w14:paraId="4DF00D27" w14:textId="77777777" w:rsidR="001539F3" w:rsidRDefault="001539F3" w:rsidP="007C27F4">
      <w:pPr>
        <w:spacing w:after="240" w:line="276" w:lineRule="auto"/>
        <w:jc w:val="both"/>
        <w:rPr>
          <w:rFonts w:ascii="Arial" w:eastAsia="Times New Roman" w:hAnsi="Arial" w:cs="Arial"/>
          <w:sz w:val="21"/>
          <w:szCs w:val="21"/>
          <w:lang w:eastAsia="es-ES"/>
        </w:rPr>
      </w:pPr>
    </w:p>
    <w:p w14:paraId="7D38BD03" w14:textId="25FB6EE3" w:rsidR="00F85300" w:rsidRPr="00F85300" w:rsidRDefault="00F85300" w:rsidP="00F85300">
      <w:pPr>
        <w:spacing w:after="240" w:line="276" w:lineRule="auto"/>
        <w:jc w:val="both"/>
        <w:rPr>
          <w:rFonts w:ascii="Arial" w:eastAsia="Times New Roman" w:hAnsi="Arial" w:cs="Arial"/>
          <w:b/>
          <w:i/>
          <w:iCs/>
          <w:sz w:val="21"/>
          <w:szCs w:val="21"/>
          <w:lang w:eastAsia="es-ES"/>
        </w:rPr>
      </w:pPr>
      <w:r w:rsidRPr="00F85300">
        <w:rPr>
          <w:rFonts w:ascii="Arial" w:eastAsia="Times New Roman" w:hAnsi="Arial" w:cs="Arial"/>
          <w:b/>
          <w:i/>
          <w:iCs/>
          <w:sz w:val="21"/>
          <w:szCs w:val="21"/>
          <w:lang w:eastAsia="es-ES"/>
        </w:rPr>
        <w:t>Actividades formativas de la Agencia en postgrados universitarios</w:t>
      </w:r>
    </w:p>
    <w:p w14:paraId="24564FB0" w14:textId="6617F045" w:rsidR="00F85300" w:rsidRPr="00F85300" w:rsidRDefault="00F85300" w:rsidP="005D34B3">
      <w:pPr>
        <w:spacing w:after="240" w:line="276" w:lineRule="auto"/>
        <w:jc w:val="both"/>
        <w:rPr>
          <w:rFonts w:ascii="Arial" w:eastAsia="Times New Roman" w:hAnsi="Arial" w:cs="Arial"/>
          <w:bCs/>
          <w:i/>
          <w:iCs/>
          <w:sz w:val="21"/>
          <w:szCs w:val="21"/>
          <w:lang w:eastAsia="es-ES"/>
        </w:rPr>
      </w:pPr>
      <w:r w:rsidRPr="00F85300">
        <w:rPr>
          <w:rFonts w:ascii="Arial" w:eastAsia="Times New Roman" w:hAnsi="Arial" w:cs="Arial"/>
          <w:bCs/>
          <w:iCs/>
          <w:sz w:val="21"/>
          <w:szCs w:val="21"/>
          <w:lang w:eastAsia="es-ES"/>
        </w:rPr>
        <w:t xml:space="preserve">Del mismo modo, en 2021, la Agencia ha participados en </w:t>
      </w:r>
      <w:r w:rsidR="0084642A" w:rsidRPr="00F85300">
        <w:rPr>
          <w:rFonts w:ascii="Arial" w:eastAsia="Times New Roman" w:hAnsi="Arial" w:cs="Arial"/>
          <w:bCs/>
          <w:iCs/>
          <w:sz w:val="21"/>
          <w:szCs w:val="21"/>
          <w:lang w:eastAsia="es-ES"/>
        </w:rPr>
        <w:t>m</w:t>
      </w:r>
      <w:r w:rsidR="000E5FE5">
        <w:rPr>
          <w:rFonts w:ascii="Arial" w:eastAsia="Times New Roman" w:hAnsi="Arial" w:cs="Arial"/>
          <w:bCs/>
          <w:iCs/>
          <w:sz w:val="21"/>
          <w:szCs w:val="21"/>
          <w:lang w:eastAsia="es-ES"/>
        </w:rPr>
        <w:t>á</w:t>
      </w:r>
      <w:r w:rsidR="0084642A" w:rsidRPr="00F85300">
        <w:rPr>
          <w:rFonts w:ascii="Arial" w:eastAsia="Times New Roman" w:hAnsi="Arial" w:cs="Arial"/>
          <w:bCs/>
          <w:iCs/>
          <w:sz w:val="21"/>
          <w:szCs w:val="21"/>
          <w:lang w:eastAsia="es-ES"/>
        </w:rPr>
        <w:t>ster</w:t>
      </w:r>
      <w:r w:rsidR="000E5FE5">
        <w:rPr>
          <w:rFonts w:ascii="Arial" w:eastAsia="Times New Roman" w:hAnsi="Arial" w:cs="Arial"/>
          <w:bCs/>
          <w:iCs/>
          <w:sz w:val="21"/>
          <w:szCs w:val="21"/>
          <w:lang w:eastAsia="es-ES"/>
        </w:rPr>
        <w:t>e</w:t>
      </w:r>
      <w:r w:rsidR="0084642A" w:rsidRPr="00F85300">
        <w:rPr>
          <w:rFonts w:ascii="Arial" w:eastAsia="Times New Roman" w:hAnsi="Arial" w:cs="Arial"/>
          <w:bCs/>
          <w:iCs/>
          <w:sz w:val="21"/>
          <w:szCs w:val="21"/>
          <w:lang w:eastAsia="es-ES"/>
        </w:rPr>
        <w:t>s</w:t>
      </w:r>
      <w:r w:rsidRPr="00F85300">
        <w:rPr>
          <w:rFonts w:ascii="Arial" w:eastAsia="Times New Roman" w:hAnsi="Arial" w:cs="Arial"/>
          <w:bCs/>
          <w:iCs/>
          <w:sz w:val="21"/>
          <w:szCs w:val="21"/>
          <w:lang w:eastAsia="es-ES"/>
        </w:rPr>
        <w:t xml:space="preserve"> y postgrados </w:t>
      </w:r>
      <w:r w:rsidRPr="003416AE">
        <w:rPr>
          <w:rFonts w:ascii="Arial" w:eastAsia="Times New Roman" w:hAnsi="Arial" w:cs="Arial"/>
          <w:bCs/>
          <w:iCs/>
          <w:sz w:val="21"/>
          <w:szCs w:val="21"/>
          <w:lang w:eastAsia="es-ES"/>
        </w:rPr>
        <w:t xml:space="preserve">universitarios (Tabla </w:t>
      </w:r>
      <w:r w:rsidR="005976FC" w:rsidRPr="003416AE">
        <w:rPr>
          <w:rFonts w:ascii="Arial" w:eastAsia="Times New Roman" w:hAnsi="Arial" w:cs="Arial"/>
          <w:bCs/>
          <w:iCs/>
          <w:sz w:val="21"/>
          <w:szCs w:val="21"/>
          <w:lang w:eastAsia="es-ES"/>
        </w:rPr>
        <w:t>2</w:t>
      </w:r>
      <w:r w:rsidR="000E5FE5" w:rsidRPr="003416AE">
        <w:rPr>
          <w:rFonts w:ascii="Arial" w:eastAsia="Times New Roman" w:hAnsi="Arial" w:cs="Arial"/>
          <w:bCs/>
          <w:iCs/>
          <w:sz w:val="21"/>
          <w:szCs w:val="21"/>
          <w:lang w:eastAsia="es-ES"/>
        </w:rPr>
        <w:t>5</w:t>
      </w:r>
      <w:r w:rsidRPr="003416AE">
        <w:rPr>
          <w:rFonts w:ascii="Arial" w:eastAsia="Times New Roman" w:hAnsi="Arial" w:cs="Arial"/>
          <w:bCs/>
          <w:iCs/>
          <w:sz w:val="21"/>
          <w:szCs w:val="21"/>
          <w:lang w:eastAsia="es-ES"/>
        </w:rPr>
        <w:t>):</w:t>
      </w:r>
    </w:p>
    <w:p w14:paraId="1E3BD421" w14:textId="64810978" w:rsidR="00F85300" w:rsidRPr="00F85300" w:rsidRDefault="00F85300" w:rsidP="005D34B3">
      <w:pPr>
        <w:numPr>
          <w:ilvl w:val="0"/>
          <w:numId w:val="139"/>
        </w:numPr>
        <w:spacing w:after="120" w:line="276" w:lineRule="auto"/>
        <w:jc w:val="both"/>
        <w:rPr>
          <w:rFonts w:ascii="Arial" w:eastAsia="Times New Roman" w:hAnsi="Arial" w:cs="Arial"/>
          <w:b/>
          <w:iCs/>
          <w:sz w:val="21"/>
          <w:szCs w:val="21"/>
          <w:lang w:eastAsia="es-ES"/>
        </w:rPr>
      </w:pPr>
      <w:r w:rsidRPr="00F85300">
        <w:rPr>
          <w:rFonts w:ascii="Arial" w:eastAsia="Times New Roman" w:hAnsi="Arial" w:cs="Arial"/>
          <w:b/>
          <w:iCs/>
          <w:sz w:val="21"/>
          <w:szCs w:val="21"/>
          <w:lang w:eastAsia="es-ES"/>
        </w:rPr>
        <w:t xml:space="preserve">Máster propio en Contratación Pública y Compliance y Certificado Universitario en Compliance de la Universidad de València </w:t>
      </w:r>
    </w:p>
    <w:p w14:paraId="7845AA83" w14:textId="77777777" w:rsidR="00F85300" w:rsidRPr="00F85300" w:rsidRDefault="00F85300" w:rsidP="005D34B3">
      <w:pPr>
        <w:spacing w:after="120" w:line="276" w:lineRule="auto"/>
        <w:ind w:left="426"/>
        <w:jc w:val="both"/>
        <w:rPr>
          <w:rFonts w:ascii="Arial" w:eastAsia="Times New Roman" w:hAnsi="Arial" w:cs="Arial"/>
          <w:iCs/>
          <w:sz w:val="21"/>
          <w:szCs w:val="21"/>
          <w:lang w:eastAsia="es-ES"/>
        </w:rPr>
      </w:pPr>
      <w:r w:rsidRPr="00F85300">
        <w:rPr>
          <w:rFonts w:ascii="Arial" w:eastAsia="Times New Roman" w:hAnsi="Arial" w:cs="Arial"/>
          <w:iCs/>
          <w:sz w:val="21"/>
          <w:szCs w:val="21"/>
          <w:lang w:eastAsia="es-ES"/>
        </w:rPr>
        <w:t xml:space="preserve">Organizado por los departamentos de Derecho Administrativo y Derecho Penal en ADEIT. </w:t>
      </w:r>
    </w:p>
    <w:p w14:paraId="23AB4A18" w14:textId="77777777" w:rsidR="00F85300" w:rsidRPr="00F85300" w:rsidRDefault="00F85300" w:rsidP="005D34B3">
      <w:pPr>
        <w:spacing w:after="120" w:line="276" w:lineRule="auto"/>
        <w:ind w:left="426"/>
        <w:jc w:val="both"/>
        <w:rPr>
          <w:rFonts w:ascii="Arial" w:eastAsia="Times New Roman" w:hAnsi="Arial" w:cs="Arial"/>
          <w:iCs/>
          <w:sz w:val="21"/>
          <w:szCs w:val="21"/>
          <w:lang w:eastAsia="es-ES"/>
        </w:rPr>
      </w:pPr>
      <w:r w:rsidRPr="00F85300">
        <w:rPr>
          <w:rFonts w:ascii="Arial" w:eastAsia="Times New Roman" w:hAnsi="Arial" w:cs="Arial"/>
          <w:iCs/>
          <w:sz w:val="21"/>
          <w:szCs w:val="21"/>
          <w:lang w:eastAsia="es-ES"/>
        </w:rPr>
        <w:t>A esta actividad de formación asisten alumnos de grado, licenciatura, diplomatura, funcionarios y empleados públicos con titulación universitaria y estudiantes, a los cuales les quede al menos un 10% para obtener el título de grado.</w:t>
      </w:r>
    </w:p>
    <w:p w14:paraId="7D4640C6" w14:textId="77777777" w:rsidR="00F85300" w:rsidRPr="00F85300" w:rsidRDefault="00F85300" w:rsidP="005D34B3">
      <w:pPr>
        <w:spacing w:after="120" w:line="276" w:lineRule="auto"/>
        <w:ind w:left="426"/>
        <w:jc w:val="both"/>
        <w:rPr>
          <w:rFonts w:ascii="Arial" w:eastAsia="Times New Roman" w:hAnsi="Arial" w:cs="Arial"/>
          <w:i/>
          <w:iCs/>
          <w:sz w:val="21"/>
          <w:szCs w:val="21"/>
          <w:lang w:eastAsia="es-ES"/>
        </w:rPr>
      </w:pPr>
      <w:r w:rsidRPr="00F85300">
        <w:rPr>
          <w:rFonts w:ascii="Arial" w:eastAsia="Times New Roman" w:hAnsi="Arial" w:cs="Arial"/>
          <w:iCs/>
          <w:sz w:val="21"/>
          <w:szCs w:val="21"/>
          <w:lang w:eastAsia="es-ES"/>
        </w:rPr>
        <w:t xml:space="preserve">El 5 de mayo, la AVAF participó en el Máster tratando la temática de “Compliance específico para el sector público: marco de integridad. La tarea de las agencias antifraude. La formación como elementos esenciales de prevención”. La actividad fue </w:t>
      </w:r>
      <w:r w:rsidRPr="00F85300">
        <w:rPr>
          <w:rFonts w:ascii="Arial" w:eastAsia="Times New Roman" w:hAnsi="Arial" w:cs="Arial"/>
          <w:i/>
          <w:iCs/>
          <w:sz w:val="21"/>
          <w:szCs w:val="21"/>
          <w:lang w:eastAsia="es-ES"/>
        </w:rPr>
        <w:t>online.</w:t>
      </w:r>
    </w:p>
    <w:p w14:paraId="0B2FE5C4" w14:textId="45552B5E" w:rsidR="00F85300" w:rsidRPr="00F85300" w:rsidRDefault="00F85300" w:rsidP="005D34B3">
      <w:pPr>
        <w:numPr>
          <w:ilvl w:val="0"/>
          <w:numId w:val="139"/>
        </w:numPr>
        <w:spacing w:after="120" w:line="276" w:lineRule="auto"/>
        <w:jc w:val="both"/>
        <w:rPr>
          <w:rFonts w:ascii="Arial" w:eastAsia="Times New Roman" w:hAnsi="Arial" w:cs="Arial"/>
          <w:b/>
          <w:iCs/>
          <w:sz w:val="21"/>
          <w:szCs w:val="21"/>
          <w:lang w:eastAsia="es-ES"/>
        </w:rPr>
      </w:pPr>
      <w:r w:rsidRPr="00F85300">
        <w:rPr>
          <w:rFonts w:ascii="Arial" w:eastAsia="Times New Roman" w:hAnsi="Arial" w:cs="Arial"/>
          <w:b/>
          <w:iCs/>
          <w:sz w:val="21"/>
          <w:szCs w:val="21"/>
          <w:lang w:eastAsia="es-ES"/>
        </w:rPr>
        <w:t>Máster Oficial en Gestión Cultural de la Universidad Politécnica de València</w:t>
      </w:r>
    </w:p>
    <w:p w14:paraId="478E512A" w14:textId="77777777" w:rsidR="00F85300" w:rsidRPr="00F85300" w:rsidRDefault="00F85300" w:rsidP="005D34B3">
      <w:pPr>
        <w:spacing w:after="120" w:line="276" w:lineRule="auto"/>
        <w:ind w:left="426"/>
        <w:jc w:val="both"/>
        <w:rPr>
          <w:rFonts w:ascii="Arial" w:eastAsia="Times New Roman" w:hAnsi="Arial" w:cs="Arial"/>
          <w:bCs/>
          <w:iCs/>
          <w:sz w:val="21"/>
          <w:szCs w:val="21"/>
          <w:lang w:eastAsia="es-ES"/>
        </w:rPr>
      </w:pPr>
      <w:r w:rsidRPr="00F85300">
        <w:rPr>
          <w:rFonts w:ascii="Arial" w:eastAsia="Times New Roman" w:hAnsi="Arial" w:cs="Arial"/>
          <w:bCs/>
          <w:iCs/>
          <w:sz w:val="21"/>
          <w:szCs w:val="21"/>
          <w:lang w:eastAsia="es-ES"/>
        </w:rPr>
        <w:t xml:space="preserve">El máster ofrece una formación plural capaz de cubrir los diferentes sectores sociales, políticos, institucionales y económicos que constituyen el marco donde se inscribe la gestión cultural. </w:t>
      </w:r>
    </w:p>
    <w:p w14:paraId="39CCA49B" w14:textId="76B3ED2B" w:rsidR="00F85300" w:rsidRDefault="00F85300" w:rsidP="00F85300">
      <w:pPr>
        <w:spacing w:after="240" w:line="276" w:lineRule="auto"/>
        <w:ind w:left="426"/>
        <w:jc w:val="both"/>
        <w:rPr>
          <w:rFonts w:ascii="Arial" w:eastAsia="Times New Roman" w:hAnsi="Arial" w:cs="Arial"/>
          <w:bCs/>
          <w:iCs/>
          <w:sz w:val="21"/>
          <w:szCs w:val="21"/>
          <w:lang w:eastAsia="es-ES"/>
        </w:rPr>
      </w:pPr>
      <w:r w:rsidRPr="00F85300">
        <w:rPr>
          <w:rFonts w:ascii="Arial" w:eastAsia="Times New Roman" w:hAnsi="Arial" w:cs="Arial"/>
          <w:bCs/>
          <w:iCs/>
          <w:sz w:val="21"/>
          <w:szCs w:val="21"/>
          <w:lang w:eastAsia="es-ES"/>
        </w:rPr>
        <w:t>El 2 de diciembre se celebraron dos conferencias con alumnos de la asignatura de Sistemas de Evaluación y Calidad y Gestión de Presupuestos del Máster en Gestión Cultural</w:t>
      </w:r>
      <w:r w:rsidR="00300DFC">
        <w:rPr>
          <w:rFonts w:ascii="Arial" w:eastAsia="Times New Roman" w:hAnsi="Arial" w:cs="Arial"/>
          <w:bCs/>
          <w:iCs/>
          <w:sz w:val="21"/>
          <w:szCs w:val="21"/>
          <w:lang w:eastAsia="es-ES"/>
        </w:rPr>
        <w:t>,</w:t>
      </w:r>
      <w:r w:rsidRPr="00F85300">
        <w:rPr>
          <w:rFonts w:ascii="Arial" w:eastAsia="Times New Roman" w:hAnsi="Arial" w:cs="Arial"/>
          <w:bCs/>
          <w:iCs/>
          <w:sz w:val="21"/>
          <w:szCs w:val="21"/>
          <w:lang w:eastAsia="es-ES"/>
        </w:rPr>
        <w:t xml:space="preserve"> que corrieron a cargo de personal de la AVAF y trataron sobre las políticas anticorrupción y la prevención contra la corrupción en la actividad cultural.</w:t>
      </w:r>
    </w:p>
    <w:p w14:paraId="08D7BF3C" w14:textId="4E3950CA" w:rsidR="006A0FF8" w:rsidRPr="006A0FF8" w:rsidRDefault="006A0FF8" w:rsidP="006A0FF8">
      <w:pPr>
        <w:pStyle w:val="Descripcin"/>
        <w:keepNext/>
        <w:spacing w:after="80"/>
        <w:rPr>
          <w:rFonts w:ascii="Arial" w:hAnsi="Arial" w:cs="Arial"/>
          <w:smallCaps w:val="0"/>
          <w:sz w:val="18"/>
          <w:szCs w:val="18"/>
        </w:rPr>
      </w:pPr>
      <w:bookmarkStart w:id="467" w:name="_Toc99107163"/>
      <w:r w:rsidRPr="006A0FF8">
        <w:rPr>
          <w:rFonts w:ascii="Arial" w:hAnsi="Arial" w:cs="Arial"/>
          <w:smallCaps w:val="0"/>
          <w:color w:val="9D2235" w:themeColor="accent1"/>
          <w:sz w:val="18"/>
          <w:szCs w:val="18"/>
        </w:rPr>
        <w:t xml:space="preserve">Tabla </w:t>
      </w:r>
      <w:r w:rsidRPr="006A0FF8">
        <w:rPr>
          <w:rFonts w:ascii="Arial" w:hAnsi="Arial" w:cs="Arial"/>
          <w:smallCaps w:val="0"/>
          <w:color w:val="9D2235" w:themeColor="accent1"/>
          <w:sz w:val="18"/>
          <w:szCs w:val="18"/>
        </w:rPr>
        <w:fldChar w:fldCharType="begin" w:fldLock="1"/>
      </w:r>
      <w:r w:rsidRPr="006A0FF8">
        <w:rPr>
          <w:rFonts w:ascii="Arial" w:hAnsi="Arial" w:cs="Arial"/>
          <w:smallCaps w:val="0"/>
          <w:color w:val="9D2235" w:themeColor="accent1"/>
          <w:sz w:val="18"/>
          <w:szCs w:val="18"/>
        </w:rPr>
        <w:instrText xml:space="preserve"> SEQ Tabla \* ARABIC </w:instrText>
      </w:r>
      <w:r w:rsidRPr="006A0FF8">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25</w:t>
      </w:r>
      <w:r w:rsidRPr="006A0FF8">
        <w:rPr>
          <w:rFonts w:ascii="Arial" w:hAnsi="Arial" w:cs="Arial"/>
          <w:smallCaps w:val="0"/>
          <w:color w:val="9D2235" w:themeColor="accent1"/>
          <w:sz w:val="18"/>
          <w:szCs w:val="18"/>
        </w:rPr>
        <w:fldChar w:fldCharType="end"/>
      </w:r>
      <w:r w:rsidRPr="006A0FF8">
        <w:rPr>
          <w:rFonts w:ascii="Arial" w:hAnsi="Arial" w:cs="Arial"/>
          <w:smallCaps w:val="0"/>
          <w:color w:val="9D2235" w:themeColor="accent1"/>
          <w:sz w:val="18"/>
          <w:szCs w:val="18"/>
        </w:rPr>
        <w:t xml:space="preserve">. </w:t>
      </w:r>
      <w:r w:rsidRPr="006A0FF8">
        <w:rPr>
          <w:rFonts w:ascii="Arial" w:hAnsi="Arial" w:cs="Arial"/>
          <w:smallCaps w:val="0"/>
          <w:sz w:val="18"/>
          <w:szCs w:val="18"/>
        </w:rPr>
        <w:t xml:space="preserve">Participación en </w:t>
      </w:r>
      <w:r w:rsidR="0084642A" w:rsidRPr="006A0FF8">
        <w:rPr>
          <w:rFonts w:ascii="Arial" w:hAnsi="Arial" w:cs="Arial"/>
          <w:smallCaps w:val="0"/>
          <w:sz w:val="18"/>
          <w:szCs w:val="18"/>
        </w:rPr>
        <w:t>M</w:t>
      </w:r>
      <w:r w:rsidR="000E5FE5">
        <w:rPr>
          <w:rFonts w:ascii="Arial" w:hAnsi="Arial" w:cs="Arial"/>
          <w:smallCaps w:val="0"/>
          <w:sz w:val="18"/>
          <w:szCs w:val="18"/>
        </w:rPr>
        <w:t>á</w:t>
      </w:r>
      <w:r w:rsidR="0084642A" w:rsidRPr="006A0FF8">
        <w:rPr>
          <w:rFonts w:ascii="Arial" w:hAnsi="Arial" w:cs="Arial"/>
          <w:smallCaps w:val="0"/>
          <w:sz w:val="18"/>
          <w:szCs w:val="18"/>
        </w:rPr>
        <w:t>ster</w:t>
      </w:r>
      <w:r w:rsidR="000E5FE5">
        <w:rPr>
          <w:rFonts w:ascii="Arial" w:hAnsi="Arial" w:cs="Arial"/>
          <w:smallCaps w:val="0"/>
          <w:sz w:val="18"/>
          <w:szCs w:val="18"/>
        </w:rPr>
        <w:t>e</w:t>
      </w:r>
      <w:r w:rsidR="0084642A" w:rsidRPr="006A0FF8">
        <w:rPr>
          <w:rFonts w:ascii="Arial" w:hAnsi="Arial" w:cs="Arial"/>
          <w:smallCaps w:val="0"/>
          <w:sz w:val="18"/>
          <w:szCs w:val="18"/>
        </w:rPr>
        <w:t>s</w:t>
      </w:r>
      <w:bookmarkEnd w:id="467"/>
    </w:p>
    <w:tbl>
      <w:tblPr>
        <w:tblStyle w:val="Tablaconcuadrcula7"/>
        <w:tblW w:w="8520" w:type="dxa"/>
        <w:tblLook w:val="04A0" w:firstRow="1" w:lastRow="0" w:firstColumn="1" w:lastColumn="0" w:noHBand="0" w:noVBand="1"/>
      </w:tblPr>
      <w:tblGrid>
        <w:gridCol w:w="1273"/>
        <w:gridCol w:w="1676"/>
        <w:gridCol w:w="2520"/>
        <w:gridCol w:w="795"/>
        <w:gridCol w:w="1473"/>
        <w:gridCol w:w="783"/>
      </w:tblGrid>
      <w:tr w:rsidR="006A0FF8" w:rsidRPr="006A0FF8" w14:paraId="1E827F5E" w14:textId="77777777" w:rsidTr="006A0FF8">
        <w:trPr>
          <w:trHeight w:val="257"/>
        </w:trPr>
        <w:tc>
          <w:tcPr>
            <w:tcW w:w="1273" w:type="dxa"/>
            <w:tcBorders>
              <w:bottom w:val="single" w:sz="4" w:space="0" w:color="auto"/>
            </w:tcBorders>
            <w:shd w:val="clear" w:color="auto" w:fill="9D2235"/>
            <w:vAlign w:val="center"/>
          </w:tcPr>
          <w:p w14:paraId="70861E2C" w14:textId="77777777" w:rsidR="006A0FF8" w:rsidRPr="005976FC" w:rsidRDefault="006A0FF8" w:rsidP="006A0FF8">
            <w:pPr>
              <w:rPr>
                <w:rFonts w:ascii="Arial" w:hAnsi="Arial" w:cs="Arial"/>
                <w:b/>
                <w:color w:val="FFFFFF"/>
                <w:sz w:val="17"/>
                <w:szCs w:val="17"/>
              </w:rPr>
            </w:pPr>
            <w:r w:rsidRPr="005976FC">
              <w:rPr>
                <w:rFonts w:ascii="Arial" w:hAnsi="Arial" w:cs="Arial"/>
                <w:b/>
                <w:color w:val="FFFFFF"/>
                <w:sz w:val="17"/>
                <w:szCs w:val="17"/>
              </w:rPr>
              <w:t>Entidad</w:t>
            </w:r>
          </w:p>
        </w:tc>
        <w:tc>
          <w:tcPr>
            <w:tcW w:w="1676" w:type="dxa"/>
            <w:tcBorders>
              <w:bottom w:val="single" w:sz="4" w:space="0" w:color="auto"/>
            </w:tcBorders>
            <w:shd w:val="clear" w:color="auto" w:fill="9D2235"/>
            <w:vAlign w:val="center"/>
          </w:tcPr>
          <w:p w14:paraId="64407139" w14:textId="77777777" w:rsidR="006A0FF8" w:rsidRPr="005976FC" w:rsidRDefault="006A0FF8" w:rsidP="006A0FF8">
            <w:pPr>
              <w:rPr>
                <w:rFonts w:ascii="Arial" w:hAnsi="Arial" w:cs="Arial"/>
                <w:b/>
                <w:color w:val="FFFFFF"/>
                <w:sz w:val="17"/>
                <w:szCs w:val="17"/>
              </w:rPr>
            </w:pPr>
            <w:r w:rsidRPr="005976FC">
              <w:rPr>
                <w:rFonts w:ascii="Arial" w:hAnsi="Arial" w:cs="Arial"/>
                <w:b/>
                <w:color w:val="FFFFFF"/>
                <w:sz w:val="17"/>
                <w:szCs w:val="17"/>
              </w:rPr>
              <w:t>Actividad</w:t>
            </w:r>
          </w:p>
        </w:tc>
        <w:tc>
          <w:tcPr>
            <w:tcW w:w="2520" w:type="dxa"/>
            <w:tcBorders>
              <w:bottom w:val="single" w:sz="4" w:space="0" w:color="auto"/>
            </w:tcBorders>
            <w:shd w:val="clear" w:color="auto" w:fill="9D2235"/>
            <w:vAlign w:val="center"/>
          </w:tcPr>
          <w:p w14:paraId="17447FA3" w14:textId="77777777" w:rsidR="006A0FF8" w:rsidRPr="005976FC" w:rsidRDefault="006A0FF8" w:rsidP="006A0FF8">
            <w:pPr>
              <w:rPr>
                <w:rFonts w:ascii="Arial" w:hAnsi="Arial" w:cs="Arial"/>
                <w:b/>
                <w:color w:val="FFFFFF"/>
                <w:sz w:val="17"/>
                <w:szCs w:val="17"/>
              </w:rPr>
            </w:pPr>
            <w:r w:rsidRPr="005976FC">
              <w:rPr>
                <w:rFonts w:ascii="Arial" w:hAnsi="Arial" w:cs="Arial"/>
                <w:b/>
                <w:color w:val="FFFFFF"/>
                <w:sz w:val="17"/>
                <w:szCs w:val="17"/>
              </w:rPr>
              <w:t>Conferencia</w:t>
            </w:r>
          </w:p>
        </w:tc>
        <w:tc>
          <w:tcPr>
            <w:tcW w:w="795" w:type="dxa"/>
            <w:tcBorders>
              <w:bottom w:val="single" w:sz="4" w:space="0" w:color="auto"/>
            </w:tcBorders>
            <w:shd w:val="clear" w:color="auto" w:fill="9D2235"/>
            <w:vAlign w:val="center"/>
          </w:tcPr>
          <w:p w14:paraId="39E14138" w14:textId="77777777" w:rsidR="006A0FF8" w:rsidRPr="005976FC" w:rsidRDefault="006A0FF8" w:rsidP="006A0FF8">
            <w:pPr>
              <w:jc w:val="center"/>
              <w:rPr>
                <w:rFonts w:ascii="Arial" w:hAnsi="Arial" w:cs="Arial"/>
                <w:b/>
                <w:color w:val="FFFFFF"/>
                <w:sz w:val="17"/>
                <w:szCs w:val="17"/>
              </w:rPr>
            </w:pPr>
            <w:r w:rsidRPr="005976FC">
              <w:rPr>
                <w:rFonts w:ascii="Arial" w:hAnsi="Arial" w:cs="Arial"/>
                <w:b/>
                <w:color w:val="FFFFFF"/>
                <w:sz w:val="17"/>
                <w:szCs w:val="17"/>
              </w:rPr>
              <w:t>Fecha</w:t>
            </w:r>
          </w:p>
        </w:tc>
        <w:tc>
          <w:tcPr>
            <w:tcW w:w="1473" w:type="dxa"/>
            <w:tcBorders>
              <w:bottom w:val="single" w:sz="4" w:space="0" w:color="auto"/>
            </w:tcBorders>
            <w:shd w:val="clear" w:color="auto" w:fill="9D2235"/>
            <w:vAlign w:val="center"/>
          </w:tcPr>
          <w:p w14:paraId="118FD33E" w14:textId="77777777" w:rsidR="006A0FF8" w:rsidRPr="005976FC" w:rsidRDefault="006A0FF8" w:rsidP="006A0FF8">
            <w:pPr>
              <w:jc w:val="center"/>
              <w:rPr>
                <w:rFonts w:ascii="Arial" w:hAnsi="Arial" w:cs="Arial"/>
                <w:b/>
                <w:color w:val="FFFFFF"/>
                <w:sz w:val="17"/>
                <w:szCs w:val="17"/>
              </w:rPr>
            </w:pPr>
            <w:r w:rsidRPr="005976FC">
              <w:rPr>
                <w:rFonts w:ascii="Arial" w:hAnsi="Arial" w:cs="Arial"/>
                <w:b/>
                <w:color w:val="FFFFFF"/>
                <w:sz w:val="17"/>
                <w:szCs w:val="17"/>
              </w:rPr>
              <w:t>Participantes</w:t>
            </w:r>
          </w:p>
        </w:tc>
        <w:tc>
          <w:tcPr>
            <w:tcW w:w="783" w:type="dxa"/>
            <w:tcBorders>
              <w:bottom w:val="single" w:sz="4" w:space="0" w:color="auto"/>
            </w:tcBorders>
            <w:shd w:val="clear" w:color="auto" w:fill="9D2235"/>
            <w:vAlign w:val="center"/>
          </w:tcPr>
          <w:p w14:paraId="55A7B974" w14:textId="77777777" w:rsidR="006A0FF8" w:rsidRPr="005976FC" w:rsidRDefault="006A0FF8" w:rsidP="006A0FF8">
            <w:pPr>
              <w:jc w:val="center"/>
              <w:rPr>
                <w:rFonts w:ascii="Arial" w:hAnsi="Arial" w:cs="Arial"/>
                <w:b/>
                <w:color w:val="FFFFFF"/>
                <w:sz w:val="17"/>
                <w:szCs w:val="17"/>
              </w:rPr>
            </w:pPr>
            <w:r w:rsidRPr="005976FC">
              <w:rPr>
                <w:rFonts w:ascii="Arial" w:hAnsi="Arial" w:cs="Arial"/>
                <w:b/>
                <w:color w:val="FFFFFF"/>
                <w:sz w:val="17"/>
                <w:szCs w:val="17"/>
              </w:rPr>
              <w:t>Horas</w:t>
            </w:r>
          </w:p>
        </w:tc>
      </w:tr>
      <w:tr w:rsidR="006A0FF8" w:rsidRPr="006A0FF8" w14:paraId="17C2983C" w14:textId="77777777" w:rsidTr="006A0FF8">
        <w:trPr>
          <w:trHeight w:val="257"/>
        </w:trPr>
        <w:tc>
          <w:tcPr>
            <w:tcW w:w="1273" w:type="dxa"/>
            <w:shd w:val="clear" w:color="auto" w:fill="auto"/>
            <w:vAlign w:val="center"/>
          </w:tcPr>
          <w:p w14:paraId="0F5D0607" w14:textId="77777777" w:rsidR="006A0FF8" w:rsidRPr="005976FC" w:rsidRDefault="006A0FF8" w:rsidP="006A0FF8">
            <w:pPr>
              <w:rPr>
                <w:rFonts w:ascii="Arial" w:hAnsi="Arial" w:cs="Arial"/>
                <w:sz w:val="17"/>
                <w:szCs w:val="17"/>
              </w:rPr>
            </w:pPr>
            <w:r w:rsidRPr="005976FC">
              <w:rPr>
                <w:rFonts w:ascii="Arial" w:hAnsi="Arial" w:cs="Arial"/>
                <w:sz w:val="17"/>
                <w:szCs w:val="17"/>
              </w:rPr>
              <w:t>ADEIT</w:t>
            </w:r>
          </w:p>
        </w:tc>
        <w:tc>
          <w:tcPr>
            <w:tcW w:w="1676" w:type="dxa"/>
            <w:shd w:val="clear" w:color="auto" w:fill="auto"/>
            <w:vAlign w:val="center"/>
          </w:tcPr>
          <w:p w14:paraId="7EBCFBF4" w14:textId="77777777" w:rsidR="006A0FF8" w:rsidRPr="005976FC" w:rsidRDefault="006A0FF8" w:rsidP="006A0FF8">
            <w:pPr>
              <w:rPr>
                <w:rFonts w:ascii="Arial" w:hAnsi="Arial" w:cs="Arial"/>
                <w:sz w:val="17"/>
                <w:szCs w:val="17"/>
              </w:rPr>
            </w:pPr>
            <w:r w:rsidRPr="005976FC">
              <w:rPr>
                <w:rFonts w:ascii="Arial" w:hAnsi="Arial" w:cs="Arial"/>
                <w:sz w:val="17"/>
                <w:szCs w:val="17"/>
              </w:rPr>
              <w:t>Máster propio de Contratación Pública y Compliance</w:t>
            </w:r>
          </w:p>
        </w:tc>
        <w:tc>
          <w:tcPr>
            <w:tcW w:w="2520" w:type="dxa"/>
            <w:shd w:val="clear" w:color="auto" w:fill="auto"/>
            <w:vAlign w:val="center"/>
          </w:tcPr>
          <w:p w14:paraId="331AAF6F" w14:textId="77777777" w:rsidR="006A0FF8" w:rsidRPr="005976FC" w:rsidRDefault="006A0FF8" w:rsidP="006A0FF8">
            <w:pPr>
              <w:jc w:val="both"/>
              <w:rPr>
                <w:rFonts w:ascii="Arial" w:hAnsi="Arial" w:cs="Arial"/>
                <w:sz w:val="17"/>
                <w:szCs w:val="17"/>
              </w:rPr>
            </w:pPr>
            <w:r w:rsidRPr="005976FC">
              <w:rPr>
                <w:rFonts w:ascii="Arial" w:hAnsi="Arial" w:cs="Arial"/>
                <w:sz w:val="17"/>
                <w:szCs w:val="17"/>
              </w:rPr>
              <w:t>Compliance específico para el sector público: marcos de integridad. La tarea de las agencias antifraude</w:t>
            </w:r>
          </w:p>
        </w:tc>
        <w:tc>
          <w:tcPr>
            <w:tcW w:w="795" w:type="dxa"/>
            <w:shd w:val="clear" w:color="auto" w:fill="auto"/>
            <w:vAlign w:val="center"/>
          </w:tcPr>
          <w:p w14:paraId="21C90F77" w14:textId="77777777" w:rsidR="006A0FF8" w:rsidRPr="005976FC" w:rsidRDefault="006A0FF8" w:rsidP="006A0FF8">
            <w:pPr>
              <w:rPr>
                <w:rFonts w:ascii="Arial" w:hAnsi="Arial" w:cs="Arial"/>
                <w:sz w:val="17"/>
                <w:szCs w:val="17"/>
              </w:rPr>
            </w:pPr>
            <w:r w:rsidRPr="005976FC">
              <w:rPr>
                <w:rFonts w:ascii="Arial" w:hAnsi="Arial" w:cs="Arial"/>
                <w:sz w:val="17"/>
                <w:szCs w:val="17"/>
              </w:rPr>
              <w:t>5-may</w:t>
            </w:r>
          </w:p>
        </w:tc>
        <w:tc>
          <w:tcPr>
            <w:tcW w:w="1473" w:type="dxa"/>
            <w:shd w:val="clear" w:color="auto" w:fill="auto"/>
            <w:vAlign w:val="center"/>
          </w:tcPr>
          <w:p w14:paraId="39630F6A" w14:textId="77777777" w:rsidR="006A0FF8" w:rsidRPr="005976FC" w:rsidRDefault="006A0FF8" w:rsidP="006A0FF8">
            <w:pPr>
              <w:jc w:val="center"/>
              <w:rPr>
                <w:rFonts w:ascii="Arial" w:hAnsi="Arial" w:cs="Arial"/>
                <w:sz w:val="17"/>
                <w:szCs w:val="17"/>
              </w:rPr>
            </w:pPr>
            <w:r w:rsidRPr="005976FC">
              <w:rPr>
                <w:rFonts w:ascii="Arial" w:hAnsi="Arial" w:cs="Arial"/>
                <w:sz w:val="17"/>
                <w:szCs w:val="17"/>
              </w:rPr>
              <w:t>9</w:t>
            </w:r>
          </w:p>
        </w:tc>
        <w:tc>
          <w:tcPr>
            <w:tcW w:w="783" w:type="dxa"/>
            <w:shd w:val="clear" w:color="auto" w:fill="auto"/>
            <w:vAlign w:val="center"/>
          </w:tcPr>
          <w:p w14:paraId="28531E6A" w14:textId="77777777" w:rsidR="006A0FF8" w:rsidRPr="005976FC" w:rsidRDefault="006A0FF8" w:rsidP="006A0FF8">
            <w:pPr>
              <w:jc w:val="center"/>
              <w:rPr>
                <w:rFonts w:ascii="Arial" w:hAnsi="Arial" w:cs="Arial"/>
                <w:sz w:val="17"/>
                <w:szCs w:val="17"/>
              </w:rPr>
            </w:pPr>
            <w:r w:rsidRPr="005976FC">
              <w:rPr>
                <w:rFonts w:ascii="Arial" w:hAnsi="Arial" w:cs="Arial"/>
                <w:sz w:val="17"/>
                <w:szCs w:val="17"/>
              </w:rPr>
              <w:t>1</w:t>
            </w:r>
          </w:p>
        </w:tc>
      </w:tr>
      <w:tr w:rsidR="006A0FF8" w:rsidRPr="006A0FF8" w14:paraId="7D397DD2" w14:textId="77777777" w:rsidTr="006A0FF8">
        <w:trPr>
          <w:trHeight w:val="2016"/>
        </w:trPr>
        <w:tc>
          <w:tcPr>
            <w:tcW w:w="1273" w:type="dxa"/>
            <w:shd w:val="clear" w:color="auto" w:fill="auto"/>
            <w:vAlign w:val="center"/>
          </w:tcPr>
          <w:p w14:paraId="1F56F377" w14:textId="77777777" w:rsidR="006A0FF8" w:rsidRPr="005976FC" w:rsidRDefault="006A0FF8" w:rsidP="006A0FF8">
            <w:pPr>
              <w:rPr>
                <w:rFonts w:ascii="Arial" w:hAnsi="Arial" w:cs="Arial"/>
                <w:sz w:val="17"/>
                <w:szCs w:val="17"/>
              </w:rPr>
            </w:pPr>
            <w:r w:rsidRPr="005976FC">
              <w:rPr>
                <w:rFonts w:ascii="Arial" w:hAnsi="Arial" w:cs="Arial"/>
                <w:sz w:val="17"/>
                <w:szCs w:val="17"/>
              </w:rPr>
              <w:t>Universidad Politécnica de València</w:t>
            </w:r>
          </w:p>
        </w:tc>
        <w:tc>
          <w:tcPr>
            <w:tcW w:w="1676" w:type="dxa"/>
            <w:shd w:val="clear" w:color="auto" w:fill="auto"/>
            <w:vAlign w:val="center"/>
          </w:tcPr>
          <w:p w14:paraId="65C6E283" w14:textId="77777777" w:rsidR="006A0FF8" w:rsidRPr="005976FC" w:rsidRDefault="006A0FF8" w:rsidP="006A0FF8">
            <w:pPr>
              <w:rPr>
                <w:rFonts w:ascii="Arial" w:hAnsi="Arial" w:cs="Arial"/>
                <w:sz w:val="17"/>
                <w:szCs w:val="17"/>
              </w:rPr>
            </w:pPr>
            <w:r w:rsidRPr="005976FC">
              <w:rPr>
                <w:rFonts w:ascii="Arial" w:hAnsi="Arial" w:cs="Arial"/>
                <w:sz w:val="17"/>
                <w:szCs w:val="17"/>
              </w:rPr>
              <w:t>Máster Gestión Cultural</w:t>
            </w:r>
          </w:p>
        </w:tc>
        <w:tc>
          <w:tcPr>
            <w:tcW w:w="2520" w:type="dxa"/>
            <w:shd w:val="clear" w:color="auto" w:fill="auto"/>
            <w:vAlign w:val="center"/>
          </w:tcPr>
          <w:p w14:paraId="19ECA3F8" w14:textId="77777777" w:rsidR="006A0FF8" w:rsidRPr="005976FC" w:rsidRDefault="006A0FF8" w:rsidP="006A0FF8">
            <w:pPr>
              <w:jc w:val="both"/>
              <w:rPr>
                <w:rFonts w:ascii="Arial" w:hAnsi="Arial" w:cs="Arial"/>
                <w:sz w:val="17"/>
                <w:szCs w:val="17"/>
              </w:rPr>
            </w:pPr>
            <w:r w:rsidRPr="005976FC">
              <w:rPr>
                <w:rFonts w:ascii="Arial" w:hAnsi="Arial" w:cs="Arial"/>
                <w:sz w:val="17"/>
                <w:szCs w:val="17"/>
              </w:rPr>
              <w:t>Las funciones y actividades de la AVAF</w:t>
            </w:r>
          </w:p>
          <w:p w14:paraId="265B158C" w14:textId="77777777" w:rsidR="006A0FF8" w:rsidRPr="005976FC" w:rsidRDefault="006A0FF8" w:rsidP="006A0FF8">
            <w:pPr>
              <w:jc w:val="both"/>
              <w:rPr>
                <w:rFonts w:ascii="Arial" w:hAnsi="Arial" w:cs="Arial"/>
                <w:sz w:val="17"/>
                <w:szCs w:val="17"/>
              </w:rPr>
            </w:pPr>
            <w:r w:rsidRPr="005976FC">
              <w:rPr>
                <w:rFonts w:ascii="Arial" w:hAnsi="Arial" w:cs="Arial"/>
                <w:sz w:val="17"/>
                <w:szCs w:val="17"/>
              </w:rPr>
              <w:t>Las particularidades de la gestión administrativa cultural</w:t>
            </w:r>
          </w:p>
          <w:p w14:paraId="0F565508" w14:textId="77777777" w:rsidR="006A0FF8" w:rsidRPr="005976FC" w:rsidRDefault="006A0FF8" w:rsidP="006A0FF8">
            <w:pPr>
              <w:jc w:val="both"/>
              <w:rPr>
                <w:rFonts w:ascii="Arial" w:hAnsi="Arial" w:cs="Arial"/>
                <w:sz w:val="17"/>
                <w:szCs w:val="17"/>
              </w:rPr>
            </w:pPr>
            <w:r w:rsidRPr="005976FC">
              <w:rPr>
                <w:rFonts w:ascii="Arial" w:hAnsi="Arial" w:cs="Arial"/>
                <w:sz w:val="17"/>
                <w:szCs w:val="17"/>
              </w:rPr>
              <w:t>Los principales riesgos de fraude y corrupción que se pueden dar en la gestión cultural</w:t>
            </w:r>
          </w:p>
        </w:tc>
        <w:tc>
          <w:tcPr>
            <w:tcW w:w="795" w:type="dxa"/>
            <w:shd w:val="clear" w:color="auto" w:fill="auto"/>
            <w:vAlign w:val="center"/>
          </w:tcPr>
          <w:p w14:paraId="7E08DE15" w14:textId="77777777" w:rsidR="006A0FF8" w:rsidRPr="005976FC" w:rsidRDefault="006A0FF8" w:rsidP="006A0FF8">
            <w:pPr>
              <w:rPr>
                <w:rFonts w:ascii="Arial" w:hAnsi="Arial" w:cs="Arial"/>
                <w:sz w:val="17"/>
                <w:szCs w:val="17"/>
              </w:rPr>
            </w:pPr>
            <w:r w:rsidRPr="005976FC">
              <w:rPr>
                <w:rFonts w:ascii="Arial" w:hAnsi="Arial" w:cs="Arial"/>
                <w:sz w:val="17"/>
                <w:szCs w:val="17"/>
              </w:rPr>
              <w:t>2-dic</w:t>
            </w:r>
          </w:p>
        </w:tc>
        <w:tc>
          <w:tcPr>
            <w:tcW w:w="1473" w:type="dxa"/>
            <w:shd w:val="clear" w:color="auto" w:fill="auto"/>
            <w:vAlign w:val="center"/>
          </w:tcPr>
          <w:p w14:paraId="353CC517" w14:textId="77777777" w:rsidR="006A0FF8" w:rsidRPr="005976FC" w:rsidRDefault="006A0FF8" w:rsidP="006A0FF8">
            <w:pPr>
              <w:jc w:val="center"/>
              <w:rPr>
                <w:rFonts w:ascii="Arial" w:hAnsi="Arial" w:cs="Arial"/>
                <w:sz w:val="17"/>
                <w:szCs w:val="17"/>
              </w:rPr>
            </w:pPr>
            <w:r w:rsidRPr="005976FC">
              <w:rPr>
                <w:rFonts w:ascii="Arial" w:hAnsi="Arial" w:cs="Arial"/>
                <w:sz w:val="17"/>
                <w:szCs w:val="17"/>
              </w:rPr>
              <w:t>34</w:t>
            </w:r>
          </w:p>
        </w:tc>
        <w:tc>
          <w:tcPr>
            <w:tcW w:w="783" w:type="dxa"/>
            <w:shd w:val="clear" w:color="auto" w:fill="auto"/>
            <w:vAlign w:val="center"/>
          </w:tcPr>
          <w:p w14:paraId="7761C7C3" w14:textId="77777777" w:rsidR="006A0FF8" w:rsidRPr="005976FC" w:rsidRDefault="006A0FF8" w:rsidP="006A0FF8">
            <w:pPr>
              <w:jc w:val="center"/>
              <w:rPr>
                <w:rFonts w:ascii="Arial" w:hAnsi="Arial" w:cs="Arial"/>
                <w:sz w:val="17"/>
                <w:szCs w:val="17"/>
              </w:rPr>
            </w:pPr>
            <w:r w:rsidRPr="005976FC">
              <w:rPr>
                <w:rFonts w:ascii="Arial" w:hAnsi="Arial" w:cs="Arial"/>
                <w:sz w:val="17"/>
                <w:szCs w:val="17"/>
              </w:rPr>
              <w:t>3</w:t>
            </w:r>
          </w:p>
        </w:tc>
      </w:tr>
      <w:tr w:rsidR="006A0FF8" w:rsidRPr="006A0FF8" w14:paraId="576A1EF1" w14:textId="77777777" w:rsidTr="006A0FF8">
        <w:trPr>
          <w:trHeight w:val="257"/>
        </w:trPr>
        <w:tc>
          <w:tcPr>
            <w:tcW w:w="6264" w:type="dxa"/>
            <w:gridSpan w:val="4"/>
            <w:tcBorders>
              <w:bottom w:val="single" w:sz="4" w:space="0" w:color="auto"/>
            </w:tcBorders>
            <w:shd w:val="clear" w:color="auto" w:fill="D9D9D9"/>
            <w:vAlign w:val="center"/>
          </w:tcPr>
          <w:p w14:paraId="219CD667" w14:textId="77777777" w:rsidR="006A0FF8" w:rsidRPr="005976FC" w:rsidRDefault="006A0FF8" w:rsidP="006A0FF8">
            <w:pPr>
              <w:jc w:val="right"/>
              <w:rPr>
                <w:rFonts w:ascii="Arial" w:hAnsi="Arial" w:cs="Arial"/>
                <w:b/>
                <w:sz w:val="17"/>
                <w:szCs w:val="17"/>
              </w:rPr>
            </w:pPr>
            <w:r w:rsidRPr="005976FC">
              <w:rPr>
                <w:rFonts w:ascii="Arial" w:hAnsi="Arial" w:cs="Arial"/>
                <w:b/>
                <w:sz w:val="17"/>
                <w:szCs w:val="17"/>
              </w:rPr>
              <w:t>Totales</w:t>
            </w:r>
          </w:p>
        </w:tc>
        <w:tc>
          <w:tcPr>
            <w:tcW w:w="1473" w:type="dxa"/>
            <w:tcBorders>
              <w:bottom w:val="single" w:sz="4" w:space="0" w:color="auto"/>
            </w:tcBorders>
            <w:shd w:val="clear" w:color="auto" w:fill="D9D9D9"/>
            <w:vAlign w:val="center"/>
          </w:tcPr>
          <w:p w14:paraId="18DA03AA" w14:textId="0A966E06" w:rsidR="006A0FF8" w:rsidRPr="005976FC" w:rsidRDefault="006A0FF8" w:rsidP="006A0FF8">
            <w:pPr>
              <w:jc w:val="center"/>
              <w:rPr>
                <w:rFonts w:ascii="Arial" w:hAnsi="Arial" w:cs="Arial"/>
                <w:b/>
                <w:sz w:val="17"/>
                <w:szCs w:val="17"/>
              </w:rPr>
            </w:pPr>
            <w:r w:rsidRPr="005976FC">
              <w:rPr>
                <w:rFonts w:ascii="Arial" w:hAnsi="Arial" w:cs="Arial"/>
                <w:b/>
                <w:sz w:val="17"/>
                <w:szCs w:val="17"/>
              </w:rPr>
              <w:t xml:space="preserve">43 </w:t>
            </w:r>
          </w:p>
        </w:tc>
        <w:tc>
          <w:tcPr>
            <w:tcW w:w="783" w:type="dxa"/>
            <w:tcBorders>
              <w:bottom w:val="single" w:sz="4" w:space="0" w:color="auto"/>
            </w:tcBorders>
            <w:shd w:val="clear" w:color="auto" w:fill="D9D9D9"/>
            <w:vAlign w:val="center"/>
          </w:tcPr>
          <w:p w14:paraId="7ECB46DA" w14:textId="48079CC5" w:rsidR="006A0FF8" w:rsidRPr="005976FC" w:rsidRDefault="006A0FF8" w:rsidP="006A0FF8">
            <w:pPr>
              <w:jc w:val="center"/>
              <w:rPr>
                <w:rFonts w:ascii="Arial" w:hAnsi="Arial" w:cs="Arial"/>
                <w:b/>
                <w:sz w:val="17"/>
                <w:szCs w:val="17"/>
              </w:rPr>
            </w:pPr>
            <w:r w:rsidRPr="005976FC">
              <w:rPr>
                <w:rFonts w:ascii="Arial" w:hAnsi="Arial" w:cs="Arial"/>
                <w:b/>
                <w:sz w:val="17"/>
                <w:szCs w:val="17"/>
              </w:rPr>
              <w:t xml:space="preserve">4 </w:t>
            </w:r>
          </w:p>
        </w:tc>
      </w:tr>
    </w:tbl>
    <w:p w14:paraId="696EC62C" w14:textId="40E6678D" w:rsidR="006A0FF8" w:rsidRPr="006A0FF8" w:rsidRDefault="006A0FF8" w:rsidP="0081074F">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8"/>
          <w:szCs w:val="28"/>
          <w:lang w:eastAsia="es-ES"/>
        </w:rPr>
      </w:pPr>
      <w:r w:rsidRPr="0081074F">
        <w:rPr>
          <w:rFonts w:ascii="Arial" w:eastAsia="Times New Roman" w:hAnsi="Arial" w:cs="Arial"/>
          <w:b/>
          <w:bCs/>
          <w:color w:val="9D2235" w:themeColor="accent1"/>
          <w:sz w:val="24"/>
          <w:szCs w:val="24"/>
          <w:lang w:eastAsia="es-ES"/>
        </w:rPr>
        <w:t>Conferencias en colaboración con universidades</w:t>
      </w:r>
    </w:p>
    <w:p w14:paraId="6E92F4F7" w14:textId="54760EDE" w:rsidR="00F85300" w:rsidRPr="00F85300" w:rsidRDefault="00F85300" w:rsidP="00F85300">
      <w:pPr>
        <w:spacing w:after="240" w:line="276" w:lineRule="auto"/>
        <w:jc w:val="both"/>
        <w:rPr>
          <w:rFonts w:ascii="Arial" w:eastAsia="Times New Roman" w:hAnsi="Arial" w:cs="Arial"/>
          <w:sz w:val="21"/>
          <w:szCs w:val="21"/>
          <w:lang w:eastAsia="es-ES"/>
        </w:rPr>
      </w:pPr>
      <w:r w:rsidRPr="00F85300">
        <w:rPr>
          <w:rFonts w:ascii="Arial" w:eastAsia="Times New Roman" w:hAnsi="Arial" w:cs="Arial"/>
          <w:bCs/>
          <w:sz w:val="21"/>
          <w:szCs w:val="21"/>
          <w:lang w:eastAsia="es-ES"/>
        </w:rPr>
        <w:t xml:space="preserve">La Agencia Valenciana Antifraude es el referente principal en el ámbito de la </w:t>
      </w:r>
      <w:r w:rsidRPr="00F85300">
        <w:rPr>
          <w:rFonts w:ascii="Arial" w:eastAsia="Times New Roman" w:hAnsi="Arial" w:cs="Arial"/>
          <w:sz w:val="21"/>
          <w:szCs w:val="21"/>
          <w:lang w:eastAsia="es-ES"/>
        </w:rPr>
        <w:t>prevención del fraude y la corrupción en la Comuni</w:t>
      </w:r>
      <w:r w:rsidR="008C1237">
        <w:rPr>
          <w:rFonts w:ascii="Arial" w:eastAsia="Times New Roman" w:hAnsi="Arial" w:cs="Arial"/>
          <w:sz w:val="21"/>
          <w:szCs w:val="21"/>
          <w:lang w:eastAsia="es-ES"/>
        </w:rPr>
        <w:t>tat</w:t>
      </w:r>
      <w:r w:rsidRPr="00F85300">
        <w:rPr>
          <w:rFonts w:ascii="Arial" w:eastAsia="Times New Roman" w:hAnsi="Arial" w:cs="Arial"/>
          <w:sz w:val="21"/>
          <w:szCs w:val="21"/>
          <w:lang w:eastAsia="es-ES"/>
        </w:rPr>
        <w:t xml:space="preserve"> Valenciana y un modelo que ha inspirado a otras agencias antifraude en España, también en lo que se refiere a la actividad formativa para la creación de una cultura organizativa fundamentada en la ética e integridad pública </w:t>
      </w:r>
      <w:r w:rsidRPr="003416AE">
        <w:rPr>
          <w:rFonts w:ascii="Arial" w:eastAsia="Times New Roman" w:hAnsi="Arial" w:cs="Arial"/>
          <w:sz w:val="21"/>
          <w:szCs w:val="21"/>
          <w:lang w:eastAsia="es-ES"/>
        </w:rPr>
        <w:t xml:space="preserve">(Tabla </w:t>
      </w:r>
      <w:r w:rsidR="005976FC" w:rsidRPr="003416AE">
        <w:rPr>
          <w:rFonts w:ascii="Arial" w:eastAsia="Times New Roman" w:hAnsi="Arial" w:cs="Arial"/>
          <w:sz w:val="21"/>
          <w:szCs w:val="21"/>
          <w:lang w:eastAsia="es-ES"/>
        </w:rPr>
        <w:t>2</w:t>
      </w:r>
      <w:r w:rsidR="000E5FE5" w:rsidRPr="003416AE">
        <w:rPr>
          <w:rFonts w:ascii="Arial" w:eastAsia="Times New Roman" w:hAnsi="Arial" w:cs="Arial"/>
          <w:sz w:val="21"/>
          <w:szCs w:val="21"/>
          <w:lang w:eastAsia="es-ES"/>
        </w:rPr>
        <w:t>6</w:t>
      </w:r>
      <w:r w:rsidRPr="003416AE">
        <w:rPr>
          <w:rFonts w:ascii="Arial" w:eastAsia="Times New Roman" w:hAnsi="Arial" w:cs="Arial"/>
          <w:sz w:val="21"/>
          <w:szCs w:val="21"/>
          <w:lang w:eastAsia="es-ES"/>
        </w:rPr>
        <w:t>).</w:t>
      </w:r>
    </w:p>
    <w:p w14:paraId="4225A6A9" w14:textId="00F5DE41" w:rsidR="00F85300" w:rsidRPr="00F85300" w:rsidRDefault="00F85300" w:rsidP="005D34B3">
      <w:pPr>
        <w:spacing w:after="240" w:line="276" w:lineRule="auto"/>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Por esta razón, en 2021 la AVAF ha sido invitada a participar en jornadas, de carácter universitario, con conferencias donde se desea conocer el papel de las agencias antifraude y su relación con la ODS, la buena gobernanza entre otros</w:t>
      </w:r>
      <w:r>
        <w:rPr>
          <w:rFonts w:ascii="Arial" w:eastAsia="Times New Roman" w:hAnsi="Arial" w:cs="Arial"/>
          <w:sz w:val="21"/>
          <w:szCs w:val="21"/>
          <w:lang w:eastAsia="es-ES"/>
        </w:rPr>
        <w:t>:</w:t>
      </w:r>
    </w:p>
    <w:p w14:paraId="39777B9C" w14:textId="74C8A532" w:rsidR="00F85300" w:rsidRPr="00F85300" w:rsidRDefault="00F85300" w:rsidP="005D34B3">
      <w:pPr>
        <w:numPr>
          <w:ilvl w:val="0"/>
          <w:numId w:val="137"/>
        </w:numPr>
        <w:spacing w:after="120" w:line="276" w:lineRule="auto"/>
        <w:ind w:left="709" w:hanging="357"/>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 xml:space="preserve">4 de marzo, conferencia en la Universidad CEU Cardenal Herrera, en el proyecto </w:t>
      </w:r>
      <w:r w:rsidRPr="00F85300">
        <w:rPr>
          <w:rFonts w:ascii="Arial" w:eastAsia="Times New Roman" w:hAnsi="Arial" w:cs="Arial"/>
          <w:i/>
          <w:iCs/>
          <w:sz w:val="21"/>
          <w:szCs w:val="21"/>
          <w:lang w:eastAsia="es-ES"/>
        </w:rPr>
        <w:t>“Políticas por…”</w:t>
      </w:r>
      <w:r w:rsidRPr="00F85300">
        <w:rPr>
          <w:rFonts w:ascii="Arial" w:eastAsia="Times New Roman" w:hAnsi="Arial" w:cs="Arial"/>
          <w:sz w:val="21"/>
          <w:szCs w:val="21"/>
          <w:lang w:eastAsia="es-ES"/>
        </w:rPr>
        <w:t xml:space="preserve"> En 2021 se celebró </w:t>
      </w:r>
      <w:r w:rsidRPr="00F85300">
        <w:rPr>
          <w:rFonts w:ascii="Arial" w:eastAsia="Times New Roman" w:hAnsi="Arial" w:cs="Arial"/>
          <w:b/>
          <w:sz w:val="21"/>
          <w:szCs w:val="21"/>
          <w:lang w:eastAsia="es-ES"/>
        </w:rPr>
        <w:t>Políticas por los ODS: objetivo 16.6</w:t>
      </w:r>
      <w:r w:rsidRPr="00F85300">
        <w:rPr>
          <w:rFonts w:ascii="Arial" w:eastAsia="Times New Roman" w:hAnsi="Arial" w:cs="Arial"/>
          <w:sz w:val="21"/>
          <w:szCs w:val="21"/>
          <w:lang w:eastAsia="es-ES"/>
        </w:rPr>
        <w:t>, que hace referencia a la paz y la justicia social, y más concretamente a la necesidad de contar con instituciones transparentes. Desde la universidad se propone a la Agencia participar en una mesa redonda con organismos de control, junto con otras entidades como el Consejo de Transparencia de la Comuni</w:t>
      </w:r>
      <w:r w:rsidR="008C1237">
        <w:rPr>
          <w:rFonts w:ascii="Arial" w:eastAsia="Times New Roman" w:hAnsi="Arial" w:cs="Arial"/>
          <w:sz w:val="21"/>
          <w:szCs w:val="21"/>
          <w:lang w:eastAsia="es-ES"/>
        </w:rPr>
        <w:t>tat</w:t>
      </w:r>
      <w:r w:rsidRPr="00F85300">
        <w:rPr>
          <w:rFonts w:ascii="Arial" w:eastAsia="Times New Roman" w:hAnsi="Arial" w:cs="Arial"/>
          <w:sz w:val="21"/>
          <w:szCs w:val="21"/>
          <w:lang w:eastAsia="es-ES"/>
        </w:rPr>
        <w:t xml:space="preserve"> Valenciana y el Consejo Nacional de Transparencia y Buen Gobierno. </w:t>
      </w:r>
    </w:p>
    <w:p w14:paraId="37CDDDD3" w14:textId="77777777" w:rsidR="00F85300" w:rsidRPr="00F85300" w:rsidRDefault="00F85300" w:rsidP="005D34B3">
      <w:pPr>
        <w:numPr>
          <w:ilvl w:val="0"/>
          <w:numId w:val="137"/>
        </w:numPr>
        <w:spacing w:after="120" w:line="276" w:lineRule="auto"/>
        <w:ind w:left="709" w:hanging="357"/>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 xml:space="preserve">El 28 de octubre, se celebró el </w:t>
      </w:r>
      <w:r w:rsidRPr="00F85300">
        <w:rPr>
          <w:rFonts w:ascii="Arial" w:eastAsia="Times New Roman" w:hAnsi="Arial" w:cs="Arial"/>
          <w:i/>
          <w:iCs/>
          <w:sz w:val="21"/>
          <w:szCs w:val="21"/>
          <w:lang w:eastAsia="es-ES"/>
        </w:rPr>
        <w:t xml:space="preserve">workshop </w:t>
      </w:r>
      <w:r w:rsidRPr="00B92728">
        <w:rPr>
          <w:rFonts w:ascii="Arial" w:eastAsia="Times New Roman" w:hAnsi="Arial" w:cs="Arial"/>
          <w:b/>
          <w:i/>
          <w:iCs/>
          <w:sz w:val="21"/>
          <w:szCs w:val="21"/>
          <w:lang w:eastAsia="es-ES"/>
        </w:rPr>
        <w:t>Institutions and governance after the pandemic: International perspectives</w:t>
      </w:r>
      <w:r w:rsidRPr="00B92728">
        <w:rPr>
          <w:rFonts w:ascii="Arial" w:eastAsia="Times New Roman" w:hAnsi="Arial" w:cs="Arial"/>
          <w:b/>
          <w:sz w:val="21"/>
          <w:szCs w:val="21"/>
          <w:lang w:eastAsia="es-ES"/>
        </w:rPr>
        <w:t xml:space="preserve"> </w:t>
      </w:r>
      <w:r w:rsidRPr="00F85300">
        <w:rPr>
          <w:rFonts w:ascii="Arial" w:eastAsia="Times New Roman" w:hAnsi="Arial" w:cs="Arial"/>
          <w:sz w:val="21"/>
          <w:szCs w:val="21"/>
          <w:lang w:eastAsia="es-ES"/>
        </w:rPr>
        <w:t>de la Universidad Jaume I de Castelló</w:t>
      </w:r>
      <w:r w:rsidRPr="00F85300">
        <w:rPr>
          <w:rFonts w:ascii="Arial" w:eastAsia="Times New Roman" w:hAnsi="Arial" w:cs="Arial"/>
          <w:b/>
          <w:sz w:val="21"/>
          <w:szCs w:val="21"/>
          <w:lang w:eastAsia="es-ES"/>
        </w:rPr>
        <w:t xml:space="preserve">, </w:t>
      </w:r>
      <w:r w:rsidRPr="00F85300">
        <w:rPr>
          <w:rFonts w:ascii="Arial" w:eastAsia="Times New Roman" w:hAnsi="Arial" w:cs="Arial"/>
          <w:sz w:val="21"/>
          <w:szCs w:val="21"/>
          <w:lang w:eastAsia="es-ES"/>
        </w:rPr>
        <w:t xml:space="preserve">en el director de la Agencia impartió la conferencia inaugural con la finalidad de dar a conocer el papel de las agencias antifraude en la lucha contra la corrupción. </w:t>
      </w:r>
    </w:p>
    <w:p w14:paraId="6FC3AC6F" w14:textId="3CE4D165" w:rsidR="00F85300" w:rsidRPr="00F85300" w:rsidRDefault="00F85300" w:rsidP="00E501D4">
      <w:pPr>
        <w:numPr>
          <w:ilvl w:val="0"/>
          <w:numId w:val="137"/>
        </w:numPr>
        <w:spacing w:after="240" w:line="276" w:lineRule="auto"/>
        <w:ind w:left="709" w:hanging="357"/>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 xml:space="preserve">El 3 de noviembre, el Observatorio de Transparencia y Buen Gobierno de la Universidad Jaume I, organizó la Jornada </w:t>
      </w:r>
      <w:r w:rsidRPr="00F85300">
        <w:rPr>
          <w:rFonts w:ascii="Arial" w:eastAsia="Times New Roman" w:hAnsi="Arial" w:cs="Arial"/>
          <w:b/>
          <w:sz w:val="21"/>
          <w:szCs w:val="21"/>
          <w:lang w:eastAsia="es-ES"/>
        </w:rPr>
        <w:t xml:space="preserve">Buen Gobierno en la función pública local. </w:t>
      </w:r>
      <w:r w:rsidRPr="00F85300">
        <w:rPr>
          <w:rFonts w:ascii="Arial" w:eastAsia="Times New Roman" w:hAnsi="Arial" w:cs="Arial"/>
          <w:sz w:val="21"/>
          <w:szCs w:val="21"/>
          <w:lang w:eastAsia="es-ES"/>
        </w:rPr>
        <w:t xml:space="preserve">La sesión se realizó en el Salón de Grados de la </w:t>
      </w:r>
      <w:r w:rsidR="00274AE4">
        <w:rPr>
          <w:rFonts w:ascii="Arial" w:eastAsia="Times New Roman" w:hAnsi="Arial" w:cs="Arial"/>
          <w:sz w:val="21"/>
          <w:szCs w:val="21"/>
          <w:lang w:eastAsia="es-ES"/>
        </w:rPr>
        <w:t>F</w:t>
      </w:r>
      <w:r w:rsidRPr="00F85300">
        <w:rPr>
          <w:rFonts w:ascii="Arial" w:eastAsia="Times New Roman" w:hAnsi="Arial" w:cs="Arial"/>
          <w:sz w:val="21"/>
          <w:szCs w:val="21"/>
          <w:lang w:eastAsia="es-ES"/>
        </w:rPr>
        <w:t>acultad de Ciencias Jurídicas y Económicas de la UJI. En la Jornada participaron responsables de la Agencia para realizar la conferencia inaugural sobre las políticas antifraude y la conferencia específica sobre sobre los principales fraudes en materia de la ocupación pública en la administración local y cómo evitarlos.</w:t>
      </w:r>
    </w:p>
    <w:p w14:paraId="2D9ADDB4" w14:textId="2BEC9CA0" w:rsidR="007D6A10" w:rsidRPr="007D6A10" w:rsidRDefault="007D6A10" w:rsidP="007D6A10">
      <w:pPr>
        <w:pStyle w:val="Descripcin"/>
        <w:keepNext/>
        <w:spacing w:after="80"/>
        <w:rPr>
          <w:rFonts w:ascii="Arial" w:hAnsi="Arial" w:cs="Arial"/>
          <w:smallCaps w:val="0"/>
          <w:sz w:val="18"/>
          <w:szCs w:val="18"/>
        </w:rPr>
      </w:pPr>
      <w:bookmarkStart w:id="468" w:name="_Toc99107164"/>
      <w:r w:rsidRPr="007D6A10">
        <w:rPr>
          <w:rFonts w:ascii="Arial" w:hAnsi="Arial" w:cs="Arial"/>
          <w:smallCaps w:val="0"/>
          <w:color w:val="9D2235" w:themeColor="accent1"/>
          <w:sz w:val="18"/>
          <w:szCs w:val="18"/>
        </w:rPr>
        <w:t xml:space="preserve">Tabla </w:t>
      </w:r>
      <w:r w:rsidRPr="007D6A10">
        <w:rPr>
          <w:rFonts w:ascii="Arial" w:hAnsi="Arial" w:cs="Arial"/>
          <w:smallCaps w:val="0"/>
          <w:color w:val="9D2235" w:themeColor="accent1"/>
          <w:sz w:val="18"/>
          <w:szCs w:val="18"/>
        </w:rPr>
        <w:fldChar w:fldCharType="begin" w:fldLock="1"/>
      </w:r>
      <w:r w:rsidRPr="007D6A10">
        <w:rPr>
          <w:rFonts w:ascii="Arial" w:hAnsi="Arial" w:cs="Arial"/>
          <w:smallCaps w:val="0"/>
          <w:color w:val="9D2235" w:themeColor="accent1"/>
          <w:sz w:val="18"/>
          <w:szCs w:val="18"/>
        </w:rPr>
        <w:instrText xml:space="preserve"> SEQ Tabla \* ARABIC </w:instrText>
      </w:r>
      <w:r w:rsidRPr="007D6A10">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26</w:t>
      </w:r>
      <w:r w:rsidRPr="007D6A10">
        <w:rPr>
          <w:rFonts w:ascii="Arial" w:hAnsi="Arial" w:cs="Arial"/>
          <w:smallCaps w:val="0"/>
          <w:color w:val="9D2235" w:themeColor="accent1"/>
          <w:sz w:val="18"/>
          <w:szCs w:val="18"/>
        </w:rPr>
        <w:fldChar w:fldCharType="end"/>
      </w:r>
      <w:r w:rsidRPr="007D6A10">
        <w:rPr>
          <w:rFonts w:ascii="Arial" w:hAnsi="Arial" w:cs="Arial"/>
          <w:smallCaps w:val="0"/>
          <w:color w:val="9D2235" w:themeColor="accent1"/>
          <w:sz w:val="18"/>
          <w:szCs w:val="18"/>
        </w:rPr>
        <w:t xml:space="preserve">. </w:t>
      </w:r>
      <w:r w:rsidRPr="007D6A10">
        <w:rPr>
          <w:rFonts w:ascii="Arial" w:hAnsi="Arial" w:cs="Arial"/>
          <w:smallCaps w:val="0"/>
          <w:sz w:val="18"/>
          <w:szCs w:val="18"/>
        </w:rPr>
        <w:t>Conferencias en colaboración con universidades</w:t>
      </w:r>
      <w:bookmarkEnd w:id="468"/>
    </w:p>
    <w:tbl>
      <w:tblPr>
        <w:tblStyle w:val="Tablaconcuadrcula8"/>
        <w:tblW w:w="8520" w:type="dxa"/>
        <w:tblLook w:val="04A0" w:firstRow="1" w:lastRow="0" w:firstColumn="1" w:lastColumn="0" w:noHBand="0" w:noVBand="1"/>
      </w:tblPr>
      <w:tblGrid>
        <w:gridCol w:w="1495"/>
        <w:gridCol w:w="1457"/>
        <w:gridCol w:w="2529"/>
        <w:gridCol w:w="795"/>
        <w:gridCol w:w="1461"/>
        <w:gridCol w:w="783"/>
      </w:tblGrid>
      <w:tr w:rsidR="007D6A10" w:rsidRPr="007D6A10" w14:paraId="255B17A6" w14:textId="77777777" w:rsidTr="007D6A10">
        <w:trPr>
          <w:trHeight w:val="257"/>
        </w:trPr>
        <w:tc>
          <w:tcPr>
            <w:tcW w:w="1495" w:type="dxa"/>
            <w:tcBorders>
              <w:bottom w:val="single" w:sz="4" w:space="0" w:color="auto"/>
            </w:tcBorders>
            <w:shd w:val="clear" w:color="auto" w:fill="9D2235"/>
            <w:vAlign w:val="center"/>
          </w:tcPr>
          <w:p w14:paraId="6EC0E6EF" w14:textId="77777777" w:rsidR="007D6A10" w:rsidRPr="005976FC" w:rsidRDefault="007D6A10" w:rsidP="007D6A10">
            <w:pPr>
              <w:rPr>
                <w:rFonts w:ascii="Arial" w:hAnsi="Arial" w:cs="Arial"/>
                <w:b/>
                <w:color w:val="FFFFFF"/>
                <w:sz w:val="17"/>
                <w:szCs w:val="17"/>
              </w:rPr>
            </w:pPr>
            <w:r w:rsidRPr="005976FC">
              <w:rPr>
                <w:rFonts w:ascii="Arial" w:hAnsi="Arial" w:cs="Arial"/>
                <w:b/>
                <w:color w:val="FFFFFF"/>
                <w:sz w:val="17"/>
                <w:szCs w:val="17"/>
              </w:rPr>
              <w:t>Entidad</w:t>
            </w:r>
          </w:p>
        </w:tc>
        <w:tc>
          <w:tcPr>
            <w:tcW w:w="1457" w:type="dxa"/>
            <w:tcBorders>
              <w:bottom w:val="single" w:sz="4" w:space="0" w:color="auto"/>
            </w:tcBorders>
            <w:shd w:val="clear" w:color="auto" w:fill="9D2235"/>
            <w:vAlign w:val="center"/>
          </w:tcPr>
          <w:p w14:paraId="796850F0" w14:textId="77777777" w:rsidR="007D6A10" w:rsidRPr="005976FC" w:rsidRDefault="007D6A10" w:rsidP="007D6A10">
            <w:pPr>
              <w:rPr>
                <w:rFonts w:ascii="Arial" w:hAnsi="Arial" w:cs="Arial"/>
                <w:b/>
                <w:color w:val="FFFFFF"/>
                <w:sz w:val="17"/>
                <w:szCs w:val="17"/>
              </w:rPr>
            </w:pPr>
            <w:r w:rsidRPr="005976FC">
              <w:rPr>
                <w:rFonts w:ascii="Arial" w:hAnsi="Arial" w:cs="Arial"/>
                <w:b/>
                <w:color w:val="FFFFFF"/>
                <w:sz w:val="17"/>
                <w:szCs w:val="17"/>
              </w:rPr>
              <w:t>Actividad</w:t>
            </w:r>
          </w:p>
        </w:tc>
        <w:tc>
          <w:tcPr>
            <w:tcW w:w="2529" w:type="dxa"/>
            <w:tcBorders>
              <w:bottom w:val="single" w:sz="4" w:space="0" w:color="auto"/>
            </w:tcBorders>
            <w:shd w:val="clear" w:color="auto" w:fill="9D2235"/>
            <w:vAlign w:val="center"/>
          </w:tcPr>
          <w:p w14:paraId="31F5F99B" w14:textId="77777777" w:rsidR="007D6A10" w:rsidRPr="005976FC" w:rsidRDefault="007D6A10" w:rsidP="007D6A10">
            <w:pPr>
              <w:rPr>
                <w:rFonts w:ascii="Arial" w:hAnsi="Arial" w:cs="Arial"/>
                <w:b/>
                <w:color w:val="FFFFFF"/>
                <w:sz w:val="17"/>
                <w:szCs w:val="17"/>
              </w:rPr>
            </w:pPr>
            <w:r w:rsidRPr="005976FC">
              <w:rPr>
                <w:rFonts w:ascii="Arial" w:hAnsi="Arial" w:cs="Arial"/>
                <w:b/>
                <w:color w:val="FFFFFF"/>
                <w:sz w:val="17"/>
                <w:szCs w:val="17"/>
              </w:rPr>
              <w:t>Conferencia</w:t>
            </w:r>
          </w:p>
        </w:tc>
        <w:tc>
          <w:tcPr>
            <w:tcW w:w="795" w:type="dxa"/>
            <w:tcBorders>
              <w:bottom w:val="single" w:sz="4" w:space="0" w:color="auto"/>
            </w:tcBorders>
            <w:shd w:val="clear" w:color="auto" w:fill="9D2235"/>
            <w:vAlign w:val="center"/>
          </w:tcPr>
          <w:p w14:paraId="447570DF" w14:textId="77777777" w:rsidR="007D6A10" w:rsidRPr="005976FC" w:rsidRDefault="007D6A10" w:rsidP="007D6A10">
            <w:pPr>
              <w:jc w:val="center"/>
              <w:rPr>
                <w:rFonts w:ascii="Arial" w:hAnsi="Arial" w:cs="Arial"/>
                <w:b/>
                <w:color w:val="FFFFFF"/>
                <w:sz w:val="17"/>
                <w:szCs w:val="17"/>
              </w:rPr>
            </w:pPr>
            <w:r w:rsidRPr="005976FC">
              <w:rPr>
                <w:rFonts w:ascii="Arial" w:hAnsi="Arial" w:cs="Arial"/>
                <w:b/>
                <w:color w:val="FFFFFF"/>
                <w:sz w:val="17"/>
                <w:szCs w:val="17"/>
              </w:rPr>
              <w:t>Fecha</w:t>
            </w:r>
          </w:p>
        </w:tc>
        <w:tc>
          <w:tcPr>
            <w:tcW w:w="1461" w:type="dxa"/>
            <w:tcBorders>
              <w:bottom w:val="single" w:sz="4" w:space="0" w:color="auto"/>
            </w:tcBorders>
            <w:shd w:val="clear" w:color="auto" w:fill="9D2235"/>
            <w:vAlign w:val="center"/>
          </w:tcPr>
          <w:p w14:paraId="6877F260" w14:textId="48F10A4E" w:rsidR="007D6A10" w:rsidRPr="005976FC" w:rsidRDefault="007D6A10" w:rsidP="007D6A10">
            <w:pPr>
              <w:jc w:val="center"/>
              <w:rPr>
                <w:rFonts w:ascii="Arial" w:hAnsi="Arial" w:cs="Arial"/>
                <w:b/>
                <w:color w:val="FFFFFF"/>
                <w:sz w:val="17"/>
                <w:szCs w:val="17"/>
              </w:rPr>
            </w:pPr>
            <w:r w:rsidRPr="005976FC">
              <w:rPr>
                <w:rFonts w:ascii="Arial" w:hAnsi="Arial" w:cs="Arial"/>
                <w:b/>
                <w:color w:val="FFFFFF"/>
                <w:sz w:val="17"/>
                <w:szCs w:val="17"/>
              </w:rPr>
              <w:t>Participantes</w:t>
            </w:r>
          </w:p>
        </w:tc>
        <w:tc>
          <w:tcPr>
            <w:tcW w:w="783" w:type="dxa"/>
            <w:tcBorders>
              <w:bottom w:val="single" w:sz="4" w:space="0" w:color="auto"/>
            </w:tcBorders>
            <w:shd w:val="clear" w:color="auto" w:fill="9D2235"/>
            <w:vAlign w:val="center"/>
          </w:tcPr>
          <w:p w14:paraId="5C9A4522" w14:textId="77777777" w:rsidR="007D6A10" w:rsidRPr="005976FC" w:rsidRDefault="007D6A10" w:rsidP="007D6A10">
            <w:pPr>
              <w:jc w:val="center"/>
              <w:rPr>
                <w:rFonts w:ascii="Arial" w:hAnsi="Arial" w:cs="Arial"/>
                <w:b/>
                <w:color w:val="FFFFFF"/>
                <w:sz w:val="17"/>
                <w:szCs w:val="17"/>
              </w:rPr>
            </w:pPr>
            <w:r w:rsidRPr="005976FC">
              <w:rPr>
                <w:rFonts w:ascii="Arial" w:hAnsi="Arial" w:cs="Arial"/>
                <w:b/>
                <w:color w:val="FFFFFF"/>
                <w:sz w:val="17"/>
                <w:szCs w:val="17"/>
              </w:rPr>
              <w:t>Horas</w:t>
            </w:r>
          </w:p>
        </w:tc>
      </w:tr>
      <w:tr w:rsidR="007D6A10" w:rsidRPr="007D6A10" w14:paraId="7D9AF76E" w14:textId="77777777" w:rsidTr="00464D24">
        <w:trPr>
          <w:trHeight w:val="257"/>
        </w:trPr>
        <w:tc>
          <w:tcPr>
            <w:tcW w:w="1495" w:type="dxa"/>
            <w:shd w:val="clear" w:color="auto" w:fill="auto"/>
            <w:vAlign w:val="center"/>
          </w:tcPr>
          <w:p w14:paraId="32A6FD2B" w14:textId="77777777" w:rsidR="007D6A10" w:rsidRPr="005976FC" w:rsidRDefault="007D6A10" w:rsidP="007D6A10">
            <w:pPr>
              <w:rPr>
                <w:rFonts w:ascii="Arial" w:hAnsi="Arial" w:cs="Arial"/>
                <w:sz w:val="17"/>
                <w:szCs w:val="17"/>
              </w:rPr>
            </w:pPr>
            <w:r w:rsidRPr="005976FC">
              <w:rPr>
                <w:rFonts w:ascii="Arial" w:hAnsi="Arial" w:cs="Arial"/>
                <w:sz w:val="17"/>
                <w:szCs w:val="17"/>
              </w:rPr>
              <w:t>Universidad CEU Cardenal Herrera</w:t>
            </w:r>
          </w:p>
        </w:tc>
        <w:tc>
          <w:tcPr>
            <w:tcW w:w="1457" w:type="dxa"/>
            <w:shd w:val="clear" w:color="auto" w:fill="auto"/>
            <w:vAlign w:val="center"/>
          </w:tcPr>
          <w:p w14:paraId="4B4B277F" w14:textId="77777777" w:rsidR="007D6A10" w:rsidRPr="005976FC" w:rsidRDefault="007D6A10" w:rsidP="007D6A10">
            <w:pPr>
              <w:rPr>
                <w:rFonts w:ascii="Arial" w:hAnsi="Arial" w:cs="Arial"/>
                <w:sz w:val="17"/>
                <w:szCs w:val="17"/>
              </w:rPr>
            </w:pPr>
            <w:r w:rsidRPr="005976FC">
              <w:rPr>
                <w:rFonts w:ascii="Arial" w:hAnsi="Arial" w:cs="Arial"/>
                <w:sz w:val="17"/>
                <w:szCs w:val="17"/>
              </w:rPr>
              <w:t>Políticas para los ODS: objetivo 16.6</w:t>
            </w:r>
          </w:p>
        </w:tc>
        <w:tc>
          <w:tcPr>
            <w:tcW w:w="2529" w:type="dxa"/>
            <w:shd w:val="clear" w:color="auto" w:fill="auto"/>
            <w:vAlign w:val="center"/>
          </w:tcPr>
          <w:p w14:paraId="1D371AEA" w14:textId="77777777" w:rsidR="007D6A10" w:rsidRPr="005976FC" w:rsidRDefault="007D6A10" w:rsidP="007D6A10">
            <w:pPr>
              <w:jc w:val="both"/>
              <w:rPr>
                <w:rFonts w:ascii="Arial" w:hAnsi="Arial" w:cs="Arial"/>
                <w:sz w:val="17"/>
                <w:szCs w:val="17"/>
              </w:rPr>
            </w:pPr>
            <w:r w:rsidRPr="005976FC">
              <w:rPr>
                <w:rFonts w:ascii="Arial" w:hAnsi="Arial" w:cs="Arial"/>
                <w:sz w:val="17"/>
                <w:szCs w:val="17"/>
              </w:rPr>
              <w:t>Órganos de control</w:t>
            </w:r>
          </w:p>
        </w:tc>
        <w:tc>
          <w:tcPr>
            <w:tcW w:w="795" w:type="dxa"/>
            <w:shd w:val="clear" w:color="auto" w:fill="auto"/>
            <w:vAlign w:val="center"/>
          </w:tcPr>
          <w:p w14:paraId="66104C6F" w14:textId="77777777" w:rsidR="007D6A10" w:rsidRPr="005976FC" w:rsidRDefault="007D6A10" w:rsidP="007D6A10">
            <w:pPr>
              <w:rPr>
                <w:rFonts w:ascii="Arial" w:hAnsi="Arial" w:cs="Arial"/>
                <w:sz w:val="17"/>
                <w:szCs w:val="17"/>
              </w:rPr>
            </w:pPr>
            <w:r w:rsidRPr="005976FC">
              <w:rPr>
                <w:rFonts w:ascii="Arial" w:hAnsi="Arial" w:cs="Arial"/>
                <w:sz w:val="17"/>
                <w:szCs w:val="17"/>
              </w:rPr>
              <w:t>4-mar</w:t>
            </w:r>
          </w:p>
        </w:tc>
        <w:tc>
          <w:tcPr>
            <w:tcW w:w="1461" w:type="dxa"/>
            <w:shd w:val="clear" w:color="auto" w:fill="auto"/>
            <w:vAlign w:val="center"/>
          </w:tcPr>
          <w:p w14:paraId="1A513ED4"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42</w:t>
            </w:r>
          </w:p>
        </w:tc>
        <w:tc>
          <w:tcPr>
            <w:tcW w:w="783" w:type="dxa"/>
            <w:shd w:val="clear" w:color="auto" w:fill="auto"/>
            <w:vAlign w:val="center"/>
          </w:tcPr>
          <w:p w14:paraId="39E41233"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w:t>
            </w:r>
          </w:p>
        </w:tc>
      </w:tr>
      <w:tr w:rsidR="007D6A10" w:rsidRPr="007D6A10" w14:paraId="7866367E" w14:textId="77777777" w:rsidTr="00464D24">
        <w:trPr>
          <w:trHeight w:val="257"/>
        </w:trPr>
        <w:tc>
          <w:tcPr>
            <w:tcW w:w="1495" w:type="dxa"/>
            <w:shd w:val="clear" w:color="auto" w:fill="auto"/>
            <w:vAlign w:val="center"/>
          </w:tcPr>
          <w:p w14:paraId="3D132D0C" w14:textId="77777777" w:rsidR="007D6A10" w:rsidRPr="005976FC" w:rsidRDefault="007D6A10" w:rsidP="007D6A10">
            <w:pPr>
              <w:rPr>
                <w:rFonts w:ascii="Arial" w:hAnsi="Arial" w:cs="Arial"/>
                <w:sz w:val="17"/>
                <w:szCs w:val="17"/>
              </w:rPr>
            </w:pPr>
            <w:r w:rsidRPr="005976FC">
              <w:rPr>
                <w:rFonts w:ascii="Arial" w:hAnsi="Arial" w:cs="Arial"/>
                <w:sz w:val="17"/>
                <w:szCs w:val="17"/>
              </w:rPr>
              <w:t>Universidad Jaume I</w:t>
            </w:r>
          </w:p>
        </w:tc>
        <w:tc>
          <w:tcPr>
            <w:tcW w:w="1457" w:type="dxa"/>
            <w:shd w:val="clear" w:color="auto" w:fill="auto"/>
            <w:vAlign w:val="center"/>
          </w:tcPr>
          <w:p w14:paraId="23B40964" w14:textId="77777777" w:rsidR="007D6A10" w:rsidRPr="005976FC" w:rsidRDefault="007D6A10" w:rsidP="007D6A10">
            <w:pPr>
              <w:rPr>
                <w:rFonts w:ascii="Arial" w:hAnsi="Arial" w:cs="Arial"/>
                <w:sz w:val="17"/>
                <w:szCs w:val="17"/>
              </w:rPr>
            </w:pPr>
            <w:r w:rsidRPr="005976FC">
              <w:rPr>
                <w:rFonts w:ascii="Arial" w:hAnsi="Arial" w:cs="Arial"/>
                <w:sz w:val="17"/>
                <w:szCs w:val="17"/>
              </w:rPr>
              <w:t>Workshop, conferencia inaugural</w:t>
            </w:r>
          </w:p>
        </w:tc>
        <w:tc>
          <w:tcPr>
            <w:tcW w:w="2529" w:type="dxa"/>
            <w:shd w:val="clear" w:color="auto" w:fill="auto"/>
            <w:vAlign w:val="center"/>
          </w:tcPr>
          <w:p w14:paraId="4CD9079C" w14:textId="77777777" w:rsidR="007D6A10" w:rsidRPr="005976FC" w:rsidRDefault="007D6A10" w:rsidP="007D6A10">
            <w:pPr>
              <w:jc w:val="both"/>
              <w:rPr>
                <w:rFonts w:ascii="Arial" w:hAnsi="Arial" w:cs="Arial"/>
                <w:sz w:val="17"/>
                <w:szCs w:val="17"/>
              </w:rPr>
            </w:pPr>
            <w:r w:rsidRPr="005976FC">
              <w:rPr>
                <w:rFonts w:ascii="Arial" w:hAnsi="Arial" w:cs="Arial"/>
                <w:sz w:val="17"/>
                <w:szCs w:val="17"/>
              </w:rPr>
              <w:t>El papel de las agencias antifraude en la lucha contra la corrupción por la integridad pública</w:t>
            </w:r>
          </w:p>
        </w:tc>
        <w:tc>
          <w:tcPr>
            <w:tcW w:w="795" w:type="dxa"/>
            <w:shd w:val="clear" w:color="auto" w:fill="auto"/>
            <w:vAlign w:val="center"/>
          </w:tcPr>
          <w:p w14:paraId="3D05D40C"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28-oct</w:t>
            </w:r>
          </w:p>
        </w:tc>
        <w:tc>
          <w:tcPr>
            <w:tcW w:w="1461" w:type="dxa"/>
            <w:shd w:val="clear" w:color="auto" w:fill="auto"/>
            <w:vAlign w:val="center"/>
          </w:tcPr>
          <w:p w14:paraId="23A4AB2D"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15</w:t>
            </w:r>
          </w:p>
        </w:tc>
        <w:tc>
          <w:tcPr>
            <w:tcW w:w="783" w:type="dxa"/>
            <w:shd w:val="clear" w:color="auto" w:fill="auto"/>
            <w:vAlign w:val="center"/>
          </w:tcPr>
          <w:p w14:paraId="7F479684"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1</w:t>
            </w:r>
          </w:p>
        </w:tc>
      </w:tr>
      <w:tr w:rsidR="007D6A10" w:rsidRPr="007D6A10" w14:paraId="319CE745" w14:textId="77777777" w:rsidTr="00464D24">
        <w:trPr>
          <w:trHeight w:val="243"/>
        </w:trPr>
        <w:tc>
          <w:tcPr>
            <w:tcW w:w="1495" w:type="dxa"/>
            <w:vAlign w:val="center"/>
          </w:tcPr>
          <w:p w14:paraId="04457963" w14:textId="77777777" w:rsidR="007D6A10" w:rsidRPr="005976FC" w:rsidRDefault="007D6A10" w:rsidP="007D6A10">
            <w:pPr>
              <w:rPr>
                <w:rFonts w:ascii="Arial" w:hAnsi="Arial" w:cs="Arial"/>
                <w:sz w:val="17"/>
                <w:szCs w:val="17"/>
              </w:rPr>
            </w:pPr>
            <w:r w:rsidRPr="005976FC">
              <w:rPr>
                <w:rFonts w:ascii="Arial" w:hAnsi="Arial" w:cs="Arial"/>
                <w:sz w:val="17"/>
                <w:szCs w:val="17"/>
              </w:rPr>
              <w:t>Observatorio de Transparencia y Buen Gobierno de la UJI</w:t>
            </w:r>
          </w:p>
        </w:tc>
        <w:tc>
          <w:tcPr>
            <w:tcW w:w="1457" w:type="dxa"/>
            <w:vAlign w:val="center"/>
          </w:tcPr>
          <w:p w14:paraId="784E76F2" w14:textId="77777777" w:rsidR="007D6A10" w:rsidRPr="005976FC" w:rsidRDefault="007D6A10" w:rsidP="007D6A10">
            <w:pPr>
              <w:rPr>
                <w:rFonts w:ascii="Arial" w:hAnsi="Arial" w:cs="Arial"/>
                <w:sz w:val="17"/>
                <w:szCs w:val="17"/>
              </w:rPr>
            </w:pPr>
            <w:r w:rsidRPr="005976FC">
              <w:rPr>
                <w:rFonts w:ascii="Arial" w:hAnsi="Arial" w:cs="Arial"/>
                <w:sz w:val="17"/>
                <w:szCs w:val="17"/>
              </w:rPr>
              <w:t>Jornada</w:t>
            </w:r>
          </w:p>
        </w:tc>
        <w:tc>
          <w:tcPr>
            <w:tcW w:w="2529" w:type="dxa"/>
            <w:vAlign w:val="center"/>
          </w:tcPr>
          <w:p w14:paraId="753613A7" w14:textId="77777777" w:rsidR="007D6A10" w:rsidRPr="005976FC" w:rsidRDefault="007D6A10" w:rsidP="007D6A10">
            <w:pPr>
              <w:jc w:val="both"/>
              <w:rPr>
                <w:rFonts w:ascii="Arial" w:hAnsi="Arial" w:cs="Arial"/>
                <w:sz w:val="17"/>
                <w:szCs w:val="17"/>
              </w:rPr>
            </w:pPr>
            <w:r w:rsidRPr="005976FC">
              <w:rPr>
                <w:rFonts w:ascii="Arial" w:hAnsi="Arial" w:cs="Arial"/>
                <w:sz w:val="17"/>
                <w:szCs w:val="17"/>
              </w:rPr>
              <w:t>Buen gobierno en la función pública local</w:t>
            </w:r>
          </w:p>
        </w:tc>
        <w:tc>
          <w:tcPr>
            <w:tcW w:w="795" w:type="dxa"/>
            <w:vAlign w:val="center"/>
          </w:tcPr>
          <w:p w14:paraId="369CE3AE"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3-nov</w:t>
            </w:r>
          </w:p>
        </w:tc>
        <w:tc>
          <w:tcPr>
            <w:tcW w:w="1461" w:type="dxa"/>
            <w:vAlign w:val="center"/>
          </w:tcPr>
          <w:p w14:paraId="3BD76759"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51</w:t>
            </w:r>
          </w:p>
        </w:tc>
        <w:tc>
          <w:tcPr>
            <w:tcW w:w="783" w:type="dxa"/>
            <w:vAlign w:val="center"/>
          </w:tcPr>
          <w:p w14:paraId="51A492B4"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4</w:t>
            </w:r>
          </w:p>
        </w:tc>
      </w:tr>
      <w:tr w:rsidR="007D6A10" w:rsidRPr="007D6A10" w14:paraId="037B4430" w14:textId="77777777" w:rsidTr="007D6A10">
        <w:trPr>
          <w:trHeight w:val="243"/>
        </w:trPr>
        <w:tc>
          <w:tcPr>
            <w:tcW w:w="6276" w:type="dxa"/>
            <w:gridSpan w:val="4"/>
            <w:shd w:val="clear" w:color="auto" w:fill="D9D9D9"/>
            <w:vAlign w:val="center"/>
          </w:tcPr>
          <w:p w14:paraId="6B6120C6" w14:textId="77777777" w:rsidR="007D6A10" w:rsidRPr="005976FC" w:rsidRDefault="007D6A10" w:rsidP="007D6A10">
            <w:pPr>
              <w:jc w:val="right"/>
              <w:rPr>
                <w:rFonts w:ascii="Arial" w:hAnsi="Arial" w:cs="Arial"/>
                <w:b/>
                <w:sz w:val="17"/>
                <w:szCs w:val="17"/>
              </w:rPr>
            </w:pPr>
            <w:r w:rsidRPr="005976FC">
              <w:rPr>
                <w:rFonts w:ascii="Arial" w:hAnsi="Arial" w:cs="Arial"/>
                <w:b/>
                <w:sz w:val="17"/>
                <w:szCs w:val="17"/>
              </w:rPr>
              <w:t xml:space="preserve">Totales conferencias </w:t>
            </w:r>
          </w:p>
        </w:tc>
        <w:tc>
          <w:tcPr>
            <w:tcW w:w="1461" w:type="dxa"/>
            <w:shd w:val="clear" w:color="auto" w:fill="D9D9D9"/>
            <w:vAlign w:val="center"/>
          </w:tcPr>
          <w:p w14:paraId="08333C8D" w14:textId="53D7F872" w:rsidR="007D6A10" w:rsidRPr="005976FC" w:rsidRDefault="007D6A10" w:rsidP="007D6A10">
            <w:pPr>
              <w:jc w:val="center"/>
              <w:rPr>
                <w:rFonts w:ascii="Arial" w:hAnsi="Arial" w:cs="Arial"/>
                <w:b/>
                <w:sz w:val="17"/>
                <w:szCs w:val="17"/>
              </w:rPr>
            </w:pPr>
            <w:r w:rsidRPr="005976FC">
              <w:rPr>
                <w:rFonts w:ascii="Arial" w:hAnsi="Arial" w:cs="Arial"/>
                <w:b/>
                <w:sz w:val="17"/>
                <w:szCs w:val="17"/>
              </w:rPr>
              <w:t>108</w:t>
            </w:r>
          </w:p>
        </w:tc>
        <w:tc>
          <w:tcPr>
            <w:tcW w:w="783" w:type="dxa"/>
            <w:shd w:val="clear" w:color="auto" w:fill="D9D9D9"/>
            <w:vAlign w:val="center"/>
          </w:tcPr>
          <w:p w14:paraId="30A6A100" w14:textId="393C2804" w:rsidR="007D6A10" w:rsidRPr="005976FC" w:rsidRDefault="007D6A10" w:rsidP="007D6A10">
            <w:pPr>
              <w:jc w:val="center"/>
              <w:rPr>
                <w:rFonts w:ascii="Arial" w:hAnsi="Arial" w:cs="Arial"/>
                <w:b/>
                <w:sz w:val="17"/>
                <w:szCs w:val="17"/>
              </w:rPr>
            </w:pPr>
            <w:r w:rsidRPr="005976FC">
              <w:rPr>
                <w:rFonts w:ascii="Arial" w:hAnsi="Arial" w:cs="Arial"/>
                <w:b/>
                <w:sz w:val="17"/>
                <w:szCs w:val="17"/>
              </w:rPr>
              <w:t>7</w:t>
            </w:r>
          </w:p>
        </w:tc>
      </w:tr>
    </w:tbl>
    <w:p w14:paraId="09E2BF91" w14:textId="77777777" w:rsidR="007D6A10" w:rsidRPr="0081074F" w:rsidRDefault="007D6A10" w:rsidP="0081074F">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4"/>
          <w:szCs w:val="24"/>
          <w:lang w:eastAsia="es-ES"/>
        </w:rPr>
      </w:pPr>
      <w:r w:rsidRPr="0081074F">
        <w:rPr>
          <w:rFonts w:ascii="Arial" w:eastAsia="Times New Roman" w:hAnsi="Arial" w:cs="Arial"/>
          <w:b/>
          <w:bCs/>
          <w:color w:val="9D2235" w:themeColor="accent1"/>
          <w:sz w:val="24"/>
          <w:szCs w:val="24"/>
          <w:lang w:eastAsia="es-ES"/>
        </w:rPr>
        <w:t>Unisocietat</w:t>
      </w:r>
    </w:p>
    <w:p w14:paraId="07C5E806" w14:textId="77777777" w:rsidR="00F85300" w:rsidRPr="00F85300" w:rsidRDefault="00F85300" w:rsidP="00F85300">
      <w:pPr>
        <w:spacing w:after="240" w:line="276" w:lineRule="auto"/>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 xml:space="preserve">En junio de 2020, la Agencia Valenciana Antifraude y la Universidad de València, formalizaron un convenio específico de colaboración para desarrollar el proyecto </w:t>
      </w:r>
      <w:r w:rsidRPr="00274AE4">
        <w:rPr>
          <w:rFonts w:ascii="Arial" w:eastAsia="Times New Roman" w:hAnsi="Arial" w:cs="Arial"/>
          <w:i/>
          <w:iCs/>
          <w:sz w:val="21"/>
          <w:szCs w:val="21"/>
          <w:lang w:eastAsia="es-ES"/>
        </w:rPr>
        <w:t>Actividades formativas para el buen gobierno y la ciudadanía en el territorio valenciano</w:t>
      </w:r>
      <w:r w:rsidRPr="00F85300">
        <w:rPr>
          <w:rFonts w:ascii="Arial" w:eastAsia="Times New Roman" w:hAnsi="Arial" w:cs="Arial"/>
          <w:sz w:val="21"/>
          <w:szCs w:val="21"/>
          <w:lang w:eastAsia="es-ES"/>
        </w:rPr>
        <w:t>.</w:t>
      </w:r>
    </w:p>
    <w:p w14:paraId="4E62D1C5" w14:textId="77777777" w:rsidR="00F85300" w:rsidRPr="00F85300" w:rsidRDefault="00F85300" w:rsidP="00F85300">
      <w:pPr>
        <w:spacing w:after="240" w:line="276" w:lineRule="auto"/>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En el marco de dicho convenio se desarrollan 3 tipos de actividades: las conferencias para la ciudadanía del programa Unisocietat, las Jornadas específicas AVAF-UV y la producción de audiovisuales por el Taller de Audiovisuales de la Universidad (TAU).</w:t>
      </w:r>
    </w:p>
    <w:p w14:paraId="4016571F" w14:textId="3FF39EB8" w:rsidR="00F85300" w:rsidRPr="00F85300" w:rsidRDefault="00F85300" w:rsidP="00F85300">
      <w:pPr>
        <w:spacing w:after="240" w:line="276" w:lineRule="auto"/>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 xml:space="preserve">En concreto, la Agencia ha participado y promovido las siguientes actividades del programa Unisocietat, desarrolladas en 12 municipios de la provincia de València </w:t>
      </w:r>
      <w:r w:rsidRPr="003416AE">
        <w:rPr>
          <w:rFonts w:ascii="Arial" w:eastAsia="Times New Roman" w:hAnsi="Arial" w:cs="Arial"/>
          <w:sz w:val="21"/>
          <w:szCs w:val="21"/>
          <w:lang w:eastAsia="es-ES"/>
        </w:rPr>
        <w:t xml:space="preserve">(Tabla </w:t>
      </w:r>
      <w:r w:rsidR="005976FC" w:rsidRPr="003416AE">
        <w:rPr>
          <w:rFonts w:ascii="Arial" w:eastAsia="Times New Roman" w:hAnsi="Arial" w:cs="Arial"/>
          <w:sz w:val="21"/>
          <w:szCs w:val="21"/>
          <w:lang w:eastAsia="es-ES"/>
        </w:rPr>
        <w:t>2</w:t>
      </w:r>
      <w:r w:rsidR="000E5FE5" w:rsidRPr="003416AE">
        <w:rPr>
          <w:rFonts w:ascii="Arial" w:eastAsia="Times New Roman" w:hAnsi="Arial" w:cs="Arial"/>
          <w:sz w:val="21"/>
          <w:szCs w:val="21"/>
          <w:lang w:eastAsia="es-ES"/>
        </w:rPr>
        <w:t>7</w:t>
      </w:r>
      <w:r w:rsidRPr="003416AE">
        <w:rPr>
          <w:rFonts w:ascii="Arial" w:eastAsia="Times New Roman" w:hAnsi="Arial" w:cs="Arial"/>
          <w:sz w:val="21"/>
          <w:szCs w:val="21"/>
          <w:lang w:eastAsia="es-ES"/>
        </w:rPr>
        <w:t>).</w:t>
      </w:r>
    </w:p>
    <w:p w14:paraId="29881897" w14:textId="29B859B1" w:rsidR="007D6A10" w:rsidRPr="007D6A10" w:rsidRDefault="007D6A10" w:rsidP="007D6A10">
      <w:pPr>
        <w:pStyle w:val="Descripcin"/>
        <w:keepNext/>
        <w:spacing w:after="80"/>
        <w:rPr>
          <w:rFonts w:ascii="Arial" w:hAnsi="Arial" w:cs="Arial"/>
          <w:smallCaps w:val="0"/>
          <w:sz w:val="18"/>
          <w:szCs w:val="18"/>
        </w:rPr>
      </w:pPr>
      <w:bookmarkStart w:id="469" w:name="_Toc99107165"/>
      <w:r w:rsidRPr="007D6A10">
        <w:rPr>
          <w:rFonts w:ascii="Arial" w:hAnsi="Arial" w:cs="Arial"/>
          <w:smallCaps w:val="0"/>
          <w:color w:val="9D2235" w:themeColor="accent1"/>
          <w:sz w:val="18"/>
          <w:szCs w:val="18"/>
        </w:rPr>
        <w:t xml:space="preserve">Tabla </w:t>
      </w:r>
      <w:r w:rsidRPr="007D6A10">
        <w:rPr>
          <w:rFonts w:ascii="Arial" w:hAnsi="Arial" w:cs="Arial"/>
          <w:smallCaps w:val="0"/>
          <w:color w:val="9D2235" w:themeColor="accent1"/>
          <w:sz w:val="18"/>
          <w:szCs w:val="18"/>
        </w:rPr>
        <w:fldChar w:fldCharType="begin" w:fldLock="1"/>
      </w:r>
      <w:r w:rsidRPr="007D6A10">
        <w:rPr>
          <w:rFonts w:ascii="Arial" w:hAnsi="Arial" w:cs="Arial"/>
          <w:smallCaps w:val="0"/>
          <w:color w:val="9D2235" w:themeColor="accent1"/>
          <w:sz w:val="18"/>
          <w:szCs w:val="18"/>
        </w:rPr>
        <w:instrText xml:space="preserve"> SEQ Tabla \* ARABIC </w:instrText>
      </w:r>
      <w:r w:rsidRPr="007D6A10">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27</w:t>
      </w:r>
      <w:r w:rsidRPr="007D6A10">
        <w:rPr>
          <w:rFonts w:ascii="Arial" w:hAnsi="Arial" w:cs="Arial"/>
          <w:smallCaps w:val="0"/>
          <w:color w:val="9D2235" w:themeColor="accent1"/>
          <w:sz w:val="18"/>
          <w:szCs w:val="18"/>
        </w:rPr>
        <w:fldChar w:fldCharType="end"/>
      </w:r>
      <w:r w:rsidRPr="007D6A10">
        <w:rPr>
          <w:rFonts w:ascii="Arial" w:hAnsi="Arial" w:cs="Arial"/>
          <w:smallCaps w:val="0"/>
          <w:sz w:val="18"/>
          <w:szCs w:val="18"/>
        </w:rPr>
        <w:t>. Conferencias para la ciudadanía en el programa Unisocietat</w:t>
      </w:r>
      <w:bookmarkEnd w:id="469"/>
    </w:p>
    <w:tbl>
      <w:tblPr>
        <w:tblStyle w:val="Tablaconcuadrcula9"/>
        <w:tblW w:w="862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1555"/>
        <w:gridCol w:w="3850"/>
        <w:gridCol w:w="827"/>
        <w:gridCol w:w="1134"/>
        <w:gridCol w:w="1256"/>
      </w:tblGrid>
      <w:tr w:rsidR="007D6A10" w:rsidRPr="007D6A10" w14:paraId="6737DC94" w14:textId="77777777" w:rsidTr="005976FC">
        <w:trPr>
          <w:trHeight w:val="405"/>
        </w:trPr>
        <w:tc>
          <w:tcPr>
            <w:tcW w:w="1555" w:type="dxa"/>
            <w:shd w:val="clear" w:color="auto" w:fill="9D2235"/>
            <w:vAlign w:val="center"/>
          </w:tcPr>
          <w:p w14:paraId="6DA05CA6" w14:textId="77777777" w:rsidR="007D6A10" w:rsidRPr="005976FC" w:rsidRDefault="007D6A10" w:rsidP="007D6A10">
            <w:pPr>
              <w:rPr>
                <w:rFonts w:ascii="Arial" w:eastAsia="Times New Roman" w:hAnsi="Arial" w:cs="Arial"/>
                <w:b/>
                <w:bCs/>
                <w:color w:val="FFFFFF"/>
                <w:sz w:val="17"/>
                <w:szCs w:val="17"/>
                <w:lang w:eastAsia="es-ES"/>
              </w:rPr>
            </w:pPr>
            <w:r w:rsidRPr="005976FC">
              <w:rPr>
                <w:rFonts w:ascii="Arial" w:eastAsia="Times New Roman" w:hAnsi="Arial" w:cs="Arial"/>
                <w:b/>
                <w:bCs/>
                <w:color w:val="FFFFFF"/>
                <w:sz w:val="17"/>
                <w:szCs w:val="17"/>
                <w:lang w:eastAsia="es-ES"/>
              </w:rPr>
              <w:t>Localidad</w:t>
            </w:r>
          </w:p>
        </w:tc>
        <w:tc>
          <w:tcPr>
            <w:tcW w:w="3850" w:type="dxa"/>
            <w:shd w:val="clear" w:color="auto" w:fill="9D2235"/>
            <w:vAlign w:val="center"/>
          </w:tcPr>
          <w:p w14:paraId="3C0F2FCF" w14:textId="77777777" w:rsidR="007D6A10" w:rsidRPr="005976FC" w:rsidRDefault="007D6A10" w:rsidP="007D6A10">
            <w:pPr>
              <w:rPr>
                <w:rFonts w:ascii="Arial" w:eastAsia="Times New Roman" w:hAnsi="Arial" w:cs="Arial"/>
                <w:b/>
                <w:bCs/>
                <w:color w:val="FFFFFF"/>
                <w:sz w:val="17"/>
                <w:szCs w:val="17"/>
                <w:lang w:eastAsia="es-ES"/>
              </w:rPr>
            </w:pPr>
            <w:r w:rsidRPr="005976FC">
              <w:rPr>
                <w:rFonts w:ascii="Arial" w:eastAsia="Times New Roman" w:hAnsi="Arial" w:cs="Arial"/>
                <w:b/>
                <w:bCs/>
                <w:color w:val="FFFFFF"/>
                <w:sz w:val="17"/>
                <w:szCs w:val="17"/>
                <w:lang w:eastAsia="es-ES"/>
              </w:rPr>
              <w:t>Ponencia</w:t>
            </w:r>
          </w:p>
        </w:tc>
        <w:tc>
          <w:tcPr>
            <w:tcW w:w="827" w:type="dxa"/>
            <w:shd w:val="clear" w:color="auto" w:fill="9D2235"/>
            <w:vAlign w:val="center"/>
          </w:tcPr>
          <w:p w14:paraId="2DA9FA6F" w14:textId="77777777" w:rsidR="007D6A10" w:rsidRPr="005976FC" w:rsidRDefault="007D6A10" w:rsidP="007D6A10">
            <w:pPr>
              <w:rPr>
                <w:rFonts w:ascii="Arial" w:eastAsia="Times New Roman" w:hAnsi="Arial" w:cs="Arial"/>
                <w:b/>
                <w:bCs/>
                <w:color w:val="FFFFFF"/>
                <w:sz w:val="17"/>
                <w:szCs w:val="17"/>
                <w:lang w:eastAsia="es-ES"/>
              </w:rPr>
            </w:pPr>
            <w:r w:rsidRPr="005976FC">
              <w:rPr>
                <w:rFonts w:ascii="Arial" w:eastAsia="Times New Roman" w:hAnsi="Arial" w:cs="Arial"/>
                <w:b/>
                <w:bCs/>
                <w:color w:val="FFFFFF"/>
                <w:sz w:val="17"/>
                <w:szCs w:val="17"/>
                <w:lang w:eastAsia="es-ES"/>
              </w:rPr>
              <w:t>Fecha</w:t>
            </w:r>
          </w:p>
        </w:tc>
        <w:tc>
          <w:tcPr>
            <w:tcW w:w="1134" w:type="dxa"/>
            <w:shd w:val="clear" w:color="auto" w:fill="9D2235"/>
            <w:vAlign w:val="center"/>
          </w:tcPr>
          <w:p w14:paraId="6CF92CD1" w14:textId="77777777" w:rsidR="007D6A10" w:rsidRPr="005976FC" w:rsidRDefault="007D6A10" w:rsidP="007D6A10">
            <w:pPr>
              <w:rPr>
                <w:rFonts w:ascii="Arial" w:eastAsia="Times New Roman" w:hAnsi="Arial" w:cs="Arial"/>
                <w:b/>
                <w:bCs/>
                <w:color w:val="FFFFFF"/>
                <w:sz w:val="17"/>
                <w:szCs w:val="17"/>
                <w:lang w:eastAsia="es-ES"/>
              </w:rPr>
            </w:pPr>
            <w:r w:rsidRPr="005976FC">
              <w:rPr>
                <w:rFonts w:ascii="Arial" w:eastAsia="Times New Roman" w:hAnsi="Arial" w:cs="Arial"/>
                <w:b/>
                <w:bCs/>
                <w:color w:val="FFFFFF"/>
                <w:sz w:val="17"/>
                <w:szCs w:val="17"/>
                <w:lang w:eastAsia="es-ES"/>
              </w:rPr>
              <w:t>Duración</w:t>
            </w:r>
          </w:p>
        </w:tc>
        <w:tc>
          <w:tcPr>
            <w:tcW w:w="1256" w:type="dxa"/>
            <w:shd w:val="clear" w:color="auto" w:fill="9D2235"/>
            <w:vAlign w:val="center"/>
          </w:tcPr>
          <w:p w14:paraId="2E394C7B" w14:textId="77777777" w:rsidR="007D6A10" w:rsidRPr="005976FC" w:rsidRDefault="007D6A10" w:rsidP="007D6A10">
            <w:pPr>
              <w:rPr>
                <w:rFonts w:ascii="Arial" w:eastAsia="Times New Roman" w:hAnsi="Arial" w:cs="Arial"/>
                <w:b/>
                <w:bCs/>
                <w:color w:val="FFFFFF"/>
                <w:sz w:val="17"/>
                <w:szCs w:val="17"/>
                <w:lang w:eastAsia="es-ES"/>
              </w:rPr>
            </w:pPr>
            <w:r w:rsidRPr="005976FC">
              <w:rPr>
                <w:rFonts w:ascii="Arial" w:eastAsia="Times New Roman" w:hAnsi="Arial" w:cs="Arial"/>
                <w:b/>
                <w:bCs/>
                <w:color w:val="FFFFFF"/>
                <w:sz w:val="17"/>
                <w:szCs w:val="17"/>
                <w:lang w:eastAsia="es-ES"/>
              </w:rPr>
              <w:t>Asistentes</w:t>
            </w:r>
          </w:p>
        </w:tc>
      </w:tr>
      <w:tr w:rsidR="007D6A10" w:rsidRPr="007D6A10" w14:paraId="358DAC8D" w14:textId="77777777" w:rsidTr="005976FC">
        <w:trPr>
          <w:trHeight w:val="676"/>
        </w:trPr>
        <w:tc>
          <w:tcPr>
            <w:tcW w:w="1555" w:type="dxa"/>
            <w:vAlign w:val="center"/>
          </w:tcPr>
          <w:p w14:paraId="6516080F" w14:textId="77777777" w:rsidR="007D6A10" w:rsidRPr="005976FC" w:rsidRDefault="007D6A10" w:rsidP="007D6A10">
            <w:pPr>
              <w:rPr>
                <w:rFonts w:ascii="Arial" w:hAnsi="Arial" w:cs="Arial"/>
                <w:sz w:val="17"/>
                <w:szCs w:val="17"/>
              </w:rPr>
            </w:pPr>
            <w:r w:rsidRPr="005976FC">
              <w:rPr>
                <w:rFonts w:ascii="Arial" w:hAnsi="Arial" w:cs="Arial"/>
                <w:sz w:val="17"/>
                <w:szCs w:val="17"/>
              </w:rPr>
              <w:t>Riba-roja de Turia</w:t>
            </w:r>
          </w:p>
        </w:tc>
        <w:tc>
          <w:tcPr>
            <w:tcW w:w="3850" w:type="dxa"/>
            <w:vAlign w:val="center"/>
          </w:tcPr>
          <w:p w14:paraId="49A62CB9" w14:textId="0396773A" w:rsidR="007D6A10" w:rsidRPr="005976FC" w:rsidRDefault="007D6A10" w:rsidP="007D6A10">
            <w:pPr>
              <w:rPr>
                <w:rFonts w:ascii="Arial" w:hAnsi="Arial" w:cs="Arial"/>
                <w:sz w:val="17"/>
                <w:szCs w:val="17"/>
              </w:rPr>
            </w:pPr>
            <w:r w:rsidRPr="005976FC">
              <w:rPr>
                <w:rFonts w:ascii="Arial" w:hAnsi="Arial" w:cs="Arial"/>
                <w:sz w:val="17"/>
                <w:szCs w:val="17"/>
              </w:rPr>
              <w:t>¿Tiene o no límites la libertad de expresión? (En línea)</w:t>
            </w:r>
          </w:p>
        </w:tc>
        <w:tc>
          <w:tcPr>
            <w:tcW w:w="827" w:type="dxa"/>
            <w:vAlign w:val="center"/>
          </w:tcPr>
          <w:p w14:paraId="070E9CFD"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19-feb</w:t>
            </w:r>
          </w:p>
        </w:tc>
        <w:tc>
          <w:tcPr>
            <w:tcW w:w="1134" w:type="dxa"/>
            <w:vAlign w:val="center"/>
          </w:tcPr>
          <w:p w14:paraId="56A938FA"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 horas</w:t>
            </w:r>
          </w:p>
        </w:tc>
        <w:tc>
          <w:tcPr>
            <w:tcW w:w="1256" w:type="dxa"/>
            <w:vAlign w:val="center"/>
          </w:tcPr>
          <w:p w14:paraId="34FBA8F6"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150</w:t>
            </w:r>
          </w:p>
        </w:tc>
      </w:tr>
      <w:tr w:rsidR="007D6A10" w:rsidRPr="007D6A10" w14:paraId="5BA927B9" w14:textId="77777777" w:rsidTr="005976FC">
        <w:trPr>
          <w:trHeight w:val="689"/>
        </w:trPr>
        <w:tc>
          <w:tcPr>
            <w:tcW w:w="1555" w:type="dxa"/>
            <w:vAlign w:val="center"/>
          </w:tcPr>
          <w:p w14:paraId="17216621" w14:textId="77777777" w:rsidR="007D6A10" w:rsidRPr="005976FC" w:rsidRDefault="007D6A10" w:rsidP="007D6A10">
            <w:pPr>
              <w:rPr>
                <w:rFonts w:ascii="Arial" w:hAnsi="Arial" w:cs="Arial"/>
                <w:sz w:val="17"/>
                <w:szCs w:val="17"/>
              </w:rPr>
            </w:pPr>
            <w:r w:rsidRPr="005976FC">
              <w:rPr>
                <w:rFonts w:ascii="Arial" w:hAnsi="Arial" w:cs="Arial"/>
                <w:sz w:val="17"/>
                <w:szCs w:val="17"/>
              </w:rPr>
              <w:t>Gandia</w:t>
            </w:r>
          </w:p>
        </w:tc>
        <w:tc>
          <w:tcPr>
            <w:tcW w:w="3850" w:type="dxa"/>
            <w:vAlign w:val="center"/>
          </w:tcPr>
          <w:p w14:paraId="7757CFB5" w14:textId="77777777" w:rsidR="007D6A10" w:rsidRPr="005976FC" w:rsidRDefault="007D6A10" w:rsidP="007D6A10">
            <w:pPr>
              <w:rPr>
                <w:rFonts w:ascii="Arial" w:hAnsi="Arial" w:cs="Arial"/>
                <w:sz w:val="17"/>
                <w:szCs w:val="17"/>
              </w:rPr>
            </w:pPr>
            <w:r w:rsidRPr="005976FC">
              <w:rPr>
                <w:rFonts w:ascii="Arial" w:hAnsi="Arial" w:cs="Arial"/>
                <w:sz w:val="17"/>
                <w:szCs w:val="17"/>
              </w:rPr>
              <w:t>¿Funciona realmente esto de la transparencia, o es solo una moda?</w:t>
            </w:r>
          </w:p>
        </w:tc>
        <w:tc>
          <w:tcPr>
            <w:tcW w:w="827" w:type="dxa"/>
            <w:vAlign w:val="center"/>
          </w:tcPr>
          <w:p w14:paraId="7EC85D25"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24-mar</w:t>
            </w:r>
          </w:p>
        </w:tc>
        <w:tc>
          <w:tcPr>
            <w:tcW w:w="1134" w:type="dxa"/>
            <w:vAlign w:val="center"/>
          </w:tcPr>
          <w:p w14:paraId="67AA4129"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 horas</w:t>
            </w:r>
          </w:p>
        </w:tc>
        <w:tc>
          <w:tcPr>
            <w:tcW w:w="1256" w:type="dxa"/>
            <w:vAlign w:val="center"/>
          </w:tcPr>
          <w:p w14:paraId="0992B151"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21</w:t>
            </w:r>
          </w:p>
        </w:tc>
      </w:tr>
      <w:tr w:rsidR="007D6A10" w:rsidRPr="007D6A10" w14:paraId="3AEEEBB9" w14:textId="77777777" w:rsidTr="005976FC">
        <w:trPr>
          <w:trHeight w:val="446"/>
        </w:trPr>
        <w:tc>
          <w:tcPr>
            <w:tcW w:w="1555" w:type="dxa"/>
            <w:vAlign w:val="center"/>
          </w:tcPr>
          <w:p w14:paraId="0365C000" w14:textId="77777777" w:rsidR="007D6A10" w:rsidRPr="005976FC" w:rsidRDefault="007D6A10" w:rsidP="007D6A10">
            <w:pPr>
              <w:rPr>
                <w:rFonts w:ascii="Arial" w:hAnsi="Arial" w:cs="Arial"/>
                <w:sz w:val="17"/>
                <w:szCs w:val="17"/>
              </w:rPr>
            </w:pPr>
            <w:r w:rsidRPr="005976FC">
              <w:rPr>
                <w:rFonts w:ascii="Arial" w:hAnsi="Arial" w:cs="Arial"/>
                <w:sz w:val="17"/>
                <w:szCs w:val="17"/>
              </w:rPr>
              <w:t>Benetússer</w:t>
            </w:r>
          </w:p>
        </w:tc>
        <w:tc>
          <w:tcPr>
            <w:tcW w:w="3850" w:type="dxa"/>
            <w:vAlign w:val="center"/>
          </w:tcPr>
          <w:p w14:paraId="718360AB" w14:textId="77777777" w:rsidR="007D6A10" w:rsidRPr="005976FC" w:rsidRDefault="007D6A10" w:rsidP="007D6A10">
            <w:pPr>
              <w:rPr>
                <w:rFonts w:ascii="Arial" w:hAnsi="Arial" w:cs="Arial"/>
                <w:sz w:val="17"/>
                <w:szCs w:val="17"/>
              </w:rPr>
            </w:pPr>
            <w:r w:rsidRPr="005976FC">
              <w:rPr>
                <w:rFonts w:ascii="Arial" w:hAnsi="Arial" w:cs="Arial"/>
                <w:sz w:val="17"/>
                <w:szCs w:val="17"/>
              </w:rPr>
              <w:t>El sistema financiero y la Covid-19</w:t>
            </w:r>
          </w:p>
        </w:tc>
        <w:tc>
          <w:tcPr>
            <w:tcW w:w="827" w:type="dxa"/>
            <w:vAlign w:val="center"/>
          </w:tcPr>
          <w:p w14:paraId="58206174"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28-abr</w:t>
            </w:r>
          </w:p>
        </w:tc>
        <w:tc>
          <w:tcPr>
            <w:tcW w:w="1134" w:type="dxa"/>
            <w:vAlign w:val="center"/>
          </w:tcPr>
          <w:p w14:paraId="6D47772E"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 horas</w:t>
            </w:r>
          </w:p>
        </w:tc>
        <w:tc>
          <w:tcPr>
            <w:tcW w:w="1256" w:type="dxa"/>
            <w:vAlign w:val="center"/>
          </w:tcPr>
          <w:p w14:paraId="69B409F5"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9</w:t>
            </w:r>
          </w:p>
        </w:tc>
      </w:tr>
      <w:tr w:rsidR="007D6A10" w:rsidRPr="007D6A10" w14:paraId="095B518A" w14:textId="77777777" w:rsidTr="005976FC">
        <w:trPr>
          <w:trHeight w:val="459"/>
        </w:trPr>
        <w:tc>
          <w:tcPr>
            <w:tcW w:w="1555" w:type="dxa"/>
            <w:vAlign w:val="center"/>
          </w:tcPr>
          <w:p w14:paraId="7AD5EB60" w14:textId="77777777" w:rsidR="007D6A10" w:rsidRPr="005976FC" w:rsidRDefault="007D6A10" w:rsidP="007D6A10">
            <w:pPr>
              <w:rPr>
                <w:rFonts w:ascii="Arial" w:hAnsi="Arial" w:cs="Arial"/>
                <w:sz w:val="17"/>
                <w:szCs w:val="17"/>
              </w:rPr>
            </w:pPr>
            <w:r w:rsidRPr="005976FC">
              <w:rPr>
                <w:rFonts w:ascii="Arial" w:hAnsi="Arial" w:cs="Arial"/>
                <w:sz w:val="17"/>
                <w:szCs w:val="17"/>
              </w:rPr>
              <w:t>Alzira</w:t>
            </w:r>
          </w:p>
        </w:tc>
        <w:tc>
          <w:tcPr>
            <w:tcW w:w="3850" w:type="dxa"/>
            <w:vAlign w:val="center"/>
          </w:tcPr>
          <w:p w14:paraId="7BB3B38A" w14:textId="77777777" w:rsidR="007D6A10" w:rsidRPr="005976FC" w:rsidRDefault="007D6A10" w:rsidP="007D6A10">
            <w:pPr>
              <w:rPr>
                <w:rFonts w:ascii="Arial" w:hAnsi="Arial" w:cs="Arial"/>
                <w:sz w:val="17"/>
                <w:szCs w:val="17"/>
              </w:rPr>
            </w:pPr>
            <w:r w:rsidRPr="005976FC">
              <w:rPr>
                <w:rFonts w:ascii="Arial" w:hAnsi="Arial" w:cs="Arial"/>
                <w:sz w:val="17"/>
                <w:szCs w:val="17"/>
              </w:rPr>
              <w:t>Covid-19 y derechos fundamentales</w:t>
            </w:r>
          </w:p>
        </w:tc>
        <w:tc>
          <w:tcPr>
            <w:tcW w:w="827" w:type="dxa"/>
            <w:vAlign w:val="center"/>
          </w:tcPr>
          <w:p w14:paraId="37FBA41A"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25-may</w:t>
            </w:r>
          </w:p>
        </w:tc>
        <w:tc>
          <w:tcPr>
            <w:tcW w:w="1134" w:type="dxa"/>
            <w:vAlign w:val="center"/>
          </w:tcPr>
          <w:p w14:paraId="4BD353BC"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 horas</w:t>
            </w:r>
          </w:p>
        </w:tc>
        <w:tc>
          <w:tcPr>
            <w:tcW w:w="1256" w:type="dxa"/>
            <w:vAlign w:val="center"/>
          </w:tcPr>
          <w:p w14:paraId="0540286B"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22</w:t>
            </w:r>
          </w:p>
        </w:tc>
      </w:tr>
      <w:tr w:rsidR="007D6A10" w:rsidRPr="007D6A10" w14:paraId="49C6201F" w14:textId="77777777" w:rsidTr="005976FC">
        <w:trPr>
          <w:trHeight w:val="676"/>
        </w:trPr>
        <w:tc>
          <w:tcPr>
            <w:tcW w:w="1555" w:type="dxa"/>
            <w:vAlign w:val="center"/>
          </w:tcPr>
          <w:p w14:paraId="0F53C53F" w14:textId="77777777" w:rsidR="007D6A10" w:rsidRPr="005976FC" w:rsidRDefault="007D6A10" w:rsidP="007D6A10">
            <w:pPr>
              <w:rPr>
                <w:rFonts w:ascii="Arial" w:hAnsi="Arial" w:cs="Arial"/>
                <w:sz w:val="17"/>
                <w:szCs w:val="17"/>
              </w:rPr>
            </w:pPr>
            <w:r w:rsidRPr="005976FC">
              <w:rPr>
                <w:rFonts w:ascii="Arial" w:hAnsi="Arial" w:cs="Arial"/>
                <w:sz w:val="17"/>
                <w:szCs w:val="17"/>
              </w:rPr>
              <w:t>Quart de Poblet</w:t>
            </w:r>
          </w:p>
        </w:tc>
        <w:tc>
          <w:tcPr>
            <w:tcW w:w="3850" w:type="dxa"/>
            <w:vAlign w:val="center"/>
          </w:tcPr>
          <w:p w14:paraId="1BC2B883" w14:textId="77777777" w:rsidR="007D6A10" w:rsidRPr="005976FC" w:rsidRDefault="007D6A10" w:rsidP="007D6A10">
            <w:pPr>
              <w:rPr>
                <w:rFonts w:ascii="Arial" w:hAnsi="Arial" w:cs="Arial"/>
                <w:sz w:val="17"/>
                <w:szCs w:val="17"/>
              </w:rPr>
            </w:pPr>
            <w:r w:rsidRPr="005976FC">
              <w:rPr>
                <w:rFonts w:ascii="Arial" w:hAnsi="Arial" w:cs="Arial"/>
                <w:sz w:val="17"/>
                <w:szCs w:val="17"/>
              </w:rPr>
              <w:t xml:space="preserve">Los mecanismos de control público de los fondos europeos </w:t>
            </w:r>
            <w:r w:rsidRPr="005976FC">
              <w:rPr>
                <w:rFonts w:ascii="Arial" w:hAnsi="Arial" w:cs="Arial"/>
                <w:i/>
                <w:sz w:val="17"/>
                <w:szCs w:val="17"/>
              </w:rPr>
              <w:t>Next Generation</w:t>
            </w:r>
          </w:p>
        </w:tc>
        <w:tc>
          <w:tcPr>
            <w:tcW w:w="827" w:type="dxa"/>
            <w:vAlign w:val="center"/>
          </w:tcPr>
          <w:p w14:paraId="182D3D07"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26-may</w:t>
            </w:r>
          </w:p>
        </w:tc>
        <w:tc>
          <w:tcPr>
            <w:tcW w:w="1134" w:type="dxa"/>
            <w:vAlign w:val="center"/>
          </w:tcPr>
          <w:p w14:paraId="1A8AFB4E"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 horas</w:t>
            </w:r>
          </w:p>
        </w:tc>
        <w:tc>
          <w:tcPr>
            <w:tcW w:w="1256" w:type="dxa"/>
            <w:vAlign w:val="center"/>
          </w:tcPr>
          <w:p w14:paraId="60D796EE"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15</w:t>
            </w:r>
          </w:p>
        </w:tc>
      </w:tr>
      <w:tr w:rsidR="007D6A10" w:rsidRPr="007D6A10" w14:paraId="2A4B8F3E" w14:textId="77777777" w:rsidTr="005976FC">
        <w:trPr>
          <w:trHeight w:val="459"/>
        </w:trPr>
        <w:tc>
          <w:tcPr>
            <w:tcW w:w="1555" w:type="dxa"/>
            <w:vAlign w:val="center"/>
          </w:tcPr>
          <w:p w14:paraId="50CB222C" w14:textId="77777777" w:rsidR="007D6A10" w:rsidRPr="005976FC" w:rsidRDefault="007D6A10" w:rsidP="007D6A10">
            <w:pPr>
              <w:rPr>
                <w:rFonts w:ascii="Arial" w:hAnsi="Arial" w:cs="Arial"/>
                <w:sz w:val="17"/>
                <w:szCs w:val="17"/>
              </w:rPr>
            </w:pPr>
            <w:r w:rsidRPr="005976FC">
              <w:rPr>
                <w:rFonts w:ascii="Arial" w:hAnsi="Arial" w:cs="Arial"/>
                <w:sz w:val="17"/>
                <w:szCs w:val="17"/>
              </w:rPr>
              <w:t>Requena</w:t>
            </w:r>
          </w:p>
        </w:tc>
        <w:tc>
          <w:tcPr>
            <w:tcW w:w="3850" w:type="dxa"/>
            <w:vAlign w:val="center"/>
          </w:tcPr>
          <w:p w14:paraId="1BEAD4D1" w14:textId="77777777" w:rsidR="007D6A10" w:rsidRPr="005976FC" w:rsidRDefault="007D6A10" w:rsidP="007D6A10">
            <w:pPr>
              <w:rPr>
                <w:rFonts w:ascii="Arial" w:hAnsi="Arial" w:cs="Arial"/>
                <w:sz w:val="17"/>
                <w:szCs w:val="17"/>
              </w:rPr>
            </w:pPr>
            <w:r w:rsidRPr="005976FC">
              <w:rPr>
                <w:rFonts w:ascii="Arial" w:hAnsi="Arial" w:cs="Arial"/>
                <w:sz w:val="17"/>
                <w:szCs w:val="17"/>
              </w:rPr>
              <w:t>El sistema financiero y la Covid-19</w:t>
            </w:r>
          </w:p>
        </w:tc>
        <w:tc>
          <w:tcPr>
            <w:tcW w:w="827" w:type="dxa"/>
            <w:vAlign w:val="center"/>
          </w:tcPr>
          <w:p w14:paraId="1AF31FCF"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3-jun</w:t>
            </w:r>
          </w:p>
        </w:tc>
        <w:tc>
          <w:tcPr>
            <w:tcW w:w="1134" w:type="dxa"/>
            <w:vAlign w:val="center"/>
          </w:tcPr>
          <w:p w14:paraId="7C17FF6B"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 horas</w:t>
            </w:r>
          </w:p>
        </w:tc>
        <w:tc>
          <w:tcPr>
            <w:tcW w:w="1256" w:type="dxa"/>
            <w:vAlign w:val="center"/>
          </w:tcPr>
          <w:p w14:paraId="3FAEA70E"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15</w:t>
            </w:r>
          </w:p>
        </w:tc>
      </w:tr>
      <w:tr w:rsidR="007D6A10" w:rsidRPr="007D6A10" w14:paraId="69C6C60F" w14:textId="77777777" w:rsidTr="005976FC">
        <w:trPr>
          <w:trHeight w:val="459"/>
        </w:trPr>
        <w:tc>
          <w:tcPr>
            <w:tcW w:w="1555" w:type="dxa"/>
            <w:vAlign w:val="center"/>
          </w:tcPr>
          <w:p w14:paraId="2FC2F81E" w14:textId="77777777" w:rsidR="007D6A10" w:rsidRPr="005976FC" w:rsidRDefault="007D6A10" w:rsidP="007D6A10">
            <w:pPr>
              <w:rPr>
                <w:rFonts w:ascii="Arial" w:hAnsi="Arial" w:cs="Arial"/>
                <w:sz w:val="17"/>
                <w:szCs w:val="17"/>
              </w:rPr>
            </w:pPr>
            <w:r w:rsidRPr="005976FC">
              <w:rPr>
                <w:rFonts w:ascii="Arial" w:hAnsi="Arial" w:cs="Arial"/>
                <w:sz w:val="17"/>
                <w:szCs w:val="17"/>
              </w:rPr>
              <w:t>Ontinyent</w:t>
            </w:r>
          </w:p>
        </w:tc>
        <w:tc>
          <w:tcPr>
            <w:tcW w:w="3850" w:type="dxa"/>
            <w:vAlign w:val="center"/>
          </w:tcPr>
          <w:p w14:paraId="65B57262" w14:textId="77777777" w:rsidR="007D6A10" w:rsidRPr="005976FC" w:rsidRDefault="007D6A10" w:rsidP="007D6A10">
            <w:pPr>
              <w:rPr>
                <w:rFonts w:ascii="Arial" w:hAnsi="Arial" w:cs="Arial"/>
                <w:sz w:val="17"/>
                <w:szCs w:val="17"/>
              </w:rPr>
            </w:pPr>
            <w:r w:rsidRPr="005976FC">
              <w:rPr>
                <w:rFonts w:ascii="Arial" w:hAnsi="Arial" w:cs="Arial"/>
                <w:sz w:val="17"/>
                <w:szCs w:val="17"/>
              </w:rPr>
              <w:t>El sistema financiero y la Covid-19</w:t>
            </w:r>
          </w:p>
        </w:tc>
        <w:tc>
          <w:tcPr>
            <w:tcW w:w="827" w:type="dxa"/>
            <w:vAlign w:val="center"/>
          </w:tcPr>
          <w:p w14:paraId="7CF2117C"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17-jun</w:t>
            </w:r>
          </w:p>
        </w:tc>
        <w:tc>
          <w:tcPr>
            <w:tcW w:w="1134" w:type="dxa"/>
            <w:vAlign w:val="center"/>
          </w:tcPr>
          <w:p w14:paraId="6D95B3DC"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 horas</w:t>
            </w:r>
          </w:p>
        </w:tc>
        <w:tc>
          <w:tcPr>
            <w:tcW w:w="1256" w:type="dxa"/>
            <w:vAlign w:val="center"/>
          </w:tcPr>
          <w:p w14:paraId="2321FBD4"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50</w:t>
            </w:r>
          </w:p>
        </w:tc>
      </w:tr>
      <w:tr w:rsidR="007D6A10" w:rsidRPr="007D6A10" w14:paraId="7DD802B7" w14:textId="77777777" w:rsidTr="005976FC">
        <w:trPr>
          <w:trHeight w:val="676"/>
        </w:trPr>
        <w:tc>
          <w:tcPr>
            <w:tcW w:w="1555" w:type="dxa"/>
            <w:vAlign w:val="center"/>
          </w:tcPr>
          <w:p w14:paraId="09A929AF" w14:textId="77777777" w:rsidR="007D6A10" w:rsidRPr="005976FC" w:rsidRDefault="007D6A10" w:rsidP="007D6A10">
            <w:pPr>
              <w:rPr>
                <w:rFonts w:ascii="Arial" w:hAnsi="Arial" w:cs="Arial"/>
                <w:sz w:val="17"/>
                <w:szCs w:val="17"/>
              </w:rPr>
            </w:pPr>
            <w:r w:rsidRPr="005976FC">
              <w:rPr>
                <w:rFonts w:ascii="Arial" w:hAnsi="Arial" w:cs="Arial"/>
                <w:sz w:val="17"/>
                <w:szCs w:val="17"/>
              </w:rPr>
              <w:t>Massamagrell</w:t>
            </w:r>
          </w:p>
        </w:tc>
        <w:tc>
          <w:tcPr>
            <w:tcW w:w="3850" w:type="dxa"/>
            <w:vAlign w:val="center"/>
          </w:tcPr>
          <w:p w14:paraId="39B0D832" w14:textId="77777777" w:rsidR="007D6A10" w:rsidRPr="005976FC" w:rsidRDefault="007D6A10" w:rsidP="007D6A10">
            <w:pPr>
              <w:rPr>
                <w:rFonts w:ascii="Arial" w:hAnsi="Arial" w:cs="Arial"/>
                <w:sz w:val="17"/>
                <w:szCs w:val="17"/>
              </w:rPr>
            </w:pPr>
            <w:r w:rsidRPr="005976FC">
              <w:rPr>
                <w:rFonts w:ascii="Arial" w:hAnsi="Arial" w:cs="Arial"/>
                <w:sz w:val="17"/>
                <w:szCs w:val="17"/>
              </w:rPr>
              <w:t>El papel de la justicia en la lucha contra la corrupción y la Covid-19</w:t>
            </w:r>
          </w:p>
        </w:tc>
        <w:tc>
          <w:tcPr>
            <w:tcW w:w="827" w:type="dxa"/>
            <w:vAlign w:val="center"/>
          </w:tcPr>
          <w:p w14:paraId="5062C3CA"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22-jun</w:t>
            </w:r>
          </w:p>
        </w:tc>
        <w:tc>
          <w:tcPr>
            <w:tcW w:w="1134" w:type="dxa"/>
            <w:vAlign w:val="center"/>
          </w:tcPr>
          <w:p w14:paraId="77FDFD1D"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 horas</w:t>
            </w:r>
          </w:p>
        </w:tc>
        <w:tc>
          <w:tcPr>
            <w:tcW w:w="1256" w:type="dxa"/>
            <w:vAlign w:val="center"/>
          </w:tcPr>
          <w:p w14:paraId="65E42E7B"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16</w:t>
            </w:r>
          </w:p>
        </w:tc>
      </w:tr>
      <w:tr w:rsidR="007D6A10" w:rsidRPr="007D6A10" w14:paraId="72217AB7" w14:textId="77777777" w:rsidTr="005976FC">
        <w:trPr>
          <w:trHeight w:val="689"/>
        </w:trPr>
        <w:tc>
          <w:tcPr>
            <w:tcW w:w="1555" w:type="dxa"/>
            <w:vAlign w:val="center"/>
          </w:tcPr>
          <w:p w14:paraId="62ED251C" w14:textId="77777777" w:rsidR="007D6A10" w:rsidRPr="005976FC" w:rsidRDefault="007D6A10" w:rsidP="007D6A10">
            <w:pPr>
              <w:rPr>
                <w:rFonts w:ascii="Arial" w:hAnsi="Arial" w:cs="Arial"/>
                <w:sz w:val="17"/>
                <w:szCs w:val="17"/>
              </w:rPr>
            </w:pPr>
            <w:r w:rsidRPr="005976FC">
              <w:rPr>
                <w:rFonts w:ascii="Arial" w:hAnsi="Arial" w:cs="Arial"/>
                <w:sz w:val="17"/>
                <w:szCs w:val="17"/>
              </w:rPr>
              <w:t>Bétera</w:t>
            </w:r>
          </w:p>
        </w:tc>
        <w:tc>
          <w:tcPr>
            <w:tcW w:w="3850" w:type="dxa"/>
            <w:vAlign w:val="center"/>
          </w:tcPr>
          <w:p w14:paraId="3EB57C1D" w14:textId="77777777" w:rsidR="007D6A10" w:rsidRPr="005976FC" w:rsidRDefault="007D6A10" w:rsidP="007D6A10">
            <w:pPr>
              <w:rPr>
                <w:rFonts w:ascii="Arial" w:hAnsi="Arial" w:cs="Arial"/>
                <w:sz w:val="17"/>
                <w:szCs w:val="17"/>
              </w:rPr>
            </w:pPr>
            <w:r w:rsidRPr="005976FC">
              <w:rPr>
                <w:rFonts w:ascii="Arial" w:hAnsi="Arial" w:cs="Arial"/>
                <w:sz w:val="17"/>
                <w:szCs w:val="17"/>
              </w:rPr>
              <w:t>La percepción de la corrupción por la ciudadanía en la vacunación contra la Covid-19</w:t>
            </w:r>
          </w:p>
        </w:tc>
        <w:tc>
          <w:tcPr>
            <w:tcW w:w="827" w:type="dxa"/>
            <w:vAlign w:val="center"/>
          </w:tcPr>
          <w:p w14:paraId="53672F50"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20-oct</w:t>
            </w:r>
          </w:p>
        </w:tc>
        <w:tc>
          <w:tcPr>
            <w:tcW w:w="1134" w:type="dxa"/>
            <w:vAlign w:val="center"/>
          </w:tcPr>
          <w:p w14:paraId="388EF48B"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 horas</w:t>
            </w:r>
          </w:p>
        </w:tc>
        <w:tc>
          <w:tcPr>
            <w:tcW w:w="1256" w:type="dxa"/>
            <w:vAlign w:val="center"/>
          </w:tcPr>
          <w:p w14:paraId="5F484239"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20</w:t>
            </w:r>
          </w:p>
        </w:tc>
      </w:tr>
      <w:tr w:rsidR="007D6A10" w:rsidRPr="007D6A10" w14:paraId="7061CC99" w14:textId="77777777" w:rsidTr="005976FC">
        <w:trPr>
          <w:trHeight w:val="446"/>
        </w:trPr>
        <w:tc>
          <w:tcPr>
            <w:tcW w:w="1555" w:type="dxa"/>
            <w:vAlign w:val="center"/>
          </w:tcPr>
          <w:p w14:paraId="096DC1E9" w14:textId="77777777" w:rsidR="007D6A10" w:rsidRPr="005976FC" w:rsidRDefault="007D6A10" w:rsidP="007D6A10">
            <w:pPr>
              <w:rPr>
                <w:rFonts w:ascii="Arial" w:hAnsi="Arial" w:cs="Arial"/>
                <w:sz w:val="17"/>
                <w:szCs w:val="17"/>
              </w:rPr>
            </w:pPr>
            <w:r w:rsidRPr="005976FC">
              <w:rPr>
                <w:rFonts w:ascii="Arial" w:hAnsi="Arial" w:cs="Arial"/>
                <w:sz w:val="17"/>
                <w:szCs w:val="17"/>
              </w:rPr>
              <w:t>Cullera</w:t>
            </w:r>
          </w:p>
        </w:tc>
        <w:tc>
          <w:tcPr>
            <w:tcW w:w="3850" w:type="dxa"/>
            <w:vAlign w:val="center"/>
          </w:tcPr>
          <w:p w14:paraId="52B4ABD6" w14:textId="77777777" w:rsidR="007D6A10" w:rsidRPr="005976FC" w:rsidRDefault="007D6A10" w:rsidP="007D6A10">
            <w:pPr>
              <w:rPr>
                <w:rFonts w:ascii="Arial" w:hAnsi="Arial" w:cs="Arial"/>
                <w:sz w:val="17"/>
                <w:szCs w:val="17"/>
              </w:rPr>
            </w:pPr>
            <w:r w:rsidRPr="005976FC">
              <w:rPr>
                <w:rFonts w:ascii="Arial" w:hAnsi="Arial" w:cs="Arial"/>
                <w:sz w:val="17"/>
                <w:szCs w:val="17"/>
              </w:rPr>
              <w:t>Derechos sociales y Covid-19</w:t>
            </w:r>
          </w:p>
        </w:tc>
        <w:tc>
          <w:tcPr>
            <w:tcW w:w="827" w:type="dxa"/>
            <w:vAlign w:val="center"/>
          </w:tcPr>
          <w:p w14:paraId="78310050"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26-oct</w:t>
            </w:r>
          </w:p>
        </w:tc>
        <w:tc>
          <w:tcPr>
            <w:tcW w:w="1134" w:type="dxa"/>
            <w:vAlign w:val="center"/>
          </w:tcPr>
          <w:p w14:paraId="0AE5F986"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 horas</w:t>
            </w:r>
          </w:p>
        </w:tc>
        <w:tc>
          <w:tcPr>
            <w:tcW w:w="1256" w:type="dxa"/>
            <w:vAlign w:val="center"/>
          </w:tcPr>
          <w:p w14:paraId="33A231EB"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25</w:t>
            </w:r>
          </w:p>
        </w:tc>
      </w:tr>
      <w:tr w:rsidR="007D6A10" w:rsidRPr="007D6A10" w14:paraId="2022C8B0" w14:textId="77777777" w:rsidTr="005976FC">
        <w:trPr>
          <w:trHeight w:val="459"/>
        </w:trPr>
        <w:tc>
          <w:tcPr>
            <w:tcW w:w="1555" w:type="dxa"/>
            <w:vAlign w:val="center"/>
          </w:tcPr>
          <w:p w14:paraId="72F30DAE" w14:textId="77777777" w:rsidR="007D6A10" w:rsidRPr="005976FC" w:rsidRDefault="007D6A10" w:rsidP="007D6A10">
            <w:pPr>
              <w:rPr>
                <w:rFonts w:ascii="Arial" w:hAnsi="Arial" w:cs="Arial"/>
                <w:sz w:val="17"/>
                <w:szCs w:val="17"/>
              </w:rPr>
            </w:pPr>
            <w:r w:rsidRPr="005976FC">
              <w:rPr>
                <w:rFonts w:ascii="Arial" w:hAnsi="Arial" w:cs="Arial"/>
                <w:sz w:val="17"/>
                <w:szCs w:val="17"/>
              </w:rPr>
              <w:t>L’Eliana</w:t>
            </w:r>
          </w:p>
        </w:tc>
        <w:tc>
          <w:tcPr>
            <w:tcW w:w="3850" w:type="dxa"/>
            <w:vAlign w:val="center"/>
          </w:tcPr>
          <w:p w14:paraId="7160AF0A" w14:textId="77777777" w:rsidR="007D6A10" w:rsidRPr="005976FC" w:rsidRDefault="007D6A10" w:rsidP="007D6A10">
            <w:pPr>
              <w:rPr>
                <w:rFonts w:ascii="Arial" w:hAnsi="Arial" w:cs="Arial"/>
                <w:sz w:val="17"/>
                <w:szCs w:val="17"/>
              </w:rPr>
            </w:pPr>
            <w:r w:rsidRPr="005976FC">
              <w:rPr>
                <w:rFonts w:ascii="Arial" w:hAnsi="Arial" w:cs="Arial"/>
                <w:sz w:val="17"/>
                <w:szCs w:val="17"/>
              </w:rPr>
              <w:t>Noticias falsas y Covid-19</w:t>
            </w:r>
          </w:p>
        </w:tc>
        <w:tc>
          <w:tcPr>
            <w:tcW w:w="827" w:type="dxa"/>
            <w:vAlign w:val="center"/>
          </w:tcPr>
          <w:p w14:paraId="252802F4"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9-nov</w:t>
            </w:r>
          </w:p>
        </w:tc>
        <w:tc>
          <w:tcPr>
            <w:tcW w:w="1134" w:type="dxa"/>
            <w:vAlign w:val="center"/>
          </w:tcPr>
          <w:p w14:paraId="0B0608E9"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 horas</w:t>
            </w:r>
          </w:p>
        </w:tc>
        <w:tc>
          <w:tcPr>
            <w:tcW w:w="1256" w:type="dxa"/>
            <w:vAlign w:val="center"/>
          </w:tcPr>
          <w:p w14:paraId="019083F4"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21</w:t>
            </w:r>
          </w:p>
        </w:tc>
      </w:tr>
      <w:tr w:rsidR="007D6A10" w:rsidRPr="007D6A10" w14:paraId="584BC39F" w14:textId="77777777" w:rsidTr="005976FC">
        <w:trPr>
          <w:trHeight w:val="676"/>
        </w:trPr>
        <w:tc>
          <w:tcPr>
            <w:tcW w:w="1555" w:type="dxa"/>
            <w:vAlign w:val="center"/>
          </w:tcPr>
          <w:p w14:paraId="7179BF62" w14:textId="77777777" w:rsidR="007D6A10" w:rsidRPr="005976FC" w:rsidRDefault="007D6A10" w:rsidP="007D6A10">
            <w:pPr>
              <w:rPr>
                <w:rFonts w:ascii="Arial" w:hAnsi="Arial" w:cs="Arial"/>
                <w:sz w:val="17"/>
                <w:szCs w:val="17"/>
              </w:rPr>
            </w:pPr>
            <w:r w:rsidRPr="005976FC">
              <w:rPr>
                <w:rFonts w:ascii="Arial" w:hAnsi="Arial" w:cs="Arial"/>
                <w:sz w:val="17"/>
                <w:szCs w:val="17"/>
              </w:rPr>
              <w:t>Paterna</w:t>
            </w:r>
          </w:p>
        </w:tc>
        <w:tc>
          <w:tcPr>
            <w:tcW w:w="3850" w:type="dxa"/>
            <w:vAlign w:val="center"/>
          </w:tcPr>
          <w:p w14:paraId="66B007D3" w14:textId="77777777" w:rsidR="007D6A10" w:rsidRPr="005976FC" w:rsidRDefault="007D6A10" w:rsidP="007D6A10">
            <w:pPr>
              <w:rPr>
                <w:rFonts w:ascii="Arial" w:hAnsi="Arial" w:cs="Arial"/>
                <w:sz w:val="17"/>
                <w:szCs w:val="17"/>
              </w:rPr>
            </w:pPr>
            <w:r w:rsidRPr="005976FC">
              <w:rPr>
                <w:rFonts w:ascii="Arial" w:hAnsi="Arial" w:cs="Arial"/>
                <w:sz w:val="17"/>
                <w:szCs w:val="17"/>
              </w:rPr>
              <w:t>Transparencia, rendición de cuentas y buen gobierno en la Covid-19</w:t>
            </w:r>
          </w:p>
        </w:tc>
        <w:tc>
          <w:tcPr>
            <w:tcW w:w="827" w:type="dxa"/>
            <w:vAlign w:val="center"/>
          </w:tcPr>
          <w:p w14:paraId="0A291D92"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18-nov</w:t>
            </w:r>
          </w:p>
        </w:tc>
        <w:tc>
          <w:tcPr>
            <w:tcW w:w="1134" w:type="dxa"/>
            <w:vAlign w:val="center"/>
          </w:tcPr>
          <w:p w14:paraId="66601D70"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2 horas</w:t>
            </w:r>
          </w:p>
        </w:tc>
        <w:tc>
          <w:tcPr>
            <w:tcW w:w="1256" w:type="dxa"/>
            <w:vAlign w:val="center"/>
          </w:tcPr>
          <w:p w14:paraId="105642C2" w14:textId="77777777" w:rsidR="007D6A10" w:rsidRPr="005976FC" w:rsidRDefault="007D6A10" w:rsidP="007D6A10">
            <w:pPr>
              <w:jc w:val="center"/>
              <w:rPr>
                <w:rFonts w:ascii="Arial" w:hAnsi="Arial" w:cs="Arial"/>
                <w:sz w:val="17"/>
                <w:szCs w:val="17"/>
              </w:rPr>
            </w:pPr>
            <w:r w:rsidRPr="005976FC">
              <w:rPr>
                <w:rFonts w:ascii="Arial" w:hAnsi="Arial" w:cs="Arial"/>
                <w:sz w:val="17"/>
                <w:szCs w:val="17"/>
              </w:rPr>
              <w:t>15</w:t>
            </w:r>
          </w:p>
        </w:tc>
      </w:tr>
      <w:tr w:rsidR="007D6A10" w:rsidRPr="007D6A10" w14:paraId="4DB629B9" w14:textId="77777777" w:rsidTr="005976FC">
        <w:trPr>
          <w:trHeight w:val="459"/>
        </w:trPr>
        <w:tc>
          <w:tcPr>
            <w:tcW w:w="6232" w:type="dxa"/>
            <w:gridSpan w:val="3"/>
            <w:shd w:val="clear" w:color="auto" w:fill="D9D9D9"/>
            <w:vAlign w:val="center"/>
          </w:tcPr>
          <w:p w14:paraId="6D9C9EF9" w14:textId="77777777" w:rsidR="007D6A10" w:rsidRPr="005976FC" w:rsidRDefault="007D6A10" w:rsidP="007D6A10">
            <w:pPr>
              <w:jc w:val="right"/>
              <w:rPr>
                <w:rFonts w:ascii="Arial" w:hAnsi="Arial" w:cs="Arial"/>
                <w:sz w:val="17"/>
                <w:szCs w:val="17"/>
              </w:rPr>
            </w:pPr>
            <w:r w:rsidRPr="005976FC">
              <w:rPr>
                <w:rFonts w:ascii="Arial" w:hAnsi="Arial" w:cs="Arial"/>
                <w:b/>
                <w:sz w:val="17"/>
                <w:szCs w:val="17"/>
              </w:rPr>
              <w:t>Totales Unisocietat</w:t>
            </w:r>
          </w:p>
        </w:tc>
        <w:tc>
          <w:tcPr>
            <w:tcW w:w="1134" w:type="dxa"/>
            <w:shd w:val="clear" w:color="auto" w:fill="D9D9D9"/>
            <w:vAlign w:val="center"/>
          </w:tcPr>
          <w:p w14:paraId="2C8BAC19" w14:textId="77777777" w:rsidR="007D6A10" w:rsidRPr="005976FC" w:rsidRDefault="007D6A10" w:rsidP="007D6A10">
            <w:pPr>
              <w:jc w:val="center"/>
              <w:rPr>
                <w:rFonts w:ascii="Arial" w:hAnsi="Arial" w:cs="Arial"/>
                <w:b/>
                <w:sz w:val="17"/>
                <w:szCs w:val="17"/>
              </w:rPr>
            </w:pPr>
            <w:r w:rsidRPr="005976FC">
              <w:rPr>
                <w:rFonts w:ascii="Arial" w:hAnsi="Arial" w:cs="Arial"/>
                <w:b/>
                <w:sz w:val="17"/>
                <w:szCs w:val="17"/>
              </w:rPr>
              <w:t>24 horas</w:t>
            </w:r>
          </w:p>
        </w:tc>
        <w:tc>
          <w:tcPr>
            <w:tcW w:w="1256" w:type="dxa"/>
            <w:shd w:val="clear" w:color="auto" w:fill="D9D9D9"/>
            <w:vAlign w:val="center"/>
          </w:tcPr>
          <w:p w14:paraId="0555F575" w14:textId="7ED323E8" w:rsidR="007D6A10" w:rsidRPr="005976FC" w:rsidRDefault="007D6A10" w:rsidP="007D6A10">
            <w:pPr>
              <w:jc w:val="center"/>
              <w:rPr>
                <w:rFonts w:ascii="Arial" w:hAnsi="Arial" w:cs="Arial"/>
                <w:sz w:val="17"/>
                <w:szCs w:val="17"/>
              </w:rPr>
            </w:pPr>
            <w:r w:rsidRPr="005976FC">
              <w:rPr>
                <w:rFonts w:ascii="Arial" w:hAnsi="Arial" w:cs="Arial"/>
                <w:b/>
                <w:sz w:val="17"/>
                <w:szCs w:val="17"/>
              </w:rPr>
              <w:t>379</w:t>
            </w:r>
          </w:p>
        </w:tc>
      </w:tr>
    </w:tbl>
    <w:p w14:paraId="4A64CC43" w14:textId="77777777" w:rsidR="008A0C4D" w:rsidRPr="008A0C4D" w:rsidRDefault="008A0C4D" w:rsidP="008A0C4D">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4"/>
          <w:szCs w:val="24"/>
          <w:lang w:eastAsia="es-ES"/>
        </w:rPr>
      </w:pPr>
      <w:r w:rsidRPr="008A0C4D">
        <w:rPr>
          <w:rFonts w:ascii="Arial" w:eastAsia="Times New Roman" w:hAnsi="Arial" w:cs="Arial"/>
          <w:b/>
          <w:bCs/>
          <w:color w:val="9D2235" w:themeColor="accent1"/>
          <w:sz w:val="24"/>
          <w:szCs w:val="24"/>
          <w:lang w:eastAsia="es-ES"/>
        </w:rPr>
        <w:t>Jornadas específicas AVAF-UV</w:t>
      </w:r>
    </w:p>
    <w:p w14:paraId="1C4B5215" w14:textId="6B4466D5" w:rsidR="00F85300" w:rsidRPr="00F85300" w:rsidRDefault="00F85300" w:rsidP="005D34B3">
      <w:pPr>
        <w:spacing w:after="240" w:line="276" w:lineRule="auto"/>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 xml:space="preserve">En el marco del convenio entre la AVAF y la UV se han realizado dos jornadas específicas territoriales a lo largo del 2021 </w:t>
      </w:r>
      <w:r w:rsidRPr="003416AE">
        <w:rPr>
          <w:rFonts w:ascii="Arial" w:eastAsia="Times New Roman" w:hAnsi="Arial" w:cs="Arial"/>
          <w:sz w:val="21"/>
          <w:szCs w:val="21"/>
          <w:lang w:eastAsia="es-ES"/>
        </w:rPr>
        <w:t xml:space="preserve">(Tabla </w:t>
      </w:r>
      <w:r w:rsidR="005976FC" w:rsidRPr="003416AE">
        <w:rPr>
          <w:rFonts w:ascii="Arial" w:eastAsia="Times New Roman" w:hAnsi="Arial" w:cs="Arial"/>
          <w:sz w:val="21"/>
          <w:szCs w:val="21"/>
          <w:lang w:eastAsia="es-ES"/>
        </w:rPr>
        <w:t>2</w:t>
      </w:r>
      <w:r w:rsidR="000E5FE5" w:rsidRPr="003416AE">
        <w:rPr>
          <w:rFonts w:ascii="Arial" w:eastAsia="Times New Roman" w:hAnsi="Arial" w:cs="Arial"/>
          <w:sz w:val="21"/>
          <w:szCs w:val="21"/>
          <w:lang w:eastAsia="es-ES"/>
        </w:rPr>
        <w:t>8</w:t>
      </w:r>
      <w:r w:rsidRPr="003416AE">
        <w:rPr>
          <w:rFonts w:ascii="Arial" w:eastAsia="Times New Roman" w:hAnsi="Arial" w:cs="Arial"/>
          <w:sz w:val="21"/>
          <w:szCs w:val="21"/>
          <w:lang w:eastAsia="es-ES"/>
        </w:rPr>
        <w:t>):</w:t>
      </w:r>
      <w:r w:rsidRPr="00F85300">
        <w:rPr>
          <w:rFonts w:ascii="Arial" w:eastAsia="Times New Roman" w:hAnsi="Arial" w:cs="Arial"/>
          <w:sz w:val="21"/>
          <w:szCs w:val="21"/>
          <w:lang w:eastAsia="es-ES"/>
        </w:rPr>
        <w:t xml:space="preserve"> </w:t>
      </w:r>
    </w:p>
    <w:p w14:paraId="1098BEAE" w14:textId="77777777" w:rsidR="00F85300" w:rsidRPr="00F85300" w:rsidRDefault="00F85300" w:rsidP="005D34B3">
      <w:pPr>
        <w:numPr>
          <w:ilvl w:val="0"/>
          <w:numId w:val="140"/>
        </w:numPr>
        <w:spacing w:after="120" w:line="276" w:lineRule="auto"/>
        <w:ind w:left="851"/>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Jornada “</w:t>
      </w:r>
      <w:r w:rsidRPr="00F85300">
        <w:rPr>
          <w:rFonts w:ascii="Arial" w:eastAsia="Times New Roman" w:hAnsi="Arial" w:cs="Arial"/>
          <w:b/>
          <w:sz w:val="21"/>
          <w:szCs w:val="21"/>
          <w:lang w:eastAsia="es-ES"/>
        </w:rPr>
        <w:t>Covid-19, derechos y responsabilidades</w:t>
      </w:r>
      <w:r w:rsidRPr="00F85300">
        <w:rPr>
          <w:rFonts w:ascii="Arial" w:eastAsia="Times New Roman" w:hAnsi="Arial" w:cs="Arial"/>
          <w:sz w:val="21"/>
          <w:szCs w:val="21"/>
          <w:lang w:eastAsia="es-ES"/>
        </w:rPr>
        <w:t xml:space="preserve">”, Llíria, 6 de mayo. La jornada se celebró en el Espai Turisme de Llíria, con la participación de 110 personas, tanto de manera presencial como </w:t>
      </w:r>
      <w:r w:rsidRPr="00F85300">
        <w:rPr>
          <w:rFonts w:ascii="Arial" w:eastAsia="Times New Roman" w:hAnsi="Arial" w:cs="Arial"/>
          <w:iCs/>
          <w:sz w:val="21"/>
          <w:szCs w:val="21"/>
          <w:lang w:eastAsia="es-ES"/>
        </w:rPr>
        <w:t>en línea.</w:t>
      </w:r>
      <w:r w:rsidRPr="00F85300">
        <w:rPr>
          <w:rFonts w:ascii="Arial" w:eastAsia="Times New Roman" w:hAnsi="Arial" w:cs="Arial"/>
          <w:sz w:val="21"/>
          <w:szCs w:val="21"/>
          <w:lang w:eastAsia="es-ES"/>
        </w:rPr>
        <w:t xml:space="preserve"> </w:t>
      </w:r>
    </w:p>
    <w:p w14:paraId="4ED7E4E3" w14:textId="77777777" w:rsidR="00F85300" w:rsidRPr="00F85300" w:rsidRDefault="00F85300" w:rsidP="005D34B3">
      <w:pPr>
        <w:spacing w:after="120" w:line="276" w:lineRule="auto"/>
        <w:ind w:left="851"/>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La relación entre los derechos fundamentales básicos del sistema democrático, la seguridad sanitaria de la población y las responsabilidades de los poderes públicos y de la ciudadanía en la situación de pandemia a causa de la Covid-19 centró esta jornada de debate.</w:t>
      </w:r>
    </w:p>
    <w:p w14:paraId="4B74C3D6" w14:textId="77777777" w:rsidR="00F85300" w:rsidRPr="00F85300" w:rsidRDefault="00F85300" w:rsidP="005D34B3">
      <w:pPr>
        <w:numPr>
          <w:ilvl w:val="0"/>
          <w:numId w:val="141"/>
        </w:numPr>
        <w:spacing w:after="120" w:line="276" w:lineRule="auto"/>
        <w:ind w:left="851"/>
        <w:jc w:val="both"/>
        <w:rPr>
          <w:rFonts w:ascii="Arial" w:eastAsia="Times New Roman" w:hAnsi="Arial" w:cs="Arial"/>
          <w:i/>
          <w:sz w:val="21"/>
          <w:szCs w:val="21"/>
          <w:lang w:eastAsia="es-ES"/>
        </w:rPr>
      </w:pPr>
      <w:r w:rsidRPr="00F85300">
        <w:rPr>
          <w:rFonts w:ascii="Arial" w:eastAsia="Times New Roman" w:hAnsi="Arial" w:cs="Arial"/>
          <w:sz w:val="21"/>
          <w:szCs w:val="21"/>
          <w:lang w:eastAsia="es-ES"/>
        </w:rPr>
        <w:t>Jornada “</w:t>
      </w:r>
      <w:r w:rsidRPr="00F85300">
        <w:rPr>
          <w:rFonts w:ascii="Arial" w:eastAsia="Times New Roman" w:hAnsi="Arial" w:cs="Arial"/>
          <w:b/>
          <w:sz w:val="21"/>
          <w:szCs w:val="21"/>
          <w:lang w:eastAsia="es-ES"/>
        </w:rPr>
        <w:t>Protección de los alertadores”</w:t>
      </w:r>
      <w:r w:rsidRPr="00F85300">
        <w:rPr>
          <w:rFonts w:ascii="Arial" w:eastAsia="Times New Roman" w:hAnsi="Arial" w:cs="Arial"/>
          <w:sz w:val="21"/>
          <w:szCs w:val="21"/>
          <w:lang w:eastAsia="es-ES"/>
        </w:rPr>
        <w:t xml:space="preserve">, Torrent, 16 de noviembre. La jornada se realizó en el antiguo mercado de Torrent, con la participación de 123 personas tanto de manera presencial como </w:t>
      </w:r>
      <w:r w:rsidRPr="00F85300">
        <w:rPr>
          <w:rFonts w:ascii="Arial" w:eastAsia="Times New Roman" w:hAnsi="Arial" w:cs="Arial"/>
          <w:iCs/>
          <w:sz w:val="21"/>
          <w:szCs w:val="21"/>
          <w:lang w:eastAsia="es-ES"/>
        </w:rPr>
        <w:t>en línea.</w:t>
      </w:r>
    </w:p>
    <w:p w14:paraId="5989CDBF" w14:textId="77777777" w:rsidR="00F85300" w:rsidRPr="00F85300" w:rsidRDefault="00F85300" w:rsidP="00F85300">
      <w:pPr>
        <w:spacing w:after="240" w:line="276" w:lineRule="auto"/>
        <w:ind w:left="851"/>
        <w:jc w:val="both"/>
        <w:rPr>
          <w:rFonts w:ascii="Arial" w:eastAsia="Times New Roman" w:hAnsi="Arial" w:cs="Arial"/>
          <w:i/>
          <w:sz w:val="21"/>
          <w:szCs w:val="21"/>
          <w:lang w:eastAsia="es-ES"/>
        </w:rPr>
      </w:pPr>
      <w:r w:rsidRPr="00F85300">
        <w:rPr>
          <w:rFonts w:ascii="Arial" w:eastAsia="Times New Roman" w:hAnsi="Arial" w:cs="Arial"/>
          <w:sz w:val="21"/>
          <w:szCs w:val="21"/>
          <w:lang w:eastAsia="es-ES"/>
        </w:rPr>
        <w:t xml:space="preserve">En la Jornada se reflexionó sobre el valor y las consecuencias de la Directiva Europea 2019/1937 relativa a la protección de las personas que informen sobre infracciones del Derecho de la Unión, también conocida como Directiva </w:t>
      </w:r>
      <w:r w:rsidRPr="00F85300">
        <w:rPr>
          <w:rFonts w:ascii="Arial" w:eastAsia="Times New Roman" w:hAnsi="Arial" w:cs="Arial"/>
          <w:i/>
          <w:sz w:val="21"/>
          <w:szCs w:val="21"/>
          <w:lang w:eastAsia="es-ES"/>
        </w:rPr>
        <w:t>Whistleblowers.</w:t>
      </w:r>
    </w:p>
    <w:p w14:paraId="16A6EC89" w14:textId="77777777" w:rsidR="00F85300" w:rsidRPr="00F85300" w:rsidRDefault="00F85300" w:rsidP="00F85300">
      <w:pPr>
        <w:spacing w:after="240" w:line="276" w:lineRule="auto"/>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Con la celebración de las dos Jornadas específicas, en Llíria y Torrent, se ha llegado a más público que el que participó en las universidades estacionales singulares de 2020.</w:t>
      </w:r>
    </w:p>
    <w:p w14:paraId="1CCCF693" w14:textId="77777777" w:rsidR="00F85300" w:rsidRPr="00F85300" w:rsidRDefault="00F85300" w:rsidP="00F85300">
      <w:pPr>
        <w:spacing w:after="240" w:line="276" w:lineRule="auto"/>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 xml:space="preserve">Todas las ponencias de jornadas están a disposición de la ciudadanía en el </w:t>
      </w:r>
      <w:r w:rsidRPr="00F85300">
        <w:rPr>
          <w:rFonts w:ascii="Arial" w:eastAsia="Times New Roman" w:hAnsi="Arial" w:cs="Arial"/>
          <w:b/>
          <w:bCs/>
          <w:sz w:val="21"/>
          <w:szCs w:val="21"/>
          <w:lang w:eastAsia="es-ES"/>
        </w:rPr>
        <w:t xml:space="preserve">canal de </w:t>
      </w:r>
      <w:r w:rsidRPr="00F85300">
        <w:rPr>
          <w:rFonts w:ascii="Arial" w:eastAsia="Times New Roman" w:hAnsi="Arial" w:cs="Arial"/>
          <w:b/>
          <w:bCs/>
          <w:i/>
          <w:iCs/>
          <w:sz w:val="21"/>
          <w:szCs w:val="21"/>
          <w:lang w:eastAsia="es-ES"/>
        </w:rPr>
        <w:t>YouTube</w:t>
      </w:r>
      <w:r w:rsidRPr="00F85300">
        <w:rPr>
          <w:rFonts w:ascii="Arial" w:eastAsia="Times New Roman" w:hAnsi="Arial" w:cs="Arial"/>
          <w:sz w:val="21"/>
          <w:szCs w:val="21"/>
          <w:lang w:eastAsia="es-ES"/>
        </w:rPr>
        <w:t xml:space="preserve"> de la AVAF </w:t>
      </w:r>
      <w:r w:rsidRPr="005976FC">
        <w:rPr>
          <w:rFonts w:ascii="Arial" w:eastAsia="Times New Roman" w:hAnsi="Arial" w:cs="Arial"/>
          <w:sz w:val="18"/>
          <w:szCs w:val="18"/>
          <w:lang w:eastAsia="es-ES"/>
        </w:rPr>
        <w:t>[</w:t>
      </w:r>
      <w:hyperlink r:id="rId514" w:history="1">
        <w:r w:rsidRPr="005976FC">
          <w:rPr>
            <w:rStyle w:val="Hipervnculo"/>
            <w:rFonts w:ascii="Arial" w:eastAsia="Times New Roman" w:hAnsi="Arial" w:cs="Arial"/>
            <w:sz w:val="18"/>
            <w:szCs w:val="18"/>
            <w:lang w:eastAsia="es-ES"/>
          </w:rPr>
          <w:t>https://www.youtube.com/channel/UCkDS5OEUZu3iTEWg7gu8XXQ/featured</w:t>
        </w:r>
      </w:hyperlink>
      <w:r w:rsidRPr="005976FC">
        <w:rPr>
          <w:rFonts w:ascii="Arial" w:eastAsia="Times New Roman" w:hAnsi="Arial" w:cs="Arial"/>
          <w:sz w:val="18"/>
          <w:szCs w:val="18"/>
          <w:lang w:eastAsia="es-ES"/>
        </w:rPr>
        <w:t>]</w:t>
      </w:r>
    </w:p>
    <w:p w14:paraId="3EBA7F63" w14:textId="6FA3D396" w:rsidR="008A0C4D" w:rsidRPr="008A0C4D" w:rsidRDefault="008A0C4D" w:rsidP="008A0C4D">
      <w:pPr>
        <w:pStyle w:val="Descripcin"/>
        <w:keepNext/>
        <w:spacing w:after="80"/>
        <w:rPr>
          <w:rFonts w:ascii="Arial" w:hAnsi="Arial" w:cs="Arial"/>
          <w:smallCaps w:val="0"/>
          <w:sz w:val="18"/>
          <w:szCs w:val="18"/>
        </w:rPr>
      </w:pPr>
      <w:bookmarkStart w:id="470" w:name="_Toc99107166"/>
      <w:r w:rsidRPr="008A0C4D">
        <w:rPr>
          <w:rFonts w:ascii="Arial" w:hAnsi="Arial" w:cs="Arial"/>
          <w:smallCaps w:val="0"/>
          <w:color w:val="9D2235" w:themeColor="accent1"/>
          <w:sz w:val="18"/>
          <w:szCs w:val="18"/>
        </w:rPr>
        <w:t xml:space="preserve">Tabla </w:t>
      </w:r>
      <w:r w:rsidRPr="008A0C4D">
        <w:rPr>
          <w:rFonts w:ascii="Arial" w:hAnsi="Arial" w:cs="Arial"/>
          <w:smallCaps w:val="0"/>
          <w:color w:val="9D2235" w:themeColor="accent1"/>
          <w:sz w:val="18"/>
          <w:szCs w:val="18"/>
        </w:rPr>
        <w:fldChar w:fldCharType="begin" w:fldLock="1"/>
      </w:r>
      <w:r w:rsidRPr="008A0C4D">
        <w:rPr>
          <w:rFonts w:ascii="Arial" w:hAnsi="Arial" w:cs="Arial"/>
          <w:smallCaps w:val="0"/>
          <w:color w:val="9D2235" w:themeColor="accent1"/>
          <w:sz w:val="18"/>
          <w:szCs w:val="18"/>
        </w:rPr>
        <w:instrText xml:space="preserve"> SEQ Tabla \* ARABIC </w:instrText>
      </w:r>
      <w:r w:rsidRPr="008A0C4D">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28</w:t>
      </w:r>
      <w:r w:rsidRPr="008A0C4D">
        <w:rPr>
          <w:rFonts w:ascii="Arial" w:hAnsi="Arial" w:cs="Arial"/>
          <w:smallCaps w:val="0"/>
          <w:color w:val="9D2235" w:themeColor="accent1"/>
          <w:sz w:val="18"/>
          <w:szCs w:val="18"/>
        </w:rPr>
        <w:fldChar w:fldCharType="end"/>
      </w:r>
      <w:r w:rsidRPr="008A0C4D">
        <w:rPr>
          <w:rFonts w:ascii="Arial" w:hAnsi="Arial" w:cs="Arial"/>
          <w:smallCaps w:val="0"/>
          <w:sz w:val="18"/>
          <w:szCs w:val="18"/>
        </w:rPr>
        <w:t>. Resumen de Jornadas específicas AVAF-UV</w:t>
      </w:r>
      <w:bookmarkEnd w:id="470"/>
    </w:p>
    <w:tbl>
      <w:tblPr>
        <w:tblStyle w:val="Tablaconcuadrcula10"/>
        <w:tblW w:w="8619"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151"/>
        <w:gridCol w:w="3843"/>
        <w:gridCol w:w="1091"/>
        <w:gridCol w:w="1083"/>
        <w:gridCol w:w="1451"/>
      </w:tblGrid>
      <w:tr w:rsidR="008A0C4D" w:rsidRPr="008A0C4D" w14:paraId="6BFF3E28" w14:textId="77777777" w:rsidTr="008A0C4D">
        <w:trPr>
          <w:trHeight w:val="356"/>
        </w:trPr>
        <w:tc>
          <w:tcPr>
            <w:tcW w:w="1151" w:type="dxa"/>
            <w:shd w:val="clear" w:color="auto" w:fill="9D2235"/>
            <w:vAlign w:val="center"/>
          </w:tcPr>
          <w:p w14:paraId="6DBD1AC6" w14:textId="77777777" w:rsidR="008A0C4D" w:rsidRPr="006F483D" w:rsidRDefault="008A0C4D" w:rsidP="008A0C4D">
            <w:pPr>
              <w:rPr>
                <w:rFonts w:ascii="Arial" w:eastAsia="Times New Roman" w:hAnsi="Arial" w:cs="Arial"/>
                <w:b/>
                <w:bCs/>
                <w:color w:val="FFFFFF"/>
                <w:sz w:val="18"/>
                <w:szCs w:val="18"/>
                <w:lang w:eastAsia="es-ES"/>
              </w:rPr>
            </w:pPr>
            <w:r w:rsidRPr="006F483D">
              <w:rPr>
                <w:rFonts w:ascii="Arial" w:eastAsia="Times New Roman" w:hAnsi="Arial" w:cs="Arial"/>
                <w:b/>
                <w:bCs/>
                <w:color w:val="FFFFFF"/>
                <w:sz w:val="18"/>
                <w:szCs w:val="18"/>
                <w:lang w:eastAsia="es-ES"/>
              </w:rPr>
              <w:t>Localidad</w:t>
            </w:r>
          </w:p>
        </w:tc>
        <w:tc>
          <w:tcPr>
            <w:tcW w:w="3843" w:type="dxa"/>
            <w:shd w:val="clear" w:color="auto" w:fill="9D2235"/>
            <w:vAlign w:val="center"/>
          </w:tcPr>
          <w:p w14:paraId="0AB8FFCA" w14:textId="77777777" w:rsidR="008A0C4D" w:rsidRPr="006F483D" w:rsidRDefault="008A0C4D" w:rsidP="008A0C4D">
            <w:pPr>
              <w:rPr>
                <w:rFonts w:ascii="Arial" w:eastAsia="Times New Roman" w:hAnsi="Arial" w:cs="Arial"/>
                <w:b/>
                <w:bCs/>
                <w:color w:val="FFFFFF"/>
                <w:sz w:val="18"/>
                <w:szCs w:val="18"/>
                <w:lang w:eastAsia="es-ES"/>
              </w:rPr>
            </w:pPr>
            <w:r w:rsidRPr="006F483D">
              <w:rPr>
                <w:rFonts w:ascii="Arial" w:eastAsia="Times New Roman" w:hAnsi="Arial" w:cs="Arial"/>
                <w:b/>
                <w:bCs/>
                <w:color w:val="FFFFFF"/>
                <w:sz w:val="18"/>
                <w:szCs w:val="18"/>
                <w:lang w:eastAsia="es-ES"/>
              </w:rPr>
              <w:t>Ponencia</w:t>
            </w:r>
          </w:p>
        </w:tc>
        <w:tc>
          <w:tcPr>
            <w:tcW w:w="1091" w:type="dxa"/>
            <w:shd w:val="clear" w:color="auto" w:fill="9D2235"/>
            <w:vAlign w:val="center"/>
          </w:tcPr>
          <w:p w14:paraId="7639A48C" w14:textId="77777777" w:rsidR="008A0C4D" w:rsidRPr="006F483D" w:rsidRDefault="008A0C4D" w:rsidP="008A0C4D">
            <w:pPr>
              <w:rPr>
                <w:rFonts w:ascii="Arial" w:eastAsia="Times New Roman" w:hAnsi="Arial" w:cs="Arial"/>
                <w:b/>
                <w:bCs/>
                <w:color w:val="FFFFFF"/>
                <w:sz w:val="18"/>
                <w:szCs w:val="18"/>
                <w:lang w:eastAsia="es-ES"/>
              </w:rPr>
            </w:pPr>
            <w:r w:rsidRPr="006F483D">
              <w:rPr>
                <w:rFonts w:ascii="Arial" w:eastAsia="Times New Roman" w:hAnsi="Arial" w:cs="Arial"/>
                <w:b/>
                <w:bCs/>
                <w:color w:val="FFFFFF"/>
                <w:sz w:val="18"/>
                <w:szCs w:val="18"/>
                <w:lang w:eastAsia="es-ES"/>
              </w:rPr>
              <w:t>Fecha</w:t>
            </w:r>
          </w:p>
        </w:tc>
        <w:tc>
          <w:tcPr>
            <w:tcW w:w="1083" w:type="dxa"/>
            <w:shd w:val="clear" w:color="auto" w:fill="9D2235"/>
            <w:vAlign w:val="center"/>
          </w:tcPr>
          <w:p w14:paraId="1C6A8998" w14:textId="77777777" w:rsidR="008A0C4D" w:rsidRPr="006F483D" w:rsidRDefault="008A0C4D" w:rsidP="008A0C4D">
            <w:pPr>
              <w:rPr>
                <w:rFonts w:ascii="Arial" w:eastAsia="Times New Roman" w:hAnsi="Arial" w:cs="Arial"/>
                <w:b/>
                <w:bCs/>
                <w:color w:val="FFFFFF"/>
                <w:sz w:val="18"/>
                <w:szCs w:val="18"/>
                <w:lang w:eastAsia="es-ES"/>
              </w:rPr>
            </w:pPr>
            <w:r w:rsidRPr="006F483D">
              <w:rPr>
                <w:rFonts w:ascii="Arial" w:eastAsia="Times New Roman" w:hAnsi="Arial" w:cs="Arial"/>
                <w:b/>
                <w:bCs/>
                <w:color w:val="FFFFFF"/>
                <w:sz w:val="18"/>
                <w:szCs w:val="18"/>
                <w:lang w:eastAsia="es-ES"/>
              </w:rPr>
              <w:t>Duración</w:t>
            </w:r>
          </w:p>
        </w:tc>
        <w:tc>
          <w:tcPr>
            <w:tcW w:w="1451" w:type="dxa"/>
            <w:shd w:val="clear" w:color="auto" w:fill="9D2235"/>
            <w:vAlign w:val="center"/>
          </w:tcPr>
          <w:p w14:paraId="3E2D5413" w14:textId="77777777" w:rsidR="008A0C4D" w:rsidRPr="006F483D" w:rsidRDefault="008A0C4D" w:rsidP="008A0C4D">
            <w:pPr>
              <w:rPr>
                <w:rFonts w:ascii="Arial" w:eastAsia="Times New Roman" w:hAnsi="Arial" w:cs="Arial"/>
                <w:b/>
                <w:bCs/>
                <w:color w:val="FFFFFF"/>
                <w:sz w:val="18"/>
                <w:szCs w:val="18"/>
                <w:lang w:eastAsia="es-ES"/>
              </w:rPr>
            </w:pPr>
            <w:r w:rsidRPr="006F483D">
              <w:rPr>
                <w:rFonts w:ascii="Arial" w:eastAsia="Times New Roman" w:hAnsi="Arial" w:cs="Arial"/>
                <w:b/>
                <w:bCs/>
                <w:color w:val="FFFFFF"/>
                <w:sz w:val="18"/>
                <w:szCs w:val="18"/>
                <w:lang w:eastAsia="es-ES"/>
              </w:rPr>
              <w:t>Participan</w:t>
            </w:r>
          </w:p>
        </w:tc>
      </w:tr>
      <w:tr w:rsidR="008A0C4D" w:rsidRPr="008A0C4D" w14:paraId="0C96E79D" w14:textId="77777777" w:rsidTr="008A0C4D">
        <w:trPr>
          <w:trHeight w:val="567"/>
        </w:trPr>
        <w:tc>
          <w:tcPr>
            <w:tcW w:w="1151" w:type="dxa"/>
            <w:vAlign w:val="center"/>
          </w:tcPr>
          <w:p w14:paraId="3A007BE5" w14:textId="77777777" w:rsidR="008A0C4D" w:rsidRPr="006F483D" w:rsidRDefault="008A0C4D" w:rsidP="008A0C4D">
            <w:pPr>
              <w:rPr>
                <w:rFonts w:ascii="Arial" w:hAnsi="Arial" w:cs="Arial"/>
                <w:sz w:val="18"/>
                <w:szCs w:val="18"/>
              </w:rPr>
            </w:pPr>
            <w:r w:rsidRPr="006F483D">
              <w:rPr>
                <w:rFonts w:ascii="Arial" w:hAnsi="Arial" w:cs="Arial"/>
                <w:sz w:val="18"/>
                <w:szCs w:val="18"/>
              </w:rPr>
              <w:t>Llíria</w:t>
            </w:r>
          </w:p>
        </w:tc>
        <w:tc>
          <w:tcPr>
            <w:tcW w:w="3843" w:type="dxa"/>
            <w:vAlign w:val="center"/>
          </w:tcPr>
          <w:p w14:paraId="3F9DC14E" w14:textId="77777777" w:rsidR="008A0C4D" w:rsidRPr="006F483D" w:rsidRDefault="008A0C4D" w:rsidP="008A0C4D">
            <w:pPr>
              <w:rPr>
                <w:rFonts w:ascii="Arial" w:hAnsi="Arial" w:cs="Arial"/>
                <w:sz w:val="18"/>
                <w:szCs w:val="18"/>
              </w:rPr>
            </w:pPr>
            <w:r w:rsidRPr="006F483D">
              <w:rPr>
                <w:rFonts w:ascii="Arial" w:hAnsi="Arial" w:cs="Arial"/>
                <w:sz w:val="18"/>
                <w:szCs w:val="18"/>
              </w:rPr>
              <w:t>Covid-19, derechos y responsabilidades</w:t>
            </w:r>
          </w:p>
        </w:tc>
        <w:tc>
          <w:tcPr>
            <w:tcW w:w="1091" w:type="dxa"/>
            <w:vAlign w:val="center"/>
          </w:tcPr>
          <w:p w14:paraId="220DA142" w14:textId="77777777" w:rsidR="008A0C4D" w:rsidRPr="006F483D" w:rsidRDefault="008A0C4D" w:rsidP="008A0C4D">
            <w:pPr>
              <w:jc w:val="center"/>
              <w:rPr>
                <w:rFonts w:ascii="Arial" w:hAnsi="Arial" w:cs="Arial"/>
                <w:sz w:val="18"/>
                <w:szCs w:val="18"/>
              </w:rPr>
            </w:pPr>
            <w:r w:rsidRPr="006F483D">
              <w:rPr>
                <w:rFonts w:ascii="Arial" w:hAnsi="Arial" w:cs="Arial"/>
                <w:sz w:val="18"/>
                <w:szCs w:val="18"/>
              </w:rPr>
              <w:t>6-may</w:t>
            </w:r>
          </w:p>
        </w:tc>
        <w:tc>
          <w:tcPr>
            <w:tcW w:w="1083" w:type="dxa"/>
            <w:vAlign w:val="center"/>
          </w:tcPr>
          <w:p w14:paraId="7FF0253C" w14:textId="77777777" w:rsidR="008A0C4D" w:rsidRPr="006F483D" w:rsidRDefault="008A0C4D" w:rsidP="008A0C4D">
            <w:pPr>
              <w:jc w:val="center"/>
              <w:rPr>
                <w:rFonts w:ascii="Arial" w:hAnsi="Arial" w:cs="Arial"/>
                <w:sz w:val="18"/>
                <w:szCs w:val="18"/>
              </w:rPr>
            </w:pPr>
            <w:r w:rsidRPr="006F483D">
              <w:rPr>
                <w:rFonts w:ascii="Arial" w:hAnsi="Arial" w:cs="Arial"/>
                <w:sz w:val="18"/>
                <w:szCs w:val="18"/>
              </w:rPr>
              <w:t>5 horas</w:t>
            </w:r>
          </w:p>
        </w:tc>
        <w:tc>
          <w:tcPr>
            <w:tcW w:w="1451" w:type="dxa"/>
            <w:vAlign w:val="center"/>
          </w:tcPr>
          <w:p w14:paraId="3AD15AD8" w14:textId="77777777" w:rsidR="008A0C4D" w:rsidRPr="006F483D" w:rsidRDefault="008A0C4D" w:rsidP="008A0C4D">
            <w:pPr>
              <w:jc w:val="center"/>
              <w:rPr>
                <w:rFonts w:ascii="Arial" w:hAnsi="Arial" w:cs="Arial"/>
                <w:sz w:val="18"/>
                <w:szCs w:val="18"/>
              </w:rPr>
            </w:pPr>
            <w:r w:rsidRPr="006F483D">
              <w:rPr>
                <w:rFonts w:ascii="Arial" w:hAnsi="Arial" w:cs="Arial"/>
                <w:sz w:val="18"/>
                <w:szCs w:val="18"/>
              </w:rPr>
              <w:t>110</w:t>
            </w:r>
          </w:p>
        </w:tc>
      </w:tr>
      <w:tr w:rsidR="008A0C4D" w:rsidRPr="008A0C4D" w14:paraId="65101466" w14:textId="77777777" w:rsidTr="008A0C4D">
        <w:trPr>
          <w:trHeight w:val="567"/>
        </w:trPr>
        <w:tc>
          <w:tcPr>
            <w:tcW w:w="1151" w:type="dxa"/>
            <w:vAlign w:val="center"/>
          </w:tcPr>
          <w:p w14:paraId="14402F08" w14:textId="77777777" w:rsidR="008A0C4D" w:rsidRPr="006F483D" w:rsidRDefault="008A0C4D" w:rsidP="008A0C4D">
            <w:pPr>
              <w:rPr>
                <w:rFonts w:ascii="Arial" w:hAnsi="Arial" w:cs="Arial"/>
                <w:sz w:val="18"/>
                <w:szCs w:val="18"/>
              </w:rPr>
            </w:pPr>
            <w:r w:rsidRPr="006F483D">
              <w:rPr>
                <w:rFonts w:ascii="Arial" w:hAnsi="Arial" w:cs="Arial"/>
                <w:sz w:val="18"/>
                <w:szCs w:val="18"/>
              </w:rPr>
              <w:t>Torrent</w:t>
            </w:r>
          </w:p>
        </w:tc>
        <w:tc>
          <w:tcPr>
            <w:tcW w:w="3843" w:type="dxa"/>
            <w:vAlign w:val="center"/>
          </w:tcPr>
          <w:p w14:paraId="7D58F3D5" w14:textId="77777777" w:rsidR="008A0C4D" w:rsidRPr="006F483D" w:rsidRDefault="008A0C4D" w:rsidP="008A0C4D">
            <w:pPr>
              <w:rPr>
                <w:rFonts w:ascii="Arial" w:hAnsi="Arial" w:cs="Arial"/>
                <w:sz w:val="18"/>
                <w:szCs w:val="18"/>
              </w:rPr>
            </w:pPr>
            <w:r w:rsidRPr="006F483D">
              <w:rPr>
                <w:rFonts w:ascii="Arial" w:hAnsi="Arial" w:cs="Arial"/>
                <w:sz w:val="18"/>
                <w:szCs w:val="18"/>
              </w:rPr>
              <w:t>Protección de Alertadores</w:t>
            </w:r>
          </w:p>
        </w:tc>
        <w:tc>
          <w:tcPr>
            <w:tcW w:w="1091" w:type="dxa"/>
            <w:vAlign w:val="center"/>
          </w:tcPr>
          <w:p w14:paraId="588F3FD8" w14:textId="77777777" w:rsidR="008A0C4D" w:rsidRPr="006F483D" w:rsidRDefault="008A0C4D" w:rsidP="008A0C4D">
            <w:pPr>
              <w:jc w:val="center"/>
              <w:rPr>
                <w:rFonts w:ascii="Arial" w:hAnsi="Arial" w:cs="Arial"/>
                <w:sz w:val="18"/>
                <w:szCs w:val="18"/>
              </w:rPr>
            </w:pPr>
            <w:r w:rsidRPr="006F483D">
              <w:rPr>
                <w:rFonts w:ascii="Arial" w:hAnsi="Arial" w:cs="Arial"/>
                <w:sz w:val="18"/>
                <w:szCs w:val="18"/>
              </w:rPr>
              <w:t>16-nov</w:t>
            </w:r>
          </w:p>
        </w:tc>
        <w:tc>
          <w:tcPr>
            <w:tcW w:w="1083" w:type="dxa"/>
            <w:vAlign w:val="center"/>
          </w:tcPr>
          <w:p w14:paraId="0A9118EA" w14:textId="77777777" w:rsidR="008A0C4D" w:rsidRPr="006F483D" w:rsidRDefault="008A0C4D" w:rsidP="008A0C4D">
            <w:pPr>
              <w:jc w:val="center"/>
              <w:rPr>
                <w:rFonts w:ascii="Arial" w:hAnsi="Arial" w:cs="Arial"/>
                <w:sz w:val="18"/>
                <w:szCs w:val="18"/>
              </w:rPr>
            </w:pPr>
            <w:r w:rsidRPr="006F483D">
              <w:rPr>
                <w:rFonts w:ascii="Arial" w:hAnsi="Arial" w:cs="Arial"/>
                <w:sz w:val="18"/>
                <w:szCs w:val="18"/>
              </w:rPr>
              <w:t>5 horas</w:t>
            </w:r>
          </w:p>
        </w:tc>
        <w:tc>
          <w:tcPr>
            <w:tcW w:w="1451" w:type="dxa"/>
            <w:vAlign w:val="center"/>
          </w:tcPr>
          <w:p w14:paraId="7B757B82" w14:textId="77777777" w:rsidR="008A0C4D" w:rsidRPr="006F483D" w:rsidRDefault="008A0C4D" w:rsidP="008A0C4D">
            <w:pPr>
              <w:jc w:val="center"/>
              <w:rPr>
                <w:rFonts w:ascii="Arial" w:hAnsi="Arial" w:cs="Arial"/>
                <w:sz w:val="18"/>
                <w:szCs w:val="18"/>
              </w:rPr>
            </w:pPr>
            <w:r w:rsidRPr="006F483D">
              <w:rPr>
                <w:rFonts w:ascii="Arial" w:hAnsi="Arial" w:cs="Arial"/>
                <w:sz w:val="18"/>
                <w:szCs w:val="18"/>
              </w:rPr>
              <w:t>123</w:t>
            </w:r>
          </w:p>
        </w:tc>
      </w:tr>
      <w:tr w:rsidR="008A0C4D" w:rsidRPr="008A0C4D" w14:paraId="5EEE2E38" w14:textId="77777777" w:rsidTr="008A0C4D">
        <w:trPr>
          <w:trHeight w:val="464"/>
        </w:trPr>
        <w:tc>
          <w:tcPr>
            <w:tcW w:w="6085" w:type="dxa"/>
            <w:gridSpan w:val="3"/>
            <w:shd w:val="clear" w:color="auto" w:fill="D9D9D9"/>
            <w:vAlign w:val="center"/>
          </w:tcPr>
          <w:p w14:paraId="34EB75BB" w14:textId="77777777" w:rsidR="008A0C4D" w:rsidRPr="006F483D" w:rsidRDefault="008A0C4D" w:rsidP="008A0C4D">
            <w:pPr>
              <w:jc w:val="right"/>
              <w:rPr>
                <w:rFonts w:ascii="Arial" w:hAnsi="Arial" w:cs="Arial"/>
                <w:b/>
                <w:sz w:val="18"/>
                <w:szCs w:val="18"/>
              </w:rPr>
            </w:pPr>
            <w:r w:rsidRPr="006F483D">
              <w:rPr>
                <w:rFonts w:ascii="Arial" w:hAnsi="Arial" w:cs="Arial"/>
                <w:b/>
                <w:sz w:val="18"/>
                <w:szCs w:val="18"/>
              </w:rPr>
              <w:t>Total Jornadas específicas AVAF-UV</w:t>
            </w:r>
          </w:p>
        </w:tc>
        <w:tc>
          <w:tcPr>
            <w:tcW w:w="1083" w:type="dxa"/>
            <w:shd w:val="clear" w:color="auto" w:fill="D9D9D9"/>
            <w:vAlign w:val="center"/>
          </w:tcPr>
          <w:p w14:paraId="48105742" w14:textId="77777777" w:rsidR="008A0C4D" w:rsidRPr="006F483D" w:rsidRDefault="008A0C4D" w:rsidP="008A0C4D">
            <w:pPr>
              <w:jc w:val="center"/>
              <w:rPr>
                <w:rFonts w:ascii="Arial" w:hAnsi="Arial" w:cs="Arial"/>
                <w:sz w:val="18"/>
                <w:szCs w:val="18"/>
              </w:rPr>
            </w:pPr>
            <w:r w:rsidRPr="006F483D">
              <w:rPr>
                <w:rFonts w:ascii="Arial" w:hAnsi="Arial" w:cs="Arial"/>
                <w:b/>
                <w:sz w:val="18"/>
                <w:szCs w:val="18"/>
              </w:rPr>
              <w:t>10 horas</w:t>
            </w:r>
          </w:p>
        </w:tc>
        <w:tc>
          <w:tcPr>
            <w:tcW w:w="1451" w:type="dxa"/>
            <w:shd w:val="clear" w:color="auto" w:fill="D9D9D9"/>
            <w:vAlign w:val="center"/>
          </w:tcPr>
          <w:p w14:paraId="35F04E07" w14:textId="36BC0AAD" w:rsidR="008A0C4D" w:rsidRPr="006F483D" w:rsidRDefault="008A0C4D" w:rsidP="008A0C4D">
            <w:pPr>
              <w:jc w:val="center"/>
              <w:rPr>
                <w:rFonts w:ascii="Arial" w:hAnsi="Arial" w:cs="Arial"/>
                <w:sz w:val="18"/>
                <w:szCs w:val="18"/>
              </w:rPr>
            </w:pPr>
            <w:r w:rsidRPr="006F483D">
              <w:rPr>
                <w:rFonts w:ascii="Arial" w:hAnsi="Arial" w:cs="Arial"/>
                <w:b/>
                <w:sz w:val="18"/>
                <w:szCs w:val="18"/>
              </w:rPr>
              <w:t xml:space="preserve">233 </w:t>
            </w:r>
          </w:p>
        </w:tc>
      </w:tr>
    </w:tbl>
    <w:p w14:paraId="2E8BA393" w14:textId="77777777" w:rsidR="008A0C4D" w:rsidRPr="008A0C4D" w:rsidRDefault="008A0C4D" w:rsidP="00211FE5">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4"/>
          <w:szCs w:val="24"/>
          <w:lang w:eastAsia="es-ES"/>
        </w:rPr>
      </w:pPr>
      <w:r w:rsidRPr="008A0C4D">
        <w:rPr>
          <w:rFonts w:ascii="Arial" w:eastAsia="Times New Roman" w:hAnsi="Arial" w:cs="Arial"/>
          <w:b/>
          <w:bCs/>
          <w:color w:val="9D2235" w:themeColor="accent1"/>
          <w:sz w:val="24"/>
          <w:szCs w:val="24"/>
          <w:lang w:eastAsia="es-ES"/>
        </w:rPr>
        <w:t>Creación de vídeos documentales - Docufórum</w:t>
      </w:r>
    </w:p>
    <w:p w14:paraId="1CE9BF91" w14:textId="77777777" w:rsidR="00F85300" w:rsidRPr="00F85300" w:rsidRDefault="00F85300" w:rsidP="00F85300">
      <w:pPr>
        <w:spacing w:after="240" w:line="276" w:lineRule="auto"/>
        <w:jc w:val="both"/>
        <w:rPr>
          <w:rFonts w:ascii="Arial" w:eastAsia="Times New Roman" w:hAnsi="Arial" w:cs="Arial"/>
          <w:b/>
          <w:sz w:val="21"/>
          <w:szCs w:val="21"/>
          <w:lang w:eastAsia="es-ES"/>
        </w:rPr>
      </w:pPr>
      <w:r w:rsidRPr="00F85300">
        <w:rPr>
          <w:rFonts w:ascii="Arial" w:eastAsia="Times New Roman" w:hAnsi="Arial" w:cs="Arial"/>
          <w:b/>
          <w:sz w:val="21"/>
          <w:szCs w:val="21"/>
          <w:lang w:eastAsia="es-ES"/>
        </w:rPr>
        <w:t>Documental “Conflicto de interés”</w:t>
      </w:r>
    </w:p>
    <w:p w14:paraId="4E66E3F5" w14:textId="5AE9357D" w:rsidR="00F85300" w:rsidRPr="00F85300" w:rsidRDefault="00F85300" w:rsidP="00F85300">
      <w:pPr>
        <w:spacing w:after="240" w:line="276" w:lineRule="auto"/>
        <w:jc w:val="both"/>
        <w:rPr>
          <w:rFonts w:ascii="Arial" w:eastAsia="Times New Roman" w:hAnsi="Arial" w:cs="Arial"/>
          <w:bCs/>
          <w:sz w:val="21"/>
          <w:szCs w:val="21"/>
          <w:lang w:eastAsia="es-ES"/>
        </w:rPr>
      </w:pPr>
      <w:r w:rsidRPr="00F85300">
        <w:rPr>
          <w:rFonts w:ascii="Arial" w:eastAsia="Times New Roman" w:hAnsi="Arial" w:cs="Arial"/>
          <w:bCs/>
          <w:sz w:val="21"/>
          <w:szCs w:val="21"/>
          <w:lang w:eastAsia="es-ES"/>
        </w:rPr>
        <w:t xml:space="preserve">Dentro del marco del convenio de colaboración con la Universidad de València, se ha realizado un documental </w:t>
      </w:r>
      <w:r w:rsidRPr="00F85300">
        <w:rPr>
          <w:rFonts w:ascii="Arial" w:eastAsia="Times New Roman" w:hAnsi="Arial" w:cs="Arial"/>
          <w:bCs/>
          <w:i/>
          <w:sz w:val="21"/>
          <w:szCs w:val="21"/>
          <w:lang w:eastAsia="es-ES"/>
        </w:rPr>
        <w:t>Los</w:t>
      </w:r>
      <w:r w:rsidRPr="00F85300">
        <w:rPr>
          <w:rFonts w:ascii="Arial" w:eastAsia="Times New Roman" w:hAnsi="Arial" w:cs="Arial"/>
          <w:bCs/>
          <w:sz w:val="21"/>
          <w:szCs w:val="21"/>
          <w:lang w:eastAsia="es-ES"/>
        </w:rPr>
        <w:t xml:space="preserve"> c</w:t>
      </w:r>
      <w:r w:rsidRPr="00F85300">
        <w:rPr>
          <w:rFonts w:ascii="Arial" w:eastAsia="Times New Roman" w:hAnsi="Arial" w:cs="Arial"/>
          <w:bCs/>
          <w:i/>
          <w:iCs/>
          <w:sz w:val="21"/>
          <w:szCs w:val="21"/>
          <w:lang w:eastAsia="es-ES"/>
        </w:rPr>
        <w:t>onflictos de interés y la integridad pública</w:t>
      </w:r>
      <w:r w:rsidRPr="00F85300">
        <w:rPr>
          <w:rFonts w:ascii="Arial" w:eastAsia="Times New Roman" w:hAnsi="Arial" w:cs="Arial"/>
          <w:bCs/>
          <w:sz w:val="21"/>
          <w:szCs w:val="21"/>
          <w:lang w:eastAsia="es-ES"/>
        </w:rPr>
        <w:t xml:space="preserve"> [</w:t>
      </w:r>
      <w:hyperlink r:id="rId515" w:history="1">
        <w:r w:rsidRPr="00F85300">
          <w:rPr>
            <w:rStyle w:val="Hipervnculo"/>
            <w:rFonts w:ascii="Arial" w:eastAsia="Times New Roman" w:hAnsi="Arial" w:cs="Arial"/>
            <w:bCs/>
            <w:sz w:val="21"/>
            <w:szCs w:val="21"/>
            <w:lang w:eastAsia="es-ES"/>
          </w:rPr>
          <w:t>https://youtu.be/F65q4Z3Yu9w</w:t>
        </w:r>
      </w:hyperlink>
      <w:r w:rsidRPr="00F85300">
        <w:rPr>
          <w:rFonts w:ascii="Arial" w:eastAsia="Times New Roman" w:hAnsi="Arial" w:cs="Arial"/>
          <w:bCs/>
          <w:sz w:val="21"/>
          <w:szCs w:val="21"/>
          <w:lang w:eastAsia="es-ES"/>
        </w:rPr>
        <w:t>]. Documental de 20 minutos y 3 píldoras extraídas del documental. Materiales editados tanto en valenciano como en castellano, disponibles en el canal de YouTube de la Agencia  [</w:t>
      </w:r>
      <w:hyperlink r:id="rId516" w:history="1">
        <w:r w:rsidRPr="00F85300">
          <w:rPr>
            <w:rStyle w:val="Hipervnculo"/>
            <w:rFonts w:ascii="Arial" w:eastAsia="Times New Roman" w:hAnsi="Arial" w:cs="Arial"/>
            <w:bCs/>
            <w:sz w:val="21"/>
            <w:szCs w:val="21"/>
            <w:lang w:eastAsia="es-ES"/>
          </w:rPr>
          <w:t>https://www.youtube.com/channel/UCkDS5OEUZu3iTEWg7gu8XXQ/videos</w:t>
        </w:r>
      </w:hyperlink>
      <w:r w:rsidRPr="00F85300">
        <w:rPr>
          <w:rFonts w:ascii="Arial" w:eastAsia="Times New Roman" w:hAnsi="Arial" w:cs="Arial"/>
          <w:bCs/>
          <w:sz w:val="21"/>
          <w:szCs w:val="21"/>
          <w:lang w:eastAsia="es-ES"/>
        </w:rPr>
        <w:t>]</w:t>
      </w:r>
    </w:p>
    <w:p w14:paraId="71F9258B" w14:textId="77777777" w:rsidR="00211FE5" w:rsidRPr="00211FE5" w:rsidRDefault="00211FE5" w:rsidP="00211FE5">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71" w:name="_Toc99107113"/>
      <w:r w:rsidRPr="00211FE5">
        <w:rPr>
          <w:rFonts w:ascii="Arial" w:eastAsia="Times New Roman" w:hAnsi="Arial" w:cs="Arial"/>
          <w:b/>
          <w:bCs/>
          <w:color w:val="9D2235" w:themeColor="accent1"/>
          <w:sz w:val="28"/>
          <w:szCs w:val="28"/>
          <w:lang w:eastAsia="es-ES"/>
        </w:rPr>
        <w:t>Colaboraciones con diferentes instituciones</w:t>
      </w:r>
      <w:bookmarkEnd w:id="471"/>
    </w:p>
    <w:p w14:paraId="2157D23A" w14:textId="0B8E6C84" w:rsidR="00F85300" w:rsidRPr="00F85300" w:rsidRDefault="00F85300" w:rsidP="00F85300">
      <w:pPr>
        <w:spacing w:after="240" w:line="276" w:lineRule="auto"/>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 xml:space="preserve">Durante 2021 ha sido voluntad de la Agencia continuar consolidando las relaciones con las universidades y otras instituciones. </w:t>
      </w:r>
    </w:p>
    <w:p w14:paraId="4128BD88" w14:textId="6431BD2D" w:rsidR="00F85300" w:rsidRPr="00F85300" w:rsidRDefault="00F85300" w:rsidP="00F85300">
      <w:pPr>
        <w:spacing w:after="240" w:line="276" w:lineRule="auto"/>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Más allá de los convenios ya suscritos, se han establecido colaboraciones con diferentes instituciones del ámbito universitario y administraciones públicas para favorecer mediante acciones formativas un sistema de integridad pública. En este sentido, como hemos indicado, a lo largo de 2021, se han realizado actividades formativas con todas las universidades públicas de la Comuni</w:t>
      </w:r>
      <w:r w:rsidR="008C1237">
        <w:rPr>
          <w:rFonts w:ascii="Arial" w:eastAsia="Times New Roman" w:hAnsi="Arial" w:cs="Arial"/>
          <w:sz w:val="21"/>
          <w:szCs w:val="21"/>
          <w:lang w:eastAsia="es-ES"/>
        </w:rPr>
        <w:t>tat</w:t>
      </w:r>
      <w:r w:rsidRPr="00F85300">
        <w:rPr>
          <w:rFonts w:ascii="Arial" w:eastAsia="Times New Roman" w:hAnsi="Arial" w:cs="Arial"/>
          <w:sz w:val="21"/>
          <w:szCs w:val="21"/>
          <w:lang w:eastAsia="es-ES"/>
        </w:rPr>
        <w:t xml:space="preserve"> Valenciana, así como con la CEU Cardenal Herrera, la Fundación Universidad-Empresa (ADEIT) de la Universidad de València, así como con el Observatorio de Transparencia y Buen Gobierno de la Universidad Jaume I. </w:t>
      </w:r>
    </w:p>
    <w:p w14:paraId="52FBE8AA" w14:textId="77777777" w:rsidR="00F85300" w:rsidRPr="00F85300" w:rsidRDefault="00F85300" w:rsidP="00F85300">
      <w:pPr>
        <w:spacing w:after="240" w:line="276" w:lineRule="auto"/>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 xml:space="preserve">La Agencia también ha colaborado con la Fundación NovaGob, ecosistema de innovación pública para Iberoamérica, con una conferencia en el VIII Congreso NovaGob de Innovación Pública, en Zaragoza (en línea). Del mismo modo, ha estado presente en Madrid, con una conferencia en el XI Congreso Nacional de Innovación y Servicios Públicos (CNIS) y con el Instituto Trivium con una conferencia en línea. </w:t>
      </w:r>
    </w:p>
    <w:p w14:paraId="2519AEEE" w14:textId="42DE2D86" w:rsidR="00F85300" w:rsidRPr="00F85300" w:rsidRDefault="00F85300" w:rsidP="00F85300">
      <w:pPr>
        <w:spacing w:after="240" w:line="276" w:lineRule="auto"/>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En 2021 se ha establecido, asimismo, una colaboración estrecha con la Conselleria de Participación, Transparencia, Cooperación y Calidad Democrática de la Generalitat Valenciana y la Federación Valenciana de Municipios y Provincias</w:t>
      </w:r>
      <w:r w:rsidR="00300DFC">
        <w:rPr>
          <w:rFonts w:ascii="Arial" w:eastAsia="Times New Roman" w:hAnsi="Arial" w:cs="Arial"/>
          <w:sz w:val="21"/>
          <w:szCs w:val="21"/>
          <w:lang w:eastAsia="es-ES"/>
        </w:rPr>
        <w:t>,</w:t>
      </w:r>
      <w:r w:rsidRPr="00F85300">
        <w:rPr>
          <w:rFonts w:ascii="Arial" w:eastAsia="Times New Roman" w:hAnsi="Arial" w:cs="Arial"/>
          <w:sz w:val="21"/>
          <w:szCs w:val="21"/>
          <w:lang w:eastAsia="es-ES"/>
        </w:rPr>
        <w:t xml:space="preserve"> que se ha traducido, en la Jornada de Planes </w:t>
      </w:r>
      <w:r w:rsidR="00300DFC">
        <w:rPr>
          <w:rFonts w:ascii="Arial" w:eastAsia="Times New Roman" w:hAnsi="Arial" w:cs="Arial"/>
          <w:sz w:val="21"/>
          <w:szCs w:val="21"/>
          <w:lang w:eastAsia="es-ES"/>
        </w:rPr>
        <w:t>A</w:t>
      </w:r>
      <w:r w:rsidRPr="00F85300">
        <w:rPr>
          <w:rFonts w:ascii="Arial" w:eastAsia="Times New Roman" w:hAnsi="Arial" w:cs="Arial"/>
          <w:sz w:val="21"/>
          <w:szCs w:val="21"/>
          <w:lang w:eastAsia="es-ES"/>
        </w:rPr>
        <w:t>ntifraude en la gestión del Plan de Recuperación, Transformación y Resiliencia, celebrada el 21 de diciembre, antes citada.</w:t>
      </w:r>
    </w:p>
    <w:p w14:paraId="0C183D87" w14:textId="750883E6" w:rsidR="00F85300" w:rsidRPr="00211FE5" w:rsidRDefault="00F85300" w:rsidP="00F85300">
      <w:pPr>
        <w:spacing w:after="240" w:line="276" w:lineRule="auto"/>
        <w:jc w:val="both"/>
        <w:rPr>
          <w:rFonts w:ascii="Arial" w:eastAsia="Times New Roman" w:hAnsi="Arial" w:cs="Arial"/>
          <w:sz w:val="21"/>
          <w:szCs w:val="21"/>
          <w:lang w:eastAsia="es-ES"/>
        </w:rPr>
      </w:pPr>
      <w:r w:rsidRPr="00F85300">
        <w:rPr>
          <w:rFonts w:ascii="Arial" w:eastAsia="Times New Roman" w:hAnsi="Arial" w:cs="Arial"/>
          <w:sz w:val="21"/>
          <w:szCs w:val="21"/>
          <w:lang w:eastAsia="es-ES"/>
        </w:rPr>
        <w:t xml:space="preserve">Voluntad colaborativa que en 2021 también se ha materializado, como se ha indicado, en colaboraciones con el INAP y las diputaciones provinciales valencianas </w:t>
      </w:r>
      <w:r w:rsidRPr="003416AE">
        <w:rPr>
          <w:rFonts w:ascii="Arial" w:eastAsia="Times New Roman" w:hAnsi="Arial" w:cs="Arial"/>
          <w:sz w:val="21"/>
          <w:szCs w:val="21"/>
          <w:lang w:eastAsia="es-ES"/>
        </w:rPr>
        <w:t xml:space="preserve">(Gráfico </w:t>
      </w:r>
      <w:r w:rsidR="000E5FE5" w:rsidRPr="003416AE">
        <w:rPr>
          <w:rFonts w:ascii="Arial" w:eastAsia="Times New Roman" w:hAnsi="Arial" w:cs="Arial"/>
          <w:sz w:val="21"/>
          <w:szCs w:val="21"/>
          <w:lang w:eastAsia="es-ES"/>
        </w:rPr>
        <w:t>3</w:t>
      </w:r>
      <w:r w:rsidR="006F483D" w:rsidRPr="003416AE">
        <w:rPr>
          <w:rFonts w:ascii="Arial" w:eastAsia="Times New Roman" w:hAnsi="Arial" w:cs="Arial"/>
          <w:sz w:val="21"/>
          <w:szCs w:val="21"/>
          <w:lang w:eastAsia="es-ES"/>
        </w:rPr>
        <w:t>4</w:t>
      </w:r>
      <w:r w:rsidRPr="003416AE">
        <w:rPr>
          <w:rFonts w:ascii="Arial" w:eastAsia="Times New Roman" w:hAnsi="Arial" w:cs="Arial"/>
          <w:sz w:val="21"/>
          <w:szCs w:val="21"/>
          <w:lang w:eastAsia="es-ES"/>
        </w:rPr>
        <w:t>).</w:t>
      </w:r>
    </w:p>
    <w:p w14:paraId="7986CF45" w14:textId="77777777" w:rsidR="001772C2" w:rsidRDefault="001772C2" w:rsidP="000D576F">
      <w:pPr>
        <w:keepNext/>
        <w:spacing w:after="80" w:line="276" w:lineRule="auto"/>
        <w:jc w:val="center"/>
      </w:pPr>
      <w:r w:rsidRPr="001772C2">
        <w:rPr>
          <w:rFonts w:ascii="Arial" w:eastAsia="Calibri" w:hAnsi="Arial" w:cs="Arial"/>
          <w:noProof/>
          <w:sz w:val="21"/>
          <w:szCs w:val="21"/>
        </w:rPr>
        <w:drawing>
          <wp:inline distT="0" distB="0" distL="0" distR="0" wp14:anchorId="4D2F3183" wp14:editId="268B51F2">
            <wp:extent cx="5347411" cy="3254278"/>
            <wp:effectExtent l="0" t="0" r="5715" b="3810"/>
            <wp:docPr id="3" name="Imagen 3"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Gráfico, Gráfico de burbujas&#10;&#10;Descripción generada automáticamente"/>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5360631" cy="3262323"/>
                    </a:xfrm>
                    <a:prstGeom prst="rect">
                      <a:avLst/>
                    </a:prstGeom>
                    <a:noFill/>
                  </pic:spPr>
                </pic:pic>
              </a:graphicData>
            </a:graphic>
          </wp:inline>
        </w:drawing>
      </w:r>
    </w:p>
    <w:p w14:paraId="33FA15B6" w14:textId="20CD5B81" w:rsidR="007D6A10" w:rsidRPr="000D576F" w:rsidRDefault="001772C2" w:rsidP="000D576F">
      <w:pPr>
        <w:pStyle w:val="Descripcin"/>
        <w:spacing w:after="240" w:line="276" w:lineRule="auto"/>
        <w:jc w:val="center"/>
        <w:rPr>
          <w:rFonts w:ascii="Arial" w:eastAsia="Times New Roman" w:hAnsi="Arial" w:cs="Arial"/>
          <w:smallCaps w:val="0"/>
          <w:sz w:val="18"/>
          <w:szCs w:val="18"/>
          <w:lang w:eastAsia="es-ES"/>
        </w:rPr>
      </w:pPr>
      <w:bookmarkStart w:id="472" w:name="_Toc99099833"/>
      <w:r w:rsidRPr="000D576F">
        <w:rPr>
          <w:rFonts w:ascii="Arial" w:hAnsi="Arial" w:cs="Arial"/>
          <w:smallCaps w:val="0"/>
          <w:color w:val="9D2235" w:themeColor="accent1"/>
          <w:sz w:val="18"/>
          <w:szCs w:val="18"/>
        </w:rPr>
        <w:t xml:space="preserve">Gráfico </w:t>
      </w:r>
      <w:r w:rsidRPr="000D576F">
        <w:rPr>
          <w:rFonts w:ascii="Arial" w:hAnsi="Arial" w:cs="Arial"/>
          <w:smallCaps w:val="0"/>
          <w:color w:val="9D2235" w:themeColor="accent1"/>
          <w:sz w:val="18"/>
          <w:szCs w:val="18"/>
        </w:rPr>
        <w:fldChar w:fldCharType="begin" w:fldLock="1"/>
      </w:r>
      <w:r w:rsidRPr="000D576F">
        <w:rPr>
          <w:rFonts w:ascii="Arial" w:hAnsi="Arial" w:cs="Arial"/>
          <w:smallCaps w:val="0"/>
          <w:color w:val="9D2235" w:themeColor="accent1"/>
          <w:sz w:val="18"/>
          <w:szCs w:val="18"/>
        </w:rPr>
        <w:instrText xml:space="preserve"> SEQ Gráfico \* ARABIC </w:instrText>
      </w:r>
      <w:r w:rsidRPr="000D576F">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34</w:t>
      </w:r>
      <w:r w:rsidRPr="000D576F">
        <w:rPr>
          <w:rFonts w:ascii="Arial" w:hAnsi="Arial" w:cs="Arial"/>
          <w:smallCaps w:val="0"/>
          <w:color w:val="9D2235" w:themeColor="accent1"/>
          <w:sz w:val="18"/>
          <w:szCs w:val="18"/>
        </w:rPr>
        <w:fldChar w:fldCharType="end"/>
      </w:r>
      <w:r w:rsidRPr="000D576F">
        <w:rPr>
          <w:rFonts w:ascii="Arial" w:hAnsi="Arial" w:cs="Arial"/>
          <w:smallCaps w:val="0"/>
          <w:color w:val="9D2235" w:themeColor="accent1"/>
          <w:sz w:val="18"/>
          <w:szCs w:val="18"/>
        </w:rPr>
        <w:t xml:space="preserve">. </w:t>
      </w:r>
      <w:r w:rsidRPr="000D576F">
        <w:rPr>
          <w:rFonts w:ascii="Arial" w:hAnsi="Arial" w:cs="Arial"/>
          <w:smallCaps w:val="0"/>
          <w:sz w:val="18"/>
          <w:szCs w:val="18"/>
        </w:rPr>
        <w:t>Colaboración institucional en actividades formativas</w:t>
      </w:r>
      <w:bookmarkEnd w:id="472"/>
    </w:p>
    <w:p w14:paraId="6F29EBEA" w14:textId="7177CEA3" w:rsidR="006021BC" w:rsidRPr="006021BC" w:rsidRDefault="006021BC" w:rsidP="006021BC">
      <w:pPr>
        <w:spacing w:after="240" w:line="276" w:lineRule="auto"/>
        <w:jc w:val="both"/>
        <w:rPr>
          <w:rFonts w:ascii="Arial" w:eastAsia="Times New Roman" w:hAnsi="Arial" w:cs="Arial"/>
          <w:sz w:val="21"/>
          <w:szCs w:val="21"/>
          <w:lang w:eastAsia="es-ES"/>
        </w:rPr>
      </w:pPr>
      <w:r w:rsidRPr="006021BC">
        <w:rPr>
          <w:rFonts w:ascii="Arial" w:eastAsia="Times New Roman" w:hAnsi="Arial" w:cs="Arial"/>
          <w:sz w:val="21"/>
          <w:szCs w:val="21"/>
          <w:lang w:eastAsia="es-ES"/>
        </w:rPr>
        <w:t xml:space="preserve">En este sentido, las actividades formativas de 2021 se han concentrado en las universidades, realizando 32 actividades con las universidades, 1 con la fundación universidad-empresa, 3 con las diputaciones provinciales, 3 con diferentes asociaciones, 2 con el INAP y 1 con la Generalitat Valenciana y la FVMP conjuntamente </w:t>
      </w:r>
      <w:r w:rsidRPr="003416AE">
        <w:rPr>
          <w:rFonts w:ascii="Arial" w:eastAsia="Times New Roman" w:hAnsi="Arial" w:cs="Arial"/>
          <w:sz w:val="21"/>
          <w:szCs w:val="21"/>
          <w:lang w:eastAsia="es-ES"/>
        </w:rPr>
        <w:t xml:space="preserve">(Tabla </w:t>
      </w:r>
      <w:r w:rsidR="006F483D" w:rsidRPr="003416AE">
        <w:rPr>
          <w:rFonts w:ascii="Arial" w:eastAsia="Times New Roman" w:hAnsi="Arial" w:cs="Arial"/>
          <w:sz w:val="21"/>
          <w:szCs w:val="21"/>
          <w:lang w:eastAsia="es-ES"/>
        </w:rPr>
        <w:t>2</w:t>
      </w:r>
      <w:r w:rsidR="000E5FE5" w:rsidRPr="003416AE">
        <w:rPr>
          <w:rFonts w:ascii="Arial" w:eastAsia="Times New Roman" w:hAnsi="Arial" w:cs="Arial"/>
          <w:sz w:val="21"/>
          <w:szCs w:val="21"/>
          <w:lang w:eastAsia="es-ES"/>
        </w:rPr>
        <w:t>9</w:t>
      </w:r>
      <w:r w:rsidRPr="003416AE">
        <w:rPr>
          <w:rFonts w:ascii="Arial" w:eastAsia="Times New Roman" w:hAnsi="Arial" w:cs="Arial"/>
          <w:sz w:val="21"/>
          <w:szCs w:val="21"/>
          <w:lang w:eastAsia="es-ES"/>
        </w:rPr>
        <w:t>).</w:t>
      </w:r>
    </w:p>
    <w:p w14:paraId="0B05C960" w14:textId="6674B69C" w:rsidR="000D576F" w:rsidRPr="000D576F" w:rsidRDefault="000D576F" w:rsidP="000D576F">
      <w:pPr>
        <w:pStyle w:val="Descripcin"/>
        <w:keepNext/>
        <w:jc w:val="both"/>
        <w:rPr>
          <w:rFonts w:ascii="Arial" w:hAnsi="Arial" w:cs="Arial"/>
          <w:smallCaps w:val="0"/>
          <w:sz w:val="18"/>
          <w:szCs w:val="18"/>
        </w:rPr>
      </w:pPr>
      <w:bookmarkStart w:id="473" w:name="_Toc99107167"/>
      <w:r w:rsidRPr="000D576F">
        <w:rPr>
          <w:rFonts w:ascii="Arial" w:hAnsi="Arial" w:cs="Arial"/>
          <w:smallCaps w:val="0"/>
          <w:color w:val="9D2235" w:themeColor="accent1"/>
          <w:sz w:val="18"/>
          <w:szCs w:val="18"/>
        </w:rPr>
        <w:t xml:space="preserve">Tabla </w:t>
      </w:r>
      <w:r w:rsidRPr="000D576F">
        <w:rPr>
          <w:rFonts w:ascii="Arial" w:hAnsi="Arial" w:cs="Arial"/>
          <w:smallCaps w:val="0"/>
          <w:color w:val="9D2235" w:themeColor="accent1"/>
          <w:sz w:val="18"/>
          <w:szCs w:val="18"/>
        </w:rPr>
        <w:fldChar w:fldCharType="begin" w:fldLock="1"/>
      </w:r>
      <w:r w:rsidRPr="000D576F">
        <w:rPr>
          <w:rFonts w:ascii="Arial" w:hAnsi="Arial" w:cs="Arial"/>
          <w:smallCaps w:val="0"/>
          <w:color w:val="9D2235" w:themeColor="accent1"/>
          <w:sz w:val="18"/>
          <w:szCs w:val="18"/>
        </w:rPr>
        <w:instrText xml:space="preserve"> SEQ Tabla \* ARABIC </w:instrText>
      </w:r>
      <w:r w:rsidRPr="000D576F">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29</w:t>
      </w:r>
      <w:r w:rsidRPr="000D576F">
        <w:rPr>
          <w:rFonts w:ascii="Arial" w:hAnsi="Arial" w:cs="Arial"/>
          <w:smallCaps w:val="0"/>
          <w:color w:val="9D2235" w:themeColor="accent1"/>
          <w:sz w:val="18"/>
          <w:szCs w:val="18"/>
        </w:rPr>
        <w:fldChar w:fldCharType="end"/>
      </w:r>
      <w:r w:rsidRPr="000D576F">
        <w:rPr>
          <w:rFonts w:ascii="Arial" w:hAnsi="Arial" w:cs="Arial"/>
          <w:smallCaps w:val="0"/>
          <w:color w:val="9D2235" w:themeColor="accent1"/>
          <w:sz w:val="18"/>
          <w:szCs w:val="18"/>
        </w:rPr>
        <w:t xml:space="preserve">. </w:t>
      </w:r>
      <w:r w:rsidRPr="000D576F">
        <w:rPr>
          <w:rFonts w:ascii="Arial" w:hAnsi="Arial" w:cs="Arial"/>
          <w:smallCaps w:val="0"/>
          <w:sz w:val="18"/>
          <w:szCs w:val="18"/>
        </w:rPr>
        <w:t>Actividades formativas 2017-20221 por entidades colaboradoras</w:t>
      </w:r>
      <w:bookmarkEnd w:id="473"/>
    </w:p>
    <w:p w14:paraId="1FC3FF0F" w14:textId="69DC7199" w:rsidR="007D6A10" w:rsidRDefault="000D576F" w:rsidP="007C27F4">
      <w:pPr>
        <w:spacing w:after="240" w:line="276" w:lineRule="auto"/>
        <w:jc w:val="both"/>
        <w:rPr>
          <w:rFonts w:ascii="Arial" w:eastAsia="Times New Roman" w:hAnsi="Arial" w:cs="Arial"/>
          <w:sz w:val="21"/>
          <w:szCs w:val="21"/>
          <w:lang w:eastAsia="es-ES"/>
        </w:rPr>
      </w:pPr>
      <w:r w:rsidRPr="000D576F">
        <w:rPr>
          <w:rFonts w:ascii="Calibri" w:eastAsia="Calibri" w:hAnsi="Calibri" w:cs="Times New Roman"/>
          <w:noProof/>
        </w:rPr>
        <w:drawing>
          <wp:inline distT="0" distB="0" distL="0" distR="0" wp14:anchorId="48FEECFF" wp14:editId="7B4C09A7">
            <wp:extent cx="5400040" cy="1475740"/>
            <wp:effectExtent l="0" t="0" r="0" b="0"/>
            <wp:docPr id="8" name="Imagen 8"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Calendario&#10;&#10;Descripción generada automáticamente"/>
                    <pic:cNvPicPr/>
                  </pic:nvPicPr>
                  <pic:blipFill>
                    <a:blip r:embed="rId518"/>
                    <a:stretch>
                      <a:fillRect/>
                    </a:stretch>
                  </pic:blipFill>
                  <pic:spPr>
                    <a:xfrm>
                      <a:off x="0" y="0"/>
                      <a:ext cx="5400040" cy="1475740"/>
                    </a:xfrm>
                    <a:prstGeom prst="rect">
                      <a:avLst/>
                    </a:prstGeom>
                  </pic:spPr>
                </pic:pic>
              </a:graphicData>
            </a:graphic>
          </wp:inline>
        </w:drawing>
      </w:r>
    </w:p>
    <w:p w14:paraId="54025AB1" w14:textId="23F4CFE8" w:rsidR="000D576F" w:rsidRPr="000D576F" w:rsidRDefault="000D576F" w:rsidP="000D576F">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74" w:name="_Toc99107114"/>
      <w:r w:rsidRPr="000D576F">
        <w:rPr>
          <w:rFonts w:ascii="Arial" w:eastAsia="Times New Roman" w:hAnsi="Arial" w:cs="Arial"/>
          <w:b/>
          <w:bCs/>
          <w:color w:val="9D2235" w:themeColor="accent1"/>
          <w:sz w:val="28"/>
          <w:szCs w:val="28"/>
          <w:lang w:eastAsia="es-ES"/>
        </w:rPr>
        <w:t>Reflexión final</w:t>
      </w:r>
      <w:bookmarkEnd w:id="474"/>
    </w:p>
    <w:p w14:paraId="57BD7AB0" w14:textId="77777777" w:rsidR="006021BC" w:rsidRPr="006021BC" w:rsidRDefault="006021BC" w:rsidP="006021BC">
      <w:pPr>
        <w:spacing w:after="240" w:line="276" w:lineRule="auto"/>
        <w:jc w:val="both"/>
        <w:rPr>
          <w:rFonts w:ascii="Arial" w:eastAsia="Times New Roman" w:hAnsi="Arial" w:cs="Arial"/>
          <w:sz w:val="21"/>
          <w:szCs w:val="21"/>
          <w:lang w:val="ca-ES-valencia" w:eastAsia="es-ES"/>
        </w:rPr>
      </w:pPr>
      <w:r w:rsidRPr="006021BC">
        <w:rPr>
          <w:rFonts w:ascii="Arial" w:eastAsia="Times New Roman" w:hAnsi="Arial" w:cs="Arial"/>
          <w:sz w:val="21"/>
          <w:szCs w:val="21"/>
          <w:lang w:eastAsia="es-ES"/>
        </w:rPr>
        <w:t>La formación es uno de los pilares esenciales para la prevención y erradicación d</w:t>
      </w:r>
      <w:r w:rsidRPr="006021BC">
        <w:rPr>
          <w:rFonts w:ascii="Arial" w:eastAsia="Times New Roman" w:hAnsi="Arial" w:cs="Arial"/>
          <w:sz w:val="21"/>
          <w:szCs w:val="21"/>
          <w:lang w:val="ca-ES-valencia" w:eastAsia="es-ES"/>
        </w:rPr>
        <w:t>el fraude y la corrupción y para el impulso de la integridad y ética pública.</w:t>
      </w:r>
    </w:p>
    <w:p w14:paraId="1B18A1CF" w14:textId="77777777" w:rsidR="006021BC" w:rsidRPr="006021BC" w:rsidRDefault="006021BC" w:rsidP="005D34B3">
      <w:pPr>
        <w:spacing w:after="240" w:line="276" w:lineRule="auto"/>
        <w:jc w:val="both"/>
        <w:rPr>
          <w:rFonts w:ascii="Arial" w:eastAsia="Times New Roman" w:hAnsi="Arial" w:cs="Arial"/>
          <w:sz w:val="21"/>
          <w:szCs w:val="21"/>
          <w:lang w:eastAsia="es-ES"/>
        </w:rPr>
      </w:pPr>
      <w:r w:rsidRPr="006021BC">
        <w:rPr>
          <w:rFonts w:ascii="Arial" w:eastAsia="Times New Roman" w:hAnsi="Arial" w:cs="Arial"/>
          <w:sz w:val="21"/>
          <w:szCs w:val="21"/>
          <w:lang w:val="ca-ES-valencia" w:eastAsia="es-ES"/>
        </w:rPr>
        <w:t xml:space="preserve">En el año 2011, España se incorporó a la Alianza para el Gobierno </w:t>
      </w:r>
      <w:r w:rsidRPr="006021BC">
        <w:rPr>
          <w:rFonts w:ascii="Arial" w:eastAsia="Times New Roman" w:hAnsi="Arial" w:cs="Arial"/>
          <w:sz w:val="21"/>
          <w:szCs w:val="21"/>
          <w:lang w:eastAsia="es-ES"/>
        </w:rPr>
        <w:t>Abierto</w:t>
      </w:r>
      <w:r w:rsidRPr="006021BC">
        <w:rPr>
          <w:rFonts w:ascii="Arial" w:eastAsia="Times New Roman" w:hAnsi="Arial" w:cs="Arial"/>
          <w:sz w:val="21"/>
          <w:szCs w:val="21"/>
          <w:lang w:val="ca-ES-valencia" w:eastAsia="es-ES"/>
        </w:rPr>
        <w:t xml:space="preserve">. El IV </w:t>
      </w:r>
      <w:r w:rsidRPr="006021BC">
        <w:rPr>
          <w:rFonts w:ascii="Arial" w:eastAsia="Times New Roman" w:hAnsi="Arial" w:cs="Arial"/>
          <w:sz w:val="21"/>
          <w:szCs w:val="21"/>
          <w:lang w:eastAsia="es-ES"/>
        </w:rPr>
        <w:t>Plan</w:t>
      </w:r>
      <w:r w:rsidRPr="006021BC">
        <w:rPr>
          <w:rFonts w:ascii="Arial" w:eastAsia="Times New Roman" w:hAnsi="Arial" w:cs="Arial"/>
          <w:sz w:val="21"/>
          <w:szCs w:val="21"/>
          <w:lang w:val="ca-ES-valencia" w:eastAsia="es-ES"/>
        </w:rPr>
        <w:t xml:space="preserve"> de </w:t>
      </w:r>
      <w:r w:rsidRPr="006021BC">
        <w:rPr>
          <w:rFonts w:ascii="Arial" w:eastAsia="Times New Roman" w:hAnsi="Arial" w:cs="Arial"/>
          <w:sz w:val="21"/>
          <w:szCs w:val="21"/>
          <w:lang w:eastAsia="es-ES"/>
        </w:rPr>
        <w:t>Gobierno</w:t>
      </w:r>
      <w:r w:rsidRPr="006021BC">
        <w:rPr>
          <w:rFonts w:ascii="Arial" w:eastAsia="Times New Roman" w:hAnsi="Arial" w:cs="Arial"/>
          <w:sz w:val="21"/>
          <w:szCs w:val="21"/>
          <w:lang w:val="ca-ES-valencia" w:eastAsia="es-ES"/>
        </w:rPr>
        <w:t xml:space="preserve"> Abierto del Gobierno de España, aprobado en 2020, define el gobierno abierto como un “modelo de </w:t>
      </w:r>
      <w:r w:rsidRPr="006021BC">
        <w:rPr>
          <w:rFonts w:ascii="Arial" w:eastAsia="Times New Roman" w:hAnsi="Arial" w:cs="Arial"/>
          <w:sz w:val="21"/>
          <w:szCs w:val="21"/>
          <w:lang w:eastAsia="es-ES"/>
        </w:rPr>
        <w:t xml:space="preserve">de cogobernanza pública más transparente y participativo, más comprometido con la integridad pública y más cercano a la ciudadanía”. El Plan afirma, igualmente, la relación creciente del gobierno abierto y la integridad pública se ha manifestado en este IV Plan de Gobierno Abierto con la aparición del tercer eje, el de </w:t>
      </w:r>
      <w:r w:rsidRPr="006021BC">
        <w:rPr>
          <w:rFonts w:ascii="Arial" w:eastAsia="Times New Roman" w:hAnsi="Arial" w:cs="Arial"/>
          <w:bCs/>
          <w:sz w:val="21"/>
          <w:szCs w:val="21"/>
          <w:lang w:eastAsia="es-ES"/>
        </w:rPr>
        <w:t>integridad</w:t>
      </w:r>
      <w:r w:rsidRPr="006021BC">
        <w:rPr>
          <w:rFonts w:ascii="Arial" w:eastAsia="Times New Roman" w:hAnsi="Arial" w:cs="Arial"/>
          <w:sz w:val="21"/>
          <w:szCs w:val="21"/>
          <w:lang w:eastAsia="es-ES"/>
        </w:rPr>
        <w:t xml:space="preserve">, donde se ha manifestado a través de dos compromisos: </w:t>
      </w:r>
    </w:p>
    <w:p w14:paraId="1B043CF2" w14:textId="31B8CF86" w:rsidR="006021BC" w:rsidRPr="006021BC" w:rsidRDefault="006021BC" w:rsidP="005D34B3">
      <w:pPr>
        <w:numPr>
          <w:ilvl w:val="0"/>
          <w:numId w:val="142"/>
        </w:numPr>
        <w:spacing w:after="120" w:line="276" w:lineRule="auto"/>
        <w:ind w:left="714" w:hanging="357"/>
        <w:jc w:val="both"/>
        <w:rPr>
          <w:rFonts w:ascii="Arial" w:eastAsia="Times New Roman" w:hAnsi="Arial" w:cs="Arial"/>
          <w:sz w:val="21"/>
          <w:szCs w:val="21"/>
          <w:lang w:eastAsia="es-ES"/>
        </w:rPr>
      </w:pPr>
      <w:r w:rsidRPr="006021BC">
        <w:rPr>
          <w:rFonts w:ascii="Arial" w:eastAsia="Times New Roman" w:hAnsi="Arial" w:cs="Arial"/>
          <w:sz w:val="21"/>
          <w:szCs w:val="21"/>
          <w:lang w:eastAsia="es-ES"/>
        </w:rPr>
        <w:t>Implantar</w:t>
      </w:r>
      <w:r w:rsidR="00D224AD">
        <w:rPr>
          <w:rFonts w:ascii="Arial" w:eastAsia="Times New Roman" w:hAnsi="Arial" w:cs="Arial"/>
          <w:sz w:val="21"/>
          <w:szCs w:val="21"/>
          <w:lang w:eastAsia="es-ES"/>
        </w:rPr>
        <w:t xml:space="preserve"> </w:t>
      </w:r>
      <w:r w:rsidRPr="006021BC">
        <w:rPr>
          <w:rFonts w:ascii="Arial" w:eastAsia="Times New Roman" w:hAnsi="Arial" w:cs="Arial"/>
          <w:sz w:val="21"/>
          <w:szCs w:val="21"/>
          <w:lang w:eastAsia="es-ES"/>
        </w:rPr>
        <w:t>sistemas de integridad pública.</w:t>
      </w:r>
    </w:p>
    <w:p w14:paraId="0CA2D2FA" w14:textId="77777777" w:rsidR="006021BC" w:rsidRPr="006021BC" w:rsidRDefault="006021BC" w:rsidP="00E501D4">
      <w:pPr>
        <w:numPr>
          <w:ilvl w:val="0"/>
          <w:numId w:val="142"/>
        </w:numPr>
        <w:spacing w:after="240" w:line="276" w:lineRule="auto"/>
        <w:jc w:val="both"/>
        <w:rPr>
          <w:rFonts w:ascii="Arial" w:eastAsia="Times New Roman" w:hAnsi="Arial" w:cs="Arial"/>
          <w:sz w:val="21"/>
          <w:szCs w:val="21"/>
          <w:lang w:eastAsia="es-ES"/>
        </w:rPr>
      </w:pPr>
      <w:r w:rsidRPr="006021BC">
        <w:rPr>
          <w:rFonts w:ascii="Arial" w:eastAsia="Times New Roman" w:hAnsi="Arial" w:cs="Arial"/>
          <w:sz w:val="21"/>
          <w:szCs w:val="21"/>
          <w:lang w:eastAsia="es-ES"/>
        </w:rPr>
        <w:t>Protección a los denunciantes.</w:t>
      </w:r>
    </w:p>
    <w:p w14:paraId="5D848A19" w14:textId="36887219" w:rsidR="006021BC" w:rsidRPr="006021BC" w:rsidRDefault="006021BC" w:rsidP="006021BC">
      <w:pPr>
        <w:spacing w:after="240" w:line="276" w:lineRule="auto"/>
        <w:jc w:val="both"/>
        <w:rPr>
          <w:rFonts w:ascii="Arial" w:eastAsia="Times New Roman" w:hAnsi="Arial" w:cs="Arial"/>
          <w:sz w:val="21"/>
          <w:szCs w:val="21"/>
          <w:lang w:eastAsia="es-ES"/>
        </w:rPr>
      </w:pPr>
      <w:r w:rsidRPr="006021BC">
        <w:rPr>
          <w:rFonts w:ascii="Arial" w:eastAsia="Times New Roman" w:hAnsi="Arial" w:cs="Arial"/>
          <w:sz w:val="21"/>
          <w:szCs w:val="21"/>
          <w:lang w:eastAsia="es-ES"/>
        </w:rPr>
        <w:t>El primer compromiso, basado en los sistemas de integridad posee cuatro líneas de acción</w:t>
      </w:r>
      <w:r w:rsidR="00300DFC">
        <w:rPr>
          <w:rFonts w:ascii="Arial" w:eastAsia="Times New Roman" w:hAnsi="Arial" w:cs="Arial"/>
          <w:sz w:val="21"/>
          <w:szCs w:val="21"/>
          <w:lang w:eastAsia="es-ES"/>
        </w:rPr>
        <w:t>,</w:t>
      </w:r>
      <w:r w:rsidRPr="006021BC">
        <w:rPr>
          <w:rFonts w:ascii="Arial" w:eastAsia="Times New Roman" w:hAnsi="Arial" w:cs="Arial"/>
          <w:sz w:val="21"/>
          <w:szCs w:val="21"/>
          <w:lang w:eastAsia="es-ES"/>
        </w:rPr>
        <w:t xml:space="preserve"> entre l</w:t>
      </w:r>
      <w:r w:rsidR="00300DFC">
        <w:rPr>
          <w:rFonts w:ascii="Arial" w:eastAsia="Times New Roman" w:hAnsi="Arial" w:cs="Arial"/>
          <w:sz w:val="21"/>
          <w:szCs w:val="21"/>
          <w:lang w:eastAsia="es-ES"/>
        </w:rPr>
        <w:t>a</w:t>
      </w:r>
      <w:r w:rsidRPr="006021BC">
        <w:rPr>
          <w:rFonts w:ascii="Arial" w:eastAsia="Times New Roman" w:hAnsi="Arial" w:cs="Arial"/>
          <w:sz w:val="21"/>
          <w:szCs w:val="21"/>
          <w:lang w:eastAsia="es-ES"/>
        </w:rPr>
        <w:t>s que destacan, el diagnóstico de los mecanismos existentes en la actualidad y mejorar los sistemas preventivos de integridad pública, a través de la elaboración de mapas de riesgo, códigos de conducta y la mejora de la formación y asesoramiento de las empleadas y los empleados públicos en la materia.</w:t>
      </w:r>
    </w:p>
    <w:p w14:paraId="40B2D3A6" w14:textId="77777777" w:rsidR="006021BC" w:rsidRPr="006021BC" w:rsidRDefault="006021BC" w:rsidP="006021BC">
      <w:pPr>
        <w:spacing w:after="240" w:line="276" w:lineRule="auto"/>
        <w:jc w:val="both"/>
        <w:rPr>
          <w:rFonts w:ascii="Arial" w:eastAsia="Times New Roman" w:hAnsi="Arial" w:cs="Arial"/>
          <w:sz w:val="21"/>
          <w:szCs w:val="21"/>
          <w:lang w:eastAsia="es-ES"/>
        </w:rPr>
      </w:pPr>
      <w:r w:rsidRPr="006021BC">
        <w:rPr>
          <w:rFonts w:ascii="Arial" w:eastAsia="Times New Roman" w:hAnsi="Arial" w:cs="Arial"/>
          <w:sz w:val="21"/>
          <w:szCs w:val="21"/>
          <w:lang w:eastAsia="es-ES"/>
        </w:rPr>
        <w:t>El segundo compromiso del tercer eje, el de integridad, se centra en la protección de denunciantes a través de la transposición de la Directiva (UE) 2019/1937, de 23 de octubre de 2019, relativa a la protección de las personas que informen sobre infracciones del derecho de la UE.</w:t>
      </w:r>
    </w:p>
    <w:p w14:paraId="276E56BB" w14:textId="77777777" w:rsidR="006021BC" w:rsidRPr="006021BC" w:rsidRDefault="006021BC" w:rsidP="006021BC">
      <w:pPr>
        <w:spacing w:after="240" w:line="276" w:lineRule="auto"/>
        <w:jc w:val="both"/>
        <w:rPr>
          <w:rFonts w:ascii="Arial" w:eastAsia="Times New Roman" w:hAnsi="Arial" w:cs="Arial"/>
          <w:sz w:val="21"/>
          <w:szCs w:val="21"/>
          <w:lang w:eastAsia="es-ES"/>
        </w:rPr>
      </w:pPr>
      <w:r w:rsidRPr="006021BC">
        <w:rPr>
          <w:rFonts w:ascii="Arial" w:eastAsia="Times New Roman" w:hAnsi="Arial" w:cs="Arial"/>
          <w:sz w:val="21"/>
          <w:szCs w:val="21"/>
          <w:lang w:eastAsia="es-ES"/>
        </w:rPr>
        <w:t xml:space="preserve">A su vez, como detalla el IV Plan de Gobierno Abierto del Gobierno de España “El gobierno abierto constituye un paradigma clave para el cumplimiento del Objetivo de Desarrollo Sostenible 16 (ODS 16) de la Agenda 2030”. </w:t>
      </w:r>
    </w:p>
    <w:p w14:paraId="4F020C17" w14:textId="2B8DFB6E" w:rsidR="006021BC" w:rsidRPr="006021BC" w:rsidRDefault="006021BC" w:rsidP="006021BC">
      <w:pPr>
        <w:spacing w:after="240" w:line="276" w:lineRule="auto"/>
        <w:jc w:val="both"/>
        <w:rPr>
          <w:rFonts w:ascii="Arial" w:eastAsia="Times New Roman" w:hAnsi="Arial" w:cs="Arial"/>
          <w:sz w:val="21"/>
          <w:szCs w:val="21"/>
          <w:lang w:eastAsia="es-ES"/>
        </w:rPr>
      </w:pPr>
      <w:r w:rsidRPr="006021BC">
        <w:rPr>
          <w:rFonts w:ascii="Arial" w:eastAsia="Times New Roman" w:hAnsi="Arial" w:cs="Arial"/>
          <w:sz w:val="21"/>
          <w:szCs w:val="21"/>
          <w:lang w:eastAsia="es-ES"/>
        </w:rPr>
        <w:t>La Agenda 2030 insiste en la necesidad de tejer redes sociales e impulsar experiencias formativas y de sensibilización</w:t>
      </w:r>
      <w:r w:rsidR="00300DFC">
        <w:rPr>
          <w:rFonts w:ascii="Arial" w:eastAsia="Times New Roman" w:hAnsi="Arial" w:cs="Arial"/>
          <w:sz w:val="21"/>
          <w:szCs w:val="21"/>
          <w:lang w:eastAsia="es-ES"/>
        </w:rPr>
        <w:t>,</w:t>
      </w:r>
      <w:r w:rsidRPr="006021BC">
        <w:rPr>
          <w:rFonts w:ascii="Arial" w:eastAsia="Times New Roman" w:hAnsi="Arial" w:cs="Arial"/>
          <w:sz w:val="21"/>
          <w:szCs w:val="21"/>
          <w:lang w:eastAsia="es-ES"/>
        </w:rPr>
        <w:t xml:space="preserve"> con el objetivo de construir instituciones públicas íntegras que fomenten la cultura del rechazo del fraude y la corrupción. </w:t>
      </w:r>
    </w:p>
    <w:p w14:paraId="5A497D23" w14:textId="4C03B29A" w:rsidR="006021BC" w:rsidRPr="006021BC" w:rsidRDefault="006021BC" w:rsidP="006021BC">
      <w:pPr>
        <w:spacing w:after="240" w:line="276" w:lineRule="auto"/>
        <w:jc w:val="both"/>
        <w:rPr>
          <w:rFonts w:ascii="Arial" w:eastAsia="Times New Roman" w:hAnsi="Arial" w:cs="Arial"/>
          <w:sz w:val="21"/>
          <w:szCs w:val="21"/>
          <w:lang w:eastAsia="es-ES"/>
        </w:rPr>
      </w:pPr>
      <w:r w:rsidRPr="006021BC">
        <w:rPr>
          <w:rFonts w:ascii="Arial" w:eastAsia="Times New Roman" w:hAnsi="Arial" w:cs="Arial"/>
          <w:sz w:val="21"/>
          <w:szCs w:val="21"/>
          <w:lang w:eastAsia="es-ES"/>
        </w:rPr>
        <w:t xml:space="preserve">Esta es la voluntad de la estrategia de formación de la Agencia y la información actualizada sobre las iniciativas formativas de la AVAF se puede encontrar en la sección </w:t>
      </w:r>
      <w:r w:rsidRPr="006021BC">
        <w:rPr>
          <w:rFonts w:ascii="Arial" w:eastAsia="Times New Roman" w:hAnsi="Arial" w:cs="Arial"/>
          <w:i/>
          <w:iCs/>
          <w:sz w:val="21"/>
          <w:szCs w:val="21"/>
          <w:lang w:eastAsia="es-ES"/>
        </w:rPr>
        <w:t xml:space="preserve">Actividades Formativas y Ética Pública, </w:t>
      </w:r>
      <w:r w:rsidRPr="006021BC">
        <w:rPr>
          <w:rFonts w:ascii="Arial" w:eastAsia="Times New Roman" w:hAnsi="Arial" w:cs="Arial"/>
          <w:sz w:val="21"/>
          <w:szCs w:val="21"/>
          <w:lang w:eastAsia="es-ES"/>
        </w:rPr>
        <w:t xml:space="preserve">en la pestaña </w:t>
      </w:r>
      <w:r w:rsidRPr="006021BC">
        <w:rPr>
          <w:rFonts w:ascii="Arial" w:eastAsia="Times New Roman" w:hAnsi="Arial" w:cs="Arial"/>
          <w:b/>
          <w:bCs/>
          <w:sz w:val="21"/>
          <w:szCs w:val="21"/>
          <w:lang w:eastAsia="es-ES"/>
        </w:rPr>
        <w:t>Prevención y Formación</w:t>
      </w:r>
      <w:r w:rsidRPr="006021BC">
        <w:rPr>
          <w:rFonts w:ascii="Arial" w:eastAsia="Times New Roman" w:hAnsi="Arial" w:cs="Arial"/>
          <w:sz w:val="21"/>
          <w:szCs w:val="21"/>
          <w:lang w:eastAsia="es-ES"/>
        </w:rPr>
        <w:t xml:space="preserve"> </w:t>
      </w:r>
      <w:r w:rsidRPr="006F483D">
        <w:rPr>
          <w:rFonts w:ascii="Arial" w:eastAsia="Times New Roman" w:hAnsi="Arial" w:cs="Arial"/>
          <w:sz w:val="18"/>
          <w:szCs w:val="18"/>
          <w:lang w:eastAsia="es-ES"/>
        </w:rPr>
        <w:t>[</w:t>
      </w:r>
      <w:hyperlink r:id="rId519" w:history="1">
        <w:r w:rsidRPr="006F483D">
          <w:rPr>
            <w:rStyle w:val="Hipervnculo"/>
            <w:rFonts w:ascii="Arial" w:eastAsia="Times New Roman" w:hAnsi="Arial" w:cs="Arial"/>
            <w:sz w:val="18"/>
            <w:szCs w:val="18"/>
            <w:lang w:eastAsia="es-ES"/>
          </w:rPr>
          <w:t>https://www.antifraucv.es/cursos-formacion/</w:t>
        </w:r>
      </w:hyperlink>
      <w:r w:rsidRPr="006F483D">
        <w:rPr>
          <w:rFonts w:ascii="Arial" w:eastAsia="Times New Roman" w:hAnsi="Arial" w:cs="Arial"/>
          <w:sz w:val="18"/>
          <w:szCs w:val="18"/>
          <w:lang w:eastAsia="es-ES"/>
        </w:rPr>
        <w:t>]</w:t>
      </w:r>
      <w:r w:rsidRPr="006021BC">
        <w:rPr>
          <w:rFonts w:ascii="Arial" w:eastAsia="Times New Roman" w:hAnsi="Arial" w:cs="Arial"/>
          <w:sz w:val="21"/>
          <w:szCs w:val="21"/>
          <w:lang w:eastAsia="es-ES"/>
        </w:rPr>
        <w:t xml:space="preserve"> y en la </w:t>
      </w:r>
      <w:r w:rsidRPr="006021BC">
        <w:rPr>
          <w:rFonts w:ascii="Arial" w:eastAsia="Times New Roman" w:hAnsi="Arial" w:cs="Arial"/>
          <w:b/>
          <w:bCs/>
          <w:sz w:val="21"/>
          <w:szCs w:val="21"/>
          <w:lang w:eastAsia="es-ES"/>
        </w:rPr>
        <w:t>Agenda</w:t>
      </w:r>
      <w:r w:rsidRPr="006021BC">
        <w:rPr>
          <w:rFonts w:ascii="Arial" w:eastAsia="Times New Roman" w:hAnsi="Arial" w:cs="Arial"/>
          <w:sz w:val="21"/>
          <w:szCs w:val="21"/>
          <w:lang w:eastAsia="es-ES"/>
        </w:rPr>
        <w:t xml:space="preserve"> web </w:t>
      </w:r>
      <w:r w:rsidRPr="006F483D">
        <w:rPr>
          <w:rFonts w:ascii="Arial" w:eastAsia="Times New Roman" w:hAnsi="Arial" w:cs="Arial"/>
          <w:sz w:val="18"/>
          <w:szCs w:val="18"/>
          <w:lang w:eastAsia="es-ES"/>
        </w:rPr>
        <w:t>[</w:t>
      </w:r>
      <w:hyperlink r:id="rId520" w:history="1">
        <w:r w:rsidRPr="006F483D">
          <w:rPr>
            <w:rStyle w:val="Hipervnculo"/>
            <w:rFonts w:ascii="Arial" w:eastAsia="Times New Roman" w:hAnsi="Arial" w:cs="Arial"/>
            <w:sz w:val="18"/>
            <w:szCs w:val="18"/>
            <w:lang w:eastAsia="es-ES"/>
          </w:rPr>
          <w:t>https://www.antifraucv.es/events/</w:t>
        </w:r>
      </w:hyperlink>
      <w:r w:rsidRPr="006F483D">
        <w:rPr>
          <w:rFonts w:ascii="Arial" w:eastAsia="Times New Roman" w:hAnsi="Arial" w:cs="Arial"/>
          <w:sz w:val="18"/>
          <w:szCs w:val="18"/>
          <w:lang w:eastAsia="es-ES"/>
        </w:rPr>
        <w:t>]</w:t>
      </w:r>
      <w:r w:rsidRPr="006021BC">
        <w:rPr>
          <w:rFonts w:ascii="Arial" w:eastAsia="Times New Roman" w:hAnsi="Arial" w:cs="Arial"/>
          <w:sz w:val="21"/>
          <w:szCs w:val="21"/>
          <w:lang w:eastAsia="es-ES"/>
        </w:rPr>
        <w:t xml:space="preserve"> de la página web de la AVAF.</w:t>
      </w:r>
    </w:p>
    <w:p w14:paraId="5052909D" w14:textId="72B67C47" w:rsidR="006021BC" w:rsidRPr="006021BC" w:rsidRDefault="006021BC" w:rsidP="006021BC">
      <w:pPr>
        <w:spacing w:after="240" w:line="276" w:lineRule="auto"/>
        <w:contextualSpacing/>
        <w:jc w:val="both"/>
        <w:rPr>
          <w:rFonts w:ascii="Arial" w:eastAsia="Times New Roman" w:hAnsi="Arial" w:cs="Arial"/>
          <w:sz w:val="21"/>
          <w:szCs w:val="21"/>
          <w:lang w:eastAsia="es-ES"/>
        </w:rPr>
      </w:pPr>
      <w:r w:rsidRPr="006021BC">
        <w:rPr>
          <w:rFonts w:ascii="Arial" w:eastAsia="Times New Roman" w:hAnsi="Arial" w:cs="Arial"/>
          <w:sz w:val="21"/>
          <w:szCs w:val="21"/>
          <w:lang w:eastAsia="es-ES"/>
        </w:rPr>
        <w:t xml:space="preserve">De igual manera, las intervenciones formativas grabadas, así como otras actividades de sensibilización social sobre la prevención de la corrupción y el fraude se pueden encontrar y ver en el </w:t>
      </w:r>
      <w:r w:rsidRPr="006021BC">
        <w:rPr>
          <w:rFonts w:ascii="Arial" w:eastAsia="Times New Roman" w:hAnsi="Arial" w:cs="Arial"/>
          <w:b/>
          <w:bCs/>
          <w:sz w:val="21"/>
          <w:szCs w:val="21"/>
          <w:lang w:eastAsia="es-ES"/>
        </w:rPr>
        <w:t xml:space="preserve">Canal de </w:t>
      </w:r>
      <w:r w:rsidRPr="006021BC">
        <w:rPr>
          <w:rFonts w:ascii="Arial" w:eastAsia="Times New Roman" w:hAnsi="Arial" w:cs="Arial"/>
          <w:b/>
          <w:bCs/>
          <w:i/>
          <w:iCs/>
          <w:sz w:val="21"/>
          <w:szCs w:val="21"/>
          <w:lang w:eastAsia="es-ES"/>
        </w:rPr>
        <w:t>YouTube</w:t>
      </w:r>
      <w:r w:rsidRPr="006021BC">
        <w:rPr>
          <w:rFonts w:ascii="Arial" w:eastAsia="Times New Roman" w:hAnsi="Arial" w:cs="Arial"/>
          <w:sz w:val="21"/>
          <w:szCs w:val="21"/>
          <w:lang w:eastAsia="es-ES"/>
        </w:rPr>
        <w:t xml:space="preserve"> de la Agencia Valenciana Antifraude</w:t>
      </w:r>
      <w:r>
        <w:rPr>
          <w:rFonts w:ascii="Arial" w:eastAsia="Times New Roman" w:hAnsi="Arial" w:cs="Arial"/>
          <w:sz w:val="21"/>
          <w:szCs w:val="21"/>
          <w:lang w:eastAsia="es-ES"/>
        </w:rPr>
        <w:t>.</w:t>
      </w:r>
    </w:p>
    <w:p w14:paraId="0A82BC44" w14:textId="3B6C7CFC" w:rsidR="006021BC" w:rsidRPr="006021BC" w:rsidRDefault="006021BC" w:rsidP="006021BC">
      <w:pPr>
        <w:spacing w:after="240" w:line="276" w:lineRule="auto"/>
        <w:jc w:val="both"/>
        <w:rPr>
          <w:rFonts w:ascii="Arial" w:eastAsia="Times New Roman" w:hAnsi="Arial" w:cs="Arial"/>
          <w:sz w:val="21"/>
          <w:szCs w:val="21"/>
          <w:lang w:eastAsia="es-ES"/>
        </w:rPr>
      </w:pPr>
      <w:r w:rsidRPr="006021BC">
        <w:rPr>
          <w:rFonts w:ascii="Arial" w:eastAsia="Times New Roman" w:hAnsi="Arial" w:cs="Arial"/>
          <w:sz w:val="21"/>
          <w:szCs w:val="21"/>
          <w:lang w:eastAsia="es-ES"/>
        </w:rPr>
        <w:t>[</w:t>
      </w:r>
      <w:hyperlink r:id="rId521" w:history="1">
        <w:r w:rsidRPr="006021BC">
          <w:rPr>
            <w:rStyle w:val="Hipervnculo"/>
            <w:rFonts w:ascii="Arial" w:eastAsia="Times New Roman" w:hAnsi="Arial" w:cs="Arial"/>
            <w:sz w:val="21"/>
            <w:szCs w:val="21"/>
            <w:lang w:eastAsia="es-ES"/>
          </w:rPr>
          <w:t>https://www.youtube.com/channel/UCkDS5OEUZu3iTEWg7gu8XXQ/featured</w:t>
        </w:r>
      </w:hyperlink>
      <w:r w:rsidRPr="006021BC">
        <w:rPr>
          <w:rFonts w:ascii="Arial" w:eastAsia="Times New Roman" w:hAnsi="Arial" w:cs="Arial"/>
          <w:sz w:val="21"/>
          <w:szCs w:val="21"/>
          <w:lang w:eastAsia="es-ES"/>
        </w:rPr>
        <w:t>]</w:t>
      </w:r>
    </w:p>
    <w:p w14:paraId="269355B1" w14:textId="75B19DCA" w:rsidR="000D576F" w:rsidRPr="000D576F" w:rsidRDefault="000D576F" w:rsidP="000D576F">
      <w:pPr>
        <w:pStyle w:val="Prrafodelista"/>
        <w:numPr>
          <w:ilvl w:val="1"/>
          <w:numId w:val="17"/>
        </w:numPr>
        <w:spacing w:before="360" w:after="240" w:line="276" w:lineRule="auto"/>
        <w:ind w:left="851" w:hanging="851"/>
        <w:jc w:val="both"/>
        <w:outlineLvl w:val="1"/>
        <w:rPr>
          <w:rFonts w:ascii="Arial" w:eastAsia="Times New Roman" w:hAnsi="Arial" w:cs="Arial"/>
          <w:b/>
          <w:color w:val="9D2235" w:themeColor="accent1"/>
          <w:sz w:val="32"/>
          <w:szCs w:val="32"/>
        </w:rPr>
      </w:pPr>
      <w:bookmarkStart w:id="475" w:name="_Toc99107115"/>
      <w:r w:rsidRPr="000D576F">
        <w:rPr>
          <w:rFonts w:ascii="Arial" w:eastAsia="Times New Roman" w:hAnsi="Arial" w:cs="Arial"/>
          <w:b/>
          <w:color w:val="9D2235" w:themeColor="accent1"/>
          <w:sz w:val="32"/>
          <w:szCs w:val="32"/>
        </w:rPr>
        <w:t>Documentación e informes</w:t>
      </w:r>
      <w:bookmarkEnd w:id="475"/>
    </w:p>
    <w:p w14:paraId="7D4B2D35" w14:textId="77777777" w:rsidR="000D576F" w:rsidRPr="000D576F" w:rsidRDefault="000D576F" w:rsidP="000D576F">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76" w:name="_Toc93922339"/>
      <w:bookmarkStart w:id="477" w:name="_Toc99107116"/>
      <w:r w:rsidRPr="000D576F">
        <w:rPr>
          <w:rFonts w:ascii="Arial" w:eastAsia="Times New Roman" w:hAnsi="Arial" w:cs="Arial"/>
          <w:b/>
          <w:bCs/>
          <w:color w:val="9D2235" w:themeColor="accent1"/>
          <w:sz w:val="28"/>
          <w:szCs w:val="28"/>
          <w:lang w:eastAsia="es-ES"/>
        </w:rPr>
        <w:t>Introducción al Servicio</w:t>
      </w:r>
      <w:bookmarkEnd w:id="476"/>
      <w:bookmarkEnd w:id="477"/>
    </w:p>
    <w:p w14:paraId="4A8A56F9" w14:textId="4A15B615"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El Reglamento de la Agencia de Prevención y Lucha contra el Fraude y la Corrupción de la Comuni</w:t>
      </w:r>
      <w:r w:rsidR="008C1237">
        <w:rPr>
          <w:rFonts w:ascii="Arial" w:eastAsia="Times New Roman" w:hAnsi="Arial" w:cs="Arial"/>
          <w:sz w:val="21"/>
          <w:szCs w:val="21"/>
          <w:lang w:eastAsia="es-ES"/>
        </w:rPr>
        <w:t>tat</w:t>
      </w:r>
      <w:r w:rsidRPr="0019049A">
        <w:rPr>
          <w:rFonts w:ascii="Arial" w:eastAsia="Times New Roman" w:hAnsi="Arial" w:cs="Arial"/>
          <w:sz w:val="21"/>
          <w:szCs w:val="21"/>
          <w:lang w:eastAsia="es-ES"/>
        </w:rPr>
        <w:t xml:space="preserve"> Valenciana es el que marca los cometidos principales del Servicio de Documentación e Informes. En primer lugar establecer, planificar y gestionar el sistema de información y documentación de la Agencia [artículo 19 apartados f, y m], en segundo lugar, establecer, planificar y gestionar el Centro de Documentación sobre la Prevención y Lucha contra el Fraude y la Corrupción [artículo 29], y finalmente, gestionar el archivo con vocación de facilitar el acceso a la información generada por la Agencia en el desempeño de sus funciones y fomentar la transparencia en las instituciones públicas [artículo 11 y artículo 19 n]. Todo ello para contribuir a la finalidad primordial de la Agencia que es impulsar la integridad y la ética pública, prevenir y erradicar el fraude y la corrupción de las instituciones públicas valencianas, fomentar una cultura de buenas prácticas y de rechazo del fraude y la corrupción y, en definitiva, evitar que se produzca un deterioro moral y un empobrecimiento económico que redunde en perjuicio de la ciudadanía valenciana.</w:t>
      </w:r>
    </w:p>
    <w:p w14:paraId="40753F9C" w14:textId="438CCBA9"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 xml:space="preserve">El 15 de febrero de 2021 se aprueba por </w:t>
      </w:r>
      <w:r w:rsidR="00D86712">
        <w:rPr>
          <w:rFonts w:ascii="Arial" w:eastAsia="Times New Roman" w:hAnsi="Arial" w:cs="Arial"/>
          <w:sz w:val="21"/>
          <w:szCs w:val="21"/>
          <w:lang w:eastAsia="es-ES"/>
        </w:rPr>
        <w:t>R</w:t>
      </w:r>
      <w:r w:rsidRPr="0019049A">
        <w:rPr>
          <w:rFonts w:ascii="Arial" w:eastAsia="Times New Roman" w:hAnsi="Arial" w:cs="Arial"/>
          <w:sz w:val="21"/>
          <w:szCs w:val="21"/>
          <w:lang w:eastAsia="es-ES"/>
        </w:rPr>
        <w:t>esolución del director de la Agencia de Prevención y Lucha contra el Fraude y la Corrupción de la Comuni</w:t>
      </w:r>
      <w:r w:rsidR="008C1237">
        <w:rPr>
          <w:rFonts w:ascii="Arial" w:eastAsia="Times New Roman" w:hAnsi="Arial" w:cs="Arial"/>
          <w:sz w:val="21"/>
          <w:szCs w:val="21"/>
          <w:lang w:eastAsia="es-ES"/>
        </w:rPr>
        <w:t>tat</w:t>
      </w:r>
      <w:r w:rsidRPr="0019049A">
        <w:rPr>
          <w:rFonts w:ascii="Arial" w:eastAsia="Times New Roman" w:hAnsi="Arial" w:cs="Arial"/>
          <w:sz w:val="21"/>
          <w:szCs w:val="21"/>
          <w:lang w:eastAsia="es-ES"/>
        </w:rPr>
        <w:t xml:space="preserve"> Valenciana el plan estratégico del Servicio de Documentación e Informes 2021-2024. En él se establece que la misión del Servicio es facilitar el acceso a recursos de información y documentación en el ámbito de la lucha contra el fraude y la corrupción, para contribuir en las labores de investigación, prevención, formación y divulgación de la Agencia Valenciana Antifraude, y colaborar en los procesos de creación y difusión de conocimiento que son propios a sus funciones, todo esto para impulsar una sociedad mejor informada y participativa en la cual una cultura de rechazo a la corrupción fortalezca los valores democráticos.</w:t>
      </w:r>
    </w:p>
    <w:p w14:paraId="04040170"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El plan estratégico se estructura en 3 metas y 17 líneas estratégicas a su vez compuestas de objetivos a partir de los que se organizan las tareas del Servicio, se planifican los hitos y se valora periódicamente su cumplimiento al objeto de aplicar, en su caso, las correcciones necesarias. Se destaca a continuación lo más relevante del Servicio acometido en 2021.</w:t>
      </w:r>
    </w:p>
    <w:p w14:paraId="5F1AEEEF" w14:textId="77777777" w:rsidR="00927EA9" w:rsidRPr="00927EA9" w:rsidRDefault="00927EA9" w:rsidP="00927EA9">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78" w:name="_Toc93922340"/>
      <w:bookmarkStart w:id="479" w:name="_Toc99107117"/>
      <w:r w:rsidRPr="00927EA9">
        <w:rPr>
          <w:rFonts w:ascii="Arial" w:eastAsia="Times New Roman" w:hAnsi="Arial" w:cs="Arial"/>
          <w:b/>
          <w:bCs/>
          <w:color w:val="9D2235" w:themeColor="accent1"/>
          <w:sz w:val="28"/>
          <w:szCs w:val="28"/>
          <w:lang w:eastAsia="es-ES"/>
        </w:rPr>
        <w:t>Recursos humanos y tecnológicos</w:t>
      </w:r>
      <w:bookmarkEnd w:id="478"/>
      <w:bookmarkEnd w:id="479"/>
    </w:p>
    <w:p w14:paraId="342163F4" w14:textId="5B0FEB58"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 xml:space="preserve">En este ejercicio el Servicio de Documentación ha funcionado durante los primeros meses exclusivamente con la titular de la jefatura. La incorporación al Servicio del jefe de negociado del Servicio ha sido efectiva en el segundo trimestre del año, hasta ese momento la Dirección de Prevención, Formación y Documentación ha tenido el apoyo administrativo de un jefe de negociado común para los tres </w:t>
      </w:r>
      <w:r w:rsidR="00CB3DFD">
        <w:rPr>
          <w:rFonts w:ascii="Arial" w:eastAsia="Times New Roman" w:hAnsi="Arial" w:cs="Arial"/>
          <w:sz w:val="21"/>
          <w:szCs w:val="21"/>
          <w:lang w:eastAsia="es-ES"/>
        </w:rPr>
        <w:t>S</w:t>
      </w:r>
      <w:r w:rsidRPr="0019049A">
        <w:rPr>
          <w:rFonts w:ascii="Arial" w:eastAsia="Times New Roman" w:hAnsi="Arial" w:cs="Arial"/>
          <w:sz w:val="21"/>
          <w:szCs w:val="21"/>
          <w:lang w:eastAsia="es-ES"/>
        </w:rPr>
        <w:t>ervicios. Aunque la provisión definitiva de todos los puestos de trabajo asignados al Área, incluyendo el jefe de negociado del Servicio, estaba prevista para el ejercicio 2021 esta no se ha producido y su provisión actual es de carácter temporal. Su provisión de manera definitiva está prevista a lo largo de 2022, esto nos permitirá seguir ampliando las tareas y objetivos consignados en el Plan estratégico del Servicio. Los recursos humanos y su necesaria formación y especialización son la pieza angular para desarrollar con calidad y rigor las funciones que tenemos asignadas que son heterogéneas, dinámicas y en adaptación constante a las necesidades informativas de la Agencia.</w:t>
      </w:r>
    </w:p>
    <w:p w14:paraId="4161D146"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El acceso a recursos informativos y la provisión de servicios de información y documentación tienen un componente altamente tecnológico y gran dependencia de las TICs. Las bibliotecas y centros de documentación utilizan para su gestión software específicos destinados a la gestión informatizada de los recursos de información, de los diferentes perfiles de sus usuarios, de los servicios a prestar y de todas las actividades necesarias para su funcionamiento. Desde el Servicio se busca incorporar una solución que sea convergente, global e integradora que, por un lado, permita hacer una gestión eficiente de las colecciones propias, usuarios y servicios y, por otro lado, nos facilite la integración y colaboración con otras bibliotecas y centros de documentación compartiendo recursos y experiencias. En 2021 el Servicio ha manifestado la necesidad de contar con software de gestión bibliotecaria y ha propuesto su contratación que esperamos se lleve a cabo a lo largo de 2022.</w:t>
      </w:r>
    </w:p>
    <w:p w14:paraId="62E409A3"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También continuamos avanzando en la implementación de las funcionalidades relacionadas con la transferencia y archivo en la plataforma de administración electrónica para que recoja lo que indica nuestra Política de gestión de documento electrónico de la AVAF.</w:t>
      </w:r>
    </w:p>
    <w:p w14:paraId="12F06BCF" w14:textId="77777777" w:rsidR="00927EA9" w:rsidRPr="00927EA9" w:rsidRDefault="00927EA9" w:rsidP="00927EA9">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80" w:name="_Toc93922343"/>
      <w:bookmarkStart w:id="481" w:name="_Toc99107118"/>
      <w:r w:rsidRPr="00927EA9">
        <w:rPr>
          <w:rFonts w:ascii="Arial" w:eastAsia="Times New Roman" w:hAnsi="Arial" w:cs="Arial"/>
          <w:b/>
          <w:bCs/>
          <w:color w:val="9D2235" w:themeColor="accent1"/>
          <w:sz w:val="28"/>
          <w:szCs w:val="28"/>
          <w:lang w:eastAsia="es-ES"/>
        </w:rPr>
        <w:t>Colecciones y procesos técnicos</w:t>
      </w:r>
      <w:bookmarkEnd w:id="480"/>
      <w:bookmarkEnd w:id="481"/>
    </w:p>
    <w:p w14:paraId="0454206F"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No ha sido hasta el último cuatrimestre del año que la AVAF cuenta con un contrato de suministro de libros y otros materiales bibliográficos licitado a través de la plataforma de contratación del sector público. A pesar de la escasez del tiempo disponible la dedicación de los recursos humanos del Servicio ha permitido ejecutar el 85% del presupuesto asignado para todo el año. Tal y como lo prevé el contrato se ha procedido dentro del plazo previsto a la aprobación de la primera prórroga del mencionado contrato de suministro que abarca todo el año 2022.</w:t>
      </w:r>
    </w:p>
    <w:p w14:paraId="2F4A003A" w14:textId="1F650B02"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Durante el año 2021 se ha aprobado también la Política de donaciones de libros y otros materiales bibliográficos para la Agencia de Prevención y Lucha contra el Fraude y la Corrupción de la Comunitat Valenciana. La AVAF ha adoptado una política de donaciones pasiva (ni solicita ni promueve donaciones) compatible con su normativa y con su Código Ético. Aunque el mecanismo principal de desarrollo de su colección es la adquisición mediante compra a través de su contrato de suministro licitado, las donaciones que se producen, en su mayoría como resultado de la colaboración institucional, permiten enriquecer los fondos de la biblioteca junto con otros tipos de adquisiciones como la compra, suscripción, e intercambio o canje. La mencionada Política de donaciones tiene como objetivos establecer unos criterios y condiciones para la aceptación de donaciones, tipificar las posibles donaciones y, finalmente, instaurar un procedimiento que permita al Servicio racionalizar el conjunto de procedimientos a llevar a cabo.</w:t>
      </w:r>
    </w:p>
    <w:p w14:paraId="64B61F8D"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Como en el año anterior el Servicio de Documentación e Informes ha gestionado, para la Agencia Valenciana Antifraude, la suscripción institucional a una base de datos bibliográfica y a una base de datos jurídica. En ambos casos la Agencia se asegura un doble acceso mediante direcciones IP y registro de usuario con correo electrónico institucional que ha resultado crucial en un contexto de teletrabajo. A partir de la explotación de ambas bases de datos el Servicio elabora y reenvía periódicamente alertas sobre temas de interés de manera personalizada al personal de la Agencia en función de las investigaciones en curso o funciones atribuidas. Asimismo, desde el Servicio se incentiva y se presta ayuda en el uso autónomo de ambas herramientas.</w:t>
      </w:r>
    </w:p>
    <w:p w14:paraId="7A55D8A4" w14:textId="2DF7760B" w:rsid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No existen en todo el territorio español recursos de información especializados en la prevención y lucha contra el fraude y la corrupción. Si bien muchos de los documentos que contiene la colección de la AVAF pueden localizarse en otras bibliotecas de la administración y en bibliotecas universitarias, estamos ante el proyecto de reunión de una colección única, con vocación asimismo de apertura a la ciudadanía.</w:t>
      </w:r>
    </w:p>
    <w:p w14:paraId="14340A65" w14:textId="77777777" w:rsidR="00927EA9" w:rsidRDefault="00927EA9" w:rsidP="00927EA9">
      <w:pPr>
        <w:keepNext/>
        <w:spacing w:after="80" w:line="276" w:lineRule="auto"/>
      </w:pPr>
      <w:r w:rsidRPr="00927EA9">
        <w:rPr>
          <w:rFonts w:ascii="Arial" w:eastAsia="Calibri" w:hAnsi="Arial" w:cs="Arial"/>
          <w:noProof/>
          <w:sz w:val="21"/>
          <w:szCs w:val="21"/>
        </w:rPr>
        <w:drawing>
          <wp:inline distT="0" distB="0" distL="0" distR="0" wp14:anchorId="4632988B" wp14:editId="2E800F2C">
            <wp:extent cx="5400040" cy="2491105"/>
            <wp:effectExtent l="19050" t="19050" r="10160" b="23495"/>
            <wp:docPr id="11" name="Imagen 11" descr="Un librero con libr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Un librero con libros&#10;&#10;Descripción generada automáticamente"/>
                    <pic:cNvPicPr/>
                  </pic:nvPicPr>
                  <pic:blipFill>
                    <a:blip r:embed="rId522" cstate="print">
                      <a:extLst>
                        <a:ext uri="{28A0092B-C50C-407E-A947-70E740481C1C}">
                          <a14:useLocalDpi xmlns:a14="http://schemas.microsoft.com/office/drawing/2010/main" val="0"/>
                        </a:ext>
                      </a:extLst>
                    </a:blip>
                    <a:stretch>
                      <a:fillRect/>
                    </a:stretch>
                  </pic:blipFill>
                  <pic:spPr>
                    <a:xfrm>
                      <a:off x="0" y="0"/>
                      <a:ext cx="5400040" cy="2491105"/>
                    </a:xfrm>
                    <a:prstGeom prst="rect">
                      <a:avLst/>
                    </a:prstGeom>
                    <a:ln>
                      <a:solidFill>
                        <a:srgbClr val="4472C4"/>
                      </a:solidFill>
                    </a:ln>
                    <a:effectLst>
                      <a:softEdge rad="12700"/>
                    </a:effectLst>
                  </pic:spPr>
                </pic:pic>
              </a:graphicData>
            </a:graphic>
          </wp:inline>
        </w:drawing>
      </w:r>
    </w:p>
    <w:p w14:paraId="488D161E" w14:textId="14EBF119" w:rsidR="000D576F" w:rsidRPr="00927EA9" w:rsidRDefault="00927EA9" w:rsidP="00927EA9">
      <w:pPr>
        <w:pStyle w:val="Descripcin"/>
        <w:jc w:val="center"/>
        <w:rPr>
          <w:rFonts w:ascii="Arial" w:eastAsia="Times New Roman" w:hAnsi="Arial" w:cs="Arial"/>
          <w:smallCaps w:val="0"/>
          <w:sz w:val="18"/>
          <w:szCs w:val="18"/>
          <w:lang w:eastAsia="es-ES"/>
        </w:rPr>
      </w:pPr>
      <w:bookmarkStart w:id="482" w:name="_Toc99099138"/>
      <w:r w:rsidRPr="00927EA9">
        <w:rPr>
          <w:rFonts w:ascii="Arial" w:hAnsi="Arial" w:cs="Arial"/>
          <w:smallCaps w:val="0"/>
          <w:color w:val="9D2235" w:themeColor="accent1"/>
          <w:sz w:val="18"/>
          <w:szCs w:val="18"/>
        </w:rPr>
        <w:t xml:space="preserve">Imagen </w:t>
      </w:r>
      <w:r w:rsidRPr="00927EA9">
        <w:rPr>
          <w:rFonts w:ascii="Arial" w:hAnsi="Arial" w:cs="Arial"/>
          <w:smallCaps w:val="0"/>
          <w:color w:val="9D2235" w:themeColor="accent1"/>
          <w:sz w:val="18"/>
          <w:szCs w:val="18"/>
        </w:rPr>
        <w:fldChar w:fldCharType="begin" w:fldLock="1"/>
      </w:r>
      <w:r w:rsidRPr="00927EA9">
        <w:rPr>
          <w:rFonts w:ascii="Arial" w:hAnsi="Arial" w:cs="Arial"/>
          <w:smallCaps w:val="0"/>
          <w:color w:val="9D2235" w:themeColor="accent1"/>
          <w:sz w:val="18"/>
          <w:szCs w:val="18"/>
        </w:rPr>
        <w:instrText xml:space="preserve"> SEQ Imagen \* ARABIC </w:instrText>
      </w:r>
      <w:r w:rsidRPr="00927EA9">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14</w:t>
      </w:r>
      <w:r w:rsidRPr="00927EA9">
        <w:rPr>
          <w:rFonts w:ascii="Arial" w:hAnsi="Arial" w:cs="Arial"/>
          <w:smallCaps w:val="0"/>
          <w:color w:val="9D2235" w:themeColor="accent1"/>
          <w:sz w:val="18"/>
          <w:szCs w:val="18"/>
        </w:rPr>
        <w:fldChar w:fldCharType="end"/>
      </w:r>
      <w:r w:rsidRPr="00927EA9">
        <w:rPr>
          <w:rFonts w:ascii="Arial" w:hAnsi="Arial" w:cs="Arial"/>
          <w:smallCaps w:val="0"/>
          <w:color w:val="9D2235" w:themeColor="accent1"/>
          <w:sz w:val="18"/>
          <w:szCs w:val="18"/>
        </w:rPr>
        <w:t xml:space="preserve">. </w:t>
      </w:r>
      <w:r w:rsidRPr="00927EA9">
        <w:rPr>
          <w:rFonts w:ascii="Arial" w:hAnsi="Arial" w:cs="Arial"/>
          <w:smallCaps w:val="0"/>
          <w:sz w:val="18"/>
          <w:szCs w:val="18"/>
        </w:rPr>
        <w:t>Biblioteca de la AVAF</w:t>
      </w:r>
      <w:bookmarkEnd w:id="482"/>
    </w:p>
    <w:p w14:paraId="01ECC20F"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La colección se ha incrementado en el último año un 275% y cuenta, a fecha de redacción de la Memoria, con 380 volúmenes. Se está desarrollando en torno a temas muy específicos que atañen a las funciones de creación de la Agencia como son la ética e integridad pública; la transparencia, acceso a la información pública, participación ciudadana y buen gobierno; la prevención del fraude y la corrupción; la sensibilización social frente al fraude y la corrupción; el análisis, investigación y estudio de casos de corrupción; el whistleblowing y la protección de denunciantes. Atendemos por supuesto también a temas más generales de carácter instrumental como el derecho y procedimiento administrativo, la administración electrónica y transformación digital, el contexto geográfico, social, normativo e institucional de la Agencia y su ámbito de actuación, y las relaciones institucionales. Finalmente, también tienen cabida en la colección obras de temática relacionada con la ética, la deontología profesional y la responsabilidad social y empresarial.</w:t>
      </w:r>
    </w:p>
    <w:p w14:paraId="338BD311"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Hemos puesto en marcha un protocolo de incorporación de documentos en la biblioteca que cubre todas las fases desde la recepción de las obras hasta la puesta a disposición a los usuarios.</w:t>
      </w:r>
    </w:p>
    <w:p w14:paraId="576ABA5E"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 xml:space="preserve">El desarrollo de la colección bibliográfica de la AVAF se hace siguiendo criterios de pertinencia temática, bien porque el contenido de las obras se hace necesario para el desarrollo de las funciones del personal de la AVAF que son los usuarios en primera instancia, bien porque la temática cubre cualquier aspecto de la lucha contra el fraude y la corrupción en sentido amplio y que son de interés para su puesta a disposición a la ciudadanía en general en un centro de documentación creado a tal efecto. </w:t>
      </w:r>
    </w:p>
    <w:p w14:paraId="2A3FB9CE"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En el caso de las adquisiciones por compra se verifica que todos los datos bibliográficos coinciden exactamente con la obra solicitada. Después se comprueba que no existan defectos formales que pudieran motivar una devolución en ejecución de su garantía. Acto seguido se pasa evaluar la obra en cuanto a la calidad editorial y la calidad formal.</w:t>
      </w:r>
    </w:p>
    <w:p w14:paraId="32A2FDCD"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Por un lado, en cuanto a la calidad editorial se tiene en cuenta la autoría, tanto de los contenidos principales, como del prólogo, introducción, diferentes capítulos, traducción, etc. Se observa el prestigio editorial, para lo que utilizamos como medida objetiva el ranking SPI (Scholarly Publishers Indicators) para editoriales de humanidades y ciencias sociales [</w:t>
      </w:r>
      <w:hyperlink r:id="rId523" w:history="1">
        <w:r w:rsidRPr="0019049A">
          <w:rPr>
            <w:rStyle w:val="Hipervnculo"/>
            <w:rFonts w:ascii="Arial" w:eastAsia="Times New Roman" w:hAnsi="Arial" w:cs="Arial"/>
            <w:sz w:val="21"/>
            <w:szCs w:val="21"/>
            <w:lang w:eastAsia="es-ES"/>
          </w:rPr>
          <w:t>http://ilia.cchs.csic.es/spi/index.html</w:t>
        </w:r>
      </w:hyperlink>
      <w:r w:rsidRPr="0019049A">
        <w:rPr>
          <w:rFonts w:ascii="Arial" w:eastAsia="Times New Roman" w:hAnsi="Arial" w:cs="Arial"/>
          <w:sz w:val="21"/>
          <w:szCs w:val="21"/>
          <w:lang w:eastAsia="es-ES"/>
        </w:rPr>
        <w:t>]. Se tiene en cuenta si la obra se ha publicado dentro de una colección editorial, su director, consejo editorial, etc. El número de ediciones, revisiones, actualizaciones, traducciones a otras lenguas, también son indicadores de calidad de los libros y son tenidos en cuenta en el proceso de valoración. Por otro lado, en cuanto a las estimaciones relativas a la calidad formal, se aprecia la encuadernación, la presencia y disposición de los datos bibliográficos completos de la obra en portada, cubierta, lomo, encabezados y pies de página. Y las aportaciones relativas a la organización de la información y facilitación del acceso a la misma como tabla de contenido, índice analítico, bibliografía, tablas, gráficos, ilustraciones, mapas, esquemas, cronologías, etc.</w:t>
      </w:r>
    </w:p>
    <w:p w14:paraId="4A1E4BF6"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Tras la valoración y la decisión de la incorporación definitiva a la colección de la AVAF se procede al proceso técnico bibliotecario que incluye el registro, para todas las obras, incluidas las donaciones e intercambios; el sellado, y tejuelado. En ausencia por el momento de un software específico de gestión bibliotecaria todas las tareas se llevan a cabo con herramientas de escritorio, incluidas la catalogación y la circulación de la colección. Finalizado el proceso técnico si la obra se trata de una desiderata se comunica al peticionario y para los libros que no son desideratas, se comunican como novedad de adquisición de la biblioteca, agrupándolos en un boletín periódico sin perjuicio de avisos con carácter inmediato en base a temas de interés o de investigaciones en curso.</w:t>
      </w:r>
    </w:p>
    <w:p w14:paraId="6056ADDB"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Una de las líneas estratégicas del Servicio de Documentación es contribuir al diseño de los espacios físicos destinados a la biblioteca de la Agencia. A lo largo de 2021 el Servicio ha manifestado, a iniciativa propia y a petición de otras áreas, necesidades relativas al emplazamiento y mobiliario restringiendo las exigencias a los espacios estrictamente necesarios para acoger las colecciones que van llegando. El lugar que alberga provisionalmente la colección está concebido como una ubicación en libre acceso, que permite una búsqueda y localización de la información rápida y fácil, y el acceso a todos los documentos por parte de la plantilla de la AVAF, que son sus usuarios inmediatos.</w:t>
      </w:r>
    </w:p>
    <w:p w14:paraId="0D62DC18" w14:textId="3B02356B" w:rsidR="000D576F" w:rsidRDefault="0019049A" w:rsidP="00927EA9">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Sin embargo, contemplamos a medio plazo el compromiso explicitado en el artículo 29 del reglamento de la Agencia, de construir un centro de documentación de referencia especializado en la prevención y lucha contra el fraude y la corrupción, que se encuentre al servicio de la ciudadanía. Los centros de documentación y las bibliotecas se han visto directamente afectados por la transformación cultural y social vinculada a las sociedades del conocimiento, en las cuales el almacenamiento y puesta a disposición de los documentos físicos no son ya la primera y principal de las actividades de las unidades de información. La tendencia es que los centros de documentación y bibliotecas sean identificados como el centro más social dentro de una institución matriz, proporcionando también los lugares de reunión y formación, lo que requiere compaginar la necesaria flexibilidad en el diseño de espacios con la dotación de una identidad diferenciada.</w:t>
      </w:r>
    </w:p>
    <w:p w14:paraId="7094D455" w14:textId="77777777" w:rsidR="00927EA9" w:rsidRPr="00927EA9" w:rsidRDefault="00927EA9" w:rsidP="00927EA9">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83" w:name="_Toc93922348"/>
      <w:bookmarkStart w:id="484" w:name="_Toc99107119"/>
      <w:r w:rsidRPr="00927EA9">
        <w:rPr>
          <w:rFonts w:ascii="Arial" w:eastAsia="Times New Roman" w:hAnsi="Arial" w:cs="Arial"/>
          <w:b/>
          <w:bCs/>
          <w:color w:val="9D2235" w:themeColor="accent1"/>
          <w:sz w:val="28"/>
          <w:szCs w:val="28"/>
          <w:lang w:eastAsia="es-ES"/>
        </w:rPr>
        <w:t>Vigilancia del entorno y servicios de referencia</w:t>
      </w:r>
      <w:bookmarkEnd w:id="483"/>
      <w:bookmarkEnd w:id="484"/>
    </w:p>
    <w:p w14:paraId="36B30DD5"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 xml:space="preserve">Las actividades de vigilancia permiten a las organizaciones afrontar la situación de explosión informativa, optimizar el uso de los recursos, anticiparse a cambios, innovar, desarrollar una cultura de cooperación y difundir los propios logros en su entorno. </w:t>
      </w:r>
    </w:p>
    <w:p w14:paraId="72EADCDD"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Para ello el Servicio ha desarrollado a lo largo de 2021 algunos proyectos, en algunos casos de manera independiente y en otros en colaboración con otros servicios, a partir de asuntos de interés que han idos surgiendo.</w:t>
      </w:r>
    </w:p>
    <w:p w14:paraId="11F9DF45"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Se ha elaborado un calendario de eventos permanente que contiene los congresos, reuniones, seminarios, jornadas, talleres y acontecimientos en general relacionados con la lucha contra el fraude y la corrupción a nivel internacional, lo que ha permitido al Servicio también la identificación de fuentes de información personales e institucionales.</w:t>
      </w:r>
    </w:p>
    <w:p w14:paraId="568FF681" w14:textId="55DCCA8A"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La inteligencia artificial, el big data, y otros desarrollos tecnológicos asociados pueden ser una herramienta útil para la prevención y lucha contra el fraude y la corrupción. Multiplican de manera exponencial la capacidad de analizar grandes volúmenes de información en poco tiempo y de manera recurrente; permiten establecer correlaciones e inferencias que escaparían a la aplicación de una percepción y lógica humana; y posibilitan la utilización de gran cantidad de datos para anticipar patrones de conducta para identificar situaciones en las cuales, de manera estadísticamente significativa, se dan casos de fraude o corrupción. El Servicio de Documentación ha considerado estratégico para la Agencia Valenciana Antifraude hacer un seguimiento de estas iniciativas e incluye entre sus líneas de trabajo el seguimiento de bibliografía, normativa y proyectos de I+D+</w:t>
      </w:r>
      <w:r w:rsidR="00274AE4">
        <w:rPr>
          <w:rFonts w:ascii="Arial" w:eastAsia="Times New Roman" w:hAnsi="Arial" w:cs="Arial"/>
          <w:sz w:val="21"/>
          <w:szCs w:val="21"/>
          <w:lang w:eastAsia="es-ES"/>
        </w:rPr>
        <w:t>i</w:t>
      </w:r>
      <w:r w:rsidRPr="0019049A">
        <w:rPr>
          <w:rFonts w:ascii="Arial" w:eastAsia="Times New Roman" w:hAnsi="Arial" w:cs="Arial"/>
          <w:sz w:val="21"/>
          <w:szCs w:val="21"/>
          <w:lang w:eastAsia="es-ES"/>
        </w:rPr>
        <w:t xml:space="preserve"> orientados en la lucha contra el fraude y la corrupción que puedan ir surgiendo.</w:t>
      </w:r>
    </w:p>
    <w:p w14:paraId="051F14E7" w14:textId="4062B7B1"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 xml:space="preserve">El Servicio ha elaborado una recopilación de la información disponible, así como una sistematización de fuentes de información a vigilar, relativa a planes de integridad y planes de medidas antifraude, relacionados o concordantes con la Orden HFP/1030/2021, de 29 de septiembre; y la ha compartido con los miembros de la </w:t>
      </w:r>
      <w:r w:rsidR="0084642A">
        <w:rPr>
          <w:rFonts w:ascii="Arial" w:eastAsia="Times New Roman" w:hAnsi="Arial" w:cs="Arial"/>
          <w:sz w:val="21"/>
          <w:szCs w:val="21"/>
          <w:lang w:eastAsia="es-ES"/>
        </w:rPr>
        <w:t>Red de Oficinas y Agencias Anticorrupción</w:t>
      </w:r>
      <w:r w:rsidRPr="0019049A">
        <w:rPr>
          <w:rFonts w:ascii="Arial" w:eastAsia="Times New Roman" w:hAnsi="Arial" w:cs="Arial"/>
          <w:sz w:val="21"/>
          <w:szCs w:val="21"/>
          <w:lang w:eastAsia="es-ES"/>
        </w:rPr>
        <w:t xml:space="preserve">, dado que la herramienta de financiación europea EU Next Generation supone una oportunidad única para la recuperación económica y social post-pandemia de COVID y la contribución desde los organismos de prevención de la corrupción será muy relevante. </w:t>
      </w:r>
    </w:p>
    <w:p w14:paraId="6745F54A"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El Servicio de Documentación e Informes ha continuado atendiendo consultas a partir de temas de investigación, actividades formativas programadas, autores concretos, y solicitudes de obtención de informes y documentos.</w:t>
      </w:r>
    </w:p>
    <w:p w14:paraId="0948C0DD"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En cuanto a formación de usuarios se han llevado a cabo dos sesiones, una para la base de datos legislativa impartida por personal de la empresa proveedora y otra sobre la base de datos bibliográfica impartida desde el propio Servicio.</w:t>
      </w:r>
    </w:p>
    <w:p w14:paraId="5FF69A07" w14:textId="77777777" w:rsidR="00927EA9" w:rsidRPr="00927EA9" w:rsidRDefault="00927EA9" w:rsidP="00927EA9">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85" w:name="_Toc99107120"/>
      <w:r w:rsidRPr="00927EA9">
        <w:rPr>
          <w:rFonts w:ascii="Arial" w:eastAsia="Times New Roman" w:hAnsi="Arial" w:cs="Arial"/>
          <w:b/>
          <w:bCs/>
          <w:color w:val="9D2235" w:themeColor="accent1"/>
          <w:sz w:val="28"/>
          <w:szCs w:val="28"/>
          <w:lang w:eastAsia="es-ES"/>
        </w:rPr>
        <w:t>Política de Gestión de Documentos Electrónicos</w:t>
      </w:r>
      <w:bookmarkEnd w:id="485"/>
    </w:p>
    <w:p w14:paraId="6E6D9FE5"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Al objeto de aplicar y mantener actualizada la Política de Gestión de Documentos Electrónicos, durante este año se han producido actualizaciones en el cuadro de clasificación relacionadas con las series documentales de gestión económica, contratación, y gabinete, para recoger los expedientes relacionados con las políticas de igualdad de género.</w:t>
      </w:r>
    </w:p>
    <w:p w14:paraId="44FAF61C"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Para los trabajos de elaboración de las tablas de valoración documental, se ha configurado la comisión de valoración documental de la Agencia Valenciana Antifraude que está formada por la dirección de la Agencia; la Dirección de Asuntos Jurídicos; la Dirección de Prevención, Formación y Documentación; un representante de la dirección funcional o área responsable de las series documentales a valorar en cada sesión; y la jefatura del Servicio de Documentación e Informes. Se ha trasladado a la Junta Calificadora de Documentos Administrativos para su conocimiento y se espera empezar las sesiones de valoración de las series a lo largo de 2022.</w:t>
      </w:r>
    </w:p>
    <w:p w14:paraId="4B553E15" w14:textId="77777777" w:rsidR="00927EA9" w:rsidRPr="00927EA9" w:rsidRDefault="00927EA9" w:rsidP="00927EA9">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486" w:name="_Toc93922354"/>
      <w:bookmarkStart w:id="487" w:name="_Toc99107121"/>
      <w:r w:rsidRPr="00927EA9">
        <w:rPr>
          <w:rFonts w:ascii="Arial" w:eastAsia="Times New Roman" w:hAnsi="Arial" w:cs="Arial"/>
          <w:b/>
          <w:bCs/>
          <w:color w:val="9D2235" w:themeColor="accent1"/>
          <w:sz w:val="28"/>
          <w:szCs w:val="28"/>
          <w:lang w:eastAsia="es-ES"/>
        </w:rPr>
        <w:t>Visibilización</w:t>
      </w:r>
      <w:bookmarkEnd w:id="486"/>
      <w:bookmarkEnd w:id="487"/>
    </w:p>
    <w:p w14:paraId="261389E7"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Este año hemos llevado a cabo una revisión y control de autoridades de publicaciones de miembros de la AVAF para facilitar la visibilización de las publicaciones siguiendo criterios de evaluación científica. El objetivo es la visibilización de la Agencia Valenciana Antifraude en el entorno académico y entre quienes son sus pares en los mismos ámbitos de estudio.</w:t>
      </w:r>
    </w:p>
    <w:p w14:paraId="0CC7B018" w14:textId="77777777" w:rsidR="0019049A" w:rsidRPr="0019049A" w:rsidRDefault="0019049A" w:rsidP="0019049A">
      <w:pPr>
        <w:spacing w:after="240" w:line="276" w:lineRule="auto"/>
        <w:jc w:val="both"/>
        <w:rPr>
          <w:rFonts w:ascii="Arial" w:eastAsia="Times New Roman" w:hAnsi="Arial" w:cs="Arial"/>
          <w:sz w:val="21"/>
          <w:szCs w:val="21"/>
          <w:lang w:eastAsia="es-ES"/>
        </w:rPr>
      </w:pPr>
      <w:r w:rsidRPr="0019049A">
        <w:rPr>
          <w:rFonts w:ascii="Arial" w:eastAsia="Times New Roman" w:hAnsi="Arial" w:cs="Arial"/>
          <w:sz w:val="21"/>
          <w:szCs w:val="21"/>
          <w:lang w:eastAsia="es-ES"/>
        </w:rPr>
        <w:t>En 2021 han visto la luz varias obras editoriales que mencionan a la Agencia o en las que se ha solicitado expresamente su contribución. La Agencia Valenciana Antifraude se creó para fomentar una cultura social de buenas prácticas y de rechazo del fraude y la corrupción además de para prevenir y erradicar el fraude y la corrupción de las instituciones e impulsar la integridad y la ética pública. Esta cultura social de rechazo a la corrupción va más allá de la necesaria persecución de casos concretos y protección de personas, pero es incluso más difícil de medir y evaluar. Sin embargo, esta alusión en obras editoriales de distinto tipo del trabajo llevado a cabo por la Agencia puede considerarse como un buen indicador de la transferencia de esta cultura de rechazo a la corrupción por parte de la Agencia a la sociedad en general. A continuación, se reseñan brevemente dichas obras.</w:t>
      </w:r>
    </w:p>
    <w:p w14:paraId="5C01FCED" w14:textId="49117C2E" w:rsidR="00927EA9" w:rsidRPr="0019049A" w:rsidRDefault="00927EA9" w:rsidP="0019049A">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4"/>
          <w:szCs w:val="24"/>
          <w:lang w:eastAsia="es-ES"/>
        </w:rPr>
      </w:pPr>
      <w:bookmarkStart w:id="488" w:name="_Hlk93565135"/>
      <w:bookmarkStart w:id="489" w:name="_Toc93922357"/>
      <w:r w:rsidRPr="0019049A">
        <w:rPr>
          <w:rFonts w:ascii="Arial" w:eastAsia="Times New Roman" w:hAnsi="Arial" w:cs="Arial"/>
          <w:b/>
          <w:bCs/>
          <w:color w:val="9D2235" w:themeColor="accent1"/>
          <w:sz w:val="24"/>
          <w:szCs w:val="24"/>
          <w:lang w:eastAsia="es-ES"/>
        </w:rPr>
        <w:t>Mar Vivó Jiménez i Carlos Remohí Rius</w:t>
      </w:r>
      <w:bookmarkEnd w:id="488"/>
      <w:r w:rsidRPr="0019049A">
        <w:rPr>
          <w:rFonts w:ascii="Arial" w:eastAsia="Times New Roman" w:hAnsi="Arial" w:cs="Arial"/>
          <w:b/>
          <w:bCs/>
          <w:color w:val="9D2235" w:themeColor="accent1"/>
          <w:sz w:val="24"/>
          <w:szCs w:val="24"/>
          <w:lang w:eastAsia="es-ES"/>
        </w:rPr>
        <w:t>.</w:t>
      </w:r>
      <w:r w:rsidR="0084642A">
        <w:rPr>
          <w:rFonts w:ascii="Arial" w:eastAsia="Times New Roman" w:hAnsi="Arial" w:cs="Arial"/>
          <w:b/>
          <w:bCs/>
          <w:color w:val="9D2235" w:themeColor="accent1"/>
          <w:sz w:val="24"/>
          <w:szCs w:val="24"/>
          <w:lang w:eastAsia="es-ES"/>
        </w:rPr>
        <w:t xml:space="preserve"> </w:t>
      </w:r>
      <w:r w:rsidRPr="0019049A">
        <w:rPr>
          <w:rFonts w:ascii="Arial" w:eastAsia="Times New Roman" w:hAnsi="Arial" w:cs="Arial"/>
          <w:b/>
          <w:bCs/>
          <w:color w:val="9D2235" w:themeColor="accent1"/>
          <w:sz w:val="24"/>
          <w:szCs w:val="24"/>
          <w:lang w:eastAsia="es-ES"/>
        </w:rPr>
        <w:t>Les cares de l'evasió fiscal. Institució Alfons el Magnànim-Centre Valencià d'Estudis i d'Investigació, 2021</w:t>
      </w:r>
      <w:bookmarkEnd w:id="489"/>
    </w:p>
    <w:p w14:paraId="1EED9D02" w14:textId="77777777" w:rsidR="0019049A" w:rsidRDefault="00927EA9" w:rsidP="00DB7BB4">
      <w:pPr>
        <w:keepNext/>
        <w:spacing w:after="120" w:line="276" w:lineRule="auto"/>
        <w:jc w:val="center"/>
      </w:pPr>
      <w:r w:rsidRPr="00927EA9">
        <w:rPr>
          <w:rFonts w:ascii="Arial" w:eastAsia="Calibri" w:hAnsi="Arial" w:cs="Arial"/>
          <w:noProof/>
          <w:sz w:val="21"/>
          <w:szCs w:val="21"/>
        </w:rPr>
        <w:drawing>
          <wp:inline distT="0" distB="0" distL="0" distR="0" wp14:anchorId="66FF52ED" wp14:editId="6C1D4395">
            <wp:extent cx="1785600" cy="2880000"/>
            <wp:effectExtent l="19050" t="19050" r="24765" b="15875"/>
            <wp:docPr id="4" name="Imagen 4"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Mapa&#10;&#10;Descripción generada automáticamente"/>
                    <pic:cNvPicPr/>
                  </pic:nvPicPr>
                  <pic:blipFill>
                    <a:blip r:embed="rId524" cstate="print">
                      <a:extLst>
                        <a:ext uri="{28A0092B-C50C-407E-A947-70E740481C1C}">
                          <a14:useLocalDpi xmlns:a14="http://schemas.microsoft.com/office/drawing/2010/main" val="0"/>
                        </a:ext>
                      </a:extLst>
                    </a:blip>
                    <a:stretch>
                      <a:fillRect/>
                    </a:stretch>
                  </pic:blipFill>
                  <pic:spPr>
                    <a:xfrm>
                      <a:off x="0" y="0"/>
                      <a:ext cx="1785600" cy="2880000"/>
                    </a:xfrm>
                    <a:prstGeom prst="rect">
                      <a:avLst/>
                    </a:prstGeom>
                    <a:ln>
                      <a:solidFill>
                        <a:srgbClr val="4472C4"/>
                      </a:solidFill>
                    </a:ln>
                    <a:effectLst>
                      <a:softEdge rad="12700"/>
                    </a:effectLst>
                  </pic:spPr>
                </pic:pic>
              </a:graphicData>
            </a:graphic>
          </wp:inline>
        </w:drawing>
      </w:r>
    </w:p>
    <w:p w14:paraId="636D5F5F" w14:textId="601E8C34" w:rsidR="00927EA9" w:rsidRPr="0019049A" w:rsidRDefault="0019049A" w:rsidP="006F483D">
      <w:pPr>
        <w:pStyle w:val="Descripcin"/>
        <w:spacing w:after="240"/>
        <w:jc w:val="center"/>
        <w:rPr>
          <w:rFonts w:ascii="Arial" w:eastAsia="Times New Roman" w:hAnsi="Arial" w:cs="Arial"/>
          <w:smallCaps w:val="0"/>
          <w:sz w:val="18"/>
          <w:szCs w:val="18"/>
          <w:lang w:eastAsia="es-ES"/>
        </w:rPr>
      </w:pPr>
      <w:bookmarkStart w:id="490" w:name="_Toc99099139"/>
      <w:r w:rsidRPr="0019049A">
        <w:rPr>
          <w:rFonts w:ascii="Arial" w:hAnsi="Arial" w:cs="Arial"/>
          <w:smallCaps w:val="0"/>
          <w:color w:val="9D2235" w:themeColor="accent1"/>
          <w:sz w:val="18"/>
          <w:szCs w:val="18"/>
        </w:rPr>
        <w:t xml:space="preserve">Imagen </w:t>
      </w:r>
      <w:r w:rsidRPr="0019049A">
        <w:rPr>
          <w:rFonts w:ascii="Arial" w:hAnsi="Arial" w:cs="Arial"/>
          <w:smallCaps w:val="0"/>
          <w:color w:val="9D2235" w:themeColor="accent1"/>
          <w:sz w:val="18"/>
          <w:szCs w:val="18"/>
        </w:rPr>
        <w:fldChar w:fldCharType="begin" w:fldLock="1"/>
      </w:r>
      <w:r w:rsidRPr="0019049A">
        <w:rPr>
          <w:rFonts w:ascii="Arial" w:hAnsi="Arial" w:cs="Arial"/>
          <w:smallCaps w:val="0"/>
          <w:color w:val="9D2235" w:themeColor="accent1"/>
          <w:sz w:val="18"/>
          <w:szCs w:val="18"/>
        </w:rPr>
        <w:instrText xml:space="preserve"> SEQ Imagen \* ARABIC </w:instrText>
      </w:r>
      <w:r w:rsidRPr="0019049A">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15</w:t>
      </w:r>
      <w:r w:rsidRPr="0019049A">
        <w:rPr>
          <w:rFonts w:ascii="Arial" w:hAnsi="Arial" w:cs="Arial"/>
          <w:smallCaps w:val="0"/>
          <w:color w:val="9D2235" w:themeColor="accent1"/>
          <w:sz w:val="18"/>
          <w:szCs w:val="18"/>
        </w:rPr>
        <w:fldChar w:fldCharType="end"/>
      </w:r>
      <w:r w:rsidRPr="0019049A">
        <w:rPr>
          <w:rFonts w:ascii="Arial" w:hAnsi="Arial" w:cs="Arial"/>
          <w:smallCaps w:val="0"/>
          <w:color w:val="9D2235" w:themeColor="accent1"/>
          <w:sz w:val="18"/>
          <w:szCs w:val="18"/>
        </w:rPr>
        <w:t xml:space="preserve">. </w:t>
      </w:r>
      <w:r w:rsidRPr="0019049A">
        <w:rPr>
          <w:rFonts w:ascii="Arial" w:hAnsi="Arial" w:cs="Arial"/>
          <w:smallCaps w:val="0"/>
          <w:sz w:val="18"/>
          <w:szCs w:val="18"/>
        </w:rPr>
        <w:t>Cubierta del libro Les cares de l'evasió fiscal</w:t>
      </w:r>
      <w:bookmarkEnd w:id="490"/>
    </w:p>
    <w:p w14:paraId="0D5AEF72" w14:textId="77777777" w:rsidR="00DB7BB4" w:rsidRPr="00DB7BB4" w:rsidRDefault="00DB7BB4" w:rsidP="00DB7BB4">
      <w:pPr>
        <w:spacing w:after="240" w:line="276" w:lineRule="auto"/>
        <w:jc w:val="both"/>
        <w:rPr>
          <w:rFonts w:ascii="Arial" w:eastAsia="Times New Roman" w:hAnsi="Arial" w:cs="Arial"/>
          <w:sz w:val="21"/>
          <w:szCs w:val="21"/>
          <w:lang w:eastAsia="es-ES"/>
        </w:rPr>
      </w:pPr>
      <w:r w:rsidRPr="00DB7BB4">
        <w:rPr>
          <w:rFonts w:ascii="Arial" w:eastAsia="Times New Roman" w:hAnsi="Arial" w:cs="Arial"/>
          <w:i/>
          <w:iCs/>
          <w:sz w:val="21"/>
          <w:szCs w:val="21"/>
          <w:lang w:eastAsia="es-ES"/>
        </w:rPr>
        <w:t>Les cares de l'evasió fiscal: Pobresa, frau i corrupció a la Comunitat Valenciana</w:t>
      </w:r>
      <w:r w:rsidRPr="00DB7BB4">
        <w:rPr>
          <w:rFonts w:ascii="Arial" w:eastAsia="Times New Roman" w:hAnsi="Arial" w:cs="Arial"/>
          <w:sz w:val="21"/>
          <w:szCs w:val="21"/>
          <w:lang w:eastAsia="es-ES"/>
        </w:rPr>
        <w:t xml:space="preserve"> de Mar Vivó Jiménez y Carlos Remohí Rius es un trabajo de periodismo de investigación de sus autores, que obtuvieron con su proyecto la Beca Josep Torrent de la Unió de Periodistes Valencians y que ha publicado la Institució Alfons el Magnànim dentro de su colección Periodisme.</w:t>
      </w:r>
    </w:p>
    <w:p w14:paraId="524C9732" w14:textId="38611080" w:rsidR="00DB7BB4" w:rsidRPr="00DB7BB4" w:rsidRDefault="00DB7BB4" w:rsidP="00DB7BB4">
      <w:pPr>
        <w:spacing w:after="240" w:line="276" w:lineRule="auto"/>
        <w:jc w:val="both"/>
        <w:rPr>
          <w:rFonts w:ascii="Arial" w:eastAsia="Times New Roman" w:hAnsi="Arial" w:cs="Arial"/>
          <w:sz w:val="21"/>
          <w:szCs w:val="21"/>
          <w:lang w:eastAsia="es-ES"/>
        </w:rPr>
      </w:pPr>
      <w:r w:rsidRPr="00DB7BB4">
        <w:rPr>
          <w:rFonts w:ascii="Arial" w:eastAsia="Times New Roman" w:hAnsi="Arial" w:cs="Arial"/>
          <w:sz w:val="21"/>
          <w:szCs w:val="21"/>
          <w:lang w:eastAsia="es-ES"/>
        </w:rPr>
        <w:t>Como su título completo anticipa, el libro pone en relación la evasión fiscal y las situaciones de riesgo de pobreza o pobreza efectiva en la Comuni</w:t>
      </w:r>
      <w:r w:rsidR="008C1237">
        <w:rPr>
          <w:rFonts w:ascii="Arial" w:eastAsia="Times New Roman" w:hAnsi="Arial" w:cs="Arial"/>
          <w:sz w:val="21"/>
          <w:szCs w:val="21"/>
          <w:lang w:eastAsia="es-ES"/>
        </w:rPr>
        <w:t>tat</w:t>
      </w:r>
      <w:r w:rsidRPr="00DB7BB4">
        <w:rPr>
          <w:rFonts w:ascii="Arial" w:eastAsia="Times New Roman" w:hAnsi="Arial" w:cs="Arial"/>
          <w:sz w:val="21"/>
          <w:szCs w:val="21"/>
          <w:lang w:eastAsia="es-ES"/>
        </w:rPr>
        <w:t xml:space="preserve"> Valenciana. Lo hace desde el rigor y la objetividad del periodismo de investigación, aportando, por un lado, gran profusión de datos, tablas y gráficos que resumen situaciones y comparativas; y por otro, testimonios y trabajos de personas expertas: Susana Ruíz, responsable y experta de justicia fiscal d’Oxfam International; Clara Martínez-Toledano, investigadora de la School of Economics de París; Francisco Gaspar, coordinador de Gestha, Sindicato de Técnicos del Ministerio de Hacienda, en la Comuni</w:t>
      </w:r>
      <w:r w:rsidR="008C1237">
        <w:rPr>
          <w:rFonts w:ascii="Arial" w:eastAsia="Times New Roman" w:hAnsi="Arial" w:cs="Arial"/>
          <w:sz w:val="21"/>
          <w:szCs w:val="21"/>
          <w:lang w:eastAsia="es-ES"/>
        </w:rPr>
        <w:t>tat</w:t>
      </w:r>
      <w:r w:rsidRPr="00DB7BB4">
        <w:rPr>
          <w:rFonts w:ascii="Arial" w:eastAsia="Times New Roman" w:hAnsi="Arial" w:cs="Arial"/>
          <w:sz w:val="21"/>
          <w:szCs w:val="21"/>
          <w:lang w:eastAsia="es-ES"/>
        </w:rPr>
        <w:t xml:space="preserve"> Valenciana; José Luis González Meseguer, activista y portavoz de la PAH, Plataforma de Afectados por la Hipoteca de Valencia; Carmelo Lozano, catedrático de la Universidad de Valencia en Derecho financiero y tributario; Juan Hernández Vigueras, del Consejo Científico de ATTATC España, Asociación por la Tasación de las Transacciones financieras y por la Acción Ciudadana; José Goerlich Gisbert, doctor en Ciencias económicas por la universidad de valencia; y Mari Carmen, Jessenia, y Erika, como personas expertas en pobreza porque la viven día a día, todas ellas mujeres. El libro da ese difícil paso que es la divulgación a la sociedad en general de un trabajo de investigación riguroso. El trabajo presenta para que el lector concluya; y se entiende.</w:t>
      </w:r>
    </w:p>
    <w:p w14:paraId="49D676C2" w14:textId="67481ECD" w:rsidR="00DB7BB4" w:rsidRPr="00DB7BB4" w:rsidRDefault="00DB7BB4" w:rsidP="00DB7BB4">
      <w:pPr>
        <w:spacing w:after="240" w:line="276" w:lineRule="auto"/>
        <w:jc w:val="both"/>
        <w:rPr>
          <w:rFonts w:ascii="Arial" w:eastAsia="Times New Roman" w:hAnsi="Arial" w:cs="Arial"/>
          <w:sz w:val="21"/>
          <w:szCs w:val="21"/>
          <w:lang w:eastAsia="es-ES"/>
        </w:rPr>
      </w:pPr>
      <w:r w:rsidRPr="00DB7BB4">
        <w:rPr>
          <w:rFonts w:ascii="Arial" w:eastAsia="Times New Roman" w:hAnsi="Arial" w:cs="Arial"/>
          <w:sz w:val="21"/>
          <w:szCs w:val="21"/>
          <w:lang w:eastAsia="es-ES"/>
        </w:rPr>
        <w:t>A lo largo de cinco capítulos el libro explica el sistema tributario español, las desigualdades territoriales que comporta, las competencias atribuidas a la Comuni</w:t>
      </w:r>
      <w:r w:rsidR="008C1237">
        <w:rPr>
          <w:rFonts w:ascii="Arial" w:eastAsia="Times New Roman" w:hAnsi="Arial" w:cs="Arial"/>
          <w:sz w:val="21"/>
          <w:szCs w:val="21"/>
          <w:lang w:eastAsia="es-ES"/>
        </w:rPr>
        <w:t>tat</w:t>
      </w:r>
      <w:r w:rsidRPr="00DB7BB4">
        <w:rPr>
          <w:rFonts w:ascii="Arial" w:eastAsia="Times New Roman" w:hAnsi="Arial" w:cs="Arial"/>
          <w:sz w:val="21"/>
          <w:szCs w:val="21"/>
          <w:lang w:eastAsia="es-ES"/>
        </w:rPr>
        <w:t xml:space="preserve"> Valenciana, y su evolución reciente con atención a la situación anterior y posterior a la crisis económica que estalló en 2008. Habla también de en qué consisten la economía sumergida, el fraude fiscal, y las amnistías y paraísos fiscales.</w:t>
      </w:r>
    </w:p>
    <w:p w14:paraId="0B830F9A" w14:textId="5EE98C38" w:rsidR="00DB7BB4" w:rsidRPr="00DB7BB4" w:rsidRDefault="00DB7BB4" w:rsidP="00DB7BB4">
      <w:pPr>
        <w:spacing w:after="240" w:line="276" w:lineRule="auto"/>
        <w:jc w:val="both"/>
        <w:rPr>
          <w:rFonts w:ascii="Arial" w:eastAsia="Times New Roman" w:hAnsi="Arial" w:cs="Arial"/>
          <w:sz w:val="21"/>
          <w:szCs w:val="21"/>
          <w:lang w:eastAsia="es-ES"/>
        </w:rPr>
      </w:pPr>
      <w:r w:rsidRPr="00DB7BB4">
        <w:rPr>
          <w:rFonts w:ascii="Arial" w:eastAsia="Times New Roman" w:hAnsi="Arial" w:cs="Arial"/>
          <w:sz w:val="21"/>
          <w:szCs w:val="21"/>
          <w:lang w:eastAsia="es-ES"/>
        </w:rPr>
        <w:t xml:space="preserve">En ese contexto los autores dedican un capítulo completo a la Agencia </w:t>
      </w:r>
      <w:r w:rsidR="00274AE4">
        <w:rPr>
          <w:rFonts w:ascii="Arial" w:eastAsia="Times New Roman" w:hAnsi="Arial" w:cs="Arial"/>
          <w:sz w:val="21"/>
          <w:szCs w:val="21"/>
          <w:lang w:eastAsia="es-ES"/>
        </w:rPr>
        <w:t>V</w:t>
      </w:r>
      <w:r w:rsidRPr="00DB7BB4">
        <w:rPr>
          <w:rFonts w:ascii="Arial" w:eastAsia="Times New Roman" w:hAnsi="Arial" w:cs="Arial"/>
          <w:sz w:val="21"/>
          <w:szCs w:val="21"/>
          <w:lang w:eastAsia="es-ES"/>
        </w:rPr>
        <w:t xml:space="preserve">alenciana </w:t>
      </w:r>
      <w:r w:rsidR="00274AE4">
        <w:rPr>
          <w:rFonts w:ascii="Arial" w:eastAsia="Times New Roman" w:hAnsi="Arial" w:cs="Arial"/>
          <w:sz w:val="21"/>
          <w:szCs w:val="21"/>
          <w:lang w:eastAsia="es-ES"/>
        </w:rPr>
        <w:t>A</w:t>
      </w:r>
      <w:r w:rsidRPr="00DB7BB4">
        <w:rPr>
          <w:rFonts w:ascii="Arial" w:eastAsia="Times New Roman" w:hAnsi="Arial" w:cs="Arial"/>
          <w:sz w:val="21"/>
          <w:szCs w:val="21"/>
          <w:lang w:eastAsia="es-ES"/>
        </w:rPr>
        <w:t>ntifraude en el que se aporta, según los propios autores, mucho sentido común, análisis y propuestas.</w:t>
      </w:r>
    </w:p>
    <w:p w14:paraId="423BA2F1" w14:textId="77777777" w:rsidR="00DB7BB4" w:rsidRPr="00DB7BB4" w:rsidRDefault="00DB7BB4" w:rsidP="00DB7BB4">
      <w:pPr>
        <w:spacing w:after="240" w:line="276" w:lineRule="auto"/>
        <w:jc w:val="both"/>
        <w:rPr>
          <w:rFonts w:ascii="Arial" w:eastAsia="Times New Roman" w:hAnsi="Arial" w:cs="Arial"/>
          <w:sz w:val="21"/>
          <w:szCs w:val="21"/>
          <w:lang w:eastAsia="es-ES"/>
        </w:rPr>
      </w:pPr>
      <w:r w:rsidRPr="00DB7BB4">
        <w:rPr>
          <w:rFonts w:ascii="Arial" w:eastAsia="Times New Roman" w:hAnsi="Arial" w:cs="Arial"/>
          <w:sz w:val="21"/>
          <w:szCs w:val="21"/>
          <w:lang w:eastAsia="es-ES"/>
        </w:rPr>
        <w:t>La corrupción, que tiene entre otros mecanismos el fraude fiscal, no es solo un fenómeno económico de enriquecimiento de unos a costa de otros. Además de los costes materiales y cuantificables, tiene unos costes intangibles difíciles de cuantificar como la desconfianza ciudadana en las instituciones, la merma de la competitividad empresarial, la desigualdad social, o el retroceso en derechos humanos.</w:t>
      </w:r>
    </w:p>
    <w:p w14:paraId="27C1E691" w14:textId="77777777" w:rsidR="00DB7BB4" w:rsidRPr="00DB7BB4" w:rsidRDefault="00DB7BB4" w:rsidP="00DB7BB4">
      <w:pPr>
        <w:spacing w:after="240" w:line="276" w:lineRule="auto"/>
        <w:jc w:val="both"/>
        <w:rPr>
          <w:rFonts w:ascii="Arial" w:eastAsia="Times New Roman" w:hAnsi="Arial" w:cs="Arial"/>
          <w:sz w:val="21"/>
          <w:szCs w:val="21"/>
          <w:lang w:eastAsia="es-ES"/>
        </w:rPr>
      </w:pPr>
      <w:r w:rsidRPr="00DB7BB4">
        <w:rPr>
          <w:rFonts w:ascii="Arial" w:eastAsia="Times New Roman" w:hAnsi="Arial" w:cs="Arial"/>
          <w:sz w:val="21"/>
          <w:szCs w:val="21"/>
          <w:lang w:eastAsia="es-ES"/>
        </w:rPr>
        <w:t>Explica también el papel de las personas que se atreven a denunciar corrupción y sin cuya valentía y paso adelante muchos casos quedarían ocultos a la justicia y a la sociedad. El corporativismo entre instituciones que tienen su razón de ser en lo común y en el servicio público, se opone a la decencia y a la ética, y castiga y persigue a los denunciantes de corrupción. El estatuto de persona denunciante de la Agencia, pionero en España, está para que los servidores públicos no miren hacia otro lado cuando sean testigos de corrupción y sientan el respaldo de una sociedad que los protege y los necesita como personas que gestionan servicios y dinero público.</w:t>
      </w:r>
    </w:p>
    <w:p w14:paraId="10CAF298" w14:textId="77777777" w:rsidR="00DB7BB4" w:rsidRPr="00DB7BB4" w:rsidRDefault="00DB7BB4" w:rsidP="00DB7BB4">
      <w:pPr>
        <w:spacing w:after="240" w:line="276" w:lineRule="auto"/>
        <w:jc w:val="both"/>
        <w:rPr>
          <w:rFonts w:ascii="Arial" w:eastAsia="Times New Roman" w:hAnsi="Arial" w:cs="Arial"/>
          <w:sz w:val="21"/>
          <w:szCs w:val="21"/>
          <w:lang w:eastAsia="es-ES"/>
        </w:rPr>
      </w:pPr>
      <w:r w:rsidRPr="00DB7BB4">
        <w:rPr>
          <w:rFonts w:ascii="Arial" w:eastAsia="Times New Roman" w:hAnsi="Arial" w:cs="Arial"/>
          <w:sz w:val="21"/>
          <w:szCs w:val="21"/>
          <w:lang w:eastAsia="es-ES"/>
        </w:rPr>
        <w:t>El libro también recoge el testimonio de Jesús Castro Revorio, secretario interventor de ayuntamiento y primer denunciante protegido por la AVAF. Él denunció que su firma había sido falsificada por el ayuntamiento en el que trabaja para financiar una empresa a cuenta de diversas obras que ya estaban pagadas y obras que todavía no se habían licitado. Todo ello en un municipio de la Marina Alta que, según presenta entre sus datos el libro, tiene a una de cada tres personas en riesgo de pobreza.</w:t>
      </w:r>
    </w:p>
    <w:p w14:paraId="5CC375B3" w14:textId="4DE689CD" w:rsidR="00927EA9" w:rsidRPr="00927EA9" w:rsidRDefault="00DB7BB4" w:rsidP="00DB7BB4">
      <w:pPr>
        <w:spacing w:after="240" w:line="276" w:lineRule="auto"/>
        <w:jc w:val="both"/>
        <w:rPr>
          <w:rFonts w:ascii="Arial" w:eastAsia="Times New Roman" w:hAnsi="Arial" w:cs="Arial"/>
          <w:sz w:val="21"/>
          <w:szCs w:val="21"/>
          <w:lang w:eastAsia="es-ES"/>
        </w:rPr>
      </w:pPr>
      <w:r w:rsidRPr="00DB7BB4">
        <w:rPr>
          <w:rFonts w:ascii="Arial" w:eastAsia="Times New Roman" w:hAnsi="Arial" w:cs="Arial"/>
          <w:sz w:val="21"/>
          <w:szCs w:val="21"/>
          <w:lang w:eastAsia="es-ES"/>
        </w:rPr>
        <w:t>El director de la AVAF concluye que los delitos de corrupción no son sólo delitos contra la administración, sino delitos contra la Constitución, porque atentan contra un pilar fundamental de la misma que es la igualdad de todos los ciudadanos. Los impuestos, como otros tantos asuntos de la vida en sociedad, son un reparto de cargas; y si todo el mundo pagara lo que le toca seguramente todos pagaríamos menos o se alcanzaría para hacer mucho más. La Agencia Valenciana Antifraude reconoce la necesidad de un libro como este y de que lo que cuenta forme parte de lo que se enseña en las escuelas.</w:t>
      </w:r>
    </w:p>
    <w:p w14:paraId="2FB86400" w14:textId="0C6E8B26" w:rsidR="00927EA9" w:rsidRPr="00DB7BB4" w:rsidRDefault="00927EA9" w:rsidP="00DB7BB4">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4"/>
          <w:szCs w:val="24"/>
          <w:lang w:eastAsia="es-ES"/>
        </w:rPr>
      </w:pPr>
      <w:bookmarkStart w:id="491" w:name="_Toc93922358"/>
      <w:r w:rsidRPr="00DB7BB4">
        <w:rPr>
          <w:rFonts w:ascii="Arial" w:eastAsia="Times New Roman" w:hAnsi="Arial" w:cs="Arial"/>
          <w:b/>
          <w:bCs/>
          <w:color w:val="9D2235" w:themeColor="accent1"/>
          <w:sz w:val="24"/>
          <w:szCs w:val="24"/>
          <w:lang w:eastAsia="es-ES"/>
        </w:rPr>
        <w:t>Hugo Aznar, María Puchalt Lopez, Katia Esteve Mallent, y Teresa Bruno Carlos (Eds.) Informe sobre la transparencia local en la Comuni</w:t>
      </w:r>
      <w:r w:rsidR="00DB7BB4">
        <w:rPr>
          <w:rFonts w:ascii="Arial" w:eastAsia="Times New Roman" w:hAnsi="Arial" w:cs="Arial"/>
          <w:b/>
          <w:bCs/>
          <w:color w:val="9D2235" w:themeColor="accent1"/>
          <w:sz w:val="24"/>
          <w:szCs w:val="24"/>
          <w:lang w:eastAsia="es-ES"/>
        </w:rPr>
        <w:t>tat</w:t>
      </w:r>
      <w:r w:rsidRPr="00DB7BB4">
        <w:rPr>
          <w:rFonts w:ascii="Arial" w:eastAsia="Times New Roman" w:hAnsi="Arial" w:cs="Arial"/>
          <w:b/>
          <w:bCs/>
          <w:color w:val="9D2235" w:themeColor="accent1"/>
          <w:sz w:val="24"/>
          <w:szCs w:val="24"/>
          <w:lang w:eastAsia="es-ES"/>
        </w:rPr>
        <w:t xml:space="preserve"> Valenciana (2019). Tirant lo Blanch, 2021</w:t>
      </w:r>
      <w:bookmarkEnd w:id="491"/>
    </w:p>
    <w:p w14:paraId="453F19F8" w14:textId="77777777" w:rsidR="00DB7BB4" w:rsidRDefault="00927EA9" w:rsidP="00DB7BB4">
      <w:pPr>
        <w:keepNext/>
        <w:spacing w:after="120" w:line="276" w:lineRule="auto"/>
        <w:jc w:val="center"/>
      </w:pPr>
      <w:r w:rsidRPr="00927EA9">
        <w:rPr>
          <w:rFonts w:ascii="Arial" w:eastAsia="Calibri" w:hAnsi="Arial" w:cs="Arial"/>
          <w:noProof/>
          <w:sz w:val="21"/>
          <w:szCs w:val="21"/>
        </w:rPr>
        <w:drawing>
          <wp:inline distT="0" distB="0" distL="0" distR="0" wp14:anchorId="3E3F14A2" wp14:editId="15076CF0">
            <wp:extent cx="1839600" cy="2880000"/>
            <wp:effectExtent l="19050" t="19050" r="27305" b="15875"/>
            <wp:docPr id="9" name="Imagen 9"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Patrón de fondo&#10;&#10;Descripción generada automáticamente"/>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1839600" cy="2880000"/>
                    </a:xfrm>
                    <a:prstGeom prst="rect">
                      <a:avLst/>
                    </a:prstGeom>
                    <a:ln>
                      <a:solidFill>
                        <a:srgbClr val="4472C4"/>
                      </a:solidFill>
                    </a:ln>
                    <a:effectLst>
                      <a:softEdge rad="12700"/>
                    </a:effectLst>
                  </pic:spPr>
                </pic:pic>
              </a:graphicData>
            </a:graphic>
          </wp:inline>
        </w:drawing>
      </w:r>
    </w:p>
    <w:p w14:paraId="08EE0DB8" w14:textId="166F94E8" w:rsidR="00927EA9" w:rsidRPr="00DB7BB4" w:rsidRDefault="00DB7BB4" w:rsidP="006F483D">
      <w:pPr>
        <w:pStyle w:val="Descripcin"/>
        <w:spacing w:after="240"/>
        <w:jc w:val="center"/>
        <w:rPr>
          <w:rFonts w:ascii="Arial" w:eastAsia="Times New Roman" w:hAnsi="Arial" w:cs="Arial"/>
          <w:smallCaps w:val="0"/>
          <w:sz w:val="18"/>
          <w:szCs w:val="18"/>
          <w:lang w:eastAsia="es-ES"/>
        </w:rPr>
      </w:pPr>
      <w:bookmarkStart w:id="492" w:name="_Toc99099140"/>
      <w:r w:rsidRPr="00DB7BB4">
        <w:rPr>
          <w:rFonts w:ascii="Arial" w:hAnsi="Arial" w:cs="Arial"/>
          <w:smallCaps w:val="0"/>
          <w:color w:val="9D2235" w:themeColor="accent1"/>
          <w:sz w:val="18"/>
          <w:szCs w:val="18"/>
        </w:rPr>
        <w:t xml:space="preserve">Imagen </w:t>
      </w:r>
      <w:r w:rsidRPr="00DB7BB4">
        <w:rPr>
          <w:rFonts w:ascii="Arial" w:hAnsi="Arial" w:cs="Arial"/>
          <w:smallCaps w:val="0"/>
          <w:color w:val="9D2235" w:themeColor="accent1"/>
          <w:sz w:val="18"/>
          <w:szCs w:val="18"/>
        </w:rPr>
        <w:fldChar w:fldCharType="begin" w:fldLock="1"/>
      </w:r>
      <w:r w:rsidRPr="00DB7BB4">
        <w:rPr>
          <w:rFonts w:ascii="Arial" w:hAnsi="Arial" w:cs="Arial"/>
          <w:smallCaps w:val="0"/>
          <w:color w:val="9D2235" w:themeColor="accent1"/>
          <w:sz w:val="18"/>
          <w:szCs w:val="18"/>
        </w:rPr>
        <w:instrText xml:space="preserve"> SEQ Imagen \* ARABIC </w:instrText>
      </w:r>
      <w:r w:rsidRPr="00DB7BB4">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16</w:t>
      </w:r>
      <w:r w:rsidRPr="00DB7BB4">
        <w:rPr>
          <w:rFonts w:ascii="Arial" w:hAnsi="Arial" w:cs="Arial"/>
          <w:smallCaps w:val="0"/>
          <w:color w:val="9D2235" w:themeColor="accent1"/>
          <w:sz w:val="18"/>
          <w:szCs w:val="18"/>
        </w:rPr>
        <w:fldChar w:fldCharType="end"/>
      </w:r>
      <w:r w:rsidRPr="00DB7BB4">
        <w:rPr>
          <w:rFonts w:ascii="Arial" w:hAnsi="Arial" w:cs="Arial"/>
          <w:smallCaps w:val="0"/>
          <w:color w:val="9D2235" w:themeColor="accent1"/>
          <w:sz w:val="18"/>
          <w:szCs w:val="18"/>
        </w:rPr>
        <w:t xml:space="preserve">. </w:t>
      </w:r>
      <w:r w:rsidRPr="00DB7BB4">
        <w:rPr>
          <w:rFonts w:ascii="Arial" w:hAnsi="Arial" w:cs="Arial"/>
          <w:smallCaps w:val="0"/>
          <w:sz w:val="18"/>
          <w:szCs w:val="18"/>
        </w:rPr>
        <w:t>Cubierta del Informe sobre la</w:t>
      </w:r>
      <w:r w:rsidR="005B7648">
        <w:rPr>
          <w:rFonts w:ascii="Arial" w:hAnsi="Arial" w:cs="Arial"/>
          <w:smallCaps w:val="0"/>
          <w:sz w:val="18"/>
          <w:szCs w:val="18"/>
        </w:rPr>
        <w:t xml:space="preserve"> </w:t>
      </w:r>
      <w:r w:rsidRPr="00DB7BB4">
        <w:rPr>
          <w:rFonts w:ascii="Arial" w:hAnsi="Arial" w:cs="Arial"/>
          <w:smallCaps w:val="0"/>
          <w:sz w:val="18"/>
          <w:szCs w:val="18"/>
        </w:rPr>
        <w:t>transparencia</w:t>
      </w:r>
      <w:r w:rsidR="006F483D">
        <w:rPr>
          <w:rFonts w:ascii="Arial" w:hAnsi="Arial" w:cs="Arial"/>
          <w:smallCaps w:val="0"/>
          <w:sz w:val="18"/>
          <w:szCs w:val="18"/>
        </w:rPr>
        <w:t xml:space="preserve"> </w:t>
      </w:r>
      <w:r w:rsidRPr="00DB7BB4">
        <w:rPr>
          <w:rFonts w:ascii="Arial" w:hAnsi="Arial" w:cs="Arial"/>
          <w:smallCaps w:val="0"/>
          <w:sz w:val="18"/>
          <w:szCs w:val="18"/>
        </w:rPr>
        <w:t>local</w:t>
      </w:r>
      <w:r>
        <w:rPr>
          <w:rFonts w:ascii="Arial" w:hAnsi="Arial" w:cs="Arial"/>
          <w:smallCaps w:val="0"/>
          <w:sz w:val="18"/>
          <w:szCs w:val="18"/>
        </w:rPr>
        <w:t xml:space="preserve"> </w:t>
      </w:r>
      <w:r w:rsidRPr="00DB7BB4">
        <w:rPr>
          <w:rFonts w:ascii="Arial" w:hAnsi="Arial" w:cs="Arial"/>
          <w:smallCaps w:val="0"/>
          <w:sz w:val="18"/>
          <w:szCs w:val="18"/>
        </w:rPr>
        <w:t xml:space="preserve">en la </w:t>
      </w:r>
      <w:r>
        <w:rPr>
          <w:rFonts w:ascii="Arial" w:hAnsi="Arial" w:cs="Arial"/>
          <w:smallCaps w:val="0"/>
          <w:sz w:val="18"/>
          <w:szCs w:val="18"/>
        </w:rPr>
        <w:t>C</w:t>
      </w:r>
      <w:r w:rsidRPr="00DB7BB4">
        <w:rPr>
          <w:rFonts w:ascii="Arial" w:hAnsi="Arial" w:cs="Arial"/>
          <w:smallCaps w:val="0"/>
          <w:sz w:val="18"/>
          <w:szCs w:val="18"/>
        </w:rPr>
        <w:t xml:space="preserve">omunitat </w:t>
      </w:r>
      <w:r>
        <w:rPr>
          <w:rFonts w:ascii="Arial" w:hAnsi="Arial" w:cs="Arial"/>
          <w:smallCaps w:val="0"/>
          <w:sz w:val="18"/>
          <w:szCs w:val="18"/>
        </w:rPr>
        <w:t>V</w:t>
      </w:r>
      <w:r w:rsidRPr="00DB7BB4">
        <w:rPr>
          <w:rFonts w:ascii="Arial" w:hAnsi="Arial" w:cs="Arial"/>
          <w:smallCaps w:val="0"/>
          <w:sz w:val="18"/>
          <w:szCs w:val="18"/>
        </w:rPr>
        <w:t>alenciana (2019)</w:t>
      </w:r>
      <w:bookmarkEnd w:id="492"/>
    </w:p>
    <w:p w14:paraId="27D5B057" w14:textId="7FE2616C" w:rsidR="00DB7BB4" w:rsidRPr="00DB7BB4" w:rsidRDefault="00DB7BB4" w:rsidP="00DB7BB4">
      <w:pPr>
        <w:spacing w:after="240" w:line="276" w:lineRule="auto"/>
        <w:jc w:val="both"/>
        <w:rPr>
          <w:rFonts w:ascii="Arial" w:eastAsia="Times New Roman" w:hAnsi="Arial" w:cs="Arial"/>
          <w:sz w:val="21"/>
          <w:szCs w:val="21"/>
          <w:lang w:eastAsia="es-ES"/>
        </w:rPr>
      </w:pPr>
      <w:r w:rsidRPr="00DB7BB4">
        <w:rPr>
          <w:rFonts w:ascii="Arial" w:eastAsia="Times New Roman" w:hAnsi="Arial" w:cs="Arial"/>
          <w:sz w:val="21"/>
          <w:szCs w:val="21"/>
          <w:lang w:eastAsia="es-ES"/>
        </w:rPr>
        <w:t>Desde marzo de 2020, la Agencia tiene formalizado un convenio marco de colaboración con la Universidad CEU Cardenal Herrera para la realización conjunta de actividades culturales, educativas, científicas y editoriales. El Observatorio de Gobernanza, Transparencia y RSC de la Universidad CEU Cardenal Herrera participa en la evaluación de las webs y los portales de transparencia de las administraciones locales de la Comuni</w:t>
      </w:r>
      <w:r>
        <w:rPr>
          <w:rFonts w:ascii="Arial" w:eastAsia="Times New Roman" w:hAnsi="Arial" w:cs="Arial"/>
          <w:sz w:val="21"/>
          <w:szCs w:val="21"/>
          <w:lang w:eastAsia="es-ES"/>
        </w:rPr>
        <w:t>tat</w:t>
      </w:r>
      <w:r w:rsidRPr="00DB7BB4">
        <w:rPr>
          <w:rFonts w:ascii="Arial" w:eastAsia="Times New Roman" w:hAnsi="Arial" w:cs="Arial"/>
          <w:sz w:val="21"/>
          <w:szCs w:val="21"/>
          <w:lang w:eastAsia="es-ES"/>
        </w:rPr>
        <w:t xml:space="preserve"> Valenciana, con el método InfoParticipa y el reconocimiento de los avances en publicidad activa a través del Sello Info</w:t>
      </w:r>
      <w:r w:rsidR="00274AE4">
        <w:rPr>
          <w:rFonts w:ascii="Arial" w:eastAsia="Times New Roman" w:hAnsi="Arial" w:cs="Arial"/>
          <w:sz w:val="21"/>
          <w:szCs w:val="21"/>
          <w:lang w:eastAsia="es-ES"/>
        </w:rPr>
        <w:t>P</w:t>
      </w:r>
      <w:r w:rsidRPr="00DB7BB4">
        <w:rPr>
          <w:rFonts w:ascii="Arial" w:eastAsia="Times New Roman" w:hAnsi="Arial" w:cs="Arial"/>
          <w:sz w:val="21"/>
          <w:szCs w:val="21"/>
          <w:lang w:eastAsia="es-ES"/>
        </w:rPr>
        <w:t>articipa. A partir de esos análisis para el año 2021 la Universidad CEU Cardenal Herrera ha propuesto la publicación de la última edición del Mapa InfoParticipa en la Comuni</w:t>
      </w:r>
      <w:r>
        <w:rPr>
          <w:rFonts w:ascii="Arial" w:eastAsia="Times New Roman" w:hAnsi="Arial" w:cs="Arial"/>
          <w:sz w:val="21"/>
          <w:szCs w:val="21"/>
          <w:lang w:eastAsia="es-ES"/>
        </w:rPr>
        <w:t>tat</w:t>
      </w:r>
      <w:r w:rsidRPr="00DB7BB4">
        <w:rPr>
          <w:rFonts w:ascii="Arial" w:eastAsia="Times New Roman" w:hAnsi="Arial" w:cs="Arial"/>
          <w:sz w:val="21"/>
          <w:szCs w:val="21"/>
          <w:lang w:eastAsia="es-ES"/>
        </w:rPr>
        <w:t xml:space="preserve"> Valenciana, correspondiente al ejercicio 2019, y en el marco del citado convenio de colaboración, ha invitado a la AVAF a participar en esta publicación con la redacción de un artículo sobre la función y la importancia de la transparencia en general y las actuaciones de la Agencia Valenciana Antifraude.</w:t>
      </w:r>
    </w:p>
    <w:p w14:paraId="2489F29D" w14:textId="6577248F" w:rsidR="00DB7BB4" w:rsidRPr="00DB7BB4" w:rsidRDefault="00DB7BB4" w:rsidP="00DB7BB4">
      <w:pPr>
        <w:spacing w:after="240" w:line="276" w:lineRule="auto"/>
        <w:jc w:val="both"/>
        <w:rPr>
          <w:rFonts w:ascii="Arial" w:eastAsia="Times New Roman" w:hAnsi="Arial" w:cs="Arial"/>
          <w:sz w:val="21"/>
          <w:szCs w:val="21"/>
          <w:lang w:eastAsia="es-ES"/>
        </w:rPr>
      </w:pPr>
      <w:r w:rsidRPr="00DB7BB4">
        <w:rPr>
          <w:rFonts w:ascii="Arial" w:eastAsia="Times New Roman" w:hAnsi="Arial" w:cs="Arial"/>
          <w:sz w:val="21"/>
          <w:szCs w:val="21"/>
          <w:lang w:eastAsia="es-ES"/>
        </w:rPr>
        <w:t xml:space="preserve">Desde la Dirección General de la Agencia se propuso a la </w:t>
      </w:r>
      <w:r w:rsidR="00CB3DFD">
        <w:rPr>
          <w:rFonts w:ascii="Arial" w:eastAsia="Times New Roman" w:hAnsi="Arial" w:cs="Arial"/>
          <w:sz w:val="21"/>
          <w:szCs w:val="21"/>
          <w:lang w:eastAsia="es-ES"/>
        </w:rPr>
        <w:t>d</w:t>
      </w:r>
      <w:r w:rsidRPr="00DB7BB4">
        <w:rPr>
          <w:rFonts w:ascii="Arial" w:eastAsia="Times New Roman" w:hAnsi="Arial" w:cs="Arial"/>
          <w:sz w:val="21"/>
          <w:szCs w:val="21"/>
          <w:lang w:eastAsia="es-ES"/>
        </w:rPr>
        <w:t xml:space="preserve">irectora de la Dirección de Prevención, Formación y Documentación, en su </w:t>
      </w:r>
      <w:r w:rsidRPr="00300DFC">
        <w:rPr>
          <w:rFonts w:ascii="Arial" w:eastAsia="Times New Roman" w:hAnsi="Arial" w:cs="Arial"/>
          <w:sz w:val="21"/>
          <w:szCs w:val="21"/>
          <w:lang w:eastAsia="es-ES"/>
        </w:rPr>
        <w:t>momento Sílvia Vèrnia Trillo,</w:t>
      </w:r>
      <w:r w:rsidRPr="00DB7BB4">
        <w:rPr>
          <w:rFonts w:ascii="Arial" w:eastAsia="Times New Roman" w:hAnsi="Arial" w:cs="Arial"/>
          <w:sz w:val="21"/>
          <w:szCs w:val="21"/>
          <w:lang w:eastAsia="es-ES"/>
        </w:rPr>
        <w:t xml:space="preserve"> la elaboración de un artículo sobre la promoción de la transparencia contenida en el Convenio de Naciones Unidas contra la corrupción.</w:t>
      </w:r>
    </w:p>
    <w:p w14:paraId="722B75BA" w14:textId="551ED2E5" w:rsidR="00DB7BB4" w:rsidRPr="00DB7BB4" w:rsidRDefault="00DB7BB4" w:rsidP="001539F3">
      <w:pPr>
        <w:spacing w:after="240" w:line="276" w:lineRule="auto"/>
        <w:jc w:val="both"/>
        <w:rPr>
          <w:rFonts w:ascii="Arial" w:eastAsia="Times New Roman" w:hAnsi="Arial" w:cs="Arial"/>
          <w:sz w:val="21"/>
          <w:szCs w:val="21"/>
          <w:lang w:eastAsia="es-ES"/>
        </w:rPr>
      </w:pPr>
      <w:r w:rsidRPr="00DB7BB4">
        <w:rPr>
          <w:rFonts w:ascii="Arial" w:eastAsia="Times New Roman" w:hAnsi="Arial" w:cs="Arial"/>
          <w:sz w:val="21"/>
          <w:szCs w:val="21"/>
          <w:lang w:eastAsia="es-ES"/>
        </w:rPr>
        <w:t>Fruto de este trabajo se ha publicado la obra</w:t>
      </w:r>
      <w:r w:rsidRPr="00F74FA8">
        <w:rPr>
          <w:rFonts w:ascii="Arial" w:eastAsia="Times New Roman" w:hAnsi="Arial" w:cs="Arial"/>
          <w:sz w:val="21"/>
          <w:szCs w:val="21"/>
          <w:lang w:eastAsia="es-ES"/>
        </w:rPr>
        <w:t>: Vèrnia Trillo, Sílvia</w:t>
      </w:r>
      <w:r w:rsidRPr="00DB7BB4">
        <w:rPr>
          <w:rFonts w:ascii="Arial" w:eastAsia="Times New Roman" w:hAnsi="Arial" w:cs="Arial"/>
          <w:sz w:val="21"/>
          <w:szCs w:val="21"/>
          <w:lang w:eastAsia="es-ES"/>
        </w:rPr>
        <w:t xml:space="preserve"> (2021). La promoción del principio de transparencia en la Convención de las Naciones Unidas contra la corrupción. En Hugo Aznar, María Puchalt Lopez, Katia Esteve Mallent, y Teresa Bruno Carlos (Eds.), Informe sobre la transparencia local en la Comuni</w:t>
      </w:r>
      <w:r w:rsidR="008C1237">
        <w:rPr>
          <w:rFonts w:ascii="Arial" w:eastAsia="Times New Roman" w:hAnsi="Arial" w:cs="Arial"/>
          <w:sz w:val="21"/>
          <w:szCs w:val="21"/>
          <w:lang w:eastAsia="es-ES"/>
        </w:rPr>
        <w:t>tat</w:t>
      </w:r>
      <w:r w:rsidRPr="00DB7BB4">
        <w:rPr>
          <w:rFonts w:ascii="Arial" w:eastAsia="Times New Roman" w:hAnsi="Arial" w:cs="Arial"/>
          <w:sz w:val="21"/>
          <w:szCs w:val="21"/>
          <w:lang w:eastAsia="es-ES"/>
        </w:rPr>
        <w:t xml:space="preserve"> Valenciana (2019) (pp. 19-32) Editorial Tirant lo Blanch. La monografía ha sido publicada dentro de la colección</w:t>
      </w:r>
      <w:r w:rsidR="00903852">
        <w:rPr>
          <w:rFonts w:ascii="Arial" w:eastAsia="Times New Roman" w:hAnsi="Arial" w:cs="Arial"/>
          <w:sz w:val="21"/>
          <w:szCs w:val="21"/>
          <w:lang w:eastAsia="es-ES"/>
        </w:rPr>
        <w:t xml:space="preserve"> </w:t>
      </w:r>
      <w:r w:rsidRPr="00DB7BB4">
        <w:rPr>
          <w:rFonts w:ascii="Arial" w:eastAsia="Times New Roman" w:hAnsi="Arial" w:cs="Arial"/>
          <w:sz w:val="21"/>
          <w:szCs w:val="21"/>
          <w:lang w:eastAsia="es-ES"/>
        </w:rPr>
        <w:t>“Tirant Humanidades” de la editorial Tirant lo Blanch.</w:t>
      </w:r>
    </w:p>
    <w:p w14:paraId="0DBA47D2" w14:textId="2AEFFBA9" w:rsidR="00DB7BB4" w:rsidRDefault="00DB7BB4" w:rsidP="001539F3">
      <w:pPr>
        <w:spacing w:after="360" w:line="276" w:lineRule="auto"/>
        <w:jc w:val="both"/>
        <w:rPr>
          <w:rFonts w:ascii="Arial" w:eastAsia="Times New Roman" w:hAnsi="Arial" w:cs="Arial"/>
          <w:sz w:val="21"/>
          <w:szCs w:val="21"/>
          <w:lang w:eastAsia="es-ES"/>
        </w:rPr>
      </w:pPr>
      <w:r w:rsidRPr="00DB7BB4">
        <w:rPr>
          <w:rFonts w:ascii="Arial" w:eastAsia="Times New Roman" w:hAnsi="Arial" w:cs="Arial"/>
          <w:sz w:val="21"/>
          <w:szCs w:val="21"/>
          <w:lang w:eastAsia="es-ES"/>
        </w:rPr>
        <w:t>Este capítulo, el primero en la obra, es una contribución por invitación lo que supone en sí mismo un reconocimiento a la labor de la Agencia. Las aportaciones del trabajo se hacen en base a la experiencia acumulada en las diversas funciones de la Agencia: estudios en prevención de la corrupción, investigación de casos de corrupción y protección de denunciantes.</w:t>
      </w:r>
    </w:p>
    <w:p w14:paraId="51FF0F73" w14:textId="48D36D30" w:rsidR="00DB7BB4" w:rsidRDefault="00DB7BB4" w:rsidP="001539F3">
      <w:pPr>
        <w:spacing w:after="360" w:line="276" w:lineRule="auto"/>
        <w:jc w:val="both"/>
        <w:rPr>
          <w:rFonts w:ascii="Arial" w:eastAsia="Times New Roman" w:hAnsi="Arial" w:cs="Arial"/>
          <w:sz w:val="21"/>
          <w:szCs w:val="21"/>
          <w:lang w:eastAsia="es-ES"/>
        </w:rPr>
      </w:pPr>
      <w:r w:rsidRPr="00DB7BB4">
        <w:rPr>
          <w:rFonts w:ascii="Arial" w:eastAsia="Times New Roman" w:hAnsi="Arial" w:cs="Arial"/>
          <w:sz w:val="21"/>
          <w:szCs w:val="21"/>
          <w:lang w:eastAsia="es-ES"/>
        </w:rPr>
        <w:t>La Agencia ha constatado que la transparencia sirve a la prevención de la corrupción en distintos ámbitos como son la contratación pública, las situaciones de conflictos de interés, los procesos de toma de decisiones, y los gastos de los grupos políticos municipales.</w:t>
      </w:r>
    </w:p>
    <w:p w14:paraId="4BDC4EB3" w14:textId="01C8FCFF" w:rsidR="00DB7BB4" w:rsidRDefault="00DB7BB4" w:rsidP="001539F3">
      <w:pPr>
        <w:spacing w:after="360" w:line="276" w:lineRule="auto"/>
        <w:jc w:val="both"/>
        <w:rPr>
          <w:rFonts w:ascii="Arial" w:eastAsia="Times New Roman" w:hAnsi="Arial" w:cs="Arial"/>
          <w:sz w:val="21"/>
          <w:szCs w:val="21"/>
          <w:lang w:eastAsia="es-ES"/>
        </w:rPr>
      </w:pPr>
      <w:r w:rsidRPr="00DB7BB4">
        <w:rPr>
          <w:rFonts w:ascii="Arial" w:eastAsia="Times New Roman" w:hAnsi="Arial" w:cs="Arial"/>
          <w:sz w:val="21"/>
          <w:szCs w:val="21"/>
          <w:lang w:eastAsia="es-ES"/>
        </w:rPr>
        <w:t>Resumidamente, el principio de transparencia es sustancial en contratación pública porque proporciona igualdad de trato a los licitadores, mejora las ofertas que recibe la Administración, y fomenta la competitividad empresarial. La autora propone ir más allá, no solo ejerciendo publicidad activa de todos los procedimientos en todas sus fases sino facilitando su comprensión a la ciudadanía para que pueda ejercer su función de control. La Agencia también ha constatado que el conflicto de interés es precursor de corrupción e insiste en la necesidad de las declaraciones patrimoniales de los cargos públicos como medida preventiva. La transparencia en los procesos de toma de decisiones se aborda a través de la planificación estratégica y los planes de actuación municipal, la publicidad de las agendas públicas, los registros de lobbies y la huella normativa. Finalmente, la necesaria transparencia de los gastos de los partidos políticos pasa por la publicidad pormenorizada de las subvenciones que reciben: importes, objeto, control financiero, y justificación del gasto que cubren.</w:t>
      </w:r>
    </w:p>
    <w:p w14:paraId="51B7E60A" w14:textId="03D96360" w:rsidR="00927EA9" w:rsidRDefault="00DB7BB4" w:rsidP="005D34B3">
      <w:pPr>
        <w:spacing w:after="360" w:line="276" w:lineRule="auto"/>
        <w:jc w:val="both"/>
        <w:rPr>
          <w:rFonts w:ascii="Arial" w:eastAsia="Times New Roman" w:hAnsi="Arial" w:cs="Arial"/>
          <w:sz w:val="21"/>
          <w:szCs w:val="21"/>
          <w:lang w:eastAsia="es-ES"/>
        </w:rPr>
      </w:pPr>
      <w:r w:rsidRPr="00DB7BB4">
        <w:rPr>
          <w:rFonts w:ascii="Arial" w:eastAsia="Times New Roman" w:hAnsi="Arial" w:cs="Arial"/>
          <w:sz w:val="21"/>
          <w:szCs w:val="21"/>
          <w:lang w:eastAsia="es-ES"/>
        </w:rPr>
        <w:t>El capítulo concluye haciendo un reconocimiento a la iniciativa de los coordinadores del proyecto de evaluación de las webs y los portales de transparencia de las administraciones locales de la Comuni</w:t>
      </w:r>
      <w:r w:rsidR="008C1237">
        <w:rPr>
          <w:rFonts w:ascii="Arial" w:eastAsia="Times New Roman" w:hAnsi="Arial" w:cs="Arial"/>
          <w:sz w:val="21"/>
          <w:szCs w:val="21"/>
          <w:lang w:eastAsia="es-ES"/>
        </w:rPr>
        <w:t>tat</w:t>
      </w:r>
      <w:r w:rsidRPr="00DB7BB4">
        <w:rPr>
          <w:rFonts w:ascii="Arial" w:eastAsia="Times New Roman" w:hAnsi="Arial" w:cs="Arial"/>
          <w:sz w:val="21"/>
          <w:szCs w:val="21"/>
          <w:lang w:eastAsia="es-ES"/>
        </w:rPr>
        <w:t xml:space="preserve"> Valenciana y de la metodología InfoParticipa y el Sello Info</w:t>
      </w:r>
      <w:r w:rsidR="00031ACF">
        <w:rPr>
          <w:rFonts w:ascii="Arial" w:eastAsia="Times New Roman" w:hAnsi="Arial" w:cs="Arial"/>
          <w:sz w:val="21"/>
          <w:szCs w:val="21"/>
          <w:lang w:eastAsia="es-ES"/>
        </w:rPr>
        <w:t>P</w:t>
      </w:r>
      <w:r w:rsidRPr="00DB7BB4">
        <w:rPr>
          <w:rFonts w:ascii="Arial" w:eastAsia="Times New Roman" w:hAnsi="Arial" w:cs="Arial"/>
          <w:sz w:val="21"/>
          <w:szCs w:val="21"/>
          <w:lang w:eastAsia="es-ES"/>
        </w:rPr>
        <w:t>articipa como mecanismo para impulsar y consolidar la transparencia en las administraciones públicas.</w:t>
      </w:r>
    </w:p>
    <w:p w14:paraId="459D57C7" w14:textId="5373FABE" w:rsidR="005D34B3" w:rsidRDefault="005D34B3" w:rsidP="005D34B3">
      <w:pPr>
        <w:spacing w:after="360" w:line="276" w:lineRule="auto"/>
        <w:jc w:val="both"/>
        <w:rPr>
          <w:rFonts w:ascii="Arial" w:eastAsia="Times New Roman" w:hAnsi="Arial" w:cs="Arial"/>
          <w:sz w:val="21"/>
          <w:szCs w:val="21"/>
          <w:lang w:eastAsia="es-ES"/>
        </w:rPr>
      </w:pPr>
    </w:p>
    <w:p w14:paraId="2367265D" w14:textId="1C1ADFF9" w:rsidR="005D34B3" w:rsidRDefault="005D34B3" w:rsidP="005D34B3">
      <w:pPr>
        <w:spacing w:after="360" w:line="276" w:lineRule="auto"/>
        <w:jc w:val="both"/>
        <w:rPr>
          <w:rFonts w:ascii="Arial" w:eastAsia="Times New Roman" w:hAnsi="Arial" w:cs="Arial"/>
          <w:sz w:val="21"/>
          <w:szCs w:val="21"/>
          <w:lang w:eastAsia="es-ES"/>
        </w:rPr>
      </w:pPr>
    </w:p>
    <w:p w14:paraId="4E0F2581" w14:textId="467FE8FF" w:rsidR="005D34B3" w:rsidRDefault="005D34B3" w:rsidP="005D34B3">
      <w:pPr>
        <w:spacing w:after="360" w:line="276" w:lineRule="auto"/>
        <w:jc w:val="both"/>
        <w:rPr>
          <w:rFonts w:ascii="Arial" w:eastAsia="Times New Roman" w:hAnsi="Arial" w:cs="Arial"/>
          <w:sz w:val="21"/>
          <w:szCs w:val="21"/>
          <w:lang w:eastAsia="es-ES"/>
        </w:rPr>
      </w:pPr>
    </w:p>
    <w:p w14:paraId="341A5F5F" w14:textId="0C79C749" w:rsidR="005D34B3" w:rsidRDefault="005D34B3" w:rsidP="005D34B3">
      <w:pPr>
        <w:spacing w:after="360" w:line="276" w:lineRule="auto"/>
        <w:jc w:val="both"/>
        <w:rPr>
          <w:rFonts w:ascii="Arial" w:eastAsia="Times New Roman" w:hAnsi="Arial" w:cs="Arial"/>
          <w:sz w:val="21"/>
          <w:szCs w:val="21"/>
          <w:lang w:eastAsia="es-ES"/>
        </w:rPr>
      </w:pPr>
    </w:p>
    <w:p w14:paraId="36DEF511" w14:textId="77777777" w:rsidR="001539F3" w:rsidRDefault="001539F3" w:rsidP="005D34B3">
      <w:pPr>
        <w:spacing w:after="360" w:line="276" w:lineRule="auto"/>
        <w:jc w:val="both"/>
        <w:rPr>
          <w:rFonts w:ascii="Arial" w:eastAsia="Times New Roman" w:hAnsi="Arial" w:cs="Arial"/>
          <w:sz w:val="21"/>
          <w:szCs w:val="21"/>
          <w:lang w:eastAsia="es-ES"/>
        </w:rPr>
      </w:pPr>
    </w:p>
    <w:p w14:paraId="617FE61E" w14:textId="77777777" w:rsidR="005D34B3" w:rsidRDefault="005D34B3" w:rsidP="005D34B3">
      <w:pPr>
        <w:spacing w:after="360" w:line="276" w:lineRule="auto"/>
        <w:jc w:val="both"/>
        <w:rPr>
          <w:rFonts w:ascii="Arial" w:eastAsia="Times New Roman" w:hAnsi="Arial" w:cs="Arial"/>
          <w:sz w:val="21"/>
          <w:szCs w:val="21"/>
          <w:lang w:eastAsia="es-ES"/>
        </w:rPr>
      </w:pPr>
    </w:p>
    <w:p w14:paraId="66A0157B" w14:textId="38B9335A" w:rsidR="00927EA9" w:rsidRDefault="00927EA9" w:rsidP="00DB7BB4">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4"/>
          <w:szCs w:val="24"/>
          <w:lang w:eastAsia="es-ES"/>
        </w:rPr>
      </w:pPr>
      <w:bookmarkStart w:id="493" w:name="_Toc93922359"/>
      <w:r w:rsidRPr="00DB7BB4">
        <w:rPr>
          <w:rFonts w:ascii="Arial" w:eastAsia="Times New Roman" w:hAnsi="Arial" w:cs="Arial"/>
          <w:b/>
          <w:bCs/>
          <w:color w:val="9D2235" w:themeColor="accent1"/>
          <w:sz w:val="24"/>
          <w:szCs w:val="24"/>
          <w:lang w:eastAsia="es-ES"/>
        </w:rPr>
        <w:t>Joan A. Llinares. La experiencia valenciana respecto a los canales de denuncias y la protección de los denunciantes de corrupción. En: Juli Ponce Solé i Manuel Villoria Mendieta (Dirs.)</w:t>
      </w:r>
      <w:r w:rsidR="006C4E9B">
        <w:rPr>
          <w:rFonts w:ascii="Arial" w:eastAsia="Times New Roman" w:hAnsi="Arial" w:cs="Arial"/>
          <w:b/>
          <w:bCs/>
          <w:color w:val="9D2235" w:themeColor="accent1"/>
          <w:sz w:val="24"/>
          <w:szCs w:val="24"/>
          <w:lang w:eastAsia="es-ES"/>
        </w:rPr>
        <w:t xml:space="preserve"> </w:t>
      </w:r>
      <w:r w:rsidRPr="00DB7BB4">
        <w:rPr>
          <w:rFonts w:ascii="Arial" w:eastAsia="Times New Roman" w:hAnsi="Arial" w:cs="Arial"/>
          <w:b/>
          <w:bCs/>
          <w:color w:val="9D2235" w:themeColor="accent1"/>
          <w:sz w:val="24"/>
          <w:szCs w:val="24"/>
          <w:lang w:eastAsia="es-ES"/>
        </w:rPr>
        <w:t>Anuario del Buen Gobierno y de la Calidad de la Regulación 2020: La regulación de la protección de los alertadores y denunciantes (whistleblowers). Fundación Democracia y Gobierno Local, 2021</w:t>
      </w:r>
      <w:bookmarkEnd w:id="493"/>
    </w:p>
    <w:p w14:paraId="0223C7E3" w14:textId="77777777" w:rsidR="00DB7BB4" w:rsidRDefault="00927EA9" w:rsidP="00DB7BB4">
      <w:pPr>
        <w:keepNext/>
        <w:spacing w:after="240" w:line="276" w:lineRule="auto"/>
        <w:jc w:val="center"/>
      </w:pPr>
      <w:r w:rsidRPr="00927EA9">
        <w:rPr>
          <w:rFonts w:ascii="Arial" w:eastAsia="Calibri" w:hAnsi="Arial" w:cs="Arial"/>
          <w:noProof/>
          <w:sz w:val="21"/>
          <w:szCs w:val="21"/>
        </w:rPr>
        <w:drawing>
          <wp:inline distT="0" distB="0" distL="0" distR="0" wp14:anchorId="49EBC4B0" wp14:editId="74E57C16">
            <wp:extent cx="2019600" cy="2880000"/>
            <wp:effectExtent l="19050" t="19050" r="19050" b="15875"/>
            <wp:docPr id="15" name="Imagen 1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Diagrama&#10;&#10;Descripción generada automáticamente"/>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2019600" cy="2880000"/>
                    </a:xfrm>
                    <a:prstGeom prst="rect">
                      <a:avLst/>
                    </a:prstGeom>
                    <a:ln>
                      <a:solidFill>
                        <a:srgbClr val="4472C4"/>
                      </a:solidFill>
                    </a:ln>
                    <a:effectLst>
                      <a:softEdge rad="12700"/>
                    </a:effectLst>
                  </pic:spPr>
                </pic:pic>
              </a:graphicData>
            </a:graphic>
          </wp:inline>
        </w:drawing>
      </w:r>
    </w:p>
    <w:p w14:paraId="61F9466F" w14:textId="0A7A77E9" w:rsidR="007D6A10" w:rsidRPr="00DB7BB4" w:rsidRDefault="00DB7BB4" w:rsidP="00903852">
      <w:pPr>
        <w:pStyle w:val="Descripcin"/>
        <w:spacing w:after="240"/>
        <w:jc w:val="center"/>
        <w:rPr>
          <w:rFonts w:ascii="Arial" w:eastAsia="Times New Roman" w:hAnsi="Arial" w:cs="Arial"/>
          <w:smallCaps w:val="0"/>
          <w:sz w:val="18"/>
          <w:szCs w:val="18"/>
          <w:lang w:eastAsia="es-ES"/>
        </w:rPr>
      </w:pPr>
      <w:bookmarkStart w:id="494" w:name="_Toc99099141"/>
      <w:r w:rsidRPr="00DB7BB4">
        <w:rPr>
          <w:rFonts w:ascii="Arial" w:hAnsi="Arial" w:cs="Arial"/>
          <w:smallCaps w:val="0"/>
          <w:color w:val="9D2235" w:themeColor="accent1"/>
          <w:sz w:val="18"/>
          <w:szCs w:val="18"/>
        </w:rPr>
        <w:t xml:space="preserve">Imagen </w:t>
      </w:r>
      <w:r w:rsidRPr="00DB7BB4">
        <w:rPr>
          <w:rFonts w:ascii="Arial" w:hAnsi="Arial" w:cs="Arial"/>
          <w:smallCaps w:val="0"/>
          <w:color w:val="9D2235" w:themeColor="accent1"/>
          <w:sz w:val="18"/>
          <w:szCs w:val="18"/>
        </w:rPr>
        <w:fldChar w:fldCharType="begin" w:fldLock="1"/>
      </w:r>
      <w:r w:rsidRPr="00DB7BB4">
        <w:rPr>
          <w:rFonts w:ascii="Arial" w:hAnsi="Arial" w:cs="Arial"/>
          <w:smallCaps w:val="0"/>
          <w:color w:val="9D2235" w:themeColor="accent1"/>
          <w:sz w:val="18"/>
          <w:szCs w:val="18"/>
        </w:rPr>
        <w:instrText xml:space="preserve"> SEQ Imagen \* ARABIC </w:instrText>
      </w:r>
      <w:r w:rsidRPr="00DB7BB4">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17</w:t>
      </w:r>
      <w:r w:rsidRPr="00DB7BB4">
        <w:rPr>
          <w:rFonts w:ascii="Arial" w:hAnsi="Arial" w:cs="Arial"/>
          <w:smallCaps w:val="0"/>
          <w:color w:val="9D2235" w:themeColor="accent1"/>
          <w:sz w:val="18"/>
          <w:szCs w:val="18"/>
        </w:rPr>
        <w:fldChar w:fldCharType="end"/>
      </w:r>
      <w:r w:rsidRPr="00DB7BB4">
        <w:rPr>
          <w:rFonts w:ascii="Arial" w:hAnsi="Arial" w:cs="Arial"/>
          <w:smallCaps w:val="0"/>
          <w:color w:val="9D2235" w:themeColor="accent1"/>
          <w:sz w:val="18"/>
          <w:szCs w:val="18"/>
        </w:rPr>
        <w:t xml:space="preserve">. </w:t>
      </w:r>
      <w:r w:rsidRPr="00DB7BB4">
        <w:rPr>
          <w:rFonts w:ascii="Arial" w:hAnsi="Arial" w:cs="Arial"/>
          <w:smallCaps w:val="0"/>
          <w:sz w:val="18"/>
          <w:szCs w:val="18"/>
        </w:rPr>
        <w:t>Cubierta del Anuario del Buen Gobierno y de la Calidad de la Regulación 2020</w:t>
      </w:r>
      <w:bookmarkEnd w:id="494"/>
    </w:p>
    <w:p w14:paraId="294665D1"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El capítulo en el que contribuye la AVAF a este volumen se hace una introducción general sobre la denuncia sobre infracciones del derecho en el ámbito de las administraciones públicas valencianas y sus sectores públicos, y los canales de denuncia y la confidencialidad y anonimato asociados a los mismos.</w:t>
      </w:r>
    </w:p>
    <w:p w14:paraId="40326DA2" w14:textId="7EF3C41E"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 xml:space="preserve">A continuación, se hace una exposición de las funciones de la AVAF </w:t>
      </w:r>
      <w:r w:rsidR="00031ACF">
        <w:rPr>
          <w:rFonts w:ascii="Arial" w:eastAsia="Times New Roman" w:hAnsi="Arial" w:cs="Arial"/>
          <w:sz w:val="21"/>
          <w:szCs w:val="21"/>
          <w:lang w:eastAsia="es-ES"/>
        </w:rPr>
        <w:t xml:space="preserve">en cuanto a </w:t>
      </w:r>
      <w:r w:rsidRPr="006C4E9B">
        <w:rPr>
          <w:rFonts w:ascii="Arial" w:eastAsia="Times New Roman" w:hAnsi="Arial" w:cs="Arial"/>
          <w:sz w:val="21"/>
          <w:szCs w:val="21"/>
          <w:lang w:eastAsia="es-ES"/>
        </w:rPr>
        <w:t>la protección de personas denunciantes de delitos de corrupción. Se pormenoriza primero el funcionamiento del buzón de denuncias electrónico de la AVAF. A continuación, se introduce la definición del concepto de persona denunciante, sus derechos, deberes, y responsabilidades, y los mecanismos de protección y la prohibición de represalias contra las mismas, para continuar con la figura jurídica del estatuto de persona denunciante y su procedimiento asociado para la concesión, denegación, y pérdida. Mas adelante el trabajo presenta la situación y seguimiento de la protección de las personas denunciantes en la Comunitat Valenciana, ilustrado con casos activos. Y, finalmente se realizan aportaciones para una adecuada transposición de la Directiva (UE) 2019/1937.</w:t>
      </w:r>
    </w:p>
    <w:p w14:paraId="6C808EFC"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Los contenidos del trabajo se pueden encontrar ampliamente descritos en la ley de creación de la Agencia, el reglamento y las diversas resoluciones dictadas que regulan, entre otros, el funcionamiento del buzón de denuncias, y también en los informes y memorias de actividad publicadas desde 2017 por la Agencia. Consideramos, por lo tanto, que lo más procedente es señalar en esta Memoria 2021 la importancia de la participación de la propia Agencia con su experiencia acumulada en un volumen como este y el reconocimiento que supone por parte de los coordinadores del Anuario.</w:t>
      </w:r>
    </w:p>
    <w:p w14:paraId="0CF3BEE2"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El Anuario del buen gobierno y de la calidad de la regulación elaborado por la Fundación Democracia y Gobierno Local, se enmarca en los estudios relativos sobre el buen gobierno y la mejora de la calidad reguladora, asuntos que están estrechamente relacionados con la transparencia, tanto por lo que respecta a la publicidad activa como al derecho de acceso a la información pública. En su elaboración se cuenta con la colaboración de diferentes instituciones como la Fundación Bosch y Gimpera, la Comisión Nacional de los Mercados y de la Competencia, y la Federación de Municipios de Cataluña. Su objetivo fundamental es servir de espacio de difusión para la reflexión técnica, la clarificación conceptual y la elaboración de directrices que tienen el potencial de repercutir positivamente en la calidad democrática facilitando la participación ciudadana en la actividad pública.</w:t>
      </w:r>
    </w:p>
    <w:p w14:paraId="4605F141"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El anuario está dirigido por Juli Ponce Solé y Manuel Villoria Mendieta e incluye cinco estudios doctrinales de reconocidos especialistas como son Tomás-Ramón Fernández Rodríguez, José Luis Piñar Mañas, Andrea Garrido Juncal, Silvina Bacigalupo, y David Martínez García sobre la protección de los alertadores y la transposición de la Directiva 2019/1937 en relación con el derecho a una buena administración, la denuncia, el anonimato, seudonimato y confidencialidad.</w:t>
      </w:r>
    </w:p>
    <w:p w14:paraId="7B6AEFC1"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 xml:space="preserve">Además de la propia de la AVAF se recogen otras experiencias referidas a la práctica en cuanto a protección de denunciantes y canales de denuncia con las participaciones de Jaume Far Jiménez de la Oficina de Prevención y Lucha contra la Corrupción en las Islas Baleares; Lourdes Parramon i Bregolat de la Oficina Antifraude de Cataluña; Juan José García Martínez del Consello de Contas de Galicia; María García Fonseca en Castilla y León y Rosa M.ª Sánchez Sánchez sobre el Buzón Ético y de Buen Gobierno del Ayuntamiento de Barcelona. </w:t>
      </w:r>
    </w:p>
    <w:p w14:paraId="28EAF76B" w14:textId="5CCFD7A7" w:rsidR="00DB7BB4"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En su propio resumen ejecutivo el volumen enumera las conclusiones que se obtienen de desgranar y solapar los capítulos, propuestas y recomendaciones de actuación futura “para que el legislador estatal deje de ser, finalmente, autista” en referencia a la ausencia de transposición de la Directiva (UE) 2019/1937, de 23 de octubre, relativa a la protección de las persones que informen sobre infracciones del Derecho de la Unión, a día de hoy de aplicación directa por incumplimiento del plazo de transposición estatal.</w:t>
      </w:r>
    </w:p>
    <w:p w14:paraId="249D44CB" w14:textId="2272069A" w:rsidR="00927EA9" w:rsidRPr="006C4E9B" w:rsidRDefault="00927EA9" w:rsidP="006C4E9B">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4"/>
          <w:szCs w:val="24"/>
          <w:lang w:eastAsia="es-ES"/>
        </w:rPr>
      </w:pPr>
      <w:bookmarkStart w:id="495" w:name="_Toc93922360"/>
      <w:r w:rsidRPr="006C4E9B">
        <w:rPr>
          <w:rFonts w:ascii="Arial" w:eastAsia="Times New Roman" w:hAnsi="Arial" w:cs="Arial"/>
          <w:b/>
          <w:bCs/>
          <w:color w:val="9D2235" w:themeColor="accent1"/>
          <w:sz w:val="24"/>
          <w:szCs w:val="24"/>
          <w:lang w:eastAsia="es-ES"/>
        </w:rPr>
        <w:t>Rodrigo Terrasa.</w:t>
      </w:r>
      <w:r w:rsidR="0084642A">
        <w:rPr>
          <w:rFonts w:ascii="Arial" w:eastAsia="Times New Roman" w:hAnsi="Arial" w:cs="Arial"/>
          <w:b/>
          <w:bCs/>
          <w:color w:val="9D2235" w:themeColor="accent1"/>
          <w:sz w:val="24"/>
          <w:szCs w:val="24"/>
          <w:lang w:eastAsia="es-ES"/>
        </w:rPr>
        <w:t xml:space="preserve"> </w:t>
      </w:r>
      <w:r w:rsidRPr="006C4E9B">
        <w:rPr>
          <w:rFonts w:ascii="Arial" w:eastAsia="Times New Roman" w:hAnsi="Arial" w:cs="Arial"/>
          <w:b/>
          <w:bCs/>
          <w:color w:val="9D2235" w:themeColor="accent1"/>
          <w:sz w:val="24"/>
          <w:szCs w:val="24"/>
          <w:lang w:eastAsia="es-ES"/>
        </w:rPr>
        <w:t>La ciudad de la euf</w:t>
      </w:r>
      <w:r w:rsidR="0084642A">
        <w:rPr>
          <w:rFonts w:ascii="Arial" w:eastAsia="Times New Roman" w:hAnsi="Arial" w:cs="Arial"/>
          <w:b/>
          <w:bCs/>
          <w:color w:val="9D2235" w:themeColor="accent1"/>
          <w:sz w:val="24"/>
          <w:szCs w:val="24"/>
          <w:lang w:eastAsia="es-ES"/>
        </w:rPr>
        <w:t>o</w:t>
      </w:r>
      <w:r w:rsidRPr="006C4E9B">
        <w:rPr>
          <w:rFonts w:ascii="Arial" w:eastAsia="Times New Roman" w:hAnsi="Arial" w:cs="Arial"/>
          <w:b/>
          <w:bCs/>
          <w:color w:val="9D2235" w:themeColor="accent1"/>
          <w:sz w:val="24"/>
          <w:szCs w:val="24"/>
          <w:lang w:eastAsia="es-ES"/>
        </w:rPr>
        <w:t xml:space="preserve">ria: una hipótesis de la </w:t>
      </w:r>
      <w:r w:rsidR="00B904A7" w:rsidRPr="006C4E9B">
        <w:rPr>
          <w:rFonts w:ascii="Arial" w:eastAsia="Times New Roman" w:hAnsi="Arial" w:cs="Arial"/>
          <w:b/>
          <w:bCs/>
          <w:color w:val="9D2235" w:themeColor="accent1"/>
          <w:sz w:val="24"/>
          <w:szCs w:val="24"/>
          <w:lang w:eastAsia="es-ES"/>
        </w:rPr>
        <w:t>mafia</w:t>
      </w:r>
      <w:r w:rsidRPr="006C4E9B">
        <w:rPr>
          <w:rFonts w:ascii="Arial" w:eastAsia="Times New Roman" w:hAnsi="Arial" w:cs="Arial"/>
          <w:b/>
          <w:bCs/>
          <w:color w:val="9D2235" w:themeColor="accent1"/>
          <w:sz w:val="24"/>
          <w:szCs w:val="24"/>
          <w:lang w:eastAsia="es-ES"/>
        </w:rPr>
        <w:t>. Libros del K.O, 2021</w:t>
      </w:r>
      <w:bookmarkEnd w:id="495"/>
    </w:p>
    <w:p w14:paraId="6045E2B8" w14:textId="77777777" w:rsidR="006C4E9B" w:rsidRDefault="00927EA9" w:rsidP="006C4E9B">
      <w:pPr>
        <w:keepNext/>
        <w:spacing w:after="240" w:line="276" w:lineRule="auto"/>
        <w:jc w:val="center"/>
      </w:pPr>
      <w:r w:rsidRPr="00927EA9">
        <w:rPr>
          <w:rFonts w:ascii="Arial" w:eastAsia="Calibri" w:hAnsi="Arial" w:cs="Arial"/>
          <w:noProof/>
          <w:sz w:val="21"/>
          <w:szCs w:val="21"/>
        </w:rPr>
        <w:drawing>
          <wp:inline distT="0" distB="0" distL="0" distR="0" wp14:anchorId="64C6A685" wp14:editId="33EF1FE6">
            <wp:extent cx="1875600" cy="2880000"/>
            <wp:effectExtent l="19050" t="19050" r="10795" b="15875"/>
            <wp:docPr id="16" name="Imagen 1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Diagrama&#10;&#10;Descripción generada automáticamente"/>
                    <pic:cNvPicPr/>
                  </pic:nvPicPr>
                  <pic:blipFill>
                    <a:blip r:embed="rId527" cstate="print">
                      <a:extLst>
                        <a:ext uri="{28A0092B-C50C-407E-A947-70E740481C1C}">
                          <a14:useLocalDpi xmlns:a14="http://schemas.microsoft.com/office/drawing/2010/main" val="0"/>
                        </a:ext>
                      </a:extLst>
                    </a:blip>
                    <a:stretch>
                      <a:fillRect/>
                    </a:stretch>
                  </pic:blipFill>
                  <pic:spPr>
                    <a:xfrm>
                      <a:off x="0" y="0"/>
                      <a:ext cx="1875600" cy="2880000"/>
                    </a:xfrm>
                    <a:prstGeom prst="rect">
                      <a:avLst/>
                    </a:prstGeom>
                    <a:ln>
                      <a:solidFill>
                        <a:srgbClr val="4472C4"/>
                      </a:solidFill>
                    </a:ln>
                    <a:effectLst>
                      <a:softEdge rad="12700"/>
                    </a:effectLst>
                  </pic:spPr>
                </pic:pic>
              </a:graphicData>
            </a:graphic>
          </wp:inline>
        </w:drawing>
      </w:r>
    </w:p>
    <w:p w14:paraId="4D1A2DA7" w14:textId="21E4E5C1" w:rsidR="00927EA9" w:rsidRPr="006C4E9B" w:rsidRDefault="006C4E9B" w:rsidP="00A7223F">
      <w:pPr>
        <w:pStyle w:val="Descripcin"/>
        <w:spacing w:after="240"/>
        <w:jc w:val="center"/>
        <w:rPr>
          <w:rFonts w:ascii="Arial" w:eastAsia="Times New Roman" w:hAnsi="Arial" w:cs="Arial"/>
          <w:smallCaps w:val="0"/>
          <w:sz w:val="18"/>
          <w:szCs w:val="18"/>
          <w:lang w:eastAsia="es-ES"/>
        </w:rPr>
      </w:pPr>
      <w:bookmarkStart w:id="496" w:name="_Toc99099142"/>
      <w:r w:rsidRPr="006C4E9B">
        <w:rPr>
          <w:rFonts w:ascii="Arial" w:hAnsi="Arial" w:cs="Arial"/>
          <w:smallCaps w:val="0"/>
          <w:color w:val="9D2235" w:themeColor="accent1"/>
          <w:sz w:val="18"/>
          <w:szCs w:val="18"/>
        </w:rPr>
        <w:t xml:space="preserve">Imagen </w:t>
      </w:r>
      <w:r w:rsidRPr="006C4E9B">
        <w:rPr>
          <w:rFonts w:ascii="Arial" w:hAnsi="Arial" w:cs="Arial"/>
          <w:smallCaps w:val="0"/>
          <w:color w:val="9D2235" w:themeColor="accent1"/>
          <w:sz w:val="18"/>
          <w:szCs w:val="18"/>
        </w:rPr>
        <w:fldChar w:fldCharType="begin" w:fldLock="1"/>
      </w:r>
      <w:r w:rsidRPr="006C4E9B">
        <w:rPr>
          <w:rFonts w:ascii="Arial" w:hAnsi="Arial" w:cs="Arial"/>
          <w:smallCaps w:val="0"/>
          <w:color w:val="9D2235" w:themeColor="accent1"/>
          <w:sz w:val="18"/>
          <w:szCs w:val="18"/>
        </w:rPr>
        <w:instrText xml:space="preserve"> SEQ Imagen \* ARABIC </w:instrText>
      </w:r>
      <w:r w:rsidRPr="006C4E9B">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18</w:t>
      </w:r>
      <w:r w:rsidRPr="006C4E9B">
        <w:rPr>
          <w:rFonts w:ascii="Arial" w:hAnsi="Arial" w:cs="Arial"/>
          <w:smallCaps w:val="0"/>
          <w:color w:val="9D2235" w:themeColor="accent1"/>
          <w:sz w:val="18"/>
          <w:szCs w:val="18"/>
        </w:rPr>
        <w:fldChar w:fldCharType="end"/>
      </w:r>
      <w:r w:rsidRPr="006C4E9B">
        <w:rPr>
          <w:rFonts w:ascii="Arial" w:hAnsi="Arial" w:cs="Arial"/>
          <w:smallCaps w:val="0"/>
          <w:color w:val="9D2235" w:themeColor="accent1"/>
          <w:sz w:val="18"/>
          <w:szCs w:val="18"/>
        </w:rPr>
        <w:t xml:space="preserve">. </w:t>
      </w:r>
      <w:r w:rsidRPr="006C4E9B">
        <w:rPr>
          <w:rFonts w:ascii="Arial" w:hAnsi="Arial" w:cs="Arial"/>
          <w:smallCaps w:val="0"/>
          <w:sz w:val="18"/>
          <w:szCs w:val="18"/>
        </w:rPr>
        <w:t>Cubierta del libro La ciudad de la euforia</w:t>
      </w:r>
      <w:bookmarkEnd w:id="496"/>
    </w:p>
    <w:p w14:paraId="024ACCD3"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 xml:space="preserve">El libro de Rodrigo Terrasa </w:t>
      </w:r>
      <w:r w:rsidRPr="006C4E9B">
        <w:rPr>
          <w:rFonts w:ascii="Arial" w:eastAsia="Times New Roman" w:hAnsi="Arial" w:cs="Arial"/>
          <w:i/>
          <w:iCs/>
          <w:sz w:val="21"/>
          <w:szCs w:val="21"/>
          <w:lang w:eastAsia="es-ES"/>
        </w:rPr>
        <w:t>La ciudad de la euforia: Una hipótesis de la mafia</w:t>
      </w:r>
      <w:r w:rsidRPr="006C4E9B">
        <w:rPr>
          <w:rFonts w:ascii="Arial" w:eastAsia="Times New Roman" w:hAnsi="Arial" w:cs="Arial"/>
          <w:sz w:val="21"/>
          <w:szCs w:val="21"/>
          <w:lang w:eastAsia="es-ES"/>
        </w:rPr>
        <w:t>. Libros del KO, 2021, se ha convertido en un éxito de ventas, recomendado por libreros y entre los más vendidos en la 56ª Fira del Llibre de Valencia, algo extraordinario y admirable tratándose de un libro de no ficción. Tal es su éxito comercial que se está negociando ya para convertir el libro en una serie de televisión.</w:t>
      </w:r>
    </w:p>
    <w:p w14:paraId="487CB05A"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Rodrigo Terrasa ha manifestado en varias ocasiones que fue a partir de una conversación con Ferran Torrent que surgió la idea de escribir el libro. Según este autor, que ha ficcionado en varias obras la corrupción, si se quisiera hacer un relato novelado de lo que pasó en Valencia quedaría exagerado y nadie lo creería. Desde luego, era un gran reto.</w:t>
      </w:r>
    </w:p>
    <w:p w14:paraId="2374D522" w14:textId="4667898E"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 xml:space="preserve">El libro de Rodrigo Terrasa recorre la corrupción valenciana entre los años 1995 y 2015, coincidiendo con los 20 años de gobierno del PP, escándalos de un periodo que aún perdura en los tribunales. Las fuentes de información empleadas son los sumarios, las noticias de diversos medios de comunicación y las escuchas policiales. Y de este trabajo de análisis y síntesis ha emergido un libro exhaustivo, fluido y que engancha. “No son casos aislados […], cuando juntas todas las piezas, la gente lo lee, lo entiende y lo consume” dijo Rodrigo Terrasa en la celebración del </w:t>
      </w:r>
      <w:hyperlink w:anchor="OBJ_PREFIX_DWT50_com_zimbra_date" w:history="1">
        <w:r w:rsidRPr="00E47AE6">
          <w:rPr>
            <w:rStyle w:val="Hipervnculo"/>
            <w:rFonts w:ascii="Arial" w:eastAsia="Times New Roman" w:hAnsi="Arial" w:cs="Arial"/>
            <w:sz w:val="21"/>
            <w:szCs w:val="21"/>
            <w:lang w:eastAsia="es-ES"/>
          </w:rPr>
          <w:t>Día internacional contra la corrupción</w:t>
        </w:r>
      </w:hyperlink>
      <w:r w:rsidRPr="006C4E9B">
        <w:rPr>
          <w:rFonts w:ascii="Arial" w:eastAsia="Times New Roman" w:hAnsi="Arial" w:cs="Arial"/>
          <w:sz w:val="21"/>
          <w:szCs w:val="21"/>
          <w:lang w:eastAsia="es-ES"/>
        </w:rPr>
        <w:t>, organizado por la Agencia Valenciana Antifraude, 9 de diciembre</w:t>
      </w:r>
      <w:r w:rsidR="00E47AE6">
        <w:rPr>
          <w:rFonts w:ascii="Arial" w:eastAsia="Times New Roman" w:hAnsi="Arial" w:cs="Arial"/>
          <w:sz w:val="21"/>
          <w:szCs w:val="21"/>
          <w:lang w:eastAsia="es-ES"/>
        </w:rPr>
        <w:t>.</w:t>
      </w:r>
    </w:p>
    <w:p w14:paraId="17B61335"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 xml:space="preserve">El libro ha recibido en los medios merecidos halagos. Se ha dicho que es un libro impactante, “que certifica cosas que quizás ya sabías, pero </w:t>
      </w:r>
      <w:bookmarkStart w:id="497" w:name="_Hlk95289233"/>
      <w:r w:rsidRPr="006C4E9B">
        <w:rPr>
          <w:rFonts w:ascii="Arial" w:eastAsia="Times New Roman" w:hAnsi="Arial" w:cs="Arial"/>
          <w:sz w:val="21"/>
          <w:szCs w:val="21"/>
          <w:lang w:eastAsia="es-ES"/>
        </w:rPr>
        <w:t>no en toda su dimensión</w:t>
      </w:r>
      <w:bookmarkEnd w:id="497"/>
      <w:r w:rsidRPr="006C4E9B">
        <w:rPr>
          <w:rFonts w:ascii="Arial" w:eastAsia="Times New Roman" w:hAnsi="Arial" w:cs="Arial"/>
          <w:sz w:val="21"/>
          <w:szCs w:val="21"/>
          <w:lang w:eastAsia="es-ES"/>
        </w:rPr>
        <w:t>, […] a partir de los datos fehacientes de una realidad histórica o actual que siempre desborda la imaginación más desbocada. […] Hechos confirmados, fehacientes. Y son suficientemente elocuentes y deplorables como para excitar la indignación, la vergüenza y un malestar difuso en el lector más impávido”.</w:t>
      </w:r>
      <w:r w:rsidRPr="006C4E9B">
        <w:rPr>
          <w:rFonts w:ascii="Arial" w:eastAsia="Times New Roman" w:hAnsi="Arial" w:cs="Arial"/>
          <w:sz w:val="21"/>
          <w:szCs w:val="21"/>
          <w:vertAlign w:val="superscript"/>
          <w:lang w:eastAsia="es-ES"/>
        </w:rPr>
        <w:footnoteReference w:id="1"/>
      </w:r>
      <w:r w:rsidRPr="006C4E9B">
        <w:rPr>
          <w:rFonts w:ascii="Arial" w:eastAsia="Times New Roman" w:hAnsi="Arial" w:cs="Arial"/>
          <w:sz w:val="21"/>
          <w:szCs w:val="21"/>
          <w:lang w:eastAsia="es-ES"/>
        </w:rPr>
        <w:t xml:space="preserve"> Otros lo resumieron diciendo que “Cuando dejas de reírte, da miedo”.</w:t>
      </w:r>
      <w:r w:rsidRPr="006C4E9B">
        <w:rPr>
          <w:rFonts w:ascii="Arial" w:eastAsia="Times New Roman" w:hAnsi="Arial" w:cs="Arial"/>
          <w:sz w:val="21"/>
          <w:szCs w:val="21"/>
          <w:vertAlign w:val="superscript"/>
          <w:lang w:eastAsia="es-ES"/>
        </w:rPr>
        <w:footnoteReference w:id="2"/>
      </w:r>
    </w:p>
    <w:p w14:paraId="3B637AEE"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Se relatan capítulo a capítulo los casos Gürtel, Emarsa, Cooperación, Taula, Brugal, Erial, la visita del papa Benedicto XVI, la Fórmula 1, Fitur, Noos, Orange Market. También los descorazonadores abusos sexuales en Canal Nou y el tratamiento a las víctimas del accidente del metro de Valencia de 2006. La caracterización de sus principales protagonistas es tan completa que cuesta recordar que no eran personajes sino personas con voluntad propia. En algún momento llega a ser tan histriónico que vale la pena señalar que el título del libro toma su nombre de un disparatado proyecto de la época de Camps que, al menos sobre el papel, nunca llegó a ejecutarse.</w:t>
      </w:r>
    </w:p>
    <w:p w14:paraId="477D19A5"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Todo operó como en el código de honor de la mafia siciliana, la omertà o ley del silencio. En realidad, no todo, y es justo ahí donde cobran protagonismo los denunciantes de corrupción que la Agencia Valenciana Antifraude protege y que a petición del autor relataron sus experiencias para el libro en cuatro capítulos intercalados entre todo el resto de destarifo. Capítulos señalados con tipografía especial, de informe de atestado, sin edición formal ni de contenido, literales, con el máximo respeto a personas que podrían parecer héroes pero que ante todo son víctimas. Estas son las personas que con su valentía resquebrajaron esa ley del silencio.</w:t>
      </w:r>
    </w:p>
    <w:p w14:paraId="2F4552D9"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Según el propio autor, esos testimonios son la gran aportación de este libro. Son declaraciones sobrecogedoras de una secretaria de un ayuntamiento, un policía local, un funcionario y un concejal. Con amenazas de muerte, tratamiento psiquiátrico durante años, abortos, exilios autoimpuestos. El hecho de que estos testimonios no estén vinculados a los grandes casos de corrupción subraya una realidad inquietante y es que los casos mediáticos son la punta del iceberg, porque estos denunciantes protegidos cuentan lo que pasaba en esos sitios pequeños donde nadie miraba.</w:t>
      </w:r>
    </w:p>
    <w:p w14:paraId="71BE7176" w14:textId="506E05B9" w:rsid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Y eso nos lleva a la última reflexión: quién fue responsable y cómo evitar que vuelva a suceder. Rodrigo Terrasa apunta como uno de los motivos a la sensación de impunidad de los partidos que gobiernan durante muchos años. A la impresión de que se está por encima de todo porque la justicia va muy lenta y no se castiga electoralmente. Conviene elevar la mirada, el autor y los tribunales están demostrando que el caso valenciano era sólo la versión más disparatada de un engranaje que se reproducía en todo el país. El libro es un libro sobre la corrupción con mayúsculas, sobre corrupción política para acaparar o retener poder y privilegios, y sobre corrupción administrativa, para acaparar dinero. Y los implicados no hacen ascos a nada. El autor entona un mea culpa en nombre de la profesión periodística que, en sus palabras, llegó tarde, y acusa también a la oposición de no estar a la altura. Todos fuimos responsables si se toma el resultado electoral como aval para ningunear los controles y equilibrios del estado de derecho y la separación de poderes. Aquí están algunas claves para evitar que vuelva a suceder.</w:t>
      </w:r>
    </w:p>
    <w:p w14:paraId="27DE62ED" w14:textId="52E54955" w:rsidR="002E12D5" w:rsidRPr="003D0116" w:rsidRDefault="002E12D5" w:rsidP="002E12D5">
      <w:pPr>
        <w:pStyle w:val="Prrafodelista"/>
        <w:keepNext/>
        <w:numPr>
          <w:ilvl w:val="3"/>
          <w:numId w:val="17"/>
        </w:numPr>
        <w:spacing w:before="360" w:after="240" w:line="276" w:lineRule="auto"/>
        <w:ind w:left="1134" w:hanging="1134"/>
        <w:jc w:val="both"/>
        <w:outlineLvl w:val="3"/>
        <w:rPr>
          <w:rFonts w:ascii="Arial" w:eastAsia="Times New Roman" w:hAnsi="Arial" w:cs="Arial"/>
          <w:b/>
          <w:bCs/>
          <w:color w:val="9D2235" w:themeColor="accent1"/>
          <w:sz w:val="24"/>
          <w:szCs w:val="24"/>
          <w:lang w:eastAsia="es-ES"/>
        </w:rPr>
      </w:pPr>
      <w:r w:rsidRPr="003D0116">
        <w:rPr>
          <w:rFonts w:ascii="Arial" w:eastAsia="Times New Roman" w:hAnsi="Arial" w:cs="Arial"/>
          <w:b/>
          <w:bCs/>
          <w:color w:val="9D2235" w:themeColor="accent1"/>
          <w:sz w:val="24"/>
          <w:szCs w:val="24"/>
          <w:lang w:eastAsia="es-ES"/>
        </w:rPr>
        <w:t xml:space="preserve">Otras publicaciones </w:t>
      </w:r>
    </w:p>
    <w:p w14:paraId="2A583B4D" w14:textId="2DFEA4B3" w:rsidR="00BE4083" w:rsidRDefault="00BE4083" w:rsidP="002E12D5">
      <w:pPr>
        <w:spacing w:after="240" w:line="276" w:lineRule="auto"/>
        <w:jc w:val="both"/>
        <w:rPr>
          <w:rFonts w:ascii="Arial" w:hAnsi="Arial"/>
          <w:sz w:val="21"/>
          <w:szCs w:val="21"/>
        </w:rPr>
      </w:pPr>
      <w:r w:rsidRPr="00BE4083">
        <w:rPr>
          <w:rFonts w:ascii="Arial" w:hAnsi="Arial"/>
          <w:sz w:val="21"/>
          <w:szCs w:val="21"/>
        </w:rPr>
        <w:t>En fechas inmediatamente anteriores a la redacción de esta Memoria se han publicado otras dos obras relacionadas con las funciones y fines de la Agencia en las que han contribuido autores de la AVAF.</w:t>
      </w:r>
    </w:p>
    <w:p w14:paraId="0C49A486" w14:textId="77777777" w:rsidR="005B7648" w:rsidRDefault="00720BEB" w:rsidP="005B7648">
      <w:pPr>
        <w:keepNext/>
        <w:spacing w:after="240" w:line="276" w:lineRule="auto"/>
        <w:jc w:val="center"/>
      </w:pPr>
      <w:r>
        <w:rPr>
          <w:rFonts w:ascii="Arial" w:hAnsi="Arial"/>
          <w:noProof/>
          <w:sz w:val="21"/>
          <w:szCs w:val="21"/>
        </w:rPr>
        <w:drawing>
          <wp:inline distT="0" distB="0" distL="0" distR="0" wp14:anchorId="4C7ADB15" wp14:editId="63466602">
            <wp:extent cx="1954800" cy="2880000"/>
            <wp:effectExtent l="0" t="0" r="7620" b="0"/>
            <wp:docPr id="52" name="Imagen 5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Texto&#10;&#10;Descripción generada automáticamente"/>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1954800" cy="2880000"/>
                    </a:xfrm>
                    <a:prstGeom prst="rect">
                      <a:avLst/>
                    </a:prstGeom>
                    <a:noFill/>
                    <a:ln>
                      <a:noFill/>
                    </a:ln>
                  </pic:spPr>
                </pic:pic>
              </a:graphicData>
            </a:graphic>
          </wp:inline>
        </w:drawing>
      </w:r>
    </w:p>
    <w:p w14:paraId="74439CB5" w14:textId="3FF8B3E8" w:rsidR="005B7648" w:rsidRDefault="005B7648" w:rsidP="005B7648">
      <w:pPr>
        <w:pStyle w:val="Descripcin"/>
        <w:contextualSpacing/>
        <w:jc w:val="center"/>
        <w:rPr>
          <w:rFonts w:ascii="Arial" w:hAnsi="Arial" w:cs="Arial"/>
          <w:smallCaps w:val="0"/>
          <w:sz w:val="18"/>
          <w:szCs w:val="18"/>
        </w:rPr>
      </w:pPr>
      <w:bookmarkStart w:id="498" w:name="_Toc99099143"/>
      <w:r w:rsidRPr="005B7648">
        <w:rPr>
          <w:rFonts w:ascii="Arial" w:hAnsi="Arial" w:cs="Arial"/>
          <w:smallCaps w:val="0"/>
          <w:color w:val="9D2235" w:themeColor="accent1"/>
          <w:sz w:val="18"/>
          <w:szCs w:val="18"/>
        </w:rPr>
        <w:t xml:space="preserve">Imagen </w:t>
      </w:r>
      <w:r w:rsidRPr="005B7648">
        <w:rPr>
          <w:rFonts w:ascii="Arial" w:hAnsi="Arial" w:cs="Arial"/>
          <w:smallCaps w:val="0"/>
          <w:color w:val="9D2235" w:themeColor="accent1"/>
          <w:sz w:val="18"/>
          <w:szCs w:val="18"/>
        </w:rPr>
        <w:fldChar w:fldCharType="begin" w:fldLock="1"/>
      </w:r>
      <w:r w:rsidRPr="005B7648">
        <w:rPr>
          <w:rFonts w:ascii="Arial" w:hAnsi="Arial" w:cs="Arial"/>
          <w:smallCaps w:val="0"/>
          <w:color w:val="9D2235" w:themeColor="accent1"/>
          <w:sz w:val="18"/>
          <w:szCs w:val="18"/>
        </w:rPr>
        <w:instrText xml:space="preserve"> SEQ Imagen \* ARABIC </w:instrText>
      </w:r>
      <w:r w:rsidRPr="005B7648">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19</w:t>
      </w:r>
      <w:r w:rsidRPr="005B7648">
        <w:rPr>
          <w:rFonts w:ascii="Arial" w:hAnsi="Arial" w:cs="Arial"/>
          <w:smallCaps w:val="0"/>
          <w:color w:val="9D2235" w:themeColor="accent1"/>
          <w:sz w:val="18"/>
          <w:szCs w:val="18"/>
        </w:rPr>
        <w:fldChar w:fldCharType="end"/>
      </w:r>
      <w:r w:rsidRPr="005B7648">
        <w:rPr>
          <w:rFonts w:ascii="Arial" w:hAnsi="Arial" w:cs="Arial"/>
          <w:smallCaps w:val="0"/>
          <w:color w:val="9D2235" w:themeColor="accent1"/>
          <w:sz w:val="18"/>
          <w:szCs w:val="18"/>
        </w:rPr>
        <w:t xml:space="preserve">. </w:t>
      </w:r>
      <w:r w:rsidRPr="005B7648">
        <w:rPr>
          <w:rFonts w:ascii="Arial" w:hAnsi="Arial" w:cs="Arial"/>
          <w:smallCaps w:val="0"/>
          <w:sz w:val="18"/>
          <w:szCs w:val="18"/>
        </w:rPr>
        <w:t>Cubierta del libro Fundamentos de la transparencia, aspectos políticos</w:t>
      </w:r>
      <w:bookmarkEnd w:id="498"/>
    </w:p>
    <w:p w14:paraId="49D40330" w14:textId="36624D7E" w:rsidR="00E963F0" w:rsidRPr="005B7648" w:rsidRDefault="005B7648" w:rsidP="00A7223F">
      <w:pPr>
        <w:pStyle w:val="Descripcin"/>
        <w:spacing w:after="240"/>
        <w:contextualSpacing/>
        <w:jc w:val="center"/>
        <w:rPr>
          <w:rFonts w:ascii="Arial" w:hAnsi="Arial" w:cs="Arial"/>
          <w:smallCaps w:val="0"/>
          <w:sz w:val="18"/>
          <w:szCs w:val="18"/>
        </w:rPr>
      </w:pPr>
      <w:r w:rsidRPr="005B7648">
        <w:rPr>
          <w:rFonts w:ascii="Arial" w:hAnsi="Arial" w:cs="Arial"/>
          <w:smallCaps w:val="0"/>
          <w:sz w:val="18"/>
          <w:szCs w:val="18"/>
        </w:rPr>
        <w:t xml:space="preserve"> y perspectiva internacional</w:t>
      </w:r>
    </w:p>
    <w:p w14:paraId="7B316B6E" w14:textId="6443550C" w:rsidR="00781C96" w:rsidRDefault="00BE4083" w:rsidP="002E12D5">
      <w:pPr>
        <w:spacing w:after="240" w:line="276" w:lineRule="auto"/>
        <w:jc w:val="both"/>
        <w:rPr>
          <w:rFonts w:ascii="Arial" w:eastAsia="Times New Roman" w:hAnsi="Arial" w:cs="Arial"/>
          <w:kern w:val="2"/>
          <w:sz w:val="21"/>
          <w:szCs w:val="21"/>
          <w:lang w:eastAsia="es-ES" w:bidi="hi-IN"/>
        </w:rPr>
      </w:pPr>
      <w:r w:rsidRPr="00BE4083">
        <w:rPr>
          <w:rFonts w:ascii="Arial" w:eastAsia="Times New Roman" w:hAnsi="Arial" w:cs="Arial"/>
          <w:kern w:val="2"/>
          <w:sz w:val="21"/>
          <w:szCs w:val="21"/>
          <w:lang w:eastAsia="es-ES" w:bidi="hi-IN"/>
        </w:rPr>
        <w:t xml:space="preserve">La primera contribución, Vega Felgueroso, Juan. El giro copernicano a la transparencia y la lucha contra el fraude: los grupos parlamentarios. En: Sánchez de Diego Fernández de la Riva, Manuel; Salvador Martínez María (dirs.) </w:t>
      </w:r>
      <w:r w:rsidRPr="00BE4083">
        <w:rPr>
          <w:rFonts w:ascii="Arial" w:eastAsia="Times New Roman" w:hAnsi="Arial" w:cs="Arial"/>
          <w:i/>
          <w:iCs/>
          <w:kern w:val="2"/>
          <w:sz w:val="21"/>
          <w:szCs w:val="21"/>
          <w:lang w:eastAsia="es-ES" w:bidi="hi-IN"/>
        </w:rPr>
        <w:t>Fundamentos de la transparencia: aspectos políticos y perspectiva internacional</w:t>
      </w:r>
      <w:r w:rsidRPr="00BE4083">
        <w:rPr>
          <w:rFonts w:ascii="Arial" w:eastAsia="Times New Roman" w:hAnsi="Arial" w:cs="Arial"/>
          <w:kern w:val="2"/>
          <w:sz w:val="21"/>
          <w:szCs w:val="21"/>
          <w:lang w:eastAsia="es-ES" w:bidi="hi-IN"/>
        </w:rPr>
        <w:t xml:space="preserve">. Centro de Estudios Políticos y Constitucionales, 2021, ha consistido en el capítulo de libro referenciado, dentro del apartado “Transparencia en el estado democrático”, de la obra </w:t>
      </w:r>
      <w:hyperlink r:id="rId529" w:history="1">
        <w:r w:rsidRPr="00BE4083">
          <w:rPr>
            <w:rStyle w:val="Hipervnculo"/>
            <w:rFonts w:ascii="Arial" w:eastAsia="Times New Roman" w:hAnsi="Arial" w:cs="Arial"/>
            <w:kern w:val="2"/>
            <w:sz w:val="21"/>
            <w:szCs w:val="21"/>
            <w:lang w:eastAsia="es-ES" w:bidi="hi-IN"/>
          </w:rPr>
          <w:t>“Fundamentos de la transparencia, aspectos políticos y perspectiva internacional”</w:t>
        </w:r>
      </w:hyperlink>
      <w:r w:rsidRPr="00BE4083">
        <w:rPr>
          <w:rFonts w:ascii="Arial" w:eastAsia="Times New Roman" w:hAnsi="Arial" w:cs="Arial"/>
          <w:kern w:val="2"/>
          <w:sz w:val="21"/>
          <w:szCs w:val="21"/>
          <w:lang w:eastAsia="es-ES" w:bidi="hi-IN"/>
        </w:rPr>
        <w:t>, dirigida por Manuel Sánchez de Diego Fernández de la Riva y María Salvador Martínez y editada por el Centro de Estudios Políticos y Constitucionales dentro de su colección Foros y Debates.</w:t>
      </w:r>
    </w:p>
    <w:p w14:paraId="25262ECC" w14:textId="77777777" w:rsidR="00781C96" w:rsidRDefault="00781C96" w:rsidP="00781C96">
      <w:pPr>
        <w:keepNext/>
        <w:spacing w:after="240" w:line="276" w:lineRule="auto"/>
        <w:jc w:val="center"/>
      </w:pPr>
      <w:r>
        <w:rPr>
          <w:rFonts w:ascii="Arial" w:hAnsi="Arial" w:cs="Arial"/>
          <w:noProof/>
          <w:kern w:val="2"/>
          <w:sz w:val="21"/>
          <w:szCs w:val="21"/>
          <w:lang w:bidi="hi-IN"/>
        </w:rPr>
        <w:drawing>
          <wp:inline distT="0" distB="0" distL="0" distR="0" wp14:anchorId="7E6A13DE" wp14:editId="13212710">
            <wp:extent cx="2037600" cy="2880000"/>
            <wp:effectExtent l="0" t="0" r="1270" b="0"/>
            <wp:docPr id="67" name="Imagen 6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descr="Texto&#10;&#10;Descripción generada automáticamente"/>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2037600" cy="2880000"/>
                    </a:xfrm>
                    <a:prstGeom prst="rect">
                      <a:avLst/>
                    </a:prstGeom>
                    <a:noFill/>
                    <a:ln>
                      <a:noFill/>
                    </a:ln>
                  </pic:spPr>
                </pic:pic>
              </a:graphicData>
            </a:graphic>
          </wp:inline>
        </w:drawing>
      </w:r>
    </w:p>
    <w:p w14:paraId="5F42547C" w14:textId="4862EC0F" w:rsidR="00781C96" w:rsidRPr="00781C96" w:rsidRDefault="00781C96" w:rsidP="00781C96">
      <w:pPr>
        <w:pStyle w:val="Descripcin"/>
        <w:spacing w:after="240" w:line="276" w:lineRule="auto"/>
        <w:jc w:val="center"/>
        <w:rPr>
          <w:rFonts w:ascii="Arial" w:eastAsia="Times New Roman" w:hAnsi="Arial" w:cs="Arial"/>
          <w:smallCaps w:val="0"/>
          <w:kern w:val="2"/>
          <w:sz w:val="18"/>
          <w:szCs w:val="18"/>
          <w:lang w:eastAsia="es-ES" w:bidi="hi-IN"/>
        </w:rPr>
      </w:pPr>
      <w:bookmarkStart w:id="499" w:name="_Toc99099144"/>
      <w:r w:rsidRPr="00781C96">
        <w:rPr>
          <w:rFonts w:ascii="Arial" w:hAnsi="Arial" w:cs="Arial"/>
          <w:smallCaps w:val="0"/>
          <w:color w:val="9D2235" w:themeColor="accent1"/>
          <w:sz w:val="18"/>
          <w:szCs w:val="18"/>
        </w:rPr>
        <w:t xml:space="preserve">Imagen </w:t>
      </w:r>
      <w:r w:rsidRPr="00781C96">
        <w:rPr>
          <w:rFonts w:ascii="Arial" w:hAnsi="Arial" w:cs="Arial"/>
          <w:smallCaps w:val="0"/>
          <w:color w:val="9D2235" w:themeColor="accent1"/>
          <w:sz w:val="18"/>
          <w:szCs w:val="18"/>
        </w:rPr>
        <w:fldChar w:fldCharType="begin" w:fldLock="1"/>
      </w:r>
      <w:r w:rsidRPr="00781C96">
        <w:rPr>
          <w:rFonts w:ascii="Arial" w:hAnsi="Arial" w:cs="Arial"/>
          <w:smallCaps w:val="0"/>
          <w:color w:val="9D2235" w:themeColor="accent1"/>
          <w:sz w:val="18"/>
          <w:szCs w:val="18"/>
        </w:rPr>
        <w:instrText xml:space="preserve"> SEQ Imagen \* ARABIC </w:instrText>
      </w:r>
      <w:r w:rsidRPr="00781C96">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20</w:t>
      </w:r>
      <w:r w:rsidRPr="00781C96">
        <w:rPr>
          <w:rFonts w:ascii="Arial" w:hAnsi="Arial" w:cs="Arial"/>
          <w:smallCaps w:val="0"/>
          <w:color w:val="9D2235" w:themeColor="accent1"/>
          <w:sz w:val="18"/>
          <w:szCs w:val="18"/>
        </w:rPr>
        <w:fldChar w:fldCharType="end"/>
      </w:r>
      <w:r w:rsidRPr="00781C96">
        <w:rPr>
          <w:rFonts w:ascii="Arial" w:hAnsi="Arial" w:cs="Arial"/>
          <w:smallCaps w:val="0"/>
          <w:color w:val="9D2235" w:themeColor="accent1"/>
          <w:sz w:val="18"/>
          <w:szCs w:val="18"/>
        </w:rPr>
        <w:t xml:space="preserve">. </w:t>
      </w:r>
      <w:r w:rsidR="00A12C48" w:rsidRPr="00A12C48">
        <w:rPr>
          <w:rFonts w:ascii="Arial" w:hAnsi="Arial" w:cs="Arial"/>
          <w:smallCaps w:val="0"/>
          <w:color w:val="auto"/>
          <w:sz w:val="18"/>
          <w:szCs w:val="18"/>
        </w:rPr>
        <w:t xml:space="preserve">Cubierta del libro </w:t>
      </w:r>
      <w:r>
        <w:rPr>
          <w:rFonts w:ascii="Arial" w:hAnsi="Arial" w:cs="Arial"/>
          <w:smallCaps w:val="0"/>
          <w:color w:val="auto"/>
          <w:sz w:val="18"/>
          <w:szCs w:val="18"/>
        </w:rPr>
        <w:t>L</w:t>
      </w:r>
      <w:r w:rsidRPr="00781C96">
        <w:rPr>
          <w:rFonts w:ascii="Arial" w:hAnsi="Arial" w:cs="Arial"/>
          <w:smallCaps w:val="0"/>
          <w:sz w:val="18"/>
          <w:szCs w:val="18"/>
        </w:rPr>
        <w:t>a integridad en la Administración: Contratación Pública y Lucha contra la Corrupción</w:t>
      </w:r>
      <w:bookmarkEnd w:id="499"/>
    </w:p>
    <w:p w14:paraId="1C74EBD3" w14:textId="77777777" w:rsidR="00BE4083" w:rsidRPr="00BE4083" w:rsidRDefault="00BE4083" w:rsidP="00BE4083">
      <w:pPr>
        <w:spacing w:after="240" w:line="276" w:lineRule="auto"/>
        <w:jc w:val="both"/>
        <w:rPr>
          <w:rFonts w:ascii="Arial" w:eastAsia="Times New Roman" w:hAnsi="Arial" w:cs="Arial"/>
          <w:sz w:val="21"/>
          <w:szCs w:val="21"/>
          <w:lang w:eastAsia="es-ES"/>
        </w:rPr>
      </w:pPr>
      <w:r w:rsidRPr="00BE4083">
        <w:rPr>
          <w:rFonts w:ascii="Arial" w:eastAsia="Times New Roman" w:hAnsi="Arial" w:cs="Arial"/>
          <w:sz w:val="21"/>
          <w:szCs w:val="21"/>
          <w:lang w:eastAsia="es-ES"/>
        </w:rPr>
        <w:t xml:space="preserve">La segunda, Clemente García, Teresa. Las agencias de prevención y lucha contra el fraude y la corrupción en la agenda 2030 de las Naciones Unidas. Un posible modelo: la Agencia Valenciana Antifraude (AVAF). En: Abad Alcalá, Leopoldo; Serrano Maíllo, Mª Isabel, (dirs.) </w:t>
      </w:r>
      <w:r w:rsidRPr="00BE4083">
        <w:rPr>
          <w:rFonts w:ascii="Arial" w:eastAsia="Times New Roman" w:hAnsi="Arial" w:cs="Arial"/>
          <w:i/>
          <w:iCs/>
          <w:sz w:val="21"/>
          <w:szCs w:val="21"/>
          <w:lang w:eastAsia="es-ES"/>
        </w:rPr>
        <w:t>La integridad en la Administración: contratación pública y lucha contra la corrupción</w:t>
      </w:r>
      <w:r w:rsidRPr="00BE4083">
        <w:rPr>
          <w:rFonts w:ascii="Arial" w:eastAsia="Times New Roman" w:hAnsi="Arial" w:cs="Arial"/>
          <w:sz w:val="21"/>
          <w:szCs w:val="21"/>
          <w:lang w:eastAsia="es-ES"/>
        </w:rPr>
        <w:t>. Aranzadi, 2022, es también una participación en la obra colectiva “La integridad en la Administración: contratación pública y lucha contra la corrupción”, dentro del apartado “Corrupción, integridad y contratación” dirigida por Javier Sierra, Leopoldo Abad Alcalá e Isabel Serrano Maíllo y coordinada por Alicia González Moro. Esta publicación, de la editorial Aranzadi ha tenido como fecha de lanzamiento el 1 de febrero de 2022.</w:t>
      </w:r>
    </w:p>
    <w:p w14:paraId="234E3802" w14:textId="4C87B852" w:rsidR="002E12D5" w:rsidRPr="002E12D5" w:rsidRDefault="00BE4083" w:rsidP="00BE4083">
      <w:pPr>
        <w:spacing w:after="240" w:line="276" w:lineRule="auto"/>
        <w:jc w:val="both"/>
        <w:rPr>
          <w:rFonts w:ascii="Arial" w:eastAsia="Times New Roman" w:hAnsi="Arial" w:cs="Arial"/>
          <w:sz w:val="21"/>
          <w:szCs w:val="21"/>
          <w:lang w:eastAsia="es-ES"/>
        </w:rPr>
      </w:pPr>
      <w:r w:rsidRPr="00BE4083">
        <w:rPr>
          <w:rFonts w:ascii="Arial" w:eastAsia="Times New Roman" w:hAnsi="Arial" w:cs="Arial"/>
          <w:sz w:val="21"/>
          <w:szCs w:val="21"/>
          <w:lang w:eastAsia="es-ES"/>
        </w:rPr>
        <w:t>Sin perjuicio de estas anotaciones para recoger con puntualidad las actividades que se llevan a cabo en cumplimiento de las funciones y fines de la Agencia, se procederá a elaborar y difundir las reseñas correspondientes a estas obras en la siguiente Memoria de la AVAF.</w:t>
      </w:r>
    </w:p>
    <w:p w14:paraId="38C52DE8" w14:textId="77777777" w:rsidR="00DF2F1F" w:rsidRPr="00DF2F1F" w:rsidRDefault="00DF2F1F" w:rsidP="00DF2F1F">
      <w:pPr>
        <w:pStyle w:val="Prrafodelista"/>
        <w:keepNext/>
        <w:numPr>
          <w:ilvl w:val="2"/>
          <w:numId w:val="17"/>
        </w:numPr>
        <w:tabs>
          <w:tab w:val="clear" w:pos="794"/>
        </w:tabs>
        <w:spacing w:before="360" w:after="240" w:line="276" w:lineRule="auto"/>
        <w:ind w:left="1134" w:hanging="1134"/>
        <w:contextualSpacing w:val="0"/>
        <w:jc w:val="both"/>
        <w:outlineLvl w:val="2"/>
        <w:rPr>
          <w:rFonts w:ascii="Arial" w:eastAsia="Times New Roman" w:hAnsi="Arial" w:cs="Arial"/>
          <w:b/>
          <w:bCs/>
          <w:color w:val="9D2235" w:themeColor="accent1"/>
          <w:sz w:val="28"/>
          <w:szCs w:val="28"/>
          <w:lang w:eastAsia="es-ES"/>
        </w:rPr>
      </w:pPr>
      <w:bookmarkStart w:id="500" w:name="_Toc99107122"/>
      <w:r w:rsidRPr="00DF2F1F">
        <w:rPr>
          <w:rFonts w:ascii="Arial" w:eastAsia="Times New Roman" w:hAnsi="Arial" w:cs="Arial"/>
          <w:b/>
          <w:bCs/>
          <w:color w:val="9D2235" w:themeColor="accent1"/>
          <w:sz w:val="28"/>
          <w:szCs w:val="28"/>
          <w:lang w:eastAsia="es-ES"/>
        </w:rPr>
        <w:t>A modo de conclusión</w:t>
      </w:r>
      <w:bookmarkEnd w:id="500"/>
    </w:p>
    <w:p w14:paraId="08A45F8C"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Las bibliotecas y servicios de información en general existen para impulsar sociedades alfabetizadas, informadas y participativas. Las personas, las comunidades y las organizaciones necesitan un acceso universal y equitativo a la información, a las ideas y a las obras de imaginación para su bienestar social, educativo, cultural, democrático y económico. En las bibliotecas reside la convicción de que la prestación de servicios de información ayuda a garantizar ese acceso, sin olvidar que la libertad de acceso a la información y la libertad de expresión son principios considerados fundamentales.</w:t>
      </w:r>
    </w:p>
    <w:p w14:paraId="7D46E049" w14:textId="464780C2"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 xml:space="preserve">En particular, el Servicio de Documentación de la Agencia, con la necesaria modestia de un </w:t>
      </w:r>
      <w:r w:rsidR="00CB3DFD">
        <w:rPr>
          <w:rFonts w:ascii="Arial" w:eastAsia="Times New Roman" w:hAnsi="Arial" w:cs="Arial"/>
          <w:sz w:val="21"/>
          <w:szCs w:val="21"/>
          <w:lang w:eastAsia="es-ES"/>
        </w:rPr>
        <w:t>S</w:t>
      </w:r>
      <w:r w:rsidRPr="006C4E9B">
        <w:rPr>
          <w:rFonts w:ascii="Arial" w:eastAsia="Times New Roman" w:hAnsi="Arial" w:cs="Arial"/>
          <w:sz w:val="21"/>
          <w:szCs w:val="21"/>
          <w:lang w:eastAsia="es-ES"/>
        </w:rPr>
        <w:t>ervicio circunscrito a un área de conocimiento restringida, e inserto en una organización que tiene unas funciones administrativas definidas por ley en un contexto regional, se alinea con los valores de la Federación Internacional de Asociaciones de Bibliotecarios y Bibliotecas (IFLA) enunciados entre otros en su Manifiesto de la IFLA sobre Transparencia, Buen Gobierno y Erradicación de la Corrupción</w:t>
      </w:r>
      <w:r w:rsidRPr="006C4E9B">
        <w:rPr>
          <w:rFonts w:ascii="Arial" w:eastAsia="Times New Roman" w:hAnsi="Arial" w:cs="Arial"/>
          <w:sz w:val="21"/>
          <w:szCs w:val="21"/>
          <w:vertAlign w:val="superscript"/>
          <w:lang w:eastAsia="es-ES"/>
        </w:rPr>
        <w:footnoteReference w:id="3"/>
      </w:r>
      <w:r w:rsidRPr="006C4E9B">
        <w:rPr>
          <w:rFonts w:ascii="Arial" w:eastAsia="Times New Roman" w:hAnsi="Arial" w:cs="Arial"/>
          <w:sz w:val="21"/>
          <w:szCs w:val="21"/>
          <w:lang w:eastAsia="es-ES"/>
        </w:rPr>
        <w:t>.</w:t>
      </w:r>
    </w:p>
    <w:p w14:paraId="50D6D713"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 xml:space="preserve">La corrupción propicia un ambiente de intereses donde solo lo corrupto tiene éxito y prospera, casi siempre, cuando existen condiciones de encubrimiento e ignorancia general. Por el contrario, ciudadanos bien informados tienen la capacidad de ejercer sus derechos democráticos y desempeñar un papel activo en la sociedad ayudando a proteger los valores democráticos y los derechos civiles. El papel de las bibliotecas es esencial para una ciudadanía bien informada y un gobierno transparente. Esta función fundamental, que sirve de principio y cimiento en el que se apoya lo demás, está directamente relacionada con el principio del Libre Acceso a la Información y la Libertad de Expresión, establecido en el Artículo 19 de la Declaración Universal de los Derechos Humanos de la ONU, 1948. Los servicios de información recogen su compromiso para fortalecer esta función de papel decisivo. Son instituciones democráticas en su base, dedicadas a hacer accesible la información precisa e imparcial y socialmente relevante para todos y cada uno. El acceso proporcionado por las bibliotecas a los servicios de información contribuye al buen gobierno, incrementando el conocimiento de los ciudadanos y mejorando sus discusiones y debates. La visión de la Federación Internacional de Asociaciones de Bibliotecarios y Bibliotecas es que las bibliotecas y los servicios de información deben ampliar su misión para llegar a convertirse en componentes más activos de un buen gobierno y de la lucha contra la corrupción. Particularmente, pueden desempeñar un importante papel al informar a los ciudadanos sobre sus derechos. Es función de las bibliotecas y centros de documentación desarrollar colecciones sólidas y facilitar el acceso a la información sobre todo tipo de temas, recopilando materiales informativos publicados por los organismos oficiales, facilitando el acceso a las bases de datos existentes y, en general, erigiéndose en lugares accesibles para la promoción del derecho a la información. </w:t>
      </w:r>
    </w:p>
    <w:p w14:paraId="42652730"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En nuestro ámbito autonómico, la Ley 4/2011, de 23 de marzo, de bibliotecas de la Comunitat Valenciana regula el sistema bibliotecario valenciano. Expone en su preámbulo que es su objetivo garantizar el acceso público a la información, poniendo los recursos bibliotecarios al alcance de todos en condiciones de igualdad, con el convencimiento de que las bibliotecas garantizan, en condiciones de igualdad de oportunidades, el acceso de todos los ciudadanos al pensamiento y a la cultura.</w:t>
      </w:r>
    </w:p>
    <w:p w14:paraId="52943AD6"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La ley reconoce que el hábito de la lectura es un pilar básico de la formación, desarrollo y educación del individuo para que, en situación de igualdad de oportunidades, los ciudadanos desde su libertad puedan cultivarse, desarrollar sus intereses culturales, aumentar progresivamente sus conocimientos y mejorar sus capacidades personales y sociales.</w:t>
      </w:r>
    </w:p>
    <w:p w14:paraId="312DE76E" w14:textId="77777777" w:rsidR="006C4E9B" w:rsidRPr="006C4E9B" w:rsidRDefault="006C4E9B" w:rsidP="006C4E9B">
      <w:pPr>
        <w:spacing w:after="240" w:line="276" w:lineRule="auto"/>
        <w:jc w:val="both"/>
        <w:rPr>
          <w:rFonts w:ascii="Arial" w:eastAsia="Times New Roman" w:hAnsi="Arial" w:cs="Arial"/>
          <w:sz w:val="21"/>
          <w:szCs w:val="21"/>
          <w:lang w:eastAsia="es-ES"/>
        </w:rPr>
      </w:pPr>
      <w:r w:rsidRPr="006C4E9B">
        <w:rPr>
          <w:rFonts w:ascii="Arial" w:eastAsia="Times New Roman" w:hAnsi="Arial" w:cs="Arial"/>
          <w:sz w:val="21"/>
          <w:szCs w:val="21"/>
          <w:lang w:eastAsia="es-ES"/>
        </w:rPr>
        <w:t>Desde el Servicio de Documentación de la AVAF pensamos que para el fortalecimiento de la democracia se necesitan ciudadanos libres e iguales, pero además, ante las amenazas que existen contra los valores democráticos, algunas nuevas y otras renovadas —en todo caso muchas—, se necesitan ciudadanos bien informados y capaces de construir conocimiento y juicio a partir de datos e información contrastada y de calidad, que a su vez les permita hacer una participación activa y valiosa en la sociedad ejerciendo el necesario equilibrio y control de poder.</w:t>
      </w:r>
    </w:p>
    <w:p w14:paraId="61EE8B81" w14:textId="77777777" w:rsidR="006C4E9B" w:rsidRDefault="006C4E9B" w:rsidP="00DF2F1F">
      <w:pPr>
        <w:spacing w:after="240" w:line="276" w:lineRule="auto"/>
        <w:jc w:val="both"/>
        <w:rPr>
          <w:rFonts w:ascii="Arial" w:eastAsia="Times New Roman" w:hAnsi="Arial" w:cs="Arial"/>
          <w:sz w:val="21"/>
          <w:szCs w:val="21"/>
          <w:lang w:eastAsia="es-ES"/>
        </w:rPr>
      </w:pPr>
    </w:p>
    <w:p w14:paraId="59F0DA69" w14:textId="07F7C404" w:rsidR="007C27F4" w:rsidRDefault="007C27F4" w:rsidP="007C27F4">
      <w:pPr>
        <w:spacing w:after="240" w:line="276" w:lineRule="auto"/>
        <w:jc w:val="both"/>
        <w:rPr>
          <w:rFonts w:ascii="Arial" w:eastAsia="Times New Roman" w:hAnsi="Arial" w:cs="Arial"/>
          <w:sz w:val="21"/>
          <w:szCs w:val="21"/>
          <w:lang w:eastAsia="es-ES"/>
        </w:rPr>
      </w:pPr>
    </w:p>
    <w:p w14:paraId="114860E1" w14:textId="77777777" w:rsidR="007C27F4" w:rsidRPr="00973028" w:rsidRDefault="007C27F4" w:rsidP="007C27F4">
      <w:pPr>
        <w:spacing w:after="240" w:line="276" w:lineRule="auto"/>
        <w:rPr>
          <w:rFonts w:ascii="Arial" w:hAnsi="Arial" w:cs="Arial"/>
          <w:sz w:val="20"/>
          <w:szCs w:val="20"/>
        </w:rPr>
      </w:pPr>
      <w:r w:rsidRPr="00973028">
        <w:rPr>
          <w:rFonts w:ascii="Arial" w:hAnsi="Arial" w:cs="Arial"/>
          <w:color w:val="000000" w:themeColor="text1"/>
          <w:sz w:val="21"/>
          <w:szCs w:val="21"/>
        </w:rPr>
        <w:br w:type="page"/>
      </w:r>
    </w:p>
    <w:p w14:paraId="78304988" w14:textId="77777777" w:rsidR="003B06CF" w:rsidRPr="00973028" w:rsidRDefault="003B06CF" w:rsidP="003B06CF">
      <w:pPr>
        <w:keepNext/>
        <w:spacing w:after="0" w:line="276" w:lineRule="auto"/>
        <w:rPr>
          <w:rFonts w:ascii="Arial" w:eastAsia="Times New Roman" w:hAnsi="Arial" w:cs="Arial"/>
          <w:b/>
          <w:bCs/>
          <w:smallCaps/>
          <w:color w:val="9D2235"/>
          <w:spacing w:val="-14"/>
          <w:sz w:val="20"/>
          <w:szCs w:val="20"/>
          <w:lang w:eastAsia="es-ES"/>
        </w:rPr>
      </w:pPr>
      <w:bookmarkStart w:id="501" w:name="_Toc66438642"/>
    </w:p>
    <w:p w14:paraId="6F81E46F" w14:textId="77777777" w:rsidR="003B06CF" w:rsidRDefault="003B06CF" w:rsidP="003B06CF">
      <w:pPr>
        <w:keepNext/>
        <w:spacing w:after="0" w:line="276" w:lineRule="auto"/>
        <w:rPr>
          <w:rFonts w:ascii="Arial" w:eastAsia="Times New Roman" w:hAnsi="Arial" w:cs="Arial"/>
          <w:b/>
          <w:bCs/>
          <w:smallCaps/>
          <w:color w:val="9D2235"/>
          <w:spacing w:val="-14"/>
          <w:sz w:val="20"/>
          <w:szCs w:val="20"/>
          <w:lang w:eastAsia="es-ES"/>
        </w:rPr>
      </w:pPr>
    </w:p>
    <w:p w14:paraId="6525643E" w14:textId="77777777" w:rsidR="003B06CF" w:rsidRPr="00973028" w:rsidRDefault="003B06CF" w:rsidP="003B06CF">
      <w:pPr>
        <w:keepNext/>
        <w:spacing w:after="0" w:line="276" w:lineRule="auto"/>
        <w:rPr>
          <w:rFonts w:ascii="Arial" w:eastAsia="Times New Roman" w:hAnsi="Arial" w:cs="Arial"/>
          <w:b/>
          <w:bCs/>
          <w:smallCaps/>
          <w:color w:val="9D2235"/>
          <w:spacing w:val="-14"/>
          <w:sz w:val="20"/>
          <w:szCs w:val="20"/>
          <w:lang w:eastAsia="es-ES"/>
        </w:rPr>
      </w:pPr>
    </w:p>
    <w:p w14:paraId="112B7113" w14:textId="69AF36CA" w:rsidR="00C63EB4" w:rsidRPr="00C63EB4" w:rsidRDefault="003B06CF" w:rsidP="002A08C9">
      <w:pPr>
        <w:pStyle w:val="Ttulo1"/>
        <w:numPr>
          <w:ilvl w:val="0"/>
          <w:numId w:val="21"/>
        </w:numPr>
        <w:spacing w:before="360" w:after="240" w:line="276" w:lineRule="auto"/>
        <w:ind w:left="0" w:firstLine="0"/>
        <w:rPr>
          <w:rFonts w:ascii="Arial" w:hAnsi="Arial" w:cs="Arial"/>
          <w:color w:val="9D2235" w:themeColor="accent1"/>
          <w:sz w:val="80"/>
          <w:szCs w:val="80"/>
        </w:rPr>
      </w:pPr>
      <w:r w:rsidRPr="00C63EB4">
        <w:rPr>
          <w:rFonts w:ascii="Arial" w:eastAsia="Times New Roman" w:hAnsi="Arial" w:cs="Arial"/>
          <w:b/>
          <w:bCs/>
          <w:color w:val="9D2235"/>
          <w:spacing w:val="-24"/>
          <w:kern w:val="2"/>
          <w:sz w:val="80"/>
          <w:szCs w:val="80"/>
          <w:lang w:eastAsia="es-ES"/>
        </w:rPr>
        <w:br/>
      </w:r>
      <w:bookmarkStart w:id="502" w:name="_Toc99107123"/>
      <w:r w:rsidR="003B28A6" w:rsidRPr="003D0116">
        <w:rPr>
          <w:rFonts w:ascii="Arial" w:eastAsia="Calibri" w:hAnsi="Arial" w:cs="Arial"/>
          <w:b/>
          <w:bCs/>
          <w:color w:val="9D2235"/>
          <w:sz w:val="80"/>
          <w:szCs w:val="80"/>
        </w:rPr>
        <w:t>Adminis</w:t>
      </w:r>
      <w:r w:rsidR="00121BDF" w:rsidRPr="003D0116">
        <w:rPr>
          <w:rFonts w:ascii="Arial" w:eastAsia="Calibri" w:hAnsi="Arial" w:cs="Arial"/>
          <w:b/>
          <w:bCs/>
          <w:color w:val="9D2235"/>
          <w:sz w:val="80"/>
          <w:szCs w:val="80"/>
        </w:rPr>
        <w:t>t</w:t>
      </w:r>
      <w:r w:rsidR="003B28A6" w:rsidRPr="003D0116">
        <w:rPr>
          <w:rFonts w:ascii="Arial" w:eastAsia="Calibri" w:hAnsi="Arial" w:cs="Arial"/>
          <w:b/>
          <w:bCs/>
          <w:color w:val="9D2235"/>
          <w:sz w:val="80"/>
          <w:szCs w:val="80"/>
        </w:rPr>
        <w:t>ración,</w:t>
      </w:r>
      <w:r w:rsidR="003B28A6" w:rsidRPr="00C63EB4">
        <w:rPr>
          <w:rFonts w:ascii="Arial" w:eastAsia="Calibri" w:hAnsi="Arial" w:cs="Arial"/>
          <w:b/>
          <w:bCs/>
          <w:color w:val="9D2235"/>
          <w:sz w:val="80"/>
          <w:szCs w:val="80"/>
        </w:rPr>
        <w:t xml:space="preserve"> organización y recursos</w:t>
      </w:r>
      <w:bookmarkStart w:id="503" w:name="_Toc66438643"/>
      <w:bookmarkStart w:id="504" w:name="_Toc66438646"/>
      <w:bookmarkStart w:id="505" w:name="_Toc66438647"/>
      <w:bookmarkStart w:id="506" w:name="_Toc66438648"/>
      <w:bookmarkStart w:id="507" w:name="_Toc66451679"/>
      <w:bookmarkStart w:id="508" w:name="_Toc66451819"/>
      <w:bookmarkStart w:id="509" w:name="_Toc66451958"/>
      <w:bookmarkStart w:id="510" w:name="_Toc66452161"/>
      <w:bookmarkStart w:id="511" w:name="_Toc66689615"/>
      <w:bookmarkStart w:id="512" w:name="_Toc66873980"/>
      <w:bookmarkStart w:id="513" w:name="_Toc66874209"/>
      <w:bookmarkStart w:id="514" w:name="_Toc66874354"/>
      <w:bookmarkStart w:id="515" w:name="_Toc66451688"/>
      <w:bookmarkStart w:id="516" w:name="_Toc66451828"/>
      <w:bookmarkStart w:id="517" w:name="_Toc66451967"/>
      <w:bookmarkStart w:id="518" w:name="_Toc66452170"/>
      <w:bookmarkStart w:id="519" w:name="_Toc66689624"/>
      <w:bookmarkStart w:id="520" w:name="_Toc66873989"/>
      <w:bookmarkStart w:id="521" w:name="_Toc66874218"/>
      <w:bookmarkStart w:id="522" w:name="_Toc66874363"/>
      <w:bookmarkStart w:id="523" w:name="_Toc66451689"/>
      <w:bookmarkStart w:id="524" w:name="_Toc66451829"/>
      <w:bookmarkStart w:id="525" w:name="_Toc66451968"/>
      <w:bookmarkStart w:id="526" w:name="_Toc66452171"/>
      <w:bookmarkStart w:id="527" w:name="_Toc66689625"/>
      <w:bookmarkStart w:id="528" w:name="_Toc66873990"/>
      <w:bookmarkStart w:id="529" w:name="_Toc66874219"/>
      <w:bookmarkStart w:id="530" w:name="_Toc66874364"/>
      <w:bookmarkStart w:id="531" w:name="_Toc66452180"/>
      <w:bookmarkStart w:id="532" w:name="_Toc66689634"/>
      <w:bookmarkStart w:id="533" w:name="_Toc66873999"/>
      <w:bookmarkStart w:id="534" w:name="_Toc66874228"/>
      <w:bookmarkStart w:id="535" w:name="_Toc66874373"/>
      <w:bookmarkStart w:id="536" w:name="_Toc66452181"/>
      <w:bookmarkStart w:id="537" w:name="_Toc66689635"/>
      <w:bookmarkStart w:id="538" w:name="_Toc66874000"/>
      <w:bookmarkStart w:id="539" w:name="_Toc66874229"/>
      <w:bookmarkStart w:id="540" w:name="_Toc66874374"/>
      <w:bookmarkEnd w:id="501"/>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02"/>
      <w:r w:rsidR="00C63EB4" w:rsidRPr="00C63EB4">
        <w:rPr>
          <w:rFonts w:ascii="Arial" w:eastAsia="Calibri" w:hAnsi="Arial" w:cs="Arial"/>
          <w:b/>
          <w:bCs/>
          <w:color w:val="9D2235"/>
          <w:sz w:val="80"/>
          <w:szCs w:val="80"/>
        </w:rPr>
        <w:t xml:space="preserve"> </w:t>
      </w:r>
      <w:bookmarkStart w:id="541" w:name="_Hlk98919302"/>
      <w:r w:rsidR="00C63EB4">
        <w:rPr>
          <w:rFonts w:ascii="Arial" w:eastAsia="Times New Roman" w:hAnsi="Arial" w:cs="Arial"/>
          <w:b/>
          <w:bCs/>
          <w:color w:val="9D2235"/>
          <w:spacing w:val="-24"/>
          <w:kern w:val="2"/>
          <w:sz w:val="80"/>
          <w:szCs w:val="80"/>
          <w:lang w:eastAsia="es-ES"/>
        </w:rPr>
        <w:br/>
      </w:r>
      <w:bookmarkEnd w:id="541"/>
    </w:p>
    <w:p w14:paraId="12CBA9C5" w14:textId="21BC5DCA" w:rsidR="00053B23" w:rsidRDefault="00AD6163" w:rsidP="00E501D4">
      <w:pPr>
        <w:pStyle w:val="Ttulo2"/>
        <w:numPr>
          <w:ilvl w:val="1"/>
          <w:numId w:val="21"/>
        </w:numPr>
        <w:spacing w:before="360" w:after="240" w:line="276" w:lineRule="auto"/>
        <w:ind w:left="851" w:hanging="851"/>
        <w:rPr>
          <w:rFonts w:ascii="Arial" w:hAnsi="Arial" w:cs="Arial"/>
          <w:b/>
          <w:bCs/>
          <w:color w:val="9D2235" w:themeColor="accent1"/>
        </w:rPr>
      </w:pPr>
      <w:bookmarkStart w:id="542" w:name="_Toc99107124"/>
      <w:r>
        <w:rPr>
          <w:rFonts w:ascii="Arial" w:hAnsi="Arial" w:cs="Arial"/>
          <w:b/>
          <w:bCs/>
          <w:color w:val="9D2235" w:themeColor="accent1"/>
        </w:rPr>
        <w:t>Introducción</w:t>
      </w:r>
      <w:bookmarkEnd w:id="542"/>
    </w:p>
    <w:p w14:paraId="2BC2354A" w14:textId="77777777" w:rsidR="00AD6163" w:rsidRPr="0068241A" w:rsidRDefault="00AD6163" w:rsidP="00AD6163">
      <w:pPr>
        <w:pStyle w:val="Prrafodelista"/>
        <w:spacing w:after="240" w:line="276" w:lineRule="auto"/>
        <w:ind w:left="0"/>
        <w:contextualSpacing w:val="0"/>
        <w:jc w:val="both"/>
        <w:rPr>
          <w:rFonts w:ascii="Arial" w:hAnsi="Arial" w:cs="Arial"/>
          <w:sz w:val="21"/>
          <w:szCs w:val="21"/>
        </w:rPr>
      </w:pPr>
      <w:r w:rsidRPr="0068241A">
        <w:rPr>
          <w:rFonts w:ascii="Arial" w:hAnsi="Arial" w:cs="Arial"/>
          <w:sz w:val="21"/>
          <w:szCs w:val="21"/>
        </w:rPr>
        <w:t xml:space="preserve">La Ley 11/2016, de 28 de noviembre, de la Generalitat, de la Agencia de Prevención y Lucha contra el Fraude y la Corrupción de la Comunitat Valenciana dedica las Secciones </w:t>
      </w:r>
      <w:r>
        <w:rPr>
          <w:rFonts w:ascii="Arial" w:hAnsi="Arial" w:cs="Arial"/>
          <w:sz w:val="21"/>
          <w:szCs w:val="21"/>
        </w:rPr>
        <w:t>2</w:t>
      </w:r>
      <w:r w:rsidRPr="0068241A">
        <w:rPr>
          <w:rFonts w:ascii="Arial" w:hAnsi="Arial" w:cs="Arial"/>
          <w:sz w:val="21"/>
          <w:szCs w:val="21"/>
        </w:rPr>
        <w:t xml:space="preserve"> y </w:t>
      </w:r>
      <w:r>
        <w:rPr>
          <w:rFonts w:ascii="Arial" w:hAnsi="Arial" w:cs="Arial"/>
          <w:sz w:val="21"/>
          <w:szCs w:val="21"/>
        </w:rPr>
        <w:t>3</w:t>
      </w:r>
      <w:r w:rsidRPr="0068241A">
        <w:rPr>
          <w:rFonts w:ascii="Arial" w:hAnsi="Arial" w:cs="Arial"/>
          <w:sz w:val="21"/>
          <w:szCs w:val="21"/>
        </w:rPr>
        <w:t xml:space="preserve"> del Capítulo V a la determinación del régimen jurídico aplicable al personal al servicio de la Agencia. Estas previsiones han sido objeto de desarrollo a través del Reglamento de funcionamiento y régimen interior de la Agencia, en su</w:t>
      </w:r>
      <w:r>
        <w:rPr>
          <w:rFonts w:ascii="Arial" w:hAnsi="Arial" w:cs="Arial"/>
          <w:sz w:val="21"/>
          <w:szCs w:val="21"/>
        </w:rPr>
        <w:t>s</w:t>
      </w:r>
      <w:r w:rsidRPr="0068241A">
        <w:rPr>
          <w:rFonts w:ascii="Arial" w:hAnsi="Arial" w:cs="Arial"/>
          <w:sz w:val="21"/>
          <w:szCs w:val="21"/>
        </w:rPr>
        <w:t xml:space="preserve"> Título</w:t>
      </w:r>
      <w:r>
        <w:rPr>
          <w:rFonts w:ascii="Arial" w:hAnsi="Arial" w:cs="Arial"/>
          <w:sz w:val="21"/>
          <w:szCs w:val="21"/>
        </w:rPr>
        <w:t>s</w:t>
      </w:r>
      <w:r w:rsidRPr="0068241A">
        <w:rPr>
          <w:rFonts w:ascii="Arial" w:hAnsi="Arial" w:cs="Arial"/>
          <w:sz w:val="21"/>
          <w:szCs w:val="21"/>
        </w:rPr>
        <w:t xml:space="preserve"> IX</w:t>
      </w:r>
      <w:r>
        <w:rPr>
          <w:rFonts w:ascii="Arial" w:hAnsi="Arial" w:cs="Arial"/>
          <w:sz w:val="21"/>
          <w:szCs w:val="21"/>
        </w:rPr>
        <w:t xml:space="preserve"> y X</w:t>
      </w:r>
      <w:r w:rsidRPr="0068241A">
        <w:rPr>
          <w:rFonts w:ascii="Arial" w:hAnsi="Arial" w:cs="Arial"/>
          <w:sz w:val="21"/>
          <w:szCs w:val="21"/>
        </w:rPr>
        <w:t xml:space="preserve"> (DOGV núm. 8582</w:t>
      </w:r>
      <w:r>
        <w:rPr>
          <w:rFonts w:ascii="Arial" w:hAnsi="Arial" w:cs="Arial"/>
          <w:sz w:val="21"/>
          <w:szCs w:val="21"/>
        </w:rPr>
        <w:t xml:space="preserve"> de </w:t>
      </w:r>
      <w:r w:rsidRPr="0068241A">
        <w:rPr>
          <w:rFonts w:ascii="Arial" w:hAnsi="Arial" w:cs="Arial"/>
          <w:sz w:val="21"/>
          <w:szCs w:val="21"/>
        </w:rPr>
        <w:t>02.07.2019).</w:t>
      </w:r>
    </w:p>
    <w:p w14:paraId="4611EF28" w14:textId="5D32927D" w:rsidR="00AD6163" w:rsidRDefault="00AD6163" w:rsidP="00AD6163">
      <w:pPr>
        <w:pStyle w:val="Prrafodelista"/>
        <w:spacing w:after="240" w:line="276" w:lineRule="auto"/>
        <w:ind w:left="0"/>
        <w:contextualSpacing w:val="0"/>
        <w:jc w:val="both"/>
        <w:rPr>
          <w:rFonts w:ascii="Arial" w:hAnsi="Arial" w:cs="Arial"/>
          <w:sz w:val="21"/>
          <w:szCs w:val="21"/>
        </w:rPr>
      </w:pPr>
      <w:r w:rsidRPr="0068241A">
        <w:rPr>
          <w:rFonts w:ascii="Arial" w:hAnsi="Arial" w:cs="Arial"/>
          <w:sz w:val="21"/>
          <w:szCs w:val="21"/>
        </w:rPr>
        <w:t>Desde su creación, la Agencia ha desarrollado su estructura organizativa y económica en aplicación del marco normativo señalado, adaptando sus recursos humanos y económicos, con objeto de posibilitar el cumplimiento de sus fines y la actividad por sus unidades administrativas.</w:t>
      </w:r>
    </w:p>
    <w:p w14:paraId="516857B7" w14:textId="0C0DEFD3" w:rsidR="00AD6163" w:rsidRDefault="00AD6163" w:rsidP="00AD6163">
      <w:pPr>
        <w:pStyle w:val="Prrafodelista"/>
        <w:spacing w:after="240" w:line="276" w:lineRule="auto"/>
        <w:ind w:left="0"/>
        <w:contextualSpacing w:val="0"/>
        <w:jc w:val="both"/>
        <w:rPr>
          <w:rFonts w:ascii="Arial" w:hAnsi="Arial" w:cs="Arial"/>
          <w:sz w:val="21"/>
          <w:szCs w:val="21"/>
        </w:rPr>
      </w:pPr>
      <w:r>
        <w:rPr>
          <w:rFonts w:ascii="Arial" w:hAnsi="Arial" w:cs="Arial"/>
          <w:sz w:val="21"/>
          <w:szCs w:val="21"/>
        </w:rPr>
        <w:t xml:space="preserve">El artículo 23 de la </w:t>
      </w:r>
      <w:r w:rsidRPr="000F0EEE">
        <w:rPr>
          <w:rFonts w:ascii="Arial" w:hAnsi="Arial" w:cs="Arial"/>
          <w:sz w:val="21"/>
          <w:szCs w:val="21"/>
        </w:rPr>
        <w:t>citada Ley 11/2016</w:t>
      </w:r>
      <w:r>
        <w:rPr>
          <w:rFonts w:ascii="Arial" w:hAnsi="Arial" w:cs="Arial"/>
          <w:sz w:val="21"/>
          <w:szCs w:val="21"/>
        </w:rPr>
        <w:t xml:space="preserve"> recoge las funciones del </w:t>
      </w:r>
      <w:r w:rsidR="003D7843">
        <w:rPr>
          <w:rFonts w:ascii="Arial" w:hAnsi="Arial" w:cs="Arial"/>
          <w:sz w:val="21"/>
          <w:szCs w:val="21"/>
        </w:rPr>
        <w:t>Á</w:t>
      </w:r>
      <w:r w:rsidRPr="002C03AB">
        <w:rPr>
          <w:rFonts w:ascii="Arial" w:hAnsi="Arial" w:cs="Arial"/>
          <w:sz w:val="21"/>
          <w:szCs w:val="21"/>
        </w:rPr>
        <w:t>rea de Administración, Recursos Humanos y Gestión Económica</w:t>
      </w:r>
      <w:r>
        <w:rPr>
          <w:rFonts w:ascii="Arial" w:hAnsi="Arial" w:cs="Arial"/>
          <w:sz w:val="21"/>
          <w:szCs w:val="21"/>
        </w:rPr>
        <w:t>. Son las siguientes:</w:t>
      </w:r>
    </w:p>
    <w:p w14:paraId="502BCE1D" w14:textId="4E2EE5EB" w:rsidR="00AD6163" w:rsidRDefault="00AD6163" w:rsidP="00636FA2">
      <w:pPr>
        <w:pStyle w:val="Prrafodelista"/>
        <w:numPr>
          <w:ilvl w:val="1"/>
          <w:numId w:val="183"/>
        </w:numPr>
        <w:spacing w:after="240" w:line="276" w:lineRule="auto"/>
        <w:ind w:hanging="357"/>
        <w:contextualSpacing w:val="0"/>
        <w:jc w:val="both"/>
        <w:rPr>
          <w:rFonts w:ascii="Arial" w:hAnsi="Arial" w:cs="Arial"/>
          <w:sz w:val="21"/>
          <w:szCs w:val="21"/>
        </w:rPr>
      </w:pPr>
      <w:r w:rsidRPr="002C03AB">
        <w:rPr>
          <w:rFonts w:ascii="Arial" w:hAnsi="Arial" w:cs="Arial"/>
          <w:sz w:val="21"/>
          <w:szCs w:val="21"/>
        </w:rPr>
        <w:t>Dirigir, coordinar y supervisar el funcionamiento y la organización de las unidades</w:t>
      </w:r>
      <w:r>
        <w:rPr>
          <w:rFonts w:ascii="Arial" w:hAnsi="Arial" w:cs="Arial"/>
          <w:sz w:val="21"/>
          <w:szCs w:val="21"/>
        </w:rPr>
        <w:t xml:space="preserve"> </w:t>
      </w:r>
      <w:r w:rsidRPr="002C03AB">
        <w:rPr>
          <w:rFonts w:ascii="Arial" w:hAnsi="Arial" w:cs="Arial"/>
          <w:sz w:val="21"/>
          <w:szCs w:val="21"/>
        </w:rPr>
        <w:t>dependientes.</w:t>
      </w:r>
    </w:p>
    <w:p w14:paraId="3B8F1783" w14:textId="0E9FBB3D" w:rsidR="00AD6163" w:rsidRDefault="00AD6163" w:rsidP="00636FA2">
      <w:pPr>
        <w:pStyle w:val="Prrafodelista"/>
        <w:numPr>
          <w:ilvl w:val="1"/>
          <w:numId w:val="183"/>
        </w:numPr>
        <w:spacing w:after="240" w:line="276" w:lineRule="auto"/>
        <w:ind w:left="709" w:hanging="357"/>
        <w:contextualSpacing w:val="0"/>
        <w:jc w:val="both"/>
        <w:rPr>
          <w:rFonts w:ascii="Arial" w:hAnsi="Arial" w:cs="Arial"/>
          <w:sz w:val="21"/>
          <w:szCs w:val="21"/>
        </w:rPr>
      </w:pPr>
      <w:r w:rsidRPr="0076534B">
        <w:rPr>
          <w:rFonts w:ascii="Arial" w:hAnsi="Arial" w:cs="Arial"/>
          <w:sz w:val="21"/>
          <w:szCs w:val="21"/>
        </w:rPr>
        <w:t xml:space="preserve">Ejecutar las tareas de administración y gestión de los recursos humanos y materiales, de los servicios generales, de los bienes y de la contratación administrativa de la Agencia </w:t>
      </w:r>
    </w:p>
    <w:p w14:paraId="7B85C26B" w14:textId="3C64EBDE" w:rsidR="00AD6163" w:rsidRDefault="00AD6163" w:rsidP="00636FA2">
      <w:pPr>
        <w:pStyle w:val="Prrafodelista"/>
        <w:numPr>
          <w:ilvl w:val="1"/>
          <w:numId w:val="183"/>
        </w:numPr>
        <w:spacing w:after="240" w:line="276" w:lineRule="auto"/>
        <w:ind w:left="709" w:hanging="357"/>
        <w:contextualSpacing w:val="0"/>
        <w:jc w:val="both"/>
        <w:rPr>
          <w:rFonts w:ascii="Arial" w:hAnsi="Arial" w:cs="Arial"/>
          <w:sz w:val="21"/>
          <w:szCs w:val="21"/>
        </w:rPr>
      </w:pPr>
      <w:r w:rsidRPr="0076534B">
        <w:rPr>
          <w:rFonts w:ascii="Arial" w:hAnsi="Arial" w:cs="Arial"/>
          <w:sz w:val="21"/>
          <w:szCs w:val="21"/>
        </w:rPr>
        <w:t>Preparar, tramitar y hacer seguimiento de los procesos de provisión de puestos de trabajo.</w:t>
      </w:r>
    </w:p>
    <w:p w14:paraId="55808E29" w14:textId="625FBD7B" w:rsidR="00AD6163" w:rsidRDefault="00AD6163" w:rsidP="00636FA2">
      <w:pPr>
        <w:pStyle w:val="Prrafodelista"/>
        <w:numPr>
          <w:ilvl w:val="1"/>
          <w:numId w:val="183"/>
        </w:numPr>
        <w:spacing w:after="240" w:line="276" w:lineRule="auto"/>
        <w:ind w:left="709" w:hanging="357"/>
        <w:contextualSpacing w:val="0"/>
        <w:jc w:val="both"/>
        <w:rPr>
          <w:rFonts w:ascii="Arial" w:hAnsi="Arial" w:cs="Arial"/>
          <w:sz w:val="21"/>
          <w:szCs w:val="21"/>
        </w:rPr>
      </w:pPr>
      <w:r w:rsidRPr="0076534B">
        <w:rPr>
          <w:rFonts w:ascii="Arial" w:hAnsi="Arial" w:cs="Arial"/>
          <w:sz w:val="21"/>
          <w:szCs w:val="21"/>
        </w:rPr>
        <w:t>Elaborar, preparar y gestionar la nómina del personal de la Agencia.</w:t>
      </w:r>
    </w:p>
    <w:p w14:paraId="3FDAAE82" w14:textId="2240D0B8" w:rsidR="00AD6163" w:rsidRDefault="00AD6163" w:rsidP="00636FA2">
      <w:pPr>
        <w:pStyle w:val="Prrafodelista"/>
        <w:numPr>
          <w:ilvl w:val="1"/>
          <w:numId w:val="183"/>
        </w:numPr>
        <w:spacing w:after="240" w:line="276" w:lineRule="auto"/>
        <w:ind w:left="709" w:hanging="357"/>
        <w:contextualSpacing w:val="0"/>
        <w:jc w:val="both"/>
        <w:rPr>
          <w:rFonts w:ascii="Arial" w:hAnsi="Arial" w:cs="Arial"/>
          <w:sz w:val="21"/>
          <w:szCs w:val="21"/>
        </w:rPr>
      </w:pPr>
      <w:r w:rsidRPr="0076534B">
        <w:rPr>
          <w:rFonts w:ascii="Arial" w:hAnsi="Arial" w:cs="Arial"/>
          <w:sz w:val="21"/>
          <w:szCs w:val="21"/>
        </w:rPr>
        <w:t>Elaborar la propuesta de anteproyecto de presupuesto de la Agencia, y, en su caso, sus modificaciones.</w:t>
      </w:r>
    </w:p>
    <w:p w14:paraId="4365957B" w14:textId="661E35F6" w:rsidR="00AD6163" w:rsidRDefault="00AD6163" w:rsidP="00636FA2">
      <w:pPr>
        <w:pStyle w:val="Prrafodelista"/>
        <w:numPr>
          <w:ilvl w:val="1"/>
          <w:numId w:val="183"/>
        </w:numPr>
        <w:spacing w:after="240" w:line="276" w:lineRule="auto"/>
        <w:ind w:left="709" w:hanging="357"/>
        <w:contextualSpacing w:val="0"/>
        <w:jc w:val="both"/>
        <w:rPr>
          <w:rFonts w:ascii="Arial" w:hAnsi="Arial" w:cs="Arial"/>
          <w:sz w:val="21"/>
          <w:szCs w:val="21"/>
        </w:rPr>
      </w:pPr>
      <w:r w:rsidRPr="0076534B">
        <w:rPr>
          <w:rFonts w:ascii="Arial" w:hAnsi="Arial" w:cs="Arial"/>
          <w:sz w:val="21"/>
          <w:szCs w:val="21"/>
        </w:rPr>
        <w:t>Dirigir la gestión económica y contable de la Agencia, tramitando los correspondientes documentos administrativos.</w:t>
      </w:r>
    </w:p>
    <w:p w14:paraId="2B246ADF" w14:textId="5114B369" w:rsidR="00AD6163" w:rsidRDefault="00AD6163" w:rsidP="00636FA2">
      <w:pPr>
        <w:pStyle w:val="Prrafodelista"/>
        <w:numPr>
          <w:ilvl w:val="1"/>
          <w:numId w:val="183"/>
        </w:numPr>
        <w:spacing w:after="240" w:line="276" w:lineRule="auto"/>
        <w:ind w:left="709" w:hanging="357"/>
        <w:contextualSpacing w:val="0"/>
        <w:jc w:val="both"/>
        <w:rPr>
          <w:rFonts w:ascii="Arial" w:hAnsi="Arial" w:cs="Arial"/>
          <w:sz w:val="21"/>
          <w:szCs w:val="21"/>
        </w:rPr>
      </w:pPr>
      <w:r w:rsidRPr="0076534B">
        <w:rPr>
          <w:rFonts w:ascii="Arial" w:hAnsi="Arial" w:cs="Arial"/>
          <w:sz w:val="21"/>
          <w:szCs w:val="21"/>
        </w:rPr>
        <w:t>Preparar la liquidación presupuestaria y formular las cuentas anuales.</w:t>
      </w:r>
    </w:p>
    <w:p w14:paraId="2F24C906" w14:textId="322FA8D7" w:rsidR="00AD6163" w:rsidRDefault="00AD6163" w:rsidP="00636FA2">
      <w:pPr>
        <w:pStyle w:val="Prrafodelista"/>
        <w:numPr>
          <w:ilvl w:val="1"/>
          <w:numId w:val="183"/>
        </w:numPr>
        <w:spacing w:after="240" w:line="276" w:lineRule="auto"/>
        <w:ind w:left="709" w:hanging="357"/>
        <w:contextualSpacing w:val="0"/>
        <w:jc w:val="both"/>
        <w:rPr>
          <w:rFonts w:ascii="Arial" w:hAnsi="Arial" w:cs="Arial"/>
          <w:sz w:val="21"/>
          <w:szCs w:val="21"/>
        </w:rPr>
      </w:pPr>
      <w:r w:rsidRPr="0076534B">
        <w:rPr>
          <w:rFonts w:ascii="Arial" w:hAnsi="Arial" w:cs="Arial"/>
          <w:sz w:val="21"/>
          <w:szCs w:val="21"/>
        </w:rPr>
        <w:t>Gestionar la tesorería y administrar los pagos e ingresos.</w:t>
      </w:r>
    </w:p>
    <w:p w14:paraId="3140C71E" w14:textId="61CC2612" w:rsidR="00AD6163" w:rsidRDefault="00AD6163" w:rsidP="00636FA2">
      <w:pPr>
        <w:pStyle w:val="Prrafodelista"/>
        <w:numPr>
          <w:ilvl w:val="1"/>
          <w:numId w:val="183"/>
        </w:numPr>
        <w:spacing w:after="240" w:line="276" w:lineRule="auto"/>
        <w:ind w:left="709" w:hanging="357"/>
        <w:contextualSpacing w:val="0"/>
        <w:jc w:val="both"/>
        <w:rPr>
          <w:rFonts w:ascii="Arial" w:hAnsi="Arial" w:cs="Arial"/>
          <w:sz w:val="21"/>
          <w:szCs w:val="21"/>
        </w:rPr>
      </w:pPr>
      <w:r w:rsidRPr="0076534B">
        <w:rPr>
          <w:rFonts w:ascii="Arial" w:hAnsi="Arial" w:cs="Arial"/>
          <w:sz w:val="21"/>
          <w:szCs w:val="21"/>
        </w:rPr>
        <w:t>Realizar la programación, la tramitación, el seguimiento y el control de las distintas fases de ejecución de la contratación de la Agencia.</w:t>
      </w:r>
    </w:p>
    <w:p w14:paraId="1D239EDF" w14:textId="28A648E6" w:rsidR="00AD6163" w:rsidRDefault="00AD6163" w:rsidP="00636FA2">
      <w:pPr>
        <w:pStyle w:val="Prrafodelista"/>
        <w:numPr>
          <w:ilvl w:val="1"/>
          <w:numId w:val="183"/>
        </w:numPr>
        <w:spacing w:after="240" w:line="276" w:lineRule="auto"/>
        <w:ind w:left="709" w:hanging="357"/>
        <w:contextualSpacing w:val="0"/>
        <w:jc w:val="both"/>
        <w:rPr>
          <w:rFonts w:ascii="Arial" w:hAnsi="Arial" w:cs="Arial"/>
          <w:sz w:val="21"/>
          <w:szCs w:val="21"/>
        </w:rPr>
      </w:pPr>
      <w:r w:rsidRPr="0076534B">
        <w:rPr>
          <w:rFonts w:ascii="Arial" w:hAnsi="Arial" w:cs="Arial"/>
          <w:sz w:val="21"/>
          <w:szCs w:val="21"/>
        </w:rPr>
        <w:t>Dirigir y coordinar los servicios, instalaciones y uso de locales de la Agencia, llevando e inventario de bienes y derechos patrimoniales de la Agencia.</w:t>
      </w:r>
    </w:p>
    <w:p w14:paraId="7A9283BC" w14:textId="7149C379" w:rsidR="00AD6163" w:rsidRDefault="00AD6163" w:rsidP="00636FA2">
      <w:pPr>
        <w:pStyle w:val="Prrafodelista"/>
        <w:numPr>
          <w:ilvl w:val="1"/>
          <w:numId w:val="183"/>
        </w:numPr>
        <w:spacing w:after="240" w:line="276" w:lineRule="auto"/>
        <w:ind w:left="709" w:hanging="357"/>
        <w:contextualSpacing w:val="0"/>
        <w:jc w:val="both"/>
        <w:rPr>
          <w:rFonts w:ascii="Arial" w:hAnsi="Arial" w:cs="Arial"/>
          <w:sz w:val="21"/>
          <w:szCs w:val="21"/>
        </w:rPr>
      </w:pPr>
      <w:r w:rsidRPr="0076534B">
        <w:rPr>
          <w:rFonts w:ascii="Arial" w:hAnsi="Arial" w:cs="Arial"/>
          <w:sz w:val="21"/>
          <w:szCs w:val="21"/>
        </w:rPr>
        <w:t>Informar sobre los asuntos relativos al área y elaborar propuestas en relación con los asuntos que lo requieran.</w:t>
      </w:r>
    </w:p>
    <w:p w14:paraId="61D4C260" w14:textId="135886F4" w:rsidR="00AD6163" w:rsidRDefault="00AD6163" w:rsidP="00636FA2">
      <w:pPr>
        <w:pStyle w:val="Prrafodelista"/>
        <w:numPr>
          <w:ilvl w:val="1"/>
          <w:numId w:val="183"/>
        </w:numPr>
        <w:spacing w:after="240" w:line="276" w:lineRule="auto"/>
        <w:ind w:left="709" w:hanging="357"/>
        <w:contextualSpacing w:val="0"/>
        <w:jc w:val="both"/>
        <w:rPr>
          <w:rFonts w:ascii="Arial" w:hAnsi="Arial" w:cs="Arial"/>
          <w:sz w:val="21"/>
          <w:szCs w:val="21"/>
        </w:rPr>
      </w:pPr>
      <w:r w:rsidRPr="0076534B">
        <w:rPr>
          <w:rFonts w:ascii="Arial" w:hAnsi="Arial" w:cs="Arial"/>
          <w:sz w:val="21"/>
          <w:szCs w:val="21"/>
        </w:rPr>
        <w:t>Tramitar las publicaciones a los diarios oficiales correspondientes</w:t>
      </w:r>
    </w:p>
    <w:p w14:paraId="383386BA" w14:textId="37C5DD07" w:rsidR="007E246B" w:rsidRDefault="00AD6163" w:rsidP="00636FA2">
      <w:pPr>
        <w:pStyle w:val="Prrafodelista"/>
        <w:numPr>
          <w:ilvl w:val="1"/>
          <w:numId w:val="183"/>
        </w:numPr>
        <w:spacing w:after="240" w:line="276" w:lineRule="auto"/>
        <w:ind w:left="709" w:hanging="357"/>
        <w:contextualSpacing w:val="0"/>
        <w:jc w:val="both"/>
        <w:rPr>
          <w:rFonts w:ascii="Arial" w:hAnsi="Arial" w:cs="Arial"/>
          <w:sz w:val="21"/>
          <w:szCs w:val="21"/>
        </w:rPr>
      </w:pPr>
      <w:r w:rsidRPr="0076534B">
        <w:rPr>
          <w:rFonts w:ascii="Arial" w:hAnsi="Arial" w:cs="Arial"/>
          <w:sz w:val="21"/>
          <w:szCs w:val="21"/>
        </w:rPr>
        <w:t>Aquellas otras que se le asignen por el director o directora de la Agencia.</w:t>
      </w:r>
    </w:p>
    <w:p w14:paraId="3CBD36F3" w14:textId="2E4C73AE" w:rsidR="00636FA2" w:rsidRDefault="00636FA2" w:rsidP="00636FA2">
      <w:pPr>
        <w:spacing w:after="240" w:line="276" w:lineRule="auto"/>
        <w:jc w:val="both"/>
        <w:rPr>
          <w:rFonts w:ascii="Arial" w:hAnsi="Arial" w:cs="Arial"/>
          <w:sz w:val="21"/>
          <w:szCs w:val="21"/>
        </w:rPr>
      </w:pPr>
    </w:p>
    <w:p w14:paraId="45FEA7B0" w14:textId="5573DDBB" w:rsidR="00636FA2" w:rsidRDefault="00636FA2" w:rsidP="00636FA2">
      <w:pPr>
        <w:spacing w:after="240" w:line="276" w:lineRule="auto"/>
        <w:jc w:val="both"/>
        <w:rPr>
          <w:rFonts w:ascii="Arial" w:hAnsi="Arial" w:cs="Arial"/>
          <w:sz w:val="21"/>
          <w:szCs w:val="21"/>
        </w:rPr>
      </w:pPr>
    </w:p>
    <w:p w14:paraId="590E441F" w14:textId="77777777" w:rsidR="00636FA2" w:rsidRPr="00636FA2" w:rsidRDefault="00636FA2" w:rsidP="00636FA2">
      <w:pPr>
        <w:spacing w:after="240" w:line="276" w:lineRule="auto"/>
        <w:jc w:val="both"/>
        <w:rPr>
          <w:rFonts w:ascii="Arial" w:hAnsi="Arial" w:cs="Arial"/>
          <w:sz w:val="21"/>
          <w:szCs w:val="21"/>
        </w:rPr>
      </w:pPr>
    </w:p>
    <w:p w14:paraId="06FB70EA" w14:textId="5A7C76DF" w:rsidR="00281B23" w:rsidRPr="00281B23" w:rsidRDefault="00281B23" w:rsidP="0008123D">
      <w:pPr>
        <w:pStyle w:val="Ttulo2"/>
        <w:numPr>
          <w:ilvl w:val="1"/>
          <w:numId w:val="21"/>
        </w:numPr>
        <w:spacing w:before="360" w:after="240" w:line="276" w:lineRule="auto"/>
        <w:ind w:left="851" w:hanging="851"/>
        <w:rPr>
          <w:rFonts w:ascii="Arial" w:hAnsi="Arial" w:cs="Arial"/>
          <w:b/>
          <w:bCs/>
          <w:color w:val="9D2235" w:themeColor="accent1"/>
        </w:rPr>
      </w:pPr>
      <w:bookmarkStart w:id="543" w:name="_Toc99107125"/>
      <w:r w:rsidRPr="00281B23">
        <w:rPr>
          <w:rFonts w:ascii="Arial" w:hAnsi="Arial" w:cs="Arial"/>
          <w:b/>
          <w:bCs/>
          <w:color w:val="9D2235" w:themeColor="accent1"/>
        </w:rPr>
        <w:t>Estructura organizativa de la AVAF</w:t>
      </w:r>
      <w:bookmarkEnd w:id="543"/>
    </w:p>
    <w:p w14:paraId="14953BBC" w14:textId="7C8ED99B" w:rsidR="003B28A6" w:rsidRPr="00987E03" w:rsidRDefault="00281B23" w:rsidP="00C23F9B">
      <w:pPr>
        <w:pStyle w:val="Prrafodelista"/>
        <w:keepNext/>
        <w:numPr>
          <w:ilvl w:val="2"/>
          <w:numId w:val="192"/>
        </w:numPr>
        <w:spacing w:before="360" w:after="240" w:line="276" w:lineRule="auto"/>
        <w:ind w:left="851" w:hanging="851"/>
        <w:contextualSpacing w:val="0"/>
        <w:jc w:val="both"/>
        <w:outlineLvl w:val="2"/>
        <w:rPr>
          <w:rFonts w:ascii="Arial" w:eastAsia="Times New Roman" w:hAnsi="Arial" w:cs="Arial"/>
          <w:b/>
          <w:bCs/>
          <w:color w:val="9D2235" w:themeColor="accent1"/>
          <w:sz w:val="28"/>
          <w:szCs w:val="28"/>
          <w:lang w:eastAsia="es-ES"/>
        </w:rPr>
      </w:pPr>
      <w:bookmarkStart w:id="544" w:name="_Toc99107126"/>
      <w:r w:rsidRPr="00987E03">
        <w:rPr>
          <w:rFonts w:ascii="Arial" w:eastAsia="Times New Roman" w:hAnsi="Arial" w:cs="Arial"/>
          <w:b/>
          <w:bCs/>
          <w:color w:val="9D2235" w:themeColor="accent1"/>
          <w:sz w:val="28"/>
          <w:szCs w:val="28"/>
          <w:lang w:eastAsia="es-ES"/>
        </w:rPr>
        <w:t>Organigrama de la AVAF</w:t>
      </w:r>
      <w:bookmarkEnd w:id="544"/>
    </w:p>
    <w:p w14:paraId="562B7115" w14:textId="77777777" w:rsidR="00636FA2" w:rsidRDefault="00636FA2" w:rsidP="00636FA2">
      <w:pPr>
        <w:keepNext/>
        <w:spacing w:after="240" w:line="276" w:lineRule="auto"/>
        <w:jc w:val="center"/>
      </w:pPr>
      <w:r w:rsidRPr="00636FA2">
        <w:rPr>
          <w:rFonts w:ascii="Arial" w:eastAsia="Times New Roman" w:hAnsi="Arial" w:cs="Arial"/>
          <w:noProof/>
          <w:sz w:val="21"/>
          <w:szCs w:val="21"/>
        </w:rPr>
        <w:drawing>
          <wp:inline distT="0" distB="0" distL="0" distR="0" wp14:anchorId="7BAACE1D" wp14:editId="6A202FA7">
            <wp:extent cx="5400040" cy="327684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5400040" cy="3276840"/>
                    </a:xfrm>
                    <a:prstGeom prst="rect">
                      <a:avLst/>
                    </a:prstGeom>
                    <a:noFill/>
                    <a:ln>
                      <a:noFill/>
                    </a:ln>
                  </pic:spPr>
                </pic:pic>
              </a:graphicData>
            </a:graphic>
          </wp:inline>
        </w:drawing>
      </w:r>
    </w:p>
    <w:p w14:paraId="72DF6A00" w14:textId="744DA731" w:rsidR="00C63EB4" w:rsidRPr="00636FA2" w:rsidRDefault="00636FA2" w:rsidP="00636FA2">
      <w:pPr>
        <w:pStyle w:val="Descripcin"/>
        <w:jc w:val="center"/>
        <w:rPr>
          <w:rFonts w:ascii="Arial" w:eastAsia="Droid Sans Fallback" w:hAnsi="Arial" w:cs="Arial"/>
          <w:smallCaps w:val="0"/>
          <w:kern w:val="3"/>
          <w:sz w:val="18"/>
          <w:szCs w:val="18"/>
          <w:lang w:eastAsia="zh-CN" w:bidi="hi-IN"/>
        </w:rPr>
      </w:pPr>
      <w:bookmarkStart w:id="545" w:name="_Toc99099799"/>
      <w:r w:rsidRPr="00636FA2">
        <w:rPr>
          <w:rFonts w:ascii="Arial" w:hAnsi="Arial" w:cs="Arial"/>
          <w:smallCaps w:val="0"/>
          <w:color w:val="9D2235" w:themeColor="accent1"/>
          <w:sz w:val="18"/>
          <w:szCs w:val="18"/>
        </w:rPr>
        <w:t xml:space="preserve">Ilustración </w:t>
      </w:r>
      <w:r w:rsidRPr="00636FA2">
        <w:rPr>
          <w:rFonts w:ascii="Arial" w:hAnsi="Arial" w:cs="Arial"/>
          <w:smallCaps w:val="0"/>
          <w:color w:val="9D2235" w:themeColor="accent1"/>
          <w:sz w:val="18"/>
          <w:szCs w:val="18"/>
        </w:rPr>
        <w:fldChar w:fldCharType="begin" w:fldLock="1"/>
      </w:r>
      <w:r w:rsidRPr="00636FA2">
        <w:rPr>
          <w:rFonts w:ascii="Arial" w:hAnsi="Arial" w:cs="Arial"/>
          <w:smallCaps w:val="0"/>
          <w:color w:val="9D2235" w:themeColor="accent1"/>
          <w:sz w:val="18"/>
          <w:szCs w:val="18"/>
        </w:rPr>
        <w:instrText xml:space="preserve"> SEQ Ilustración \* ARABIC </w:instrText>
      </w:r>
      <w:r w:rsidRPr="00636FA2">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11</w:t>
      </w:r>
      <w:r w:rsidRPr="00636FA2">
        <w:rPr>
          <w:rFonts w:ascii="Arial" w:hAnsi="Arial" w:cs="Arial"/>
          <w:smallCaps w:val="0"/>
          <w:color w:val="9D2235" w:themeColor="accent1"/>
          <w:sz w:val="18"/>
          <w:szCs w:val="18"/>
        </w:rPr>
        <w:fldChar w:fldCharType="end"/>
      </w:r>
      <w:r w:rsidRPr="00636FA2">
        <w:rPr>
          <w:rFonts w:ascii="Arial" w:hAnsi="Arial" w:cs="Arial"/>
          <w:smallCaps w:val="0"/>
          <w:color w:val="9D2235" w:themeColor="accent1"/>
          <w:sz w:val="18"/>
          <w:szCs w:val="18"/>
        </w:rPr>
        <w:t xml:space="preserve">. </w:t>
      </w:r>
      <w:r w:rsidRPr="00636FA2">
        <w:rPr>
          <w:rFonts w:ascii="Arial" w:hAnsi="Arial" w:cs="Arial"/>
          <w:smallCaps w:val="0"/>
          <w:sz w:val="18"/>
          <w:szCs w:val="18"/>
        </w:rPr>
        <w:t xml:space="preserve">Organigrama de la AVAF </w:t>
      </w:r>
      <w:hyperlink r:id="rId532" w:history="1">
        <w:r w:rsidRPr="002677DA">
          <w:rPr>
            <w:rFonts w:ascii="Arial" w:eastAsia="Times New Roman" w:hAnsi="Arial" w:cs="Arial"/>
            <w:b w:val="0"/>
            <w:bCs w:val="0"/>
            <w:smallCaps w:val="0"/>
            <w:color w:val="000080"/>
            <w:sz w:val="18"/>
            <w:szCs w:val="18"/>
            <w:u w:val="single"/>
          </w:rPr>
          <w:t>https://www.antifraucv.es/es/la-agencia/organigrama</w:t>
        </w:r>
        <w:bookmarkEnd w:id="545"/>
      </w:hyperlink>
      <w:r w:rsidRPr="00636FA2">
        <w:rPr>
          <w:rFonts w:ascii="Arial" w:hAnsi="Arial" w:cs="Arial"/>
          <w:smallCaps w:val="0"/>
          <w:sz w:val="18"/>
          <w:szCs w:val="18"/>
        </w:rPr>
        <w:t xml:space="preserve"> </w:t>
      </w:r>
    </w:p>
    <w:p w14:paraId="594E3615" w14:textId="2068AFF2" w:rsidR="00636FA2" w:rsidRPr="00636FA2" w:rsidRDefault="00636FA2" w:rsidP="00C23F9B">
      <w:pPr>
        <w:pStyle w:val="Prrafodelista"/>
        <w:keepNext/>
        <w:numPr>
          <w:ilvl w:val="2"/>
          <w:numId w:val="193"/>
        </w:numPr>
        <w:spacing w:before="360" w:after="240" w:line="276" w:lineRule="auto"/>
        <w:ind w:left="851" w:hanging="851"/>
        <w:contextualSpacing w:val="0"/>
        <w:jc w:val="both"/>
        <w:outlineLvl w:val="2"/>
        <w:rPr>
          <w:rFonts w:ascii="Arial" w:eastAsia="Times New Roman" w:hAnsi="Arial" w:cs="Arial"/>
          <w:b/>
          <w:bCs/>
          <w:color w:val="9D2235" w:themeColor="accent1"/>
          <w:sz w:val="28"/>
          <w:szCs w:val="28"/>
          <w:lang w:eastAsia="es-ES"/>
        </w:rPr>
      </w:pPr>
      <w:bookmarkStart w:id="546" w:name="_Toc99107127"/>
      <w:r w:rsidRPr="00636FA2">
        <w:rPr>
          <w:rFonts w:ascii="Arial" w:eastAsia="Times New Roman" w:hAnsi="Arial" w:cs="Arial"/>
          <w:b/>
          <w:bCs/>
          <w:color w:val="9D2235" w:themeColor="accent1"/>
          <w:sz w:val="28"/>
          <w:szCs w:val="28"/>
          <w:lang w:eastAsia="es-ES"/>
        </w:rPr>
        <w:t>Relación de Puestos de Trabajo de la A</w:t>
      </w:r>
      <w:r w:rsidR="00263D20">
        <w:rPr>
          <w:rFonts w:ascii="Arial" w:eastAsia="Times New Roman" w:hAnsi="Arial" w:cs="Arial"/>
          <w:b/>
          <w:bCs/>
          <w:color w:val="9D2235" w:themeColor="accent1"/>
          <w:sz w:val="28"/>
          <w:szCs w:val="28"/>
          <w:lang w:eastAsia="es-ES"/>
        </w:rPr>
        <w:t>VAF</w:t>
      </w:r>
      <w:bookmarkEnd w:id="546"/>
    </w:p>
    <w:p w14:paraId="7A9B01E3" w14:textId="3935066C" w:rsidR="00636FA2" w:rsidRPr="00636FA2" w:rsidRDefault="00636FA2" w:rsidP="00636FA2">
      <w:pPr>
        <w:spacing w:after="240" w:line="276" w:lineRule="auto"/>
        <w:jc w:val="both"/>
        <w:rPr>
          <w:rFonts w:ascii="Arial" w:eastAsia="Droid Sans Fallback" w:hAnsi="Arial" w:cs="Arial"/>
          <w:kern w:val="3"/>
          <w:sz w:val="21"/>
          <w:szCs w:val="21"/>
          <w:lang w:eastAsia="zh-CN" w:bidi="hi-IN"/>
        </w:rPr>
      </w:pPr>
      <w:r w:rsidRPr="00636FA2">
        <w:rPr>
          <w:rFonts w:ascii="Arial" w:eastAsia="Droid Sans Fallback" w:hAnsi="Arial" w:cs="Arial"/>
          <w:kern w:val="3"/>
          <w:sz w:val="21"/>
          <w:szCs w:val="21"/>
          <w:lang w:eastAsia="zh-CN" w:bidi="hi-IN"/>
        </w:rPr>
        <w:t xml:space="preserve">La Relación de Puestos de Trabajo (en adelante RPT), aprobada por Resolución de 19 de agosto de 2019, del director de la Agencia (DOGV núm. 8624 de 30.8.2019), que fue modificada por las Resoluciones núm. 93/2020, de 8 de abril (DOGV núm. 8789 de 15.4.2020), núm. 610/2020, de 11 de diciembre y núm. 630/2020, de 16 de diciembre (DOGV núm. 8985 de 29.12.2020); así como el presupuesto de la Agencia aprobado mediante la Ley 4/2020, de 30 de diciembre, de presupuestos de la Generalitat para el ejercicio 2021, constituyen la herramienta y soporte económico que permiten el funcionamiento, la organización, racionalización y ordenación de su personal funcionario, por medio de los cuales la Agencia desenvuelve su acción en orden al cumplimiento de sus fines. </w:t>
      </w:r>
    </w:p>
    <w:p w14:paraId="6549F136" w14:textId="77777777" w:rsidR="00636FA2" w:rsidRPr="00636FA2" w:rsidRDefault="00636FA2" w:rsidP="00636FA2">
      <w:pPr>
        <w:spacing w:after="120" w:line="276" w:lineRule="auto"/>
        <w:jc w:val="both"/>
        <w:rPr>
          <w:rFonts w:ascii="Arial" w:eastAsia="Droid Sans Fallback" w:hAnsi="Arial" w:cs="Arial"/>
          <w:kern w:val="3"/>
          <w:sz w:val="21"/>
          <w:szCs w:val="21"/>
          <w:lang w:eastAsia="zh-CN" w:bidi="hi-IN"/>
        </w:rPr>
      </w:pPr>
      <w:r w:rsidRPr="00636FA2">
        <w:rPr>
          <w:rFonts w:ascii="Arial" w:eastAsia="Droid Sans Fallback" w:hAnsi="Arial" w:cs="Arial"/>
          <w:kern w:val="3"/>
          <w:sz w:val="21"/>
          <w:szCs w:val="21"/>
          <w:lang w:eastAsia="zh-CN" w:bidi="hi-IN"/>
        </w:rPr>
        <w:t>La citada RPT de la Agencia puede ser objeto de consulta en:</w:t>
      </w:r>
    </w:p>
    <w:p w14:paraId="60B79DD9" w14:textId="77777777" w:rsidR="00636FA2" w:rsidRPr="00636FA2" w:rsidRDefault="00AF48E6" w:rsidP="00636FA2">
      <w:pPr>
        <w:spacing w:after="240" w:line="276" w:lineRule="auto"/>
        <w:contextualSpacing/>
        <w:jc w:val="both"/>
        <w:rPr>
          <w:rFonts w:ascii="Arial" w:eastAsia="Droid Sans Fallback" w:hAnsi="Arial" w:cs="Arial"/>
          <w:kern w:val="3"/>
          <w:sz w:val="21"/>
          <w:szCs w:val="21"/>
          <w:lang w:eastAsia="zh-CN" w:bidi="hi-IN"/>
        </w:rPr>
      </w:pPr>
      <w:hyperlink r:id="rId533">
        <w:r w:rsidR="00636FA2" w:rsidRPr="00636FA2">
          <w:rPr>
            <w:rStyle w:val="Hipervnculo"/>
            <w:rFonts w:ascii="Arial" w:eastAsia="Droid Sans Fallback" w:hAnsi="Arial" w:cs="Arial"/>
            <w:kern w:val="3"/>
            <w:sz w:val="21"/>
            <w:szCs w:val="21"/>
            <w:lang w:eastAsia="zh-CN" w:bidi="hi-IN"/>
          </w:rPr>
          <w:t>https://www.antifraucv.es/wp-content/uploads/2020/12/2020_12_29_-DOGV8985.pdf</w:t>
        </w:r>
      </w:hyperlink>
      <w:r w:rsidR="00636FA2" w:rsidRPr="00636FA2">
        <w:rPr>
          <w:rFonts w:ascii="Arial" w:eastAsia="Droid Sans Fallback" w:hAnsi="Arial" w:cs="Arial"/>
          <w:kern w:val="3"/>
          <w:sz w:val="21"/>
          <w:szCs w:val="21"/>
          <w:lang w:eastAsia="zh-CN" w:bidi="hi-IN"/>
        </w:rPr>
        <w:t xml:space="preserve"> </w:t>
      </w:r>
    </w:p>
    <w:p w14:paraId="3A2BB86D" w14:textId="7F2F89FC" w:rsidR="00636FA2" w:rsidRDefault="00AF48E6" w:rsidP="00636FA2">
      <w:pPr>
        <w:spacing w:after="240" w:line="276" w:lineRule="auto"/>
        <w:jc w:val="both"/>
        <w:rPr>
          <w:rFonts w:ascii="Arial" w:eastAsia="Droid Sans Fallback" w:hAnsi="Arial" w:cs="Arial"/>
          <w:kern w:val="3"/>
          <w:sz w:val="21"/>
          <w:szCs w:val="21"/>
          <w:lang w:eastAsia="zh-CN" w:bidi="hi-IN"/>
        </w:rPr>
      </w:pPr>
      <w:hyperlink r:id="rId534">
        <w:r w:rsidR="00636FA2" w:rsidRPr="00636FA2">
          <w:rPr>
            <w:rStyle w:val="Hipervnculo"/>
            <w:rFonts w:ascii="Arial" w:eastAsia="Droid Sans Fallback" w:hAnsi="Arial" w:cs="Arial"/>
            <w:kern w:val="3"/>
            <w:sz w:val="21"/>
            <w:szCs w:val="21"/>
            <w:lang w:eastAsia="zh-CN" w:bidi="hi-IN"/>
          </w:rPr>
          <w:t>https://www.antifraucv.es/wp-content/uploads/2021/01/20_12_30_BOCV.pdf</w:t>
        </w:r>
      </w:hyperlink>
    </w:p>
    <w:p w14:paraId="065E5409" w14:textId="6BCA8128" w:rsidR="00636FA2" w:rsidRDefault="00636FA2" w:rsidP="00AD6163">
      <w:pPr>
        <w:spacing w:after="240" w:line="276" w:lineRule="auto"/>
        <w:jc w:val="both"/>
        <w:rPr>
          <w:rFonts w:ascii="Arial" w:eastAsia="Droid Sans Fallback" w:hAnsi="Arial" w:cs="Arial"/>
          <w:kern w:val="3"/>
          <w:sz w:val="21"/>
          <w:szCs w:val="21"/>
          <w:lang w:eastAsia="zh-CN" w:bidi="hi-IN"/>
        </w:rPr>
      </w:pPr>
    </w:p>
    <w:p w14:paraId="52C9DBF5" w14:textId="25082CBC" w:rsidR="00636FA2" w:rsidRDefault="00636FA2" w:rsidP="00AD6163">
      <w:pPr>
        <w:spacing w:after="240" w:line="276" w:lineRule="auto"/>
        <w:jc w:val="both"/>
        <w:rPr>
          <w:rFonts w:ascii="Arial" w:eastAsia="Droid Sans Fallback" w:hAnsi="Arial" w:cs="Arial"/>
          <w:kern w:val="3"/>
          <w:sz w:val="21"/>
          <w:szCs w:val="21"/>
          <w:lang w:eastAsia="zh-CN" w:bidi="hi-IN"/>
        </w:rPr>
      </w:pPr>
    </w:p>
    <w:p w14:paraId="5824B2FA" w14:textId="45532932" w:rsidR="00636FA2" w:rsidRDefault="00F543D5" w:rsidP="00636FA2">
      <w:pPr>
        <w:keepNext/>
        <w:spacing w:after="240" w:line="276" w:lineRule="auto"/>
      </w:pPr>
      <w:r>
        <w:rPr>
          <w:noProof/>
        </w:rPr>
        <w:drawing>
          <wp:inline distT="0" distB="0" distL="0" distR="0" wp14:anchorId="226030DE" wp14:editId="60C9CBFF">
            <wp:extent cx="5778500" cy="3117850"/>
            <wp:effectExtent l="0" t="0" r="0" b="6350"/>
            <wp:docPr id="45" name="Gráfico 45">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5"/>
              </a:graphicData>
            </a:graphic>
          </wp:inline>
        </w:drawing>
      </w:r>
    </w:p>
    <w:p w14:paraId="45A8DCE6" w14:textId="7412166D" w:rsidR="00636FA2" w:rsidRPr="00636FA2" w:rsidRDefault="00636FA2" w:rsidP="00D92018">
      <w:pPr>
        <w:pStyle w:val="Descripcin"/>
        <w:jc w:val="center"/>
        <w:rPr>
          <w:rFonts w:ascii="Arial" w:eastAsia="Droid Sans Fallback" w:hAnsi="Arial" w:cs="Arial"/>
          <w:smallCaps w:val="0"/>
          <w:kern w:val="3"/>
          <w:sz w:val="18"/>
          <w:szCs w:val="18"/>
          <w:lang w:eastAsia="zh-CN" w:bidi="hi-IN"/>
        </w:rPr>
      </w:pPr>
      <w:bookmarkStart w:id="547" w:name="_Toc99099834"/>
      <w:r w:rsidRPr="00636FA2">
        <w:rPr>
          <w:rFonts w:ascii="Arial" w:hAnsi="Arial" w:cs="Arial"/>
          <w:smallCaps w:val="0"/>
          <w:color w:val="9D2235" w:themeColor="accent1"/>
          <w:sz w:val="18"/>
          <w:szCs w:val="18"/>
        </w:rPr>
        <w:t xml:space="preserve">Gráfico </w:t>
      </w:r>
      <w:r w:rsidRPr="00636FA2">
        <w:rPr>
          <w:rFonts w:ascii="Arial" w:hAnsi="Arial" w:cs="Arial"/>
          <w:smallCaps w:val="0"/>
          <w:color w:val="9D2235" w:themeColor="accent1"/>
          <w:sz w:val="18"/>
          <w:szCs w:val="18"/>
        </w:rPr>
        <w:fldChar w:fldCharType="begin" w:fldLock="1"/>
      </w:r>
      <w:r w:rsidRPr="00636FA2">
        <w:rPr>
          <w:rFonts w:ascii="Arial" w:hAnsi="Arial" w:cs="Arial"/>
          <w:smallCaps w:val="0"/>
          <w:color w:val="9D2235" w:themeColor="accent1"/>
          <w:sz w:val="18"/>
          <w:szCs w:val="18"/>
        </w:rPr>
        <w:instrText xml:space="preserve"> SEQ Gráfico \* ARABIC </w:instrText>
      </w:r>
      <w:r w:rsidRPr="00636FA2">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35</w:t>
      </w:r>
      <w:r w:rsidRPr="00636FA2">
        <w:rPr>
          <w:rFonts w:ascii="Arial" w:hAnsi="Arial" w:cs="Arial"/>
          <w:smallCaps w:val="0"/>
          <w:color w:val="9D2235" w:themeColor="accent1"/>
          <w:sz w:val="18"/>
          <w:szCs w:val="18"/>
        </w:rPr>
        <w:fldChar w:fldCharType="end"/>
      </w:r>
      <w:r w:rsidRPr="00636FA2">
        <w:rPr>
          <w:rFonts w:ascii="Arial" w:hAnsi="Arial" w:cs="Arial"/>
          <w:smallCaps w:val="0"/>
          <w:color w:val="9D2235" w:themeColor="accent1"/>
          <w:sz w:val="18"/>
          <w:szCs w:val="18"/>
        </w:rPr>
        <w:t xml:space="preserve">. </w:t>
      </w:r>
      <w:r w:rsidRPr="00636FA2">
        <w:rPr>
          <w:rFonts w:ascii="Arial" w:hAnsi="Arial" w:cs="Arial"/>
          <w:smallCaps w:val="0"/>
          <w:sz w:val="18"/>
          <w:szCs w:val="18"/>
        </w:rPr>
        <w:t>Evolución del número de puestos de trabajo por unidad administrativa según la RPT</w:t>
      </w:r>
      <w:bookmarkEnd w:id="547"/>
    </w:p>
    <w:p w14:paraId="7E847DB1" w14:textId="297AEBFE" w:rsidR="00636FA2" w:rsidRDefault="00636FA2" w:rsidP="00AD6163">
      <w:pPr>
        <w:spacing w:after="240" w:line="276" w:lineRule="auto"/>
        <w:jc w:val="both"/>
        <w:rPr>
          <w:rFonts w:ascii="Arial" w:eastAsia="Droid Sans Fallback" w:hAnsi="Arial" w:cs="Arial"/>
          <w:kern w:val="3"/>
          <w:sz w:val="21"/>
          <w:szCs w:val="21"/>
          <w:lang w:eastAsia="zh-CN" w:bidi="hi-IN"/>
        </w:rPr>
      </w:pPr>
    </w:p>
    <w:p w14:paraId="6BBC3268" w14:textId="77777777" w:rsidR="00D92018" w:rsidRDefault="00D92018" w:rsidP="00AD6163">
      <w:pPr>
        <w:spacing w:after="240" w:line="276" w:lineRule="auto"/>
        <w:jc w:val="both"/>
        <w:rPr>
          <w:rFonts w:ascii="Arial" w:eastAsia="Droid Sans Fallback" w:hAnsi="Arial" w:cs="Arial"/>
          <w:kern w:val="3"/>
          <w:sz w:val="21"/>
          <w:szCs w:val="21"/>
          <w:lang w:eastAsia="zh-CN" w:bidi="hi-IN"/>
        </w:rPr>
      </w:pPr>
    </w:p>
    <w:p w14:paraId="32AD3C8C" w14:textId="74584E8B" w:rsidR="00D92018" w:rsidRDefault="00513197" w:rsidP="00D92018">
      <w:pPr>
        <w:keepNext/>
        <w:spacing w:after="240" w:line="276" w:lineRule="auto"/>
        <w:jc w:val="both"/>
      </w:pPr>
      <w:r>
        <w:rPr>
          <w:noProof/>
        </w:rPr>
        <w:drawing>
          <wp:inline distT="0" distB="0" distL="0" distR="0" wp14:anchorId="7ACA10FF" wp14:editId="125B1B0F">
            <wp:extent cx="5784850" cy="3162300"/>
            <wp:effectExtent l="0" t="0" r="6350" b="0"/>
            <wp:docPr id="75" name="Gráfico 75">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6"/>
              </a:graphicData>
            </a:graphic>
          </wp:inline>
        </w:drawing>
      </w:r>
    </w:p>
    <w:p w14:paraId="7D6138A4" w14:textId="6281EA5D" w:rsidR="00D92018" w:rsidRDefault="00D92018" w:rsidP="00D92018">
      <w:pPr>
        <w:pStyle w:val="Descripcin"/>
        <w:contextualSpacing/>
        <w:jc w:val="center"/>
        <w:rPr>
          <w:rFonts w:ascii="Arial" w:hAnsi="Arial" w:cs="Arial"/>
          <w:smallCaps w:val="0"/>
          <w:sz w:val="18"/>
          <w:szCs w:val="18"/>
        </w:rPr>
      </w:pPr>
      <w:bookmarkStart w:id="548" w:name="_Toc99099835"/>
      <w:r w:rsidRPr="00D92018">
        <w:rPr>
          <w:rFonts w:ascii="Arial" w:hAnsi="Arial" w:cs="Arial"/>
          <w:smallCaps w:val="0"/>
          <w:color w:val="9D2235" w:themeColor="accent1"/>
          <w:sz w:val="18"/>
          <w:szCs w:val="18"/>
        </w:rPr>
        <w:t xml:space="preserve">Gráfico </w:t>
      </w:r>
      <w:r w:rsidRPr="00D92018">
        <w:rPr>
          <w:rFonts w:ascii="Arial" w:hAnsi="Arial" w:cs="Arial"/>
          <w:smallCaps w:val="0"/>
          <w:color w:val="9D2235" w:themeColor="accent1"/>
          <w:sz w:val="18"/>
          <w:szCs w:val="18"/>
        </w:rPr>
        <w:fldChar w:fldCharType="begin" w:fldLock="1"/>
      </w:r>
      <w:r w:rsidRPr="00D92018">
        <w:rPr>
          <w:rFonts w:ascii="Arial" w:hAnsi="Arial" w:cs="Arial"/>
          <w:smallCaps w:val="0"/>
          <w:color w:val="9D2235" w:themeColor="accent1"/>
          <w:sz w:val="18"/>
          <w:szCs w:val="18"/>
        </w:rPr>
        <w:instrText xml:space="preserve"> SEQ Gráfico \* ARABIC </w:instrText>
      </w:r>
      <w:r w:rsidRPr="00D92018">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36</w:t>
      </w:r>
      <w:r w:rsidRPr="00D92018">
        <w:rPr>
          <w:rFonts w:ascii="Arial" w:hAnsi="Arial" w:cs="Arial"/>
          <w:smallCaps w:val="0"/>
          <w:color w:val="9D2235" w:themeColor="accent1"/>
          <w:sz w:val="18"/>
          <w:szCs w:val="18"/>
        </w:rPr>
        <w:fldChar w:fldCharType="end"/>
      </w:r>
      <w:r w:rsidRPr="00D92018">
        <w:rPr>
          <w:rFonts w:ascii="Arial" w:hAnsi="Arial" w:cs="Arial"/>
          <w:smallCaps w:val="0"/>
          <w:color w:val="9D2235" w:themeColor="accent1"/>
          <w:sz w:val="18"/>
          <w:szCs w:val="18"/>
        </w:rPr>
        <w:t xml:space="preserve">. </w:t>
      </w:r>
      <w:r w:rsidRPr="00D92018">
        <w:rPr>
          <w:rFonts w:ascii="Arial" w:hAnsi="Arial" w:cs="Arial"/>
          <w:smallCaps w:val="0"/>
          <w:sz w:val="18"/>
          <w:szCs w:val="18"/>
        </w:rPr>
        <w:t>Evolución del número de puestos de trabajo por unidad administrativa</w:t>
      </w:r>
      <w:bookmarkEnd w:id="548"/>
    </w:p>
    <w:p w14:paraId="3EC903F5" w14:textId="3669369F" w:rsidR="00636FA2" w:rsidRPr="00D92018" w:rsidRDefault="00D92018" w:rsidP="00D92018">
      <w:pPr>
        <w:pStyle w:val="Descripcin"/>
        <w:jc w:val="center"/>
        <w:rPr>
          <w:rFonts w:ascii="Arial" w:eastAsia="Droid Sans Fallback" w:hAnsi="Arial" w:cs="Arial"/>
          <w:smallCaps w:val="0"/>
          <w:kern w:val="3"/>
          <w:sz w:val="18"/>
          <w:szCs w:val="18"/>
          <w:lang w:eastAsia="zh-CN" w:bidi="hi-IN"/>
        </w:rPr>
      </w:pPr>
      <w:r w:rsidRPr="00D92018">
        <w:rPr>
          <w:rFonts w:ascii="Arial" w:hAnsi="Arial" w:cs="Arial"/>
          <w:smallCaps w:val="0"/>
          <w:sz w:val="18"/>
          <w:szCs w:val="18"/>
        </w:rPr>
        <w:t>ocupados a 31 de diciembre</w:t>
      </w:r>
    </w:p>
    <w:p w14:paraId="37090BDD" w14:textId="77777777" w:rsidR="00D92018" w:rsidRDefault="00D92018" w:rsidP="00D92018">
      <w:pPr>
        <w:spacing w:after="240" w:line="276" w:lineRule="auto"/>
        <w:jc w:val="both"/>
        <w:rPr>
          <w:rFonts w:ascii="Arial" w:eastAsia="Droid Sans Fallback" w:hAnsi="Arial" w:cs="Arial"/>
          <w:kern w:val="3"/>
          <w:sz w:val="21"/>
          <w:szCs w:val="21"/>
          <w:lang w:eastAsia="zh-CN" w:bidi="hi-IN"/>
        </w:rPr>
      </w:pPr>
    </w:p>
    <w:p w14:paraId="722D6F36" w14:textId="0460BCF1" w:rsidR="00D92018" w:rsidRPr="00D92018" w:rsidRDefault="00D92018" w:rsidP="00D92018">
      <w:pPr>
        <w:pStyle w:val="Ttulo2"/>
        <w:numPr>
          <w:ilvl w:val="1"/>
          <w:numId w:val="21"/>
        </w:numPr>
        <w:spacing w:before="360" w:after="240" w:line="276" w:lineRule="auto"/>
        <w:ind w:left="851" w:hanging="851"/>
        <w:contextualSpacing/>
        <w:rPr>
          <w:rFonts w:ascii="Arial" w:hAnsi="Arial" w:cs="Arial"/>
          <w:b/>
          <w:bCs/>
          <w:color w:val="9D2235" w:themeColor="accent1"/>
        </w:rPr>
      </w:pPr>
      <w:bookmarkStart w:id="549" w:name="_Toc99107128"/>
      <w:r w:rsidRPr="00D92018">
        <w:rPr>
          <w:rFonts w:ascii="Arial" w:hAnsi="Arial" w:cs="Arial"/>
          <w:b/>
          <w:bCs/>
          <w:color w:val="9D2235" w:themeColor="accent1"/>
        </w:rPr>
        <w:t xml:space="preserve">Gestión de </w:t>
      </w:r>
      <w:r w:rsidR="00263D20">
        <w:rPr>
          <w:rFonts w:ascii="Arial" w:hAnsi="Arial" w:cs="Arial"/>
          <w:b/>
          <w:bCs/>
          <w:color w:val="9D2235" w:themeColor="accent1"/>
        </w:rPr>
        <w:t>r</w:t>
      </w:r>
      <w:r w:rsidRPr="00D92018">
        <w:rPr>
          <w:rFonts w:ascii="Arial" w:hAnsi="Arial" w:cs="Arial"/>
          <w:b/>
          <w:bCs/>
          <w:color w:val="9D2235" w:themeColor="accent1"/>
        </w:rPr>
        <w:t xml:space="preserve">ecursos </w:t>
      </w:r>
      <w:r w:rsidR="00263D20">
        <w:rPr>
          <w:rFonts w:ascii="Arial" w:hAnsi="Arial" w:cs="Arial"/>
          <w:b/>
          <w:bCs/>
          <w:color w:val="9D2235" w:themeColor="accent1"/>
        </w:rPr>
        <w:t>h</w:t>
      </w:r>
      <w:r w:rsidRPr="00D92018">
        <w:rPr>
          <w:rFonts w:ascii="Arial" w:hAnsi="Arial" w:cs="Arial"/>
          <w:b/>
          <w:bCs/>
          <w:color w:val="9D2235" w:themeColor="accent1"/>
        </w:rPr>
        <w:t>umanos</w:t>
      </w:r>
      <w:bookmarkEnd w:id="549"/>
    </w:p>
    <w:p w14:paraId="12B9C4AA" w14:textId="77777777" w:rsidR="00D92018" w:rsidRPr="00D92018" w:rsidRDefault="00D92018" w:rsidP="00D92018">
      <w:pPr>
        <w:spacing w:after="240" w:line="276" w:lineRule="auto"/>
        <w:jc w:val="both"/>
        <w:rPr>
          <w:rFonts w:ascii="Arial" w:eastAsia="Droid Sans Fallback" w:hAnsi="Arial" w:cs="Arial"/>
          <w:kern w:val="3"/>
          <w:sz w:val="21"/>
          <w:szCs w:val="21"/>
          <w:lang w:eastAsia="zh-CN" w:bidi="hi-IN"/>
        </w:rPr>
      </w:pPr>
      <w:r w:rsidRPr="00D92018">
        <w:rPr>
          <w:rFonts w:ascii="Arial" w:eastAsia="Droid Sans Fallback" w:hAnsi="Arial" w:cs="Arial"/>
          <w:kern w:val="3"/>
          <w:sz w:val="21"/>
          <w:szCs w:val="21"/>
          <w:lang w:eastAsia="zh-CN" w:bidi="hi-IN"/>
        </w:rPr>
        <w:t>La Ley 11/2016 establece que los puestos de trabajo de la Agencia se provean de acuerdo con las normas de la Ley de función pública valenciana.</w:t>
      </w:r>
    </w:p>
    <w:p w14:paraId="3B198AF9" w14:textId="77777777" w:rsidR="00D92018" w:rsidRPr="00D92018" w:rsidRDefault="00D92018" w:rsidP="00D92018">
      <w:pPr>
        <w:spacing w:after="240" w:line="276" w:lineRule="auto"/>
        <w:jc w:val="both"/>
        <w:rPr>
          <w:rFonts w:ascii="Arial" w:eastAsia="Droid Sans Fallback" w:hAnsi="Arial" w:cs="Arial"/>
          <w:kern w:val="3"/>
          <w:sz w:val="21"/>
          <w:szCs w:val="21"/>
          <w:lang w:eastAsia="zh-CN" w:bidi="hi-IN"/>
        </w:rPr>
      </w:pPr>
      <w:r w:rsidRPr="00D92018">
        <w:rPr>
          <w:rFonts w:ascii="Arial" w:eastAsia="Droid Sans Fallback" w:hAnsi="Arial" w:cs="Arial"/>
          <w:kern w:val="3"/>
          <w:sz w:val="21"/>
          <w:szCs w:val="21"/>
          <w:lang w:eastAsia="zh-CN" w:bidi="hi-IN"/>
        </w:rPr>
        <w:t>Durante el ejercicio 2021, se han iniciado procedimientos para la provisión de un total de 17 puestos de trabajo, 11 con carácter provisional, a través del sistema de comisión de servicios, y 6 con carácter definitivo, a través del sistema de libre designación.</w:t>
      </w:r>
    </w:p>
    <w:p w14:paraId="27740629" w14:textId="77777777" w:rsidR="00D92018" w:rsidRPr="00D92018" w:rsidRDefault="00D92018" w:rsidP="00D92018">
      <w:pPr>
        <w:spacing w:after="240" w:line="276" w:lineRule="auto"/>
        <w:jc w:val="both"/>
        <w:rPr>
          <w:rFonts w:ascii="Arial" w:eastAsia="Droid Sans Fallback" w:hAnsi="Arial" w:cs="Arial"/>
          <w:kern w:val="3"/>
          <w:sz w:val="21"/>
          <w:szCs w:val="21"/>
          <w:lang w:eastAsia="zh-CN" w:bidi="hi-IN"/>
        </w:rPr>
      </w:pPr>
      <w:r w:rsidRPr="00D92018">
        <w:rPr>
          <w:rFonts w:ascii="Arial" w:eastAsia="Droid Sans Fallback" w:hAnsi="Arial" w:cs="Arial"/>
          <w:kern w:val="3"/>
          <w:sz w:val="21"/>
          <w:szCs w:val="21"/>
          <w:lang w:eastAsia="zh-CN" w:bidi="hi-IN"/>
        </w:rPr>
        <w:t>Debe resaltarse que durante 2021 se ha puesto en marcha la provisión de los puestos de trabajo mediante concurso específico, lo que ha requerido la aprobación de unas bases generales de las convocatorias, que han sido objeto de previa negociación sindical.</w:t>
      </w:r>
    </w:p>
    <w:p w14:paraId="5DDA0A85" w14:textId="77777777" w:rsidR="00D92018" w:rsidRPr="00D92018" w:rsidRDefault="00D92018" w:rsidP="00D92018">
      <w:pPr>
        <w:spacing w:after="240" w:line="276" w:lineRule="auto"/>
        <w:jc w:val="both"/>
        <w:rPr>
          <w:rFonts w:ascii="Arial" w:eastAsia="Droid Sans Fallback" w:hAnsi="Arial" w:cs="Arial"/>
          <w:kern w:val="3"/>
          <w:sz w:val="21"/>
          <w:szCs w:val="21"/>
          <w:u w:val="single"/>
          <w:lang w:eastAsia="zh-CN" w:bidi="hi-IN"/>
        </w:rPr>
      </w:pPr>
      <w:r w:rsidRPr="00D92018">
        <w:rPr>
          <w:rFonts w:ascii="Arial" w:eastAsia="Droid Sans Fallback" w:hAnsi="Arial" w:cs="Arial"/>
          <w:kern w:val="3"/>
          <w:sz w:val="21"/>
          <w:szCs w:val="21"/>
          <w:lang w:eastAsia="zh-CN" w:bidi="hi-IN"/>
        </w:rPr>
        <w:t xml:space="preserve">El desarrollo de los procedimientos de provisión puede ser objeto de consulta en </w:t>
      </w:r>
      <w:hyperlink r:id="rId537">
        <w:r w:rsidRPr="00D92018">
          <w:rPr>
            <w:rStyle w:val="Hipervnculo"/>
            <w:rFonts w:ascii="Arial" w:eastAsia="Droid Sans Fallback" w:hAnsi="Arial" w:cs="Arial"/>
            <w:kern w:val="3"/>
            <w:sz w:val="21"/>
            <w:szCs w:val="21"/>
            <w:lang w:eastAsia="zh-CN" w:bidi="hi-IN"/>
          </w:rPr>
          <w:t>https://www.antifraucv.es/es/portal-transparencia/informacion-institucional/</w:t>
        </w:r>
      </w:hyperlink>
      <w:r w:rsidRPr="00D92018">
        <w:rPr>
          <w:rFonts w:ascii="Arial" w:eastAsia="Droid Sans Fallback" w:hAnsi="Arial" w:cs="Arial"/>
          <w:kern w:val="3"/>
          <w:sz w:val="21"/>
          <w:szCs w:val="21"/>
          <w:u w:val="single"/>
          <w:lang w:eastAsia="zh-CN" w:bidi="hi-IN"/>
        </w:rPr>
        <w:t>.</w:t>
      </w:r>
    </w:p>
    <w:p w14:paraId="463D0ACA" w14:textId="777DE151" w:rsidR="00636FA2" w:rsidRDefault="00D92018" w:rsidP="00D92018">
      <w:pPr>
        <w:spacing w:after="240" w:line="276" w:lineRule="auto"/>
        <w:jc w:val="both"/>
        <w:rPr>
          <w:rFonts w:ascii="Arial" w:eastAsia="Droid Sans Fallback" w:hAnsi="Arial" w:cs="Arial"/>
          <w:kern w:val="3"/>
          <w:sz w:val="21"/>
          <w:szCs w:val="21"/>
          <w:lang w:eastAsia="zh-CN" w:bidi="hi-IN"/>
        </w:rPr>
      </w:pPr>
      <w:r w:rsidRPr="00D92018">
        <w:rPr>
          <w:rFonts w:ascii="Arial" w:eastAsia="Droid Sans Fallback" w:hAnsi="Arial" w:cs="Arial"/>
          <w:kern w:val="3"/>
          <w:sz w:val="21"/>
          <w:szCs w:val="21"/>
          <w:lang w:eastAsia="zh-CN" w:bidi="hi-IN"/>
        </w:rPr>
        <w:t>A continuación, se muestra, gráficamente y en términos porcentuales, la ocupación de los puestos de trabajo de la AVAF por género a finales de este año 2021.</w:t>
      </w:r>
    </w:p>
    <w:p w14:paraId="503BBD6C" w14:textId="77777777" w:rsidR="00C440A7" w:rsidRDefault="00C440A7" w:rsidP="00C440A7">
      <w:pPr>
        <w:keepNext/>
        <w:spacing w:after="240" w:line="276" w:lineRule="auto"/>
        <w:jc w:val="center"/>
      </w:pPr>
      <w:r>
        <w:rPr>
          <w:noProof/>
        </w:rPr>
        <w:drawing>
          <wp:inline distT="0" distB="0" distL="0" distR="0" wp14:anchorId="39DCA6C8" wp14:editId="60F72C1C">
            <wp:extent cx="4707172" cy="2559851"/>
            <wp:effectExtent l="0" t="0" r="17780" b="12065"/>
            <wp:docPr id="90" name="Gráfico 90">
              <a:extLst xmlns:a="http://schemas.openxmlformats.org/drawingml/2006/main">
                <a:ext uri="{FF2B5EF4-FFF2-40B4-BE49-F238E27FC236}">
                  <a16:creationId xmlns:a16="http://schemas.microsoft.com/office/drawing/2014/main" id="{F0525490-11CE-41BD-9028-4E197B780D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8"/>
              </a:graphicData>
            </a:graphic>
          </wp:inline>
        </w:drawing>
      </w:r>
    </w:p>
    <w:p w14:paraId="0C945A4A" w14:textId="1C226903" w:rsidR="00636FA2" w:rsidRPr="00C440A7" w:rsidRDefault="00C440A7" w:rsidP="00C440A7">
      <w:pPr>
        <w:pStyle w:val="Descripcin"/>
        <w:jc w:val="center"/>
        <w:rPr>
          <w:rFonts w:ascii="Arial" w:eastAsia="Droid Sans Fallback" w:hAnsi="Arial" w:cs="Arial"/>
          <w:smallCaps w:val="0"/>
          <w:kern w:val="3"/>
          <w:sz w:val="18"/>
          <w:szCs w:val="18"/>
          <w:lang w:eastAsia="zh-CN" w:bidi="hi-IN"/>
        </w:rPr>
      </w:pPr>
      <w:bookmarkStart w:id="550" w:name="_Toc99099836"/>
      <w:r w:rsidRPr="00C440A7">
        <w:rPr>
          <w:rFonts w:ascii="Arial" w:hAnsi="Arial" w:cs="Arial"/>
          <w:smallCaps w:val="0"/>
          <w:color w:val="9D2235" w:themeColor="accent1"/>
          <w:sz w:val="18"/>
          <w:szCs w:val="18"/>
        </w:rPr>
        <w:t xml:space="preserve">Gráfico </w:t>
      </w:r>
      <w:r w:rsidRPr="00C440A7">
        <w:rPr>
          <w:rFonts w:ascii="Arial" w:hAnsi="Arial" w:cs="Arial"/>
          <w:smallCaps w:val="0"/>
          <w:color w:val="9D2235" w:themeColor="accent1"/>
          <w:sz w:val="18"/>
          <w:szCs w:val="18"/>
        </w:rPr>
        <w:fldChar w:fldCharType="begin" w:fldLock="1"/>
      </w:r>
      <w:r w:rsidRPr="00C440A7">
        <w:rPr>
          <w:rFonts w:ascii="Arial" w:hAnsi="Arial" w:cs="Arial"/>
          <w:smallCaps w:val="0"/>
          <w:color w:val="9D2235" w:themeColor="accent1"/>
          <w:sz w:val="18"/>
          <w:szCs w:val="18"/>
        </w:rPr>
        <w:instrText xml:space="preserve"> SEQ Gráfico \* ARABIC </w:instrText>
      </w:r>
      <w:r w:rsidRPr="00C440A7">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37</w:t>
      </w:r>
      <w:r w:rsidRPr="00C440A7">
        <w:rPr>
          <w:rFonts w:ascii="Arial" w:hAnsi="Arial" w:cs="Arial"/>
          <w:smallCaps w:val="0"/>
          <w:color w:val="9D2235" w:themeColor="accent1"/>
          <w:sz w:val="18"/>
          <w:szCs w:val="18"/>
        </w:rPr>
        <w:fldChar w:fldCharType="end"/>
      </w:r>
      <w:r w:rsidRPr="00C440A7">
        <w:rPr>
          <w:rFonts w:ascii="Arial" w:hAnsi="Arial" w:cs="Arial"/>
          <w:smallCaps w:val="0"/>
          <w:color w:val="9D2235" w:themeColor="accent1"/>
          <w:sz w:val="18"/>
          <w:szCs w:val="18"/>
        </w:rPr>
        <w:t xml:space="preserve">. </w:t>
      </w:r>
      <w:r w:rsidRPr="00C440A7">
        <w:rPr>
          <w:rFonts w:ascii="Arial" w:hAnsi="Arial" w:cs="Arial"/>
          <w:smallCaps w:val="0"/>
          <w:sz w:val="18"/>
          <w:szCs w:val="18"/>
        </w:rPr>
        <w:t>Ocupación de puestos de trabajo por género a 31 de diciembre de 2021</w:t>
      </w:r>
      <w:bookmarkEnd w:id="550"/>
    </w:p>
    <w:p w14:paraId="37EB4238" w14:textId="11E237D1" w:rsidR="00C440A7" w:rsidRPr="00C440A7" w:rsidRDefault="00C440A7" w:rsidP="00C440A7">
      <w:pPr>
        <w:pStyle w:val="Ttulo2"/>
        <w:numPr>
          <w:ilvl w:val="1"/>
          <w:numId w:val="21"/>
        </w:numPr>
        <w:spacing w:before="360" w:after="240" w:line="276" w:lineRule="auto"/>
        <w:ind w:left="851" w:hanging="851"/>
        <w:contextualSpacing/>
        <w:rPr>
          <w:rFonts w:ascii="Arial" w:hAnsi="Arial" w:cs="Arial"/>
          <w:b/>
          <w:bCs/>
          <w:color w:val="9D2235" w:themeColor="accent1"/>
        </w:rPr>
      </w:pPr>
      <w:bookmarkStart w:id="551" w:name="Marcador_44"/>
      <w:bookmarkStart w:id="552" w:name="_Toc99107129"/>
      <w:r w:rsidRPr="00C440A7">
        <w:rPr>
          <w:rFonts w:ascii="Arial" w:hAnsi="Arial" w:cs="Arial"/>
          <w:b/>
          <w:bCs/>
          <w:color w:val="9D2235" w:themeColor="accent1"/>
        </w:rPr>
        <w:t>Gestión económica y contratación</w:t>
      </w:r>
      <w:bookmarkEnd w:id="551"/>
      <w:bookmarkEnd w:id="552"/>
    </w:p>
    <w:p w14:paraId="6D4B01EF" w14:textId="77777777" w:rsidR="00C440A7" w:rsidRPr="00C440A7" w:rsidRDefault="00C440A7" w:rsidP="00C440A7">
      <w:pPr>
        <w:spacing w:after="240" w:line="276" w:lineRule="auto"/>
        <w:jc w:val="both"/>
        <w:rPr>
          <w:rFonts w:ascii="Arial" w:eastAsia="Droid Sans Fallback" w:hAnsi="Arial" w:cs="Arial"/>
          <w:kern w:val="3"/>
          <w:sz w:val="21"/>
          <w:szCs w:val="21"/>
          <w:lang w:eastAsia="zh-CN" w:bidi="hi-IN"/>
        </w:rPr>
      </w:pPr>
      <w:r w:rsidRPr="00C440A7">
        <w:rPr>
          <w:rFonts w:ascii="Arial" w:eastAsia="Droid Sans Fallback" w:hAnsi="Arial" w:cs="Arial"/>
          <w:kern w:val="3"/>
          <w:sz w:val="21"/>
          <w:szCs w:val="21"/>
          <w:lang w:eastAsia="zh-CN" w:bidi="hi-IN"/>
        </w:rPr>
        <w:t>Establece el artículo 30.7 de la citada Ley 11/2016 que la Memoria Anual de la Agencia contendrá la Liquidación del presupuesto.</w:t>
      </w:r>
    </w:p>
    <w:p w14:paraId="292017EA" w14:textId="77777777" w:rsidR="00C440A7" w:rsidRPr="00C440A7" w:rsidRDefault="00C440A7" w:rsidP="00C440A7">
      <w:pPr>
        <w:spacing w:after="240" w:line="276" w:lineRule="auto"/>
        <w:jc w:val="both"/>
        <w:rPr>
          <w:rFonts w:ascii="Arial" w:eastAsia="Droid Sans Fallback" w:hAnsi="Arial" w:cs="Arial"/>
          <w:kern w:val="3"/>
          <w:sz w:val="21"/>
          <w:szCs w:val="21"/>
          <w:lang w:eastAsia="zh-CN" w:bidi="hi-IN"/>
        </w:rPr>
      </w:pPr>
      <w:r w:rsidRPr="00C440A7">
        <w:rPr>
          <w:rFonts w:ascii="Arial" w:eastAsia="Droid Sans Fallback" w:hAnsi="Arial" w:cs="Arial"/>
          <w:kern w:val="3"/>
          <w:sz w:val="21"/>
          <w:szCs w:val="21"/>
          <w:lang w:eastAsia="zh-CN" w:bidi="hi-IN"/>
        </w:rPr>
        <w:t>La Liquidación del Presupuesto del ejercicio 2021 fue aprobada por Resolución del director de la Agencia número 171, de 8 de marzo de 2022, y ello sin perjuicio de cualquier modificación que pueda operar sobre la misma como consecuencia de la elaboración de las Cuentas Anuales o auditorías posteriores según la normativa vigente.</w:t>
      </w:r>
    </w:p>
    <w:p w14:paraId="37C71DD2" w14:textId="0805CA38" w:rsidR="00C440A7" w:rsidRPr="00C440A7" w:rsidRDefault="00C440A7" w:rsidP="00C440A7">
      <w:pPr>
        <w:spacing w:after="240" w:line="276" w:lineRule="auto"/>
        <w:jc w:val="both"/>
        <w:rPr>
          <w:rFonts w:ascii="Arial" w:eastAsia="Droid Sans Fallback" w:hAnsi="Arial" w:cs="Arial"/>
          <w:kern w:val="3"/>
          <w:sz w:val="21"/>
          <w:szCs w:val="21"/>
          <w:lang w:eastAsia="zh-CN" w:bidi="hi-IN"/>
        </w:rPr>
      </w:pPr>
      <w:r w:rsidRPr="00C440A7">
        <w:rPr>
          <w:rFonts w:ascii="Arial" w:eastAsia="Droid Sans Fallback" w:hAnsi="Arial" w:cs="Arial"/>
          <w:kern w:val="3"/>
          <w:sz w:val="21"/>
          <w:szCs w:val="21"/>
          <w:lang w:eastAsia="zh-CN" w:bidi="hi-IN"/>
        </w:rPr>
        <w:t>El Presupuesto de la Agencia para el ejercicio 2021 fue aprobado mediante la Ley 4/2020, de 30 de diciembre, de presupuestos de la Generalitat para el ejercicio 2021, como partida independiente en los presupuestos de l</w:t>
      </w:r>
      <w:r w:rsidR="003472DE">
        <w:rPr>
          <w:rFonts w:ascii="Arial" w:eastAsia="Droid Sans Fallback" w:hAnsi="Arial" w:cs="Arial"/>
          <w:kern w:val="3"/>
          <w:sz w:val="21"/>
          <w:szCs w:val="21"/>
          <w:lang w:eastAsia="zh-CN" w:bidi="hi-IN"/>
        </w:rPr>
        <w:t>a</w:t>
      </w:r>
      <w:r w:rsidRPr="00C440A7">
        <w:rPr>
          <w:rFonts w:ascii="Arial" w:eastAsia="Droid Sans Fallback" w:hAnsi="Arial" w:cs="Arial"/>
          <w:kern w:val="3"/>
          <w:sz w:val="21"/>
          <w:szCs w:val="21"/>
          <w:lang w:eastAsia="zh-CN" w:bidi="hi-IN"/>
        </w:rPr>
        <w:t>s Corts Valencianes, de acuerdo con lo establecido en el artículo 30, apartados 1 y 2, de la Ley 11/2016.</w:t>
      </w:r>
    </w:p>
    <w:p w14:paraId="7DB18BAC" w14:textId="61F384B9" w:rsidR="00C440A7" w:rsidRPr="00C440A7" w:rsidRDefault="00C440A7" w:rsidP="00A54EF9">
      <w:pPr>
        <w:pStyle w:val="Prrafodelista"/>
        <w:keepNext/>
        <w:numPr>
          <w:ilvl w:val="2"/>
          <w:numId w:val="187"/>
        </w:numPr>
        <w:tabs>
          <w:tab w:val="clear" w:pos="794"/>
        </w:tabs>
        <w:spacing w:before="360" w:after="240" w:line="276" w:lineRule="auto"/>
        <w:ind w:left="851" w:hanging="851"/>
        <w:contextualSpacing w:val="0"/>
        <w:jc w:val="both"/>
        <w:outlineLvl w:val="2"/>
        <w:rPr>
          <w:rFonts w:ascii="Arial" w:eastAsia="Times New Roman" w:hAnsi="Arial" w:cs="Arial"/>
          <w:b/>
          <w:bCs/>
          <w:color w:val="9D2235" w:themeColor="accent1"/>
          <w:sz w:val="28"/>
          <w:szCs w:val="28"/>
          <w:lang w:eastAsia="es-ES"/>
        </w:rPr>
      </w:pPr>
      <w:bookmarkStart w:id="553" w:name="Marcador_47"/>
      <w:bookmarkStart w:id="554" w:name="_Toc99107130"/>
      <w:r w:rsidRPr="00C440A7">
        <w:rPr>
          <w:rFonts w:ascii="Arial" w:eastAsia="Times New Roman" w:hAnsi="Arial" w:cs="Arial"/>
          <w:b/>
          <w:bCs/>
          <w:color w:val="9D2235" w:themeColor="accent1"/>
          <w:sz w:val="28"/>
          <w:szCs w:val="28"/>
          <w:lang w:eastAsia="es-ES"/>
        </w:rPr>
        <w:t xml:space="preserve">Ejecución presupuestaria </w:t>
      </w:r>
      <w:bookmarkEnd w:id="553"/>
      <w:r w:rsidRPr="00C440A7">
        <w:rPr>
          <w:rFonts w:ascii="Arial" w:eastAsia="Times New Roman" w:hAnsi="Arial" w:cs="Arial"/>
          <w:b/>
          <w:bCs/>
          <w:color w:val="9D2235" w:themeColor="accent1"/>
          <w:sz w:val="28"/>
          <w:szCs w:val="28"/>
          <w:lang w:eastAsia="es-ES"/>
        </w:rPr>
        <w:t>2021</w:t>
      </w:r>
      <w:bookmarkEnd w:id="554"/>
    </w:p>
    <w:p w14:paraId="58B9B70D" w14:textId="33BA3645" w:rsidR="00C440A7" w:rsidRDefault="00C440A7" w:rsidP="00C440A7">
      <w:pPr>
        <w:spacing w:after="240" w:line="276" w:lineRule="auto"/>
        <w:jc w:val="both"/>
        <w:rPr>
          <w:rFonts w:ascii="Arial" w:eastAsia="Droid Sans Fallback" w:hAnsi="Arial" w:cs="Arial"/>
          <w:kern w:val="3"/>
          <w:sz w:val="21"/>
          <w:szCs w:val="21"/>
          <w:lang w:eastAsia="zh-CN" w:bidi="hi-IN"/>
        </w:rPr>
      </w:pPr>
      <w:r w:rsidRPr="00C440A7">
        <w:rPr>
          <w:rFonts w:ascii="Arial" w:eastAsia="Droid Sans Fallback" w:hAnsi="Arial" w:cs="Arial"/>
          <w:kern w:val="3"/>
          <w:sz w:val="21"/>
          <w:szCs w:val="21"/>
          <w:lang w:eastAsia="zh-CN" w:bidi="hi-IN"/>
        </w:rPr>
        <w:t>El presupuesto de la Agencia para el ejercicio 2021 ascendió a 4.424.329,88 euros, de acuerdo con el detalle por capítulo de gastos que a continuación se ofrece.</w:t>
      </w:r>
    </w:p>
    <w:p w14:paraId="4956FB6F" w14:textId="5CD4BC68" w:rsidR="004831FD" w:rsidRPr="004831FD" w:rsidRDefault="004831FD" w:rsidP="004831FD">
      <w:pPr>
        <w:pStyle w:val="Descripcin"/>
        <w:keepNext/>
        <w:jc w:val="center"/>
        <w:rPr>
          <w:rFonts w:ascii="Arial" w:hAnsi="Arial" w:cs="Arial"/>
          <w:smallCaps w:val="0"/>
          <w:sz w:val="18"/>
          <w:szCs w:val="18"/>
        </w:rPr>
      </w:pPr>
      <w:bookmarkStart w:id="555" w:name="_Toc99107168"/>
      <w:r w:rsidRPr="004831FD">
        <w:rPr>
          <w:rFonts w:ascii="Arial" w:hAnsi="Arial" w:cs="Arial"/>
          <w:smallCaps w:val="0"/>
          <w:color w:val="9D2235" w:themeColor="accent1"/>
          <w:sz w:val="18"/>
          <w:szCs w:val="18"/>
        </w:rPr>
        <w:t xml:space="preserve">Tabla </w:t>
      </w:r>
      <w:r w:rsidRPr="004831FD">
        <w:rPr>
          <w:rFonts w:ascii="Arial" w:hAnsi="Arial" w:cs="Arial"/>
          <w:smallCaps w:val="0"/>
          <w:color w:val="9D2235" w:themeColor="accent1"/>
          <w:sz w:val="18"/>
          <w:szCs w:val="18"/>
        </w:rPr>
        <w:fldChar w:fldCharType="begin" w:fldLock="1"/>
      </w:r>
      <w:r w:rsidRPr="004831FD">
        <w:rPr>
          <w:rFonts w:ascii="Arial" w:hAnsi="Arial" w:cs="Arial"/>
          <w:smallCaps w:val="0"/>
          <w:color w:val="9D2235" w:themeColor="accent1"/>
          <w:sz w:val="18"/>
          <w:szCs w:val="18"/>
        </w:rPr>
        <w:instrText xml:space="preserve"> SEQ Tabla \* ARABIC </w:instrText>
      </w:r>
      <w:r w:rsidRPr="004831FD">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30</w:t>
      </w:r>
      <w:r w:rsidRPr="004831FD">
        <w:rPr>
          <w:rFonts w:ascii="Arial" w:hAnsi="Arial" w:cs="Arial"/>
          <w:smallCaps w:val="0"/>
          <w:color w:val="9D2235" w:themeColor="accent1"/>
          <w:sz w:val="18"/>
          <w:szCs w:val="18"/>
        </w:rPr>
        <w:fldChar w:fldCharType="end"/>
      </w:r>
      <w:r w:rsidRPr="004831FD">
        <w:rPr>
          <w:rFonts w:ascii="Arial" w:hAnsi="Arial" w:cs="Arial"/>
          <w:smallCaps w:val="0"/>
          <w:color w:val="9D2235" w:themeColor="accent1"/>
          <w:sz w:val="18"/>
          <w:szCs w:val="18"/>
        </w:rPr>
        <w:t xml:space="preserve">. </w:t>
      </w:r>
      <w:r w:rsidRPr="004831FD">
        <w:rPr>
          <w:rFonts w:ascii="Arial" w:hAnsi="Arial" w:cs="Arial"/>
          <w:smallCaps w:val="0"/>
          <w:sz w:val="18"/>
          <w:szCs w:val="18"/>
        </w:rPr>
        <w:t>Presupuesto de gastos ejercicio 2021</w:t>
      </w:r>
      <w:bookmarkEnd w:id="555"/>
    </w:p>
    <w:tbl>
      <w:tblPr>
        <w:tblW w:w="5889" w:type="dxa"/>
        <w:jc w:val="center"/>
        <w:tblCellMar>
          <w:left w:w="43" w:type="dxa"/>
        </w:tblCellMar>
        <w:tblLook w:val="0000" w:firstRow="0" w:lastRow="0" w:firstColumn="0" w:lastColumn="0" w:noHBand="0" w:noVBand="0"/>
      </w:tblPr>
      <w:tblGrid>
        <w:gridCol w:w="3063"/>
        <w:gridCol w:w="2826"/>
      </w:tblGrid>
      <w:tr w:rsidR="004831FD" w:rsidRPr="00C052D8" w14:paraId="4D4C4212" w14:textId="77777777" w:rsidTr="004831FD">
        <w:trPr>
          <w:trHeight w:val="686"/>
          <w:jc w:val="center"/>
        </w:trPr>
        <w:tc>
          <w:tcPr>
            <w:tcW w:w="5889" w:type="dxa"/>
            <w:gridSpan w:val="2"/>
            <w:tcBorders>
              <w:top w:val="single" w:sz="18" w:space="0" w:color="FFFFFF"/>
              <w:left w:val="single" w:sz="18" w:space="0" w:color="FFFFFF"/>
              <w:right w:val="single" w:sz="18" w:space="0" w:color="FFFFFF"/>
            </w:tcBorders>
            <w:shd w:val="clear" w:color="auto" w:fill="9D2235"/>
            <w:vAlign w:val="center"/>
          </w:tcPr>
          <w:p w14:paraId="33688F3F" w14:textId="77777777" w:rsidR="004831FD" w:rsidRPr="00C052D8" w:rsidRDefault="004831FD" w:rsidP="004831FD">
            <w:pPr>
              <w:widowControl w:val="0"/>
              <w:suppressAutoHyphens/>
              <w:spacing w:after="0" w:line="276" w:lineRule="auto"/>
              <w:jc w:val="both"/>
              <w:textAlignment w:val="baseline"/>
              <w:rPr>
                <w:rFonts w:ascii="Arial" w:eastAsia="NSimSun" w:hAnsi="Arial" w:cs="Arial"/>
                <w:b/>
                <w:bCs/>
                <w:color w:val="FFFFFF"/>
                <w:kern w:val="2"/>
                <w:sz w:val="19"/>
                <w:szCs w:val="19"/>
                <w:highlight w:val="yellow"/>
                <w:lang w:eastAsia="es-ES" w:bidi="hi-IN"/>
              </w:rPr>
            </w:pPr>
            <w:r w:rsidRPr="00C052D8">
              <w:rPr>
                <w:rFonts w:ascii="Arial" w:eastAsia="NSimSun" w:hAnsi="Arial" w:cs="Arial"/>
                <w:b/>
                <w:bCs/>
                <w:color w:val="FFFFFF"/>
                <w:kern w:val="2"/>
                <w:sz w:val="19"/>
                <w:szCs w:val="19"/>
                <w:lang w:eastAsia="es-ES" w:bidi="hi-IN"/>
              </w:rPr>
              <w:t>PRESUPUESTO GASTOS 2021</w:t>
            </w:r>
          </w:p>
        </w:tc>
      </w:tr>
      <w:tr w:rsidR="004831FD" w:rsidRPr="00C052D8" w14:paraId="407BEBFF" w14:textId="77777777" w:rsidTr="004831FD">
        <w:trPr>
          <w:jc w:val="center"/>
        </w:trPr>
        <w:tc>
          <w:tcPr>
            <w:tcW w:w="3063" w:type="dxa"/>
            <w:tcBorders>
              <w:bottom w:val="single" w:sz="4" w:space="0" w:color="993333"/>
            </w:tcBorders>
            <w:shd w:val="clear" w:color="auto" w:fill="FFFFFF"/>
          </w:tcPr>
          <w:p w14:paraId="018F92BF" w14:textId="77777777" w:rsidR="004831FD" w:rsidRPr="00C052D8" w:rsidRDefault="004831FD" w:rsidP="004831FD">
            <w:pPr>
              <w:widowControl w:val="0"/>
              <w:suppressAutoHyphens/>
              <w:spacing w:after="0" w:line="276" w:lineRule="auto"/>
              <w:jc w:val="both"/>
              <w:textAlignment w:val="baseline"/>
              <w:rPr>
                <w:rFonts w:ascii="Arial" w:eastAsia="NSimSun" w:hAnsi="Arial" w:cs="Arial"/>
                <w:kern w:val="2"/>
                <w:sz w:val="19"/>
                <w:szCs w:val="19"/>
                <w:lang w:eastAsia="es-ES" w:bidi="hi-IN"/>
              </w:rPr>
            </w:pPr>
            <w:r w:rsidRPr="00C052D8">
              <w:rPr>
                <w:rFonts w:ascii="Arial" w:eastAsia="NSimSun" w:hAnsi="Arial" w:cs="Arial"/>
                <w:kern w:val="2"/>
                <w:sz w:val="19"/>
                <w:szCs w:val="19"/>
                <w:lang w:eastAsia="es-ES" w:bidi="hi-IN"/>
              </w:rPr>
              <w:t xml:space="preserve">     CAP. I</w:t>
            </w:r>
          </w:p>
        </w:tc>
        <w:tc>
          <w:tcPr>
            <w:tcW w:w="2826" w:type="dxa"/>
            <w:tcBorders>
              <w:bottom w:val="single" w:sz="4" w:space="0" w:color="993333"/>
            </w:tcBorders>
            <w:shd w:val="clear" w:color="auto" w:fill="FFFFFF"/>
          </w:tcPr>
          <w:p w14:paraId="7BFD5391" w14:textId="77777777" w:rsidR="004831FD" w:rsidRPr="00C052D8" w:rsidRDefault="004831FD" w:rsidP="004831FD">
            <w:pPr>
              <w:widowControl w:val="0"/>
              <w:suppressAutoHyphens/>
              <w:spacing w:after="0" w:line="276" w:lineRule="auto"/>
              <w:jc w:val="right"/>
              <w:textAlignment w:val="baseline"/>
              <w:rPr>
                <w:rFonts w:ascii="Arial" w:eastAsia="Times New Roman" w:hAnsi="Arial" w:cs="Arial"/>
                <w:color w:val="000000"/>
                <w:kern w:val="2"/>
                <w:sz w:val="19"/>
                <w:szCs w:val="19"/>
                <w:lang w:eastAsia="es-ES" w:bidi="hi-IN"/>
              </w:rPr>
            </w:pPr>
            <w:r w:rsidRPr="00C052D8">
              <w:rPr>
                <w:rFonts w:ascii="Arial" w:eastAsia="Times New Roman" w:hAnsi="Arial" w:cs="Arial"/>
                <w:color w:val="000000"/>
                <w:kern w:val="2"/>
                <w:sz w:val="19"/>
                <w:szCs w:val="19"/>
                <w:lang w:eastAsia="es-ES" w:bidi="hi-IN"/>
              </w:rPr>
              <w:t>3.505.466,12</w:t>
            </w:r>
          </w:p>
        </w:tc>
      </w:tr>
      <w:tr w:rsidR="004831FD" w:rsidRPr="00C052D8" w14:paraId="2D1D6BAE" w14:textId="77777777" w:rsidTr="004831FD">
        <w:trPr>
          <w:jc w:val="center"/>
        </w:trPr>
        <w:tc>
          <w:tcPr>
            <w:tcW w:w="3063" w:type="dxa"/>
            <w:tcBorders>
              <w:top w:val="single" w:sz="4" w:space="0" w:color="993333"/>
              <w:bottom w:val="single" w:sz="4" w:space="0" w:color="993333"/>
            </w:tcBorders>
            <w:shd w:val="clear" w:color="auto" w:fill="FFFFFF"/>
          </w:tcPr>
          <w:p w14:paraId="6D19607D" w14:textId="77777777" w:rsidR="004831FD" w:rsidRPr="00C052D8" w:rsidRDefault="004831FD" w:rsidP="004831FD">
            <w:pPr>
              <w:widowControl w:val="0"/>
              <w:suppressAutoHyphens/>
              <w:spacing w:after="0" w:line="276" w:lineRule="auto"/>
              <w:jc w:val="both"/>
              <w:textAlignment w:val="baseline"/>
              <w:rPr>
                <w:rFonts w:ascii="Arial" w:eastAsia="NSimSun" w:hAnsi="Arial" w:cs="Arial"/>
                <w:kern w:val="2"/>
                <w:sz w:val="19"/>
                <w:szCs w:val="19"/>
                <w:lang w:eastAsia="es-ES" w:bidi="hi-IN"/>
              </w:rPr>
            </w:pPr>
            <w:r w:rsidRPr="00C052D8">
              <w:rPr>
                <w:rFonts w:ascii="Arial" w:eastAsia="NSimSun" w:hAnsi="Arial" w:cs="Arial"/>
                <w:kern w:val="2"/>
                <w:sz w:val="19"/>
                <w:szCs w:val="19"/>
                <w:lang w:eastAsia="es-ES" w:bidi="hi-IN"/>
              </w:rPr>
              <w:t xml:space="preserve">     CAP. II</w:t>
            </w:r>
          </w:p>
        </w:tc>
        <w:tc>
          <w:tcPr>
            <w:tcW w:w="2826" w:type="dxa"/>
            <w:tcBorders>
              <w:top w:val="single" w:sz="4" w:space="0" w:color="993333"/>
              <w:bottom w:val="single" w:sz="4" w:space="0" w:color="993333"/>
            </w:tcBorders>
            <w:shd w:val="clear" w:color="auto" w:fill="FFFFFF"/>
          </w:tcPr>
          <w:p w14:paraId="019786DD" w14:textId="77777777" w:rsidR="004831FD" w:rsidRPr="00C052D8" w:rsidRDefault="004831FD" w:rsidP="004831FD">
            <w:pPr>
              <w:widowControl w:val="0"/>
              <w:suppressAutoHyphens/>
              <w:spacing w:after="0" w:line="276" w:lineRule="auto"/>
              <w:jc w:val="right"/>
              <w:textAlignment w:val="baseline"/>
              <w:rPr>
                <w:rFonts w:ascii="Arial" w:eastAsia="Times New Roman" w:hAnsi="Arial" w:cs="Arial"/>
                <w:color w:val="000000"/>
                <w:kern w:val="2"/>
                <w:sz w:val="19"/>
                <w:szCs w:val="19"/>
                <w:lang w:eastAsia="es-ES" w:bidi="hi-IN"/>
              </w:rPr>
            </w:pPr>
            <w:r w:rsidRPr="00C052D8">
              <w:rPr>
                <w:rFonts w:ascii="Arial" w:eastAsia="Times New Roman" w:hAnsi="Arial" w:cs="Arial"/>
                <w:color w:val="000000"/>
                <w:kern w:val="2"/>
                <w:sz w:val="19"/>
                <w:szCs w:val="19"/>
                <w:lang w:eastAsia="es-ES" w:bidi="hi-IN"/>
              </w:rPr>
              <w:t>704.973,19</w:t>
            </w:r>
          </w:p>
        </w:tc>
      </w:tr>
      <w:tr w:rsidR="004831FD" w:rsidRPr="00C052D8" w14:paraId="431F5841" w14:textId="77777777" w:rsidTr="004831FD">
        <w:trPr>
          <w:jc w:val="center"/>
        </w:trPr>
        <w:tc>
          <w:tcPr>
            <w:tcW w:w="3063" w:type="dxa"/>
            <w:tcBorders>
              <w:top w:val="single" w:sz="4" w:space="0" w:color="993333"/>
              <w:bottom w:val="single" w:sz="4" w:space="0" w:color="993333"/>
            </w:tcBorders>
            <w:shd w:val="clear" w:color="auto" w:fill="FFFFFF"/>
          </w:tcPr>
          <w:p w14:paraId="5CB8D02C" w14:textId="77777777" w:rsidR="004831FD" w:rsidRPr="00C052D8" w:rsidRDefault="004831FD" w:rsidP="004831FD">
            <w:pPr>
              <w:widowControl w:val="0"/>
              <w:suppressAutoHyphens/>
              <w:spacing w:after="0" w:line="276" w:lineRule="auto"/>
              <w:jc w:val="both"/>
              <w:textAlignment w:val="baseline"/>
              <w:rPr>
                <w:rFonts w:ascii="Arial" w:eastAsia="NSimSun" w:hAnsi="Arial" w:cs="Arial"/>
                <w:kern w:val="2"/>
                <w:sz w:val="19"/>
                <w:szCs w:val="19"/>
                <w:lang w:eastAsia="es-ES" w:bidi="hi-IN"/>
              </w:rPr>
            </w:pPr>
            <w:r w:rsidRPr="00C052D8">
              <w:rPr>
                <w:rFonts w:ascii="Arial" w:eastAsia="NSimSun" w:hAnsi="Arial" w:cs="Arial"/>
                <w:kern w:val="2"/>
                <w:sz w:val="19"/>
                <w:szCs w:val="19"/>
                <w:lang w:eastAsia="es-ES" w:bidi="hi-IN"/>
              </w:rPr>
              <w:t xml:space="preserve">     CAP. IV</w:t>
            </w:r>
          </w:p>
        </w:tc>
        <w:tc>
          <w:tcPr>
            <w:tcW w:w="2826" w:type="dxa"/>
            <w:tcBorders>
              <w:top w:val="single" w:sz="4" w:space="0" w:color="993333"/>
              <w:bottom w:val="single" w:sz="4" w:space="0" w:color="993333"/>
            </w:tcBorders>
            <w:shd w:val="clear" w:color="auto" w:fill="FFFFFF"/>
          </w:tcPr>
          <w:p w14:paraId="391704C9" w14:textId="77777777" w:rsidR="004831FD" w:rsidRPr="00C052D8" w:rsidRDefault="004831FD" w:rsidP="004831FD">
            <w:pPr>
              <w:widowControl w:val="0"/>
              <w:suppressAutoHyphens/>
              <w:spacing w:after="0" w:line="276" w:lineRule="auto"/>
              <w:jc w:val="right"/>
              <w:textAlignment w:val="baseline"/>
              <w:rPr>
                <w:rFonts w:ascii="Arial" w:eastAsia="Times New Roman" w:hAnsi="Arial" w:cs="Arial"/>
                <w:color w:val="000000"/>
                <w:kern w:val="2"/>
                <w:sz w:val="19"/>
                <w:szCs w:val="19"/>
                <w:lang w:eastAsia="es-ES" w:bidi="hi-IN"/>
              </w:rPr>
            </w:pPr>
            <w:r w:rsidRPr="00C052D8">
              <w:rPr>
                <w:rFonts w:ascii="Arial" w:eastAsia="Times New Roman" w:hAnsi="Arial" w:cs="Arial"/>
                <w:color w:val="000000"/>
                <w:kern w:val="2"/>
                <w:sz w:val="19"/>
                <w:szCs w:val="19"/>
                <w:lang w:eastAsia="es-ES" w:bidi="hi-IN"/>
              </w:rPr>
              <w:t>14.000,00</w:t>
            </w:r>
          </w:p>
        </w:tc>
      </w:tr>
      <w:tr w:rsidR="004831FD" w:rsidRPr="00C052D8" w14:paraId="31301423" w14:textId="77777777" w:rsidTr="004831FD">
        <w:trPr>
          <w:jc w:val="center"/>
        </w:trPr>
        <w:tc>
          <w:tcPr>
            <w:tcW w:w="3063" w:type="dxa"/>
            <w:tcBorders>
              <w:top w:val="single" w:sz="4" w:space="0" w:color="993333"/>
              <w:bottom w:val="single" w:sz="4" w:space="0" w:color="993333"/>
            </w:tcBorders>
            <w:shd w:val="clear" w:color="auto" w:fill="FFFFFF"/>
          </w:tcPr>
          <w:p w14:paraId="24898929" w14:textId="77777777" w:rsidR="004831FD" w:rsidRPr="00C052D8" w:rsidRDefault="004831FD" w:rsidP="004831FD">
            <w:pPr>
              <w:widowControl w:val="0"/>
              <w:suppressAutoHyphens/>
              <w:spacing w:after="0" w:line="276" w:lineRule="auto"/>
              <w:jc w:val="both"/>
              <w:textAlignment w:val="baseline"/>
              <w:rPr>
                <w:rFonts w:ascii="Arial" w:eastAsia="NSimSun" w:hAnsi="Arial" w:cs="Arial"/>
                <w:kern w:val="2"/>
                <w:sz w:val="19"/>
                <w:szCs w:val="19"/>
                <w:lang w:eastAsia="es-ES" w:bidi="hi-IN"/>
              </w:rPr>
            </w:pPr>
            <w:r w:rsidRPr="00C052D8">
              <w:rPr>
                <w:rFonts w:ascii="Arial" w:eastAsia="NSimSun" w:hAnsi="Arial" w:cs="Arial"/>
                <w:kern w:val="2"/>
                <w:sz w:val="19"/>
                <w:szCs w:val="19"/>
                <w:lang w:eastAsia="es-ES" w:bidi="hi-IN"/>
              </w:rPr>
              <w:t xml:space="preserve">     CAP. VI</w:t>
            </w:r>
          </w:p>
        </w:tc>
        <w:tc>
          <w:tcPr>
            <w:tcW w:w="2826" w:type="dxa"/>
            <w:tcBorders>
              <w:top w:val="single" w:sz="4" w:space="0" w:color="993333"/>
              <w:bottom w:val="single" w:sz="4" w:space="0" w:color="993333"/>
            </w:tcBorders>
            <w:shd w:val="clear" w:color="auto" w:fill="FFFFFF"/>
          </w:tcPr>
          <w:p w14:paraId="4B5FB1AD" w14:textId="77777777" w:rsidR="004831FD" w:rsidRPr="00C052D8" w:rsidRDefault="004831FD" w:rsidP="004831FD">
            <w:pPr>
              <w:widowControl w:val="0"/>
              <w:suppressAutoHyphens/>
              <w:spacing w:after="0" w:line="276" w:lineRule="auto"/>
              <w:jc w:val="right"/>
              <w:textAlignment w:val="baseline"/>
              <w:rPr>
                <w:rFonts w:ascii="Liberation Serif" w:eastAsia="NSimSun" w:hAnsi="Liberation Serif" w:cs="Arial"/>
                <w:kern w:val="2"/>
                <w:sz w:val="19"/>
                <w:szCs w:val="19"/>
                <w:lang w:eastAsia="zh-CN" w:bidi="hi-IN"/>
              </w:rPr>
            </w:pPr>
            <w:r w:rsidRPr="00C052D8">
              <w:rPr>
                <w:rFonts w:ascii="Arial" w:eastAsia="Times New Roman" w:hAnsi="Arial" w:cs="Arial"/>
                <w:color w:val="000000"/>
                <w:kern w:val="2"/>
                <w:sz w:val="19"/>
                <w:szCs w:val="19"/>
                <w:lang w:eastAsia="es-ES" w:bidi="hi-IN"/>
              </w:rPr>
              <w:t>199.890,57</w:t>
            </w:r>
          </w:p>
        </w:tc>
      </w:tr>
      <w:tr w:rsidR="004831FD" w:rsidRPr="00C052D8" w14:paraId="6958FF41" w14:textId="77777777" w:rsidTr="004831FD">
        <w:trPr>
          <w:jc w:val="center"/>
        </w:trPr>
        <w:tc>
          <w:tcPr>
            <w:tcW w:w="3063" w:type="dxa"/>
            <w:tcBorders>
              <w:top w:val="single" w:sz="4" w:space="0" w:color="993333"/>
              <w:bottom w:val="single" w:sz="4" w:space="0" w:color="993333"/>
            </w:tcBorders>
            <w:shd w:val="clear" w:color="auto" w:fill="EEEEEE"/>
          </w:tcPr>
          <w:p w14:paraId="1C8157D6" w14:textId="77777777" w:rsidR="004831FD" w:rsidRPr="00C052D8" w:rsidRDefault="004831FD" w:rsidP="004831FD">
            <w:pPr>
              <w:widowControl w:val="0"/>
              <w:suppressAutoHyphens/>
              <w:spacing w:after="0" w:line="276" w:lineRule="auto"/>
              <w:jc w:val="both"/>
              <w:textAlignment w:val="baseline"/>
              <w:rPr>
                <w:rFonts w:ascii="Arial" w:eastAsia="NSimSun" w:hAnsi="Arial" w:cs="Arial"/>
                <w:b/>
                <w:bCs/>
                <w:kern w:val="2"/>
                <w:sz w:val="19"/>
                <w:szCs w:val="19"/>
                <w:lang w:eastAsia="es-ES" w:bidi="hi-IN"/>
              </w:rPr>
            </w:pPr>
            <w:r w:rsidRPr="00C052D8">
              <w:rPr>
                <w:rFonts w:ascii="Arial" w:eastAsia="NSimSun" w:hAnsi="Arial" w:cs="Arial"/>
                <w:b/>
                <w:bCs/>
                <w:kern w:val="2"/>
                <w:sz w:val="19"/>
                <w:szCs w:val="19"/>
                <w:lang w:eastAsia="es-ES" w:bidi="hi-IN"/>
              </w:rPr>
              <w:t xml:space="preserve">    TOTAL PRESUPUESTO</w:t>
            </w:r>
          </w:p>
        </w:tc>
        <w:tc>
          <w:tcPr>
            <w:tcW w:w="2826" w:type="dxa"/>
            <w:tcBorders>
              <w:top w:val="single" w:sz="4" w:space="0" w:color="993333"/>
              <w:bottom w:val="single" w:sz="4" w:space="0" w:color="993333"/>
            </w:tcBorders>
            <w:shd w:val="clear" w:color="auto" w:fill="EEEEEE"/>
          </w:tcPr>
          <w:p w14:paraId="29136D68" w14:textId="77777777" w:rsidR="004831FD" w:rsidRPr="00C052D8" w:rsidRDefault="004831FD" w:rsidP="004831FD">
            <w:pPr>
              <w:widowControl w:val="0"/>
              <w:suppressAutoHyphens/>
              <w:spacing w:after="0" w:line="276" w:lineRule="auto"/>
              <w:jc w:val="right"/>
              <w:textAlignment w:val="baseline"/>
              <w:rPr>
                <w:rFonts w:ascii="Arial" w:eastAsia="Times New Roman" w:hAnsi="Arial" w:cs="Arial"/>
                <w:b/>
                <w:bCs/>
                <w:color w:val="000000"/>
                <w:kern w:val="2"/>
                <w:sz w:val="19"/>
                <w:szCs w:val="19"/>
                <w:lang w:eastAsia="es-ES" w:bidi="hi-IN"/>
              </w:rPr>
            </w:pPr>
            <w:r w:rsidRPr="00C052D8">
              <w:rPr>
                <w:rFonts w:ascii="Arial" w:eastAsia="Times New Roman" w:hAnsi="Arial" w:cs="Arial"/>
                <w:b/>
                <w:bCs/>
                <w:color w:val="000000"/>
                <w:kern w:val="2"/>
                <w:sz w:val="19"/>
                <w:szCs w:val="19"/>
                <w:lang w:eastAsia="es-ES" w:bidi="hi-IN"/>
              </w:rPr>
              <w:t>4.424.329,88</w:t>
            </w:r>
          </w:p>
        </w:tc>
      </w:tr>
    </w:tbl>
    <w:p w14:paraId="6F9F5D87" w14:textId="4FD3ED8B" w:rsidR="00C440A7" w:rsidRDefault="00C440A7" w:rsidP="002E203E">
      <w:pPr>
        <w:spacing w:after="240" w:line="276" w:lineRule="auto"/>
        <w:jc w:val="both"/>
        <w:rPr>
          <w:rFonts w:ascii="Arial" w:eastAsia="Droid Sans Fallback" w:hAnsi="Arial" w:cs="Arial"/>
          <w:kern w:val="3"/>
          <w:sz w:val="21"/>
          <w:szCs w:val="21"/>
          <w:lang w:eastAsia="zh-CN" w:bidi="hi-IN"/>
        </w:rPr>
      </w:pPr>
    </w:p>
    <w:p w14:paraId="104CBDBF" w14:textId="0464FE30" w:rsidR="00C440A7" w:rsidRDefault="002E203E" w:rsidP="00AD6163">
      <w:pPr>
        <w:spacing w:after="240" w:line="276" w:lineRule="auto"/>
        <w:jc w:val="both"/>
        <w:rPr>
          <w:rFonts w:ascii="Arial" w:eastAsia="Droid Sans Fallback" w:hAnsi="Arial" w:cs="Arial"/>
          <w:kern w:val="3"/>
          <w:sz w:val="21"/>
          <w:szCs w:val="21"/>
          <w:lang w:eastAsia="zh-CN" w:bidi="hi-IN"/>
        </w:rPr>
      </w:pPr>
      <w:r w:rsidRPr="002E203E">
        <w:rPr>
          <w:rFonts w:ascii="Arial" w:eastAsia="Droid Sans Fallback" w:hAnsi="Arial" w:cs="Arial"/>
          <w:kern w:val="3"/>
          <w:sz w:val="21"/>
          <w:szCs w:val="21"/>
          <w:lang w:eastAsia="zh-CN" w:bidi="hi-IN"/>
        </w:rPr>
        <w:t>La financiación prevista de los créditos contemplados en el presupuesto de gastos de la Agencia para 2021 procede íntegramente de transferencias de la Generalitat Valenciana, según la siguiente distribución.</w:t>
      </w:r>
    </w:p>
    <w:p w14:paraId="0D3CA44F" w14:textId="2845D225" w:rsidR="002E203E" w:rsidRPr="002E203E" w:rsidRDefault="002E203E" w:rsidP="002E203E">
      <w:pPr>
        <w:pStyle w:val="Descripcin"/>
        <w:keepNext/>
        <w:jc w:val="center"/>
        <w:rPr>
          <w:rFonts w:ascii="Arial" w:hAnsi="Arial" w:cs="Arial"/>
          <w:smallCaps w:val="0"/>
          <w:sz w:val="18"/>
          <w:szCs w:val="18"/>
        </w:rPr>
      </w:pPr>
      <w:bookmarkStart w:id="556" w:name="_Toc99107169"/>
      <w:r w:rsidRPr="002E203E">
        <w:rPr>
          <w:rFonts w:ascii="Arial" w:hAnsi="Arial" w:cs="Arial"/>
          <w:smallCaps w:val="0"/>
          <w:color w:val="9D2235" w:themeColor="accent1"/>
          <w:sz w:val="18"/>
          <w:szCs w:val="18"/>
        </w:rPr>
        <w:t xml:space="preserve">Tabla </w:t>
      </w:r>
      <w:r w:rsidRPr="002E203E">
        <w:rPr>
          <w:rFonts w:ascii="Arial" w:hAnsi="Arial" w:cs="Arial"/>
          <w:smallCaps w:val="0"/>
          <w:color w:val="9D2235" w:themeColor="accent1"/>
          <w:sz w:val="18"/>
          <w:szCs w:val="18"/>
        </w:rPr>
        <w:fldChar w:fldCharType="begin" w:fldLock="1"/>
      </w:r>
      <w:r w:rsidRPr="002E203E">
        <w:rPr>
          <w:rFonts w:ascii="Arial" w:hAnsi="Arial" w:cs="Arial"/>
          <w:smallCaps w:val="0"/>
          <w:color w:val="9D2235" w:themeColor="accent1"/>
          <w:sz w:val="18"/>
          <w:szCs w:val="18"/>
        </w:rPr>
        <w:instrText xml:space="preserve"> SEQ Tabla \* ARABIC </w:instrText>
      </w:r>
      <w:r w:rsidRPr="002E203E">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31</w:t>
      </w:r>
      <w:r w:rsidRPr="002E203E">
        <w:rPr>
          <w:rFonts w:ascii="Arial" w:hAnsi="Arial" w:cs="Arial"/>
          <w:smallCaps w:val="0"/>
          <w:color w:val="9D2235" w:themeColor="accent1"/>
          <w:sz w:val="18"/>
          <w:szCs w:val="18"/>
        </w:rPr>
        <w:fldChar w:fldCharType="end"/>
      </w:r>
      <w:r w:rsidRPr="002E203E">
        <w:rPr>
          <w:rFonts w:ascii="Arial" w:hAnsi="Arial" w:cs="Arial"/>
          <w:smallCaps w:val="0"/>
          <w:color w:val="9D2235" w:themeColor="accent1"/>
          <w:sz w:val="18"/>
          <w:szCs w:val="18"/>
        </w:rPr>
        <w:t xml:space="preserve">. </w:t>
      </w:r>
      <w:r w:rsidRPr="002E203E">
        <w:rPr>
          <w:rFonts w:ascii="Arial" w:hAnsi="Arial" w:cs="Arial"/>
          <w:smallCaps w:val="0"/>
          <w:sz w:val="18"/>
          <w:szCs w:val="18"/>
        </w:rPr>
        <w:t>Presupuesto de ingresos ejercicio 2021</w:t>
      </w:r>
      <w:bookmarkEnd w:id="556"/>
    </w:p>
    <w:tbl>
      <w:tblPr>
        <w:tblW w:w="5842" w:type="dxa"/>
        <w:jc w:val="center"/>
        <w:tblCellMar>
          <w:left w:w="43" w:type="dxa"/>
        </w:tblCellMar>
        <w:tblLook w:val="0000" w:firstRow="0" w:lastRow="0" w:firstColumn="0" w:lastColumn="0" w:noHBand="0" w:noVBand="0"/>
      </w:tblPr>
      <w:tblGrid>
        <w:gridCol w:w="3063"/>
        <w:gridCol w:w="2779"/>
      </w:tblGrid>
      <w:tr w:rsidR="002E203E" w:rsidRPr="00C052D8" w14:paraId="73F93B72" w14:textId="77777777" w:rsidTr="00C052D8">
        <w:trPr>
          <w:trHeight w:val="686"/>
          <w:jc w:val="center"/>
        </w:trPr>
        <w:tc>
          <w:tcPr>
            <w:tcW w:w="5842" w:type="dxa"/>
            <w:gridSpan w:val="2"/>
            <w:tcBorders>
              <w:top w:val="single" w:sz="18" w:space="0" w:color="FFFFFF"/>
              <w:left w:val="single" w:sz="18" w:space="0" w:color="FFFFFF"/>
              <w:right w:val="single" w:sz="18" w:space="0" w:color="FFFFFF"/>
            </w:tcBorders>
            <w:shd w:val="clear" w:color="auto" w:fill="9D2235"/>
            <w:vAlign w:val="center"/>
          </w:tcPr>
          <w:p w14:paraId="21FFF8D1" w14:textId="77777777" w:rsidR="002E203E" w:rsidRPr="00C052D8" w:rsidRDefault="002E203E" w:rsidP="002E203E">
            <w:pPr>
              <w:widowControl w:val="0"/>
              <w:suppressAutoHyphens/>
              <w:spacing w:after="0" w:line="276" w:lineRule="auto"/>
              <w:jc w:val="both"/>
              <w:textAlignment w:val="baseline"/>
              <w:rPr>
                <w:rFonts w:ascii="Arial" w:eastAsia="NSimSun" w:hAnsi="Arial" w:cs="Arial"/>
                <w:b/>
                <w:bCs/>
                <w:color w:val="FFFFFF"/>
                <w:kern w:val="2"/>
                <w:sz w:val="19"/>
                <w:szCs w:val="19"/>
                <w:lang w:eastAsia="es-ES" w:bidi="hi-IN"/>
              </w:rPr>
            </w:pPr>
            <w:bookmarkStart w:id="557" w:name="_Hlk98922492"/>
            <w:r w:rsidRPr="00C052D8">
              <w:rPr>
                <w:rFonts w:ascii="Arial" w:eastAsia="NSimSun" w:hAnsi="Arial" w:cs="Arial"/>
                <w:b/>
                <w:bCs/>
                <w:color w:val="FFFFFF"/>
                <w:kern w:val="2"/>
                <w:sz w:val="19"/>
                <w:szCs w:val="19"/>
                <w:lang w:eastAsia="es-ES" w:bidi="hi-IN"/>
              </w:rPr>
              <w:t>PRESUPUESTO INGRESOS 2021</w:t>
            </w:r>
          </w:p>
        </w:tc>
      </w:tr>
      <w:bookmarkEnd w:id="557"/>
      <w:tr w:rsidR="002E203E" w:rsidRPr="00C052D8" w14:paraId="7374C7CA" w14:textId="77777777" w:rsidTr="002E203E">
        <w:trPr>
          <w:jc w:val="center"/>
        </w:trPr>
        <w:tc>
          <w:tcPr>
            <w:tcW w:w="3063" w:type="dxa"/>
            <w:tcBorders>
              <w:bottom w:val="single" w:sz="4" w:space="0" w:color="993333"/>
            </w:tcBorders>
            <w:shd w:val="clear" w:color="auto" w:fill="FFFFFF"/>
          </w:tcPr>
          <w:p w14:paraId="3B6A763B" w14:textId="77777777" w:rsidR="002E203E" w:rsidRPr="00C052D8" w:rsidRDefault="002E203E" w:rsidP="002E203E">
            <w:pPr>
              <w:widowControl w:val="0"/>
              <w:suppressAutoHyphens/>
              <w:spacing w:after="0" w:line="276" w:lineRule="auto"/>
              <w:jc w:val="both"/>
              <w:textAlignment w:val="baseline"/>
              <w:rPr>
                <w:rFonts w:ascii="Arial" w:eastAsia="NSimSun" w:hAnsi="Arial" w:cs="Arial"/>
                <w:kern w:val="2"/>
                <w:sz w:val="19"/>
                <w:szCs w:val="19"/>
                <w:lang w:eastAsia="es-ES" w:bidi="hi-IN"/>
              </w:rPr>
            </w:pPr>
            <w:r w:rsidRPr="00C052D8">
              <w:rPr>
                <w:rFonts w:ascii="Arial" w:eastAsia="NSimSun" w:hAnsi="Arial" w:cs="Arial"/>
                <w:kern w:val="2"/>
                <w:sz w:val="19"/>
                <w:szCs w:val="19"/>
                <w:lang w:eastAsia="es-ES" w:bidi="hi-IN"/>
              </w:rPr>
              <w:t xml:space="preserve">     CAP. IV</w:t>
            </w:r>
          </w:p>
        </w:tc>
        <w:tc>
          <w:tcPr>
            <w:tcW w:w="2779" w:type="dxa"/>
            <w:tcBorders>
              <w:bottom w:val="single" w:sz="4" w:space="0" w:color="993333"/>
            </w:tcBorders>
            <w:shd w:val="clear" w:color="auto" w:fill="FFFFFF"/>
          </w:tcPr>
          <w:p w14:paraId="7E468BF9" w14:textId="77777777" w:rsidR="002E203E" w:rsidRPr="00C052D8" w:rsidRDefault="002E203E" w:rsidP="002E203E">
            <w:pPr>
              <w:widowControl w:val="0"/>
              <w:suppressAutoHyphens/>
              <w:spacing w:after="0" w:line="276" w:lineRule="auto"/>
              <w:jc w:val="right"/>
              <w:textAlignment w:val="baseline"/>
              <w:rPr>
                <w:rFonts w:ascii="Arial" w:eastAsia="Times New Roman" w:hAnsi="Arial" w:cs="Arial"/>
                <w:kern w:val="2"/>
                <w:sz w:val="19"/>
                <w:szCs w:val="19"/>
                <w:lang w:eastAsia="es-ES" w:bidi="hi-IN"/>
              </w:rPr>
            </w:pPr>
            <w:r w:rsidRPr="00C052D8">
              <w:rPr>
                <w:rFonts w:ascii="Arial" w:eastAsia="Times New Roman" w:hAnsi="Arial" w:cs="Arial"/>
                <w:kern w:val="2"/>
                <w:sz w:val="19"/>
                <w:szCs w:val="19"/>
                <w:lang w:eastAsia="es-ES" w:bidi="hi-IN"/>
              </w:rPr>
              <w:t>4.224.439,31</w:t>
            </w:r>
          </w:p>
        </w:tc>
      </w:tr>
      <w:tr w:rsidR="002E203E" w:rsidRPr="00C052D8" w14:paraId="703F2043" w14:textId="77777777" w:rsidTr="002E203E">
        <w:trPr>
          <w:jc w:val="center"/>
        </w:trPr>
        <w:tc>
          <w:tcPr>
            <w:tcW w:w="3063" w:type="dxa"/>
            <w:tcBorders>
              <w:top w:val="single" w:sz="4" w:space="0" w:color="993333"/>
              <w:bottom w:val="single" w:sz="4" w:space="0" w:color="993333"/>
            </w:tcBorders>
            <w:shd w:val="clear" w:color="auto" w:fill="FFFFFF"/>
          </w:tcPr>
          <w:p w14:paraId="622185CB" w14:textId="77777777" w:rsidR="002E203E" w:rsidRPr="00C052D8" w:rsidRDefault="002E203E" w:rsidP="002E203E">
            <w:pPr>
              <w:widowControl w:val="0"/>
              <w:suppressAutoHyphens/>
              <w:spacing w:after="0" w:line="276" w:lineRule="auto"/>
              <w:jc w:val="both"/>
              <w:textAlignment w:val="baseline"/>
              <w:rPr>
                <w:rFonts w:ascii="Arial" w:eastAsia="NSimSun" w:hAnsi="Arial" w:cs="Arial"/>
                <w:kern w:val="2"/>
                <w:sz w:val="19"/>
                <w:szCs w:val="19"/>
                <w:lang w:eastAsia="es-ES" w:bidi="hi-IN"/>
              </w:rPr>
            </w:pPr>
            <w:r w:rsidRPr="00C052D8">
              <w:rPr>
                <w:rFonts w:ascii="Arial" w:eastAsia="NSimSun" w:hAnsi="Arial" w:cs="Arial"/>
                <w:kern w:val="2"/>
                <w:sz w:val="19"/>
                <w:szCs w:val="19"/>
                <w:lang w:eastAsia="es-ES" w:bidi="hi-IN"/>
              </w:rPr>
              <w:t xml:space="preserve">     CAP. VII</w:t>
            </w:r>
          </w:p>
        </w:tc>
        <w:tc>
          <w:tcPr>
            <w:tcW w:w="2779" w:type="dxa"/>
            <w:tcBorders>
              <w:top w:val="single" w:sz="4" w:space="0" w:color="993333"/>
              <w:bottom w:val="single" w:sz="4" w:space="0" w:color="993333"/>
            </w:tcBorders>
            <w:shd w:val="clear" w:color="auto" w:fill="FFFFFF"/>
          </w:tcPr>
          <w:p w14:paraId="3B16AEDD" w14:textId="77777777" w:rsidR="002E203E" w:rsidRPr="00C052D8" w:rsidRDefault="002E203E" w:rsidP="002E203E">
            <w:pPr>
              <w:widowControl w:val="0"/>
              <w:suppressAutoHyphens/>
              <w:spacing w:after="0" w:line="276" w:lineRule="auto"/>
              <w:jc w:val="right"/>
              <w:textAlignment w:val="baseline"/>
              <w:rPr>
                <w:rFonts w:ascii="Arial" w:eastAsia="Times New Roman" w:hAnsi="Arial" w:cs="Arial"/>
                <w:kern w:val="2"/>
                <w:sz w:val="19"/>
                <w:szCs w:val="19"/>
                <w:lang w:eastAsia="es-ES" w:bidi="hi-IN"/>
              </w:rPr>
            </w:pPr>
            <w:r w:rsidRPr="00C052D8">
              <w:rPr>
                <w:rFonts w:ascii="Arial" w:eastAsia="Times New Roman" w:hAnsi="Arial" w:cs="Arial"/>
                <w:kern w:val="2"/>
                <w:sz w:val="19"/>
                <w:szCs w:val="19"/>
                <w:lang w:eastAsia="es-ES" w:bidi="hi-IN"/>
              </w:rPr>
              <w:t>199.890,57</w:t>
            </w:r>
          </w:p>
        </w:tc>
      </w:tr>
      <w:tr w:rsidR="002E203E" w:rsidRPr="00C052D8" w14:paraId="05AF0C97" w14:textId="77777777" w:rsidTr="002E203E">
        <w:trPr>
          <w:jc w:val="center"/>
        </w:trPr>
        <w:tc>
          <w:tcPr>
            <w:tcW w:w="3063" w:type="dxa"/>
            <w:tcBorders>
              <w:top w:val="single" w:sz="4" w:space="0" w:color="993333"/>
              <w:bottom w:val="single" w:sz="4" w:space="0" w:color="993333"/>
            </w:tcBorders>
            <w:shd w:val="clear" w:color="auto" w:fill="EEEEEE"/>
          </w:tcPr>
          <w:p w14:paraId="40C58B39" w14:textId="77777777" w:rsidR="002E203E" w:rsidRPr="00C052D8" w:rsidRDefault="002E203E" w:rsidP="002E203E">
            <w:pPr>
              <w:widowControl w:val="0"/>
              <w:suppressAutoHyphens/>
              <w:spacing w:after="0" w:line="276" w:lineRule="auto"/>
              <w:jc w:val="both"/>
              <w:textAlignment w:val="baseline"/>
              <w:rPr>
                <w:rFonts w:ascii="Arial" w:eastAsia="NSimSun" w:hAnsi="Arial" w:cs="Arial"/>
                <w:b/>
                <w:bCs/>
                <w:kern w:val="2"/>
                <w:sz w:val="19"/>
                <w:szCs w:val="19"/>
                <w:lang w:eastAsia="es-ES" w:bidi="hi-IN"/>
              </w:rPr>
            </w:pPr>
            <w:r w:rsidRPr="00C052D8">
              <w:rPr>
                <w:rFonts w:ascii="Arial" w:eastAsia="NSimSun" w:hAnsi="Arial" w:cs="Arial"/>
                <w:b/>
                <w:bCs/>
                <w:kern w:val="2"/>
                <w:sz w:val="19"/>
                <w:szCs w:val="19"/>
                <w:lang w:eastAsia="es-ES" w:bidi="hi-IN"/>
              </w:rPr>
              <w:t xml:space="preserve">    TOTAL PRESUPUESTO</w:t>
            </w:r>
          </w:p>
        </w:tc>
        <w:tc>
          <w:tcPr>
            <w:tcW w:w="2779" w:type="dxa"/>
            <w:tcBorders>
              <w:top w:val="single" w:sz="4" w:space="0" w:color="993333"/>
              <w:bottom w:val="single" w:sz="4" w:space="0" w:color="993333"/>
            </w:tcBorders>
            <w:shd w:val="clear" w:color="auto" w:fill="EEEEEE"/>
          </w:tcPr>
          <w:p w14:paraId="757ADE4C" w14:textId="77777777" w:rsidR="002E203E" w:rsidRPr="00C052D8" w:rsidRDefault="002E203E" w:rsidP="002E203E">
            <w:pPr>
              <w:widowControl w:val="0"/>
              <w:suppressAutoHyphens/>
              <w:spacing w:after="0" w:line="276" w:lineRule="auto"/>
              <w:jc w:val="right"/>
              <w:textAlignment w:val="baseline"/>
              <w:rPr>
                <w:rFonts w:ascii="Arial" w:eastAsia="Times New Roman" w:hAnsi="Arial" w:cs="Arial"/>
                <w:b/>
                <w:bCs/>
                <w:kern w:val="2"/>
                <w:sz w:val="19"/>
                <w:szCs w:val="19"/>
                <w:lang w:eastAsia="es-ES" w:bidi="hi-IN"/>
              </w:rPr>
            </w:pPr>
            <w:r w:rsidRPr="00C052D8">
              <w:rPr>
                <w:rFonts w:ascii="Arial" w:eastAsia="Times New Roman" w:hAnsi="Arial" w:cs="Arial"/>
                <w:b/>
                <w:bCs/>
                <w:kern w:val="2"/>
                <w:sz w:val="19"/>
                <w:szCs w:val="19"/>
                <w:lang w:eastAsia="es-ES" w:bidi="hi-IN"/>
              </w:rPr>
              <w:t>4.424.329,88</w:t>
            </w:r>
          </w:p>
        </w:tc>
      </w:tr>
    </w:tbl>
    <w:p w14:paraId="153C9B65" w14:textId="2C12FC33" w:rsidR="00C440A7" w:rsidRDefault="00C440A7" w:rsidP="002E203E">
      <w:pPr>
        <w:spacing w:after="240" w:line="276" w:lineRule="auto"/>
        <w:jc w:val="both"/>
        <w:rPr>
          <w:rFonts w:ascii="Arial" w:eastAsia="Droid Sans Fallback" w:hAnsi="Arial" w:cs="Arial"/>
          <w:kern w:val="3"/>
          <w:sz w:val="21"/>
          <w:szCs w:val="21"/>
          <w:lang w:eastAsia="zh-CN" w:bidi="hi-IN"/>
        </w:rPr>
      </w:pPr>
    </w:p>
    <w:p w14:paraId="6F620CD6" w14:textId="5778332C" w:rsidR="002E203E" w:rsidRDefault="002E203E" w:rsidP="00AD6163">
      <w:pPr>
        <w:spacing w:after="240" w:line="276" w:lineRule="auto"/>
        <w:jc w:val="both"/>
        <w:rPr>
          <w:rFonts w:ascii="Arial" w:eastAsia="Droid Sans Fallback" w:hAnsi="Arial" w:cs="Arial"/>
          <w:kern w:val="3"/>
          <w:sz w:val="21"/>
          <w:szCs w:val="21"/>
          <w:lang w:eastAsia="zh-CN" w:bidi="hi-IN"/>
        </w:rPr>
      </w:pPr>
      <w:r w:rsidRPr="002E203E">
        <w:rPr>
          <w:rFonts w:ascii="Arial" w:eastAsia="Droid Sans Fallback" w:hAnsi="Arial" w:cs="Arial"/>
          <w:kern w:val="3"/>
          <w:sz w:val="21"/>
          <w:szCs w:val="21"/>
          <w:lang w:eastAsia="zh-CN" w:bidi="hi-IN"/>
        </w:rPr>
        <w:t xml:space="preserve">Hay que tener en cuenta que la </w:t>
      </w:r>
      <w:bookmarkStart w:id="558" w:name="_Hlk96079235"/>
      <w:r w:rsidRPr="002E203E">
        <w:rPr>
          <w:rFonts w:ascii="Arial" w:eastAsia="Droid Sans Fallback" w:hAnsi="Arial" w:cs="Arial"/>
          <w:kern w:val="3"/>
          <w:sz w:val="21"/>
          <w:szCs w:val="21"/>
          <w:lang w:eastAsia="zh-CN" w:bidi="hi-IN"/>
        </w:rPr>
        <w:t>Ley 4/2020, de 30 de diciembre, de Presupuestos de la Generalitat para el ejercicio 2021</w:t>
      </w:r>
      <w:bookmarkEnd w:id="558"/>
      <w:r w:rsidRPr="002E203E">
        <w:rPr>
          <w:rFonts w:ascii="Arial" w:eastAsia="Droid Sans Fallback" w:hAnsi="Arial" w:cs="Arial"/>
          <w:kern w:val="3"/>
          <w:sz w:val="21"/>
          <w:szCs w:val="21"/>
          <w:lang w:eastAsia="zh-CN" w:bidi="hi-IN"/>
        </w:rPr>
        <w:t>, redondea al alza los importes señalados en los siguientes términos.</w:t>
      </w:r>
    </w:p>
    <w:p w14:paraId="2AE0D930" w14:textId="2B3D624B" w:rsidR="002E203E" w:rsidRPr="002E203E" w:rsidRDefault="002E203E" w:rsidP="008B21DA">
      <w:pPr>
        <w:pStyle w:val="Descripcin"/>
        <w:keepNext/>
        <w:contextualSpacing/>
        <w:jc w:val="center"/>
        <w:rPr>
          <w:rFonts w:ascii="Arial" w:hAnsi="Arial" w:cs="Arial"/>
          <w:smallCaps w:val="0"/>
          <w:sz w:val="18"/>
          <w:szCs w:val="18"/>
        </w:rPr>
      </w:pPr>
      <w:bookmarkStart w:id="559" w:name="_Toc99107170"/>
      <w:r w:rsidRPr="002E203E">
        <w:rPr>
          <w:rFonts w:ascii="Arial" w:hAnsi="Arial" w:cs="Arial"/>
          <w:smallCaps w:val="0"/>
          <w:color w:val="9D2235" w:themeColor="accent1"/>
          <w:sz w:val="18"/>
          <w:szCs w:val="18"/>
        </w:rPr>
        <w:t xml:space="preserve">Tabla </w:t>
      </w:r>
      <w:r w:rsidRPr="002E203E">
        <w:rPr>
          <w:rFonts w:ascii="Arial" w:hAnsi="Arial" w:cs="Arial"/>
          <w:smallCaps w:val="0"/>
          <w:color w:val="9D2235" w:themeColor="accent1"/>
          <w:sz w:val="18"/>
          <w:szCs w:val="18"/>
        </w:rPr>
        <w:fldChar w:fldCharType="begin" w:fldLock="1"/>
      </w:r>
      <w:r w:rsidRPr="002E203E">
        <w:rPr>
          <w:rFonts w:ascii="Arial" w:hAnsi="Arial" w:cs="Arial"/>
          <w:smallCaps w:val="0"/>
          <w:color w:val="9D2235" w:themeColor="accent1"/>
          <w:sz w:val="18"/>
          <w:szCs w:val="18"/>
        </w:rPr>
        <w:instrText xml:space="preserve"> SEQ Tabla \* ARABIC </w:instrText>
      </w:r>
      <w:r w:rsidRPr="002E203E">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32</w:t>
      </w:r>
      <w:r w:rsidRPr="002E203E">
        <w:rPr>
          <w:rFonts w:ascii="Arial" w:hAnsi="Arial" w:cs="Arial"/>
          <w:smallCaps w:val="0"/>
          <w:color w:val="9D2235" w:themeColor="accent1"/>
          <w:sz w:val="18"/>
          <w:szCs w:val="18"/>
        </w:rPr>
        <w:fldChar w:fldCharType="end"/>
      </w:r>
      <w:r w:rsidRPr="002E203E">
        <w:rPr>
          <w:rFonts w:ascii="Arial" w:hAnsi="Arial" w:cs="Arial"/>
          <w:smallCaps w:val="0"/>
          <w:color w:val="9D2235" w:themeColor="accent1"/>
          <w:sz w:val="18"/>
          <w:szCs w:val="18"/>
        </w:rPr>
        <w:t xml:space="preserve">. </w:t>
      </w:r>
      <w:r w:rsidRPr="002E203E">
        <w:rPr>
          <w:rFonts w:ascii="Arial" w:hAnsi="Arial" w:cs="Arial"/>
          <w:smallCaps w:val="0"/>
          <w:sz w:val="18"/>
          <w:szCs w:val="18"/>
        </w:rPr>
        <w:t>Transferencias a la A</w:t>
      </w:r>
      <w:r w:rsidR="00D70F8E">
        <w:rPr>
          <w:rFonts w:ascii="Arial" w:hAnsi="Arial" w:cs="Arial"/>
          <w:smallCaps w:val="0"/>
          <w:sz w:val="18"/>
          <w:szCs w:val="18"/>
        </w:rPr>
        <w:t>VAF</w:t>
      </w:r>
      <w:r w:rsidRPr="002E203E">
        <w:rPr>
          <w:rFonts w:ascii="Arial" w:hAnsi="Arial" w:cs="Arial"/>
          <w:smallCaps w:val="0"/>
          <w:sz w:val="18"/>
          <w:szCs w:val="18"/>
        </w:rPr>
        <w:t xml:space="preserve"> previstas en la</w:t>
      </w:r>
      <w:r w:rsidR="008B21DA">
        <w:rPr>
          <w:rFonts w:ascii="Arial" w:hAnsi="Arial" w:cs="Arial"/>
          <w:smallCaps w:val="0"/>
          <w:sz w:val="18"/>
          <w:szCs w:val="18"/>
        </w:rPr>
        <w:t xml:space="preserve"> </w:t>
      </w:r>
      <w:r w:rsidRPr="002E203E">
        <w:rPr>
          <w:rFonts w:ascii="Arial" w:hAnsi="Arial" w:cs="Arial"/>
          <w:smallCaps w:val="0"/>
          <w:sz w:val="18"/>
          <w:szCs w:val="18"/>
        </w:rPr>
        <w:t>Ley 4/2020,</w:t>
      </w:r>
      <w:r w:rsidR="008B21DA">
        <w:rPr>
          <w:rFonts w:ascii="Arial" w:hAnsi="Arial" w:cs="Arial"/>
          <w:smallCaps w:val="0"/>
          <w:sz w:val="18"/>
          <w:szCs w:val="18"/>
        </w:rPr>
        <w:t xml:space="preserve"> </w:t>
      </w:r>
      <w:r w:rsidRPr="002E203E">
        <w:rPr>
          <w:rFonts w:ascii="Arial" w:hAnsi="Arial" w:cs="Arial"/>
          <w:smallCaps w:val="0"/>
          <w:sz w:val="18"/>
          <w:szCs w:val="18"/>
        </w:rPr>
        <w:t>de 30 de diciembre, de Presupuestos de la Generalitat para el ejercicio 2021</w:t>
      </w:r>
      <w:bookmarkEnd w:id="559"/>
    </w:p>
    <w:tbl>
      <w:tblPr>
        <w:tblW w:w="5842" w:type="dxa"/>
        <w:jc w:val="center"/>
        <w:tblCellMar>
          <w:left w:w="43" w:type="dxa"/>
        </w:tblCellMar>
        <w:tblLook w:val="0000" w:firstRow="0" w:lastRow="0" w:firstColumn="0" w:lastColumn="0" w:noHBand="0" w:noVBand="0"/>
      </w:tblPr>
      <w:tblGrid>
        <w:gridCol w:w="3063"/>
        <w:gridCol w:w="2779"/>
      </w:tblGrid>
      <w:tr w:rsidR="002E203E" w:rsidRPr="00C052D8" w14:paraId="4A9D2B6F" w14:textId="77777777" w:rsidTr="00C052D8">
        <w:trPr>
          <w:trHeight w:val="686"/>
          <w:jc w:val="center"/>
        </w:trPr>
        <w:tc>
          <w:tcPr>
            <w:tcW w:w="5842" w:type="dxa"/>
            <w:gridSpan w:val="2"/>
            <w:tcBorders>
              <w:top w:val="single" w:sz="18" w:space="0" w:color="FFFFFF"/>
              <w:left w:val="single" w:sz="18" w:space="0" w:color="FFFFFF"/>
              <w:right w:val="single" w:sz="18" w:space="0" w:color="FFFFFF"/>
            </w:tcBorders>
            <w:shd w:val="clear" w:color="auto" w:fill="9D2235"/>
            <w:vAlign w:val="center"/>
          </w:tcPr>
          <w:p w14:paraId="00E8530E" w14:textId="77777777" w:rsidR="002E203E" w:rsidRPr="00C052D8" w:rsidRDefault="002E203E" w:rsidP="002E203E">
            <w:pPr>
              <w:widowControl w:val="0"/>
              <w:suppressAutoHyphens/>
              <w:spacing w:after="0" w:line="276" w:lineRule="auto"/>
              <w:jc w:val="both"/>
              <w:textAlignment w:val="baseline"/>
              <w:rPr>
                <w:rFonts w:ascii="Arial" w:eastAsia="NSimSun" w:hAnsi="Arial" w:cs="Arial"/>
                <w:b/>
                <w:bCs/>
                <w:color w:val="FFFFFF"/>
                <w:kern w:val="2"/>
                <w:sz w:val="19"/>
                <w:szCs w:val="19"/>
                <w:lang w:eastAsia="es-ES" w:bidi="hi-IN"/>
              </w:rPr>
            </w:pPr>
            <w:r w:rsidRPr="00C052D8">
              <w:rPr>
                <w:rFonts w:ascii="Arial" w:eastAsia="NSimSun" w:hAnsi="Arial" w:cs="Arial"/>
                <w:b/>
                <w:bCs/>
                <w:color w:val="FFFFFF"/>
                <w:kern w:val="2"/>
                <w:sz w:val="19"/>
                <w:szCs w:val="19"/>
                <w:lang w:eastAsia="es-ES" w:bidi="hi-IN"/>
              </w:rPr>
              <w:t>Transferencias a la Agencia Antifraude de la Generalitat</w:t>
            </w:r>
          </w:p>
          <w:p w14:paraId="6BC6F475" w14:textId="77777777" w:rsidR="002E203E" w:rsidRPr="00C052D8" w:rsidRDefault="002E203E" w:rsidP="002E203E">
            <w:pPr>
              <w:widowControl w:val="0"/>
              <w:suppressAutoHyphens/>
              <w:spacing w:after="0" w:line="276" w:lineRule="auto"/>
              <w:jc w:val="both"/>
              <w:textAlignment w:val="baseline"/>
              <w:rPr>
                <w:rFonts w:ascii="Arial" w:eastAsia="NSimSun" w:hAnsi="Arial" w:cs="Arial"/>
                <w:b/>
                <w:bCs/>
                <w:color w:val="FFFFFF"/>
                <w:kern w:val="2"/>
                <w:sz w:val="19"/>
                <w:szCs w:val="19"/>
                <w:lang w:eastAsia="es-ES" w:bidi="hi-IN"/>
              </w:rPr>
            </w:pPr>
            <w:r w:rsidRPr="00C052D8">
              <w:rPr>
                <w:rFonts w:ascii="Arial" w:eastAsia="NSimSun" w:hAnsi="Arial" w:cs="Arial"/>
                <w:b/>
                <w:bCs/>
                <w:color w:val="FFFFFF"/>
                <w:kern w:val="2"/>
                <w:sz w:val="19"/>
                <w:szCs w:val="19"/>
                <w:lang w:eastAsia="es-ES" w:bidi="hi-IN"/>
              </w:rPr>
              <w:t>(En miles de euros)</w:t>
            </w:r>
          </w:p>
        </w:tc>
      </w:tr>
      <w:tr w:rsidR="002E203E" w:rsidRPr="00C052D8" w14:paraId="09A5E2DB" w14:textId="77777777" w:rsidTr="00271465">
        <w:trPr>
          <w:jc w:val="center"/>
        </w:trPr>
        <w:tc>
          <w:tcPr>
            <w:tcW w:w="3063" w:type="dxa"/>
            <w:tcBorders>
              <w:bottom w:val="single" w:sz="4" w:space="0" w:color="993333"/>
            </w:tcBorders>
            <w:shd w:val="clear" w:color="auto" w:fill="FFFFFF"/>
          </w:tcPr>
          <w:p w14:paraId="0A981B2B" w14:textId="77777777" w:rsidR="002E203E" w:rsidRPr="00C052D8" w:rsidRDefault="002E203E" w:rsidP="002E203E">
            <w:pPr>
              <w:widowControl w:val="0"/>
              <w:suppressAutoHyphens/>
              <w:spacing w:after="0" w:line="276" w:lineRule="auto"/>
              <w:jc w:val="both"/>
              <w:textAlignment w:val="baseline"/>
              <w:rPr>
                <w:rFonts w:ascii="Arial" w:eastAsia="NSimSun" w:hAnsi="Arial" w:cs="Arial"/>
                <w:kern w:val="2"/>
                <w:sz w:val="19"/>
                <w:szCs w:val="19"/>
                <w:lang w:eastAsia="es-ES" w:bidi="hi-IN"/>
              </w:rPr>
            </w:pPr>
            <w:r w:rsidRPr="00C052D8">
              <w:rPr>
                <w:rFonts w:ascii="Arial" w:eastAsia="NSimSun" w:hAnsi="Arial" w:cs="Arial"/>
                <w:kern w:val="2"/>
                <w:sz w:val="19"/>
                <w:szCs w:val="19"/>
                <w:lang w:eastAsia="es-ES" w:bidi="hi-IN"/>
              </w:rPr>
              <w:t xml:space="preserve">     CAP. IV</w:t>
            </w:r>
          </w:p>
        </w:tc>
        <w:tc>
          <w:tcPr>
            <w:tcW w:w="2779" w:type="dxa"/>
            <w:tcBorders>
              <w:bottom w:val="single" w:sz="4" w:space="0" w:color="993333"/>
            </w:tcBorders>
            <w:shd w:val="clear" w:color="auto" w:fill="FFFFFF"/>
          </w:tcPr>
          <w:p w14:paraId="0856EBEF" w14:textId="77777777" w:rsidR="002E203E" w:rsidRPr="00C052D8" w:rsidRDefault="002E203E" w:rsidP="002E203E">
            <w:pPr>
              <w:widowControl w:val="0"/>
              <w:suppressAutoHyphens/>
              <w:spacing w:after="0" w:line="276" w:lineRule="auto"/>
              <w:jc w:val="right"/>
              <w:textAlignment w:val="baseline"/>
              <w:rPr>
                <w:rFonts w:ascii="Arial" w:eastAsia="Times New Roman" w:hAnsi="Arial" w:cs="Arial"/>
                <w:kern w:val="2"/>
                <w:sz w:val="19"/>
                <w:szCs w:val="19"/>
                <w:lang w:eastAsia="es-ES" w:bidi="hi-IN"/>
              </w:rPr>
            </w:pPr>
            <w:r w:rsidRPr="00C052D8">
              <w:rPr>
                <w:rFonts w:ascii="Arial" w:eastAsia="Times New Roman" w:hAnsi="Arial" w:cs="Arial"/>
                <w:kern w:val="2"/>
                <w:sz w:val="19"/>
                <w:szCs w:val="19"/>
                <w:lang w:eastAsia="es-ES" w:bidi="hi-IN"/>
              </w:rPr>
              <w:t>4.224,45</w:t>
            </w:r>
          </w:p>
        </w:tc>
      </w:tr>
      <w:tr w:rsidR="002E203E" w:rsidRPr="00C052D8" w14:paraId="00ABF2E4" w14:textId="77777777" w:rsidTr="00271465">
        <w:trPr>
          <w:jc w:val="center"/>
        </w:trPr>
        <w:tc>
          <w:tcPr>
            <w:tcW w:w="3063" w:type="dxa"/>
            <w:tcBorders>
              <w:top w:val="single" w:sz="4" w:space="0" w:color="993333"/>
              <w:bottom w:val="single" w:sz="4" w:space="0" w:color="993333"/>
            </w:tcBorders>
            <w:shd w:val="clear" w:color="auto" w:fill="FFFFFF"/>
          </w:tcPr>
          <w:p w14:paraId="3BFC936C" w14:textId="77777777" w:rsidR="002E203E" w:rsidRPr="00C052D8" w:rsidRDefault="002E203E" w:rsidP="002E203E">
            <w:pPr>
              <w:widowControl w:val="0"/>
              <w:suppressAutoHyphens/>
              <w:spacing w:after="0" w:line="276" w:lineRule="auto"/>
              <w:jc w:val="both"/>
              <w:textAlignment w:val="baseline"/>
              <w:rPr>
                <w:rFonts w:ascii="Arial" w:eastAsia="NSimSun" w:hAnsi="Arial" w:cs="Arial"/>
                <w:kern w:val="2"/>
                <w:sz w:val="19"/>
                <w:szCs w:val="19"/>
                <w:lang w:eastAsia="es-ES" w:bidi="hi-IN"/>
              </w:rPr>
            </w:pPr>
            <w:r w:rsidRPr="00C052D8">
              <w:rPr>
                <w:rFonts w:ascii="Arial" w:eastAsia="NSimSun" w:hAnsi="Arial" w:cs="Arial"/>
                <w:kern w:val="2"/>
                <w:sz w:val="19"/>
                <w:szCs w:val="19"/>
                <w:lang w:eastAsia="es-ES" w:bidi="hi-IN"/>
              </w:rPr>
              <w:t xml:space="preserve">     CAP. VII</w:t>
            </w:r>
          </w:p>
        </w:tc>
        <w:tc>
          <w:tcPr>
            <w:tcW w:w="2779" w:type="dxa"/>
            <w:tcBorders>
              <w:top w:val="single" w:sz="4" w:space="0" w:color="993333"/>
              <w:bottom w:val="single" w:sz="4" w:space="0" w:color="993333"/>
            </w:tcBorders>
            <w:shd w:val="clear" w:color="auto" w:fill="FFFFFF"/>
          </w:tcPr>
          <w:p w14:paraId="63B061FC" w14:textId="77777777" w:rsidR="002E203E" w:rsidRPr="00C052D8" w:rsidRDefault="002E203E" w:rsidP="002E203E">
            <w:pPr>
              <w:widowControl w:val="0"/>
              <w:suppressAutoHyphens/>
              <w:spacing w:after="0" w:line="276" w:lineRule="auto"/>
              <w:jc w:val="right"/>
              <w:textAlignment w:val="baseline"/>
              <w:rPr>
                <w:rFonts w:ascii="Arial" w:eastAsia="Times New Roman" w:hAnsi="Arial" w:cs="Arial"/>
                <w:kern w:val="2"/>
                <w:sz w:val="19"/>
                <w:szCs w:val="19"/>
                <w:lang w:eastAsia="es-ES" w:bidi="hi-IN"/>
              </w:rPr>
            </w:pPr>
            <w:r w:rsidRPr="00C052D8">
              <w:rPr>
                <w:rFonts w:ascii="Arial" w:eastAsia="Times New Roman" w:hAnsi="Arial" w:cs="Arial"/>
                <w:kern w:val="2"/>
                <w:sz w:val="19"/>
                <w:szCs w:val="19"/>
                <w:lang w:eastAsia="es-ES" w:bidi="hi-IN"/>
              </w:rPr>
              <w:t>199,89</w:t>
            </w:r>
          </w:p>
        </w:tc>
      </w:tr>
      <w:tr w:rsidR="002E203E" w:rsidRPr="00C052D8" w14:paraId="7639554D" w14:textId="77777777" w:rsidTr="00271465">
        <w:trPr>
          <w:jc w:val="center"/>
        </w:trPr>
        <w:tc>
          <w:tcPr>
            <w:tcW w:w="3063" w:type="dxa"/>
            <w:tcBorders>
              <w:top w:val="single" w:sz="4" w:space="0" w:color="993333"/>
              <w:bottom w:val="single" w:sz="4" w:space="0" w:color="993333"/>
            </w:tcBorders>
            <w:shd w:val="clear" w:color="auto" w:fill="EEEEEE"/>
          </w:tcPr>
          <w:p w14:paraId="5F91CF58" w14:textId="77777777" w:rsidR="002E203E" w:rsidRPr="00C052D8" w:rsidRDefault="002E203E" w:rsidP="002E203E">
            <w:pPr>
              <w:widowControl w:val="0"/>
              <w:suppressAutoHyphens/>
              <w:spacing w:after="0" w:line="276" w:lineRule="auto"/>
              <w:jc w:val="both"/>
              <w:textAlignment w:val="baseline"/>
              <w:rPr>
                <w:rFonts w:ascii="Arial" w:eastAsia="NSimSun" w:hAnsi="Arial" w:cs="Arial"/>
                <w:b/>
                <w:bCs/>
                <w:kern w:val="2"/>
                <w:sz w:val="19"/>
                <w:szCs w:val="19"/>
                <w:lang w:eastAsia="es-ES" w:bidi="hi-IN"/>
              </w:rPr>
            </w:pPr>
            <w:r w:rsidRPr="00C052D8">
              <w:rPr>
                <w:rFonts w:ascii="Arial" w:eastAsia="NSimSun" w:hAnsi="Arial" w:cs="Arial"/>
                <w:b/>
                <w:bCs/>
                <w:kern w:val="2"/>
                <w:sz w:val="19"/>
                <w:szCs w:val="19"/>
                <w:lang w:eastAsia="es-ES" w:bidi="hi-IN"/>
              </w:rPr>
              <w:t xml:space="preserve">    TOTAL PRESUPUESTO</w:t>
            </w:r>
          </w:p>
        </w:tc>
        <w:tc>
          <w:tcPr>
            <w:tcW w:w="2779" w:type="dxa"/>
            <w:tcBorders>
              <w:top w:val="single" w:sz="4" w:space="0" w:color="993333"/>
              <w:bottom w:val="single" w:sz="4" w:space="0" w:color="993333"/>
            </w:tcBorders>
            <w:shd w:val="clear" w:color="auto" w:fill="EEEEEE"/>
          </w:tcPr>
          <w:p w14:paraId="77CC5DD9" w14:textId="77777777" w:rsidR="002E203E" w:rsidRPr="00C052D8" w:rsidRDefault="002E203E" w:rsidP="002E203E">
            <w:pPr>
              <w:widowControl w:val="0"/>
              <w:suppressAutoHyphens/>
              <w:spacing w:after="0" w:line="276" w:lineRule="auto"/>
              <w:jc w:val="right"/>
              <w:textAlignment w:val="baseline"/>
              <w:rPr>
                <w:rFonts w:ascii="Arial" w:eastAsia="Times New Roman" w:hAnsi="Arial" w:cs="Arial"/>
                <w:b/>
                <w:bCs/>
                <w:kern w:val="2"/>
                <w:sz w:val="19"/>
                <w:szCs w:val="19"/>
                <w:lang w:eastAsia="es-ES" w:bidi="hi-IN"/>
              </w:rPr>
            </w:pPr>
            <w:r w:rsidRPr="00C052D8">
              <w:rPr>
                <w:rFonts w:ascii="Arial" w:eastAsia="Times New Roman" w:hAnsi="Arial" w:cs="Arial"/>
                <w:b/>
                <w:bCs/>
                <w:kern w:val="2"/>
                <w:sz w:val="19"/>
                <w:szCs w:val="19"/>
                <w:lang w:eastAsia="es-ES" w:bidi="hi-IN"/>
              </w:rPr>
              <w:t>4.424,34</w:t>
            </w:r>
          </w:p>
        </w:tc>
      </w:tr>
    </w:tbl>
    <w:p w14:paraId="74ABBD24" w14:textId="7B8415FF" w:rsidR="002E203E" w:rsidRDefault="002E203E" w:rsidP="00AD6163">
      <w:pPr>
        <w:spacing w:after="240" w:line="276" w:lineRule="auto"/>
        <w:jc w:val="both"/>
        <w:rPr>
          <w:rFonts w:ascii="Arial" w:eastAsia="Droid Sans Fallback" w:hAnsi="Arial" w:cs="Arial"/>
          <w:kern w:val="3"/>
          <w:sz w:val="21"/>
          <w:szCs w:val="21"/>
          <w:lang w:eastAsia="zh-CN" w:bidi="hi-IN"/>
        </w:rPr>
      </w:pPr>
    </w:p>
    <w:p w14:paraId="1A30DEDF" w14:textId="77777777" w:rsidR="008B21DA" w:rsidRPr="008B21DA" w:rsidRDefault="008B21DA" w:rsidP="008B21DA">
      <w:pPr>
        <w:spacing w:after="240" w:line="276" w:lineRule="auto"/>
        <w:jc w:val="both"/>
        <w:rPr>
          <w:rFonts w:ascii="Arial" w:eastAsia="Droid Sans Fallback" w:hAnsi="Arial" w:cs="Arial"/>
          <w:kern w:val="3"/>
          <w:sz w:val="21"/>
          <w:szCs w:val="21"/>
          <w:lang w:eastAsia="zh-CN" w:bidi="hi-IN"/>
        </w:rPr>
      </w:pPr>
      <w:r w:rsidRPr="008B21DA">
        <w:rPr>
          <w:rFonts w:ascii="Arial" w:eastAsia="Droid Sans Fallback" w:hAnsi="Arial" w:cs="Arial"/>
          <w:kern w:val="3"/>
          <w:sz w:val="21"/>
          <w:szCs w:val="21"/>
          <w:lang w:eastAsia="zh-CN" w:bidi="hi-IN"/>
        </w:rPr>
        <w:t>Durante el ejercicio 2021, se ha podido proceder, definitivamente, tras la petición reiterada de esta Agencia, al reintegro a la Generalitat de las transferencias recibidas correspondientes a los ejercicios 2018, 2019 y 2020 y no aplicadas.</w:t>
      </w:r>
    </w:p>
    <w:p w14:paraId="154CC4A9" w14:textId="19930158" w:rsidR="002E203E" w:rsidRDefault="008B21DA" w:rsidP="008B21DA">
      <w:pPr>
        <w:spacing w:after="240" w:line="276" w:lineRule="auto"/>
        <w:jc w:val="both"/>
        <w:rPr>
          <w:rFonts w:ascii="Arial" w:eastAsia="Droid Sans Fallback" w:hAnsi="Arial" w:cs="Arial"/>
          <w:kern w:val="3"/>
          <w:sz w:val="21"/>
          <w:szCs w:val="21"/>
          <w:lang w:eastAsia="zh-CN" w:bidi="hi-IN"/>
        </w:rPr>
      </w:pPr>
      <w:r w:rsidRPr="008B21DA">
        <w:rPr>
          <w:rFonts w:ascii="Arial" w:eastAsia="Droid Sans Fallback" w:hAnsi="Arial" w:cs="Arial"/>
          <w:kern w:val="3"/>
          <w:sz w:val="21"/>
          <w:szCs w:val="21"/>
          <w:lang w:eastAsia="zh-CN" w:bidi="hi-IN"/>
        </w:rPr>
        <w:t>Ante la inexistencia de procedimiento legalmente habilitado para ello hasta el momento, se indica que los remanentes acumulados por la Agencia pendientes de devolución a la Conselleria de Hacienda han sido los siguientes.</w:t>
      </w:r>
    </w:p>
    <w:p w14:paraId="3D512A4F" w14:textId="5F309A4E" w:rsidR="00531FF5" w:rsidRPr="00531FF5" w:rsidRDefault="00531FF5" w:rsidP="00531FF5">
      <w:pPr>
        <w:pStyle w:val="Descripcin"/>
        <w:keepNext/>
        <w:jc w:val="center"/>
        <w:rPr>
          <w:rFonts w:ascii="Arial" w:hAnsi="Arial" w:cs="Arial"/>
          <w:smallCaps w:val="0"/>
          <w:sz w:val="18"/>
          <w:szCs w:val="18"/>
        </w:rPr>
      </w:pPr>
      <w:bookmarkStart w:id="560" w:name="_Toc99107171"/>
      <w:r w:rsidRPr="00531FF5">
        <w:rPr>
          <w:rFonts w:ascii="Arial" w:hAnsi="Arial" w:cs="Arial"/>
          <w:smallCaps w:val="0"/>
          <w:color w:val="9D2235" w:themeColor="accent1"/>
          <w:sz w:val="18"/>
          <w:szCs w:val="18"/>
        </w:rPr>
        <w:t xml:space="preserve">Tabla </w:t>
      </w:r>
      <w:r w:rsidRPr="00531FF5">
        <w:rPr>
          <w:rFonts w:ascii="Arial" w:hAnsi="Arial" w:cs="Arial"/>
          <w:smallCaps w:val="0"/>
          <w:color w:val="9D2235" w:themeColor="accent1"/>
          <w:sz w:val="18"/>
          <w:szCs w:val="18"/>
        </w:rPr>
        <w:fldChar w:fldCharType="begin" w:fldLock="1"/>
      </w:r>
      <w:r w:rsidRPr="00531FF5">
        <w:rPr>
          <w:rFonts w:ascii="Arial" w:hAnsi="Arial" w:cs="Arial"/>
          <w:smallCaps w:val="0"/>
          <w:color w:val="9D2235" w:themeColor="accent1"/>
          <w:sz w:val="18"/>
          <w:szCs w:val="18"/>
        </w:rPr>
        <w:instrText xml:space="preserve"> SEQ Tabla \* ARABIC </w:instrText>
      </w:r>
      <w:r w:rsidRPr="00531FF5">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33</w:t>
      </w:r>
      <w:r w:rsidRPr="00531FF5">
        <w:rPr>
          <w:rFonts w:ascii="Arial" w:hAnsi="Arial" w:cs="Arial"/>
          <w:smallCaps w:val="0"/>
          <w:color w:val="9D2235" w:themeColor="accent1"/>
          <w:sz w:val="18"/>
          <w:szCs w:val="18"/>
        </w:rPr>
        <w:fldChar w:fldCharType="end"/>
      </w:r>
      <w:r w:rsidRPr="00531FF5">
        <w:rPr>
          <w:rFonts w:ascii="Arial" w:hAnsi="Arial" w:cs="Arial"/>
          <w:smallCaps w:val="0"/>
          <w:color w:val="9D2235" w:themeColor="accent1"/>
          <w:sz w:val="18"/>
          <w:szCs w:val="18"/>
        </w:rPr>
        <w:t xml:space="preserve">. </w:t>
      </w:r>
      <w:r w:rsidRPr="00531FF5">
        <w:rPr>
          <w:rFonts w:ascii="Arial" w:hAnsi="Arial" w:cs="Arial"/>
          <w:smallCaps w:val="0"/>
          <w:sz w:val="18"/>
          <w:szCs w:val="18"/>
        </w:rPr>
        <w:t>Remanentes acumulados a 31 de diciembre de 2021</w:t>
      </w:r>
      <w:bookmarkEnd w:id="560"/>
    </w:p>
    <w:tbl>
      <w:tblPr>
        <w:tblW w:w="5889" w:type="dxa"/>
        <w:jc w:val="center"/>
        <w:tblCellMar>
          <w:left w:w="43" w:type="dxa"/>
        </w:tblCellMar>
        <w:tblLook w:val="0000" w:firstRow="0" w:lastRow="0" w:firstColumn="0" w:lastColumn="0" w:noHBand="0" w:noVBand="0"/>
      </w:tblPr>
      <w:tblGrid>
        <w:gridCol w:w="3063"/>
        <w:gridCol w:w="2826"/>
      </w:tblGrid>
      <w:tr w:rsidR="008B21DA" w:rsidRPr="00C052D8" w14:paraId="67D3EF16" w14:textId="77777777" w:rsidTr="00C052D8">
        <w:trPr>
          <w:trHeight w:val="686"/>
          <w:jc w:val="center"/>
        </w:trPr>
        <w:tc>
          <w:tcPr>
            <w:tcW w:w="5889" w:type="dxa"/>
            <w:gridSpan w:val="2"/>
            <w:tcBorders>
              <w:top w:val="single" w:sz="18" w:space="0" w:color="FFFFFF"/>
              <w:left w:val="single" w:sz="18" w:space="0" w:color="FFFFFF"/>
              <w:right w:val="single" w:sz="18" w:space="0" w:color="FFFFFF"/>
            </w:tcBorders>
            <w:shd w:val="clear" w:color="auto" w:fill="9D2235"/>
            <w:vAlign w:val="center"/>
          </w:tcPr>
          <w:p w14:paraId="3B2DD1BC" w14:textId="77777777" w:rsidR="008B21DA" w:rsidRPr="00C052D8" w:rsidRDefault="008B21DA" w:rsidP="008B21DA">
            <w:pPr>
              <w:widowControl w:val="0"/>
              <w:suppressAutoHyphens/>
              <w:spacing w:after="0" w:line="276" w:lineRule="auto"/>
              <w:jc w:val="center"/>
              <w:textAlignment w:val="baseline"/>
              <w:rPr>
                <w:rFonts w:ascii="Arial" w:eastAsia="NSimSun" w:hAnsi="Arial" w:cs="Arial"/>
                <w:b/>
                <w:bCs/>
                <w:color w:val="FFFFFF"/>
                <w:kern w:val="2"/>
                <w:sz w:val="19"/>
                <w:szCs w:val="19"/>
                <w:highlight w:val="yellow"/>
                <w:lang w:eastAsia="es-ES" w:bidi="hi-IN"/>
              </w:rPr>
            </w:pPr>
            <w:r w:rsidRPr="00C052D8">
              <w:rPr>
                <w:rFonts w:ascii="Arial" w:eastAsia="NSimSun" w:hAnsi="Arial" w:cs="Arial"/>
                <w:b/>
                <w:bCs/>
                <w:color w:val="FFFFFF"/>
                <w:kern w:val="2"/>
                <w:sz w:val="19"/>
                <w:szCs w:val="19"/>
                <w:lang w:eastAsia="es-ES" w:bidi="hi-IN"/>
              </w:rPr>
              <w:t>REMANENTES ACUMULADOS A 31/12/2020</w:t>
            </w:r>
          </w:p>
        </w:tc>
      </w:tr>
      <w:tr w:rsidR="008B21DA" w:rsidRPr="00C052D8" w14:paraId="4B046856" w14:textId="77777777" w:rsidTr="00271465">
        <w:trPr>
          <w:jc w:val="center"/>
        </w:trPr>
        <w:tc>
          <w:tcPr>
            <w:tcW w:w="3063" w:type="dxa"/>
            <w:tcBorders>
              <w:bottom w:val="single" w:sz="4" w:space="0" w:color="993333"/>
            </w:tcBorders>
            <w:shd w:val="clear" w:color="auto" w:fill="FFFFFF"/>
          </w:tcPr>
          <w:p w14:paraId="48881E5F" w14:textId="77777777" w:rsidR="008B21DA" w:rsidRPr="00C052D8" w:rsidRDefault="008B21DA" w:rsidP="008B21DA">
            <w:pPr>
              <w:widowControl w:val="0"/>
              <w:suppressAutoHyphens/>
              <w:spacing w:after="0" w:line="276" w:lineRule="auto"/>
              <w:jc w:val="center"/>
              <w:textAlignment w:val="baseline"/>
              <w:rPr>
                <w:rFonts w:ascii="Arial" w:eastAsia="NSimSun" w:hAnsi="Arial" w:cs="Arial"/>
                <w:kern w:val="2"/>
                <w:sz w:val="19"/>
                <w:szCs w:val="19"/>
                <w:lang w:eastAsia="es-ES" w:bidi="hi-IN"/>
              </w:rPr>
            </w:pPr>
            <w:r w:rsidRPr="00C052D8">
              <w:rPr>
                <w:rFonts w:ascii="Arial" w:eastAsia="NSimSun" w:hAnsi="Arial" w:cs="Arial"/>
                <w:kern w:val="2"/>
                <w:sz w:val="19"/>
                <w:szCs w:val="19"/>
                <w:lang w:eastAsia="es-ES" w:bidi="hi-IN"/>
              </w:rPr>
              <w:t>2018</w:t>
            </w:r>
          </w:p>
        </w:tc>
        <w:tc>
          <w:tcPr>
            <w:tcW w:w="2826" w:type="dxa"/>
            <w:tcBorders>
              <w:bottom w:val="single" w:sz="4" w:space="0" w:color="993333"/>
            </w:tcBorders>
            <w:shd w:val="clear" w:color="auto" w:fill="FFFFFF"/>
          </w:tcPr>
          <w:p w14:paraId="2901F443" w14:textId="77777777" w:rsidR="008B21DA" w:rsidRPr="00C052D8" w:rsidRDefault="008B21DA" w:rsidP="008B21DA">
            <w:pPr>
              <w:widowControl w:val="0"/>
              <w:suppressAutoHyphens/>
              <w:spacing w:after="0" w:line="276" w:lineRule="auto"/>
              <w:jc w:val="right"/>
              <w:textAlignment w:val="baseline"/>
              <w:rPr>
                <w:rFonts w:ascii="Arial" w:eastAsia="Times New Roman" w:hAnsi="Arial" w:cs="Arial"/>
                <w:color w:val="000000"/>
                <w:kern w:val="2"/>
                <w:sz w:val="19"/>
                <w:szCs w:val="19"/>
                <w:lang w:eastAsia="es-ES" w:bidi="hi-IN"/>
              </w:rPr>
            </w:pPr>
            <w:r w:rsidRPr="00C052D8">
              <w:rPr>
                <w:rFonts w:ascii="Arial" w:eastAsia="Times New Roman" w:hAnsi="Arial" w:cs="Arial"/>
                <w:color w:val="000000"/>
                <w:kern w:val="2"/>
                <w:sz w:val="19"/>
                <w:szCs w:val="19"/>
                <w:lang w:eastAsia="es-ES" w:bidi="hi-IN"/>
              </w:rPr>
              <w:t>1.220.387,10</w:t>
            </w:r>
          </w:p>
        </w:tc>
      </w:tr>
      <w:tr w:rsidR="008B21DA" w:rsidRPr="00C052D8" w14:paraId="43E0AE53" w14:textId="77777777" w:rsidTr="00271465">
        <w:trPr>
          <w:jc w:val="center"/>
        </w:trPr>
        <w:tc>
          <w:tcPr>
            <w:tcW w:w="3063" w:type="dxa"/>
            <w:tcBorders>
              <w:top w:val="single" w:sz="4" w:space="0" w:color="993333"/>
              <w:bottom w:val="single" w:sz="4" w:space="0" w:color="993333"/>
            </w:tcBorders>
            <w:shd w:val="clear" w:color="auto" w:fill="FFFFFF"/>
          </w:tcPr>
          <w:p w14:paraId="0323755A" w14:textId="77777777" w:rsidR="008B21DA" w:rsidRPr="00C052D8" w:rsidRDefault="008B21DA" w:rsidP="008B21DA">
            <w:pPr>
              <w:widowControl w:val="0"/>
              <w:suppressAutoHyphens/>
              <w:spacing w:after="0" w:line="276" w:lineRule="auto"/>
              <w:jc w:val="center"/>
              <w:textAlignment w:val="baseline"/>
              <w:rPr>
                <w:rFonts w:ascii="Arial" w:eastAsia="NSimSun" w:hAnsi="Arial" w:cs="Arial"/>
                <w:kern w:val="2"/>
                <w:sz w:val="19"/>
                <w:szCs w:val="19"/>
                <w:lang w:eastAsia="es-ES" w:bidi="hi-IN"/>
              </w:rPr>
            </w:pPr>
            <w:r w:rsidRPr="00C052D8">
              <w:rPr>
                <w:rFonts w:ascii="Arial" w:eastAsia="NSimSun" w:hAnsi="Arial" w:cs="Arial"/>
                <w:kern w:val="2"/>
                <w:sz w:val="19"/>
                <w:szCs w:val="19"/>
                <w:lang w:eastAsia="es-ES" w:bidi="hi-IN"/>
              </w:rPr>
              <w:t>2019</w:t>
            </w:r>
          </w:p>
        </w:tc>
        <w:tc>
          <w:tcPr>
            <w:tcW w:w="2826" w:type="dxa"/>
            <w:tcBorders>
              <w:top w:val="single" w:sz="4" w:space="0" w:color="993333"/>
              <w:bottom w:val="single" w:sz="4" w:space="0" w:color="993333"/>
            </w:tcBorders>
            <w:shd w:val="clear" w:color="auto" w:fill="FFFFFF"/>
          </w:tcPr>
          <w:p w14:paraId="0259A377" w14:textId="77777777" w:rsidR="008B21DA" w:rsidRPr="00C052D8" w:rsidRDefault="008B21DA" w:rsidP="008B21DA">
            <w:pPr>
              <w:widowControl w:val="0"/>
              <w:suppressAutoHyphens/>
              <w:spacing w:after="0" w:line="276" w:lineRule="auto"/>
              <w:jc w:val="right"/>
              <w:textAlignment w:val="baseline"/>
              <w:rPr>
                <w:rFonts w:ascii="Arial" w:eastAsia="Times New Roman" w:hAnsi="Arial" w:cs="Arial"/>
                <w:color w:val="000000"/>
                <w:kern w:val="2"/>
                <w:sz w:val="19"/>
                <w:szCs w:val="19"/>
                <w:lang w:eastAsia="es-ES" w:bidi="hi-IN"/>
              </w:rPr>
            </w:pPr>
            <w:r w:rsidRPr="00C052D8">
              <w:rPr>
                <w:rFonts w:ascii="Arial" w:eastAsia="Times New Roman" w:hAnsi="Arial" w:cs="Arial"/>
                <w:color w:val="000000"/>
                <w:kern w:val="2"/>
                <w:sz w:val="19"/>
                <w:szCs w:val="19"/>
                <w:lang w:eastAsia="es-ES" w:bidi="hi-IN"/>
              </w:rPr>
              <w:t>833.548,00</w:t>
            </w:r>
          </w:p>
        </w:tc>
      </w:tr>
      <w:tr w:rsidR="008B21DA" w:rsidRPr="00C052D8" w14:paraId="77E8BEEE" w14:textId="77777777" w:rsidTr="00271465">
        <w:trPr>
          <w:jc w:val="center"/>
        </w:trPr>
        <w:tc>
          <w:tcPr>
            <w:tcW w:w="3063" w:type="dxa"/>
            <w:tcBorders>
              <w:top w:val="single" w:sz="4" w:space="0" w:color="993333"/>
              <w:bottom w:val="single" w:sz="4" w:space="0" w:color="993333"/>
            </w:tcBorders>
            <w:shd w:val="clear" w:color="auto" w:fill="FFFFFF"/>
          </w:tcPr>
          <w:p w14:paraId="1D8C896E" w14:textId="77777777" w:rsidR="008B21DA" w:rsidRPr="00C052D8" w:rsidRDefault="008B21DA" w:rsidP="008B21DA">
            <w:pPr>
              <w:widowControl w:val="0"/>
              <w:suppressAutoHyphens/>
              <w:spacing w:after="0" w:line="276" w:lineRule="auto"/>
              <w:jc w:val="center"/>
              <w:textAlignment w:val="baseline"/>
              <w:rPr>
                <w:rFonts w:ascii="Arial" w:eastAsia="NSimSun" w:hAnsi="Arial" w:cs="Arial"/>
                <w:kern w:val="2"/>
                <w:sz w:val="19"/>
                <w:szCs w:val="19"/>
                <w:lang w:eastAsia="es-ES" w:bidi="hi-IN"/>
              </w:rPr>
            </w:pPr>
            <w:r w:rsidRPr="00C052D8">
              <w:rPr>
                <w:rFonts w:ascii="Arial" w:eastAsia="NSimSun" w:hAnsi="Arial" w:cs="Arial"/>
                <w:kern w:val="2"/>
                <w:sz w:val="19"/>
                <w:szCs w:val="19"/>
                <w:lang w:eastAsia="es-ES" w:bidi="hi-IN"/>
              </w:rPr>
              <w:t>2020</w:t>
            </w:r>
          </w:p>
        </w:tc>
        <w:tc>
          <w:tcPr>
            <w:tcW w:w="2826" w:type="dxa"/>
            <w:tcBorders>
              <w:top w:val="single" w:sz="4" w:space="0" w:color="993333"/>
              <w:bottom w:val="single" w:sz="4" w:space="0" w:color="993333"/>
            </w:tcBorders>
            <w:shd w:val="clear" w:color="auto" w:fill="FFFFFF"/>
          </w:tcPr>
          <w:p w14:paraId="338106A5" w14:textId="77777777" w:rsidR="008B21DA" w:rsidRPr="00C052D8" w:rsidRDefault="008B21DA" w:rsidP="008B21DA">
            <w:pPr>
              <w:widowControl w:val="0"/>
              <w:suppressAutoHyphens/>
              <w:spacing w:after="0" w:line="276" w:lineRule="auto"/>
              <w:jc w:val="right"/>
              <w:textAlignment w:val="baseline"/>
              <w:rPr>
                <w:rFonts w:ascii="Arial" w:eastAsia="Times New Roman" w:hAnsi="Arial" w:cs="Arial"/>
                <w:color w:val="000000"/>
                <w:kern w:val="2"/>
                <w:sz w:val="19"/>
                <w:szCs w:val="19"/>
                <w:lang w:eastAsia="es-ES" w:bidi="hi-IN"/>
              </w:rPr>
            </w:pPr>
            <w:r w:rsidRPr="00C052D8">
              <w:rPr>
                <w:rFonts w:ascii="Arial" w:eastAsia="Times New Roman" w:hAnsi="Arial" w:cs="Arial"/>
                <w:color w:val="000000"/>
                <w:kern w:val="2"/>
                <w:sz w:val="19"/>
                <w:szCs w:val="19"/>
                <w:lang w:eastAsia="es-ES" w:bidi="hi-IN"/>
              </w:rPr>
              <w:t>1.733.858,05</w:t>
            </w:r>
          </w:p>
        </w:tc>
      </w:tr>
      <w:tr w:rsidR="008B21DA" w:rsidRPr="00C052D8" w14:paraId="1FA15CCE" w14:textId="77777777" w:rsidTr="00271465">
        <w:trPr>
          <w:jc w:val="center"/>
        </w:trPr>
        <w:tc>
          <w:tcPr>
            <w:tcW w:w="3063" w:type="dxa"/>
            <w:tcBorders>
              <w:top w:val="single" w:sz="4" w:space="0" w:color="993333"/>
              <w:bottom w:val="single" w:sz="4" w:space="0" w:color="993333"/>
            </w:tcBorders>
            <w:shd w:val="clear" w:color="auto" w:fill="EEEEEE"/>
          </w:tcPr>
          <w:p w14:paraId="36F1AC3E" w14:textId="77777777" w:rsidR="008B21DA" w:rsidRPr="00C052D8" w:rsidRDefault="008B21DA" w:rsidP="008B21DA">
            <w:pPr>
              <w:widowControl w:val="0"/>
              <w:suppressAutoHyphens/>
              <w:spacing w:after="0" w:line="276" w:lineRule="auto"/>
              <w:jc w:val="center"/>
              <w:textAlignment w:val="baseline"/>
              <w:rPr>
                <w:rFonts w:ascii="Arial" w:eastAsia="NSimSun" w:hAnsi="Arial" w:cs="Arial"/>
                <w:b/>
                <w:bCs/>
                <w:kern w:val="2"/>
                <w:sz w:val="19"/>
                <w:szCs w:val="19"/>
                <w:lang w:eastAsia="es-ES" w:bidi="hi-IN"/>
              </w:rPr>
            </w:pPr>
            <w:r w:rsidRPr="00C052D8">
              <w:rPr>
                <w:rFonts w:ascii="Arial" w:eastAsia="NSimSun" w:hAnsi="Arial" w:cs="Arial"/>
                <w:b/>
                <w:bCs/>
                <w:kern w:val="2"/>
                <w:sz w:val="19"/>
                <w:szCs w:val="19"/>
                <w:lang w:eastAsia="es-ES" w:bidi="hi-IN"/>
              </w:rPr>
              <w:t>TOTAL</w:t>
            </w:r>
          </w:p>
        </w:tc>
        <w:tc>
          <w:tcPr>
            <w:tcW w:w="2826" w:type="dxa"/>
            <w:tcBorders>
              <w:top w:val="single" w:sz="4" w:space="0" w:color="993333"/>
              <w:bottom w:val="single" w:sz="4" w:space="0" w:color="993333"/>
            </w:tcBorders>
            <w:shd w:val="clear" w:color="auto" w:fill="EEEEEE"/>
          </w:tcPr>
          <w:p w14:paraId="7069A30F" w14:textId="77777777" w:rsidR="008B21DA" w:rsidRPr="00C052D8" w:rsidRDefault="008B21DA" w:rsidP="008B21DA">
            <w:pPr>
              <w:widowControl w:val="0"/>
              <w:suppressAutoHyphens/>
              <w:spacing w:after="0" w:line="276" w:lineRule="auto"/>
              <w:jc w:val="right"/>
              <w:textAlignment w:val="baseline"/>
              <w:rPr>
                <w:rFonts w:ascii="Arial" w:eastAsia="Times New Roman" w:hAnsi="Arial" w:cs="Arial"/>
                <w:b/>
                <w:bCs/>
                <w:color w:val="000000"/>
                <w:kern w:val="2"/>
                <w:sz w:val="19"/>
                <w:szCs w:val="19"/>
                <w:lang w:eastAsia="es-ES" w:bidi="hi-IN"/>
              </w:rPr>
            </w:pPr>
            <w:r w:rsidRPr="00C052D8">
              <w:rPr>
                <w:rFonts w:ascii="Arial" w:eastAsia="Times New Roman" w:hAnsi="Arial" w:cs="Arial"/>
                <w:b/>
                <w:bCs/>
                <w:color w:val="000000"/>
                <w:kern w:val="2"/>
                <w:sz w:val="19"/>
                <w:szCs w:val="19"/>
                <w:lang w:eastAsia="es-ES" w:bidi="hi-IN"/>
              </w:rPr>
              <w:t>3.787.793,15</w:t>
            </w:r>
          </w:p>
        </w:tc>
      </w:tr>
    </w:tbl>
    <w:p w14:paraId="4085BB8B" w14:textId="6578A0C8" w:rsidR="002E203E" w:rsidRDefault="002E203E" w:rsidP="00A54EF9">
      <w:pPr>
        <w:spacing w:after="120" w:line="276" w:lineRule="auto"/>
        <w:jc w:val="both"/>
        <w:rPr>
          <w:rFonts w:ascii="Arial" w:eastAsia="Droid Sans Fallback" w:hAnsi="Arial" w:cs="Arial"/>
          <w:kern w:val="3"/>
          <w:sz w:val="21"/>
          <w:szCs w:val="21"/>
          <w:lang w:eastAsia="zh-CN" w:bidi="hi-IN"/>
        </w:rPr>
      </w:pPr>
    </w:p>
    <w:p w14:paraId="5C375155" w14:textId="77777777" w:rsidR="00531FF5" w:rsidRPr="00531FF5" w:rsidRDefault="00531FF5" w:rsidP="00531FF5">
      <w:pPr>
        <w:spacing w:after="240" w:line="276" w:lineRule="auto"/>
        <w:jc w:val="both"/>
        <w:rPr>
          <w:rFonts w:ascii="Arial" w:eastAsia="Droid Sans Fallback" w:hAnsi="Arial" w:cs="Arial"/>
          <w:kern w:val="3"/>
          <w:sz w:val="21"/>
          <w:szCs w:val="21"/>
          <w:lang w:eastAsia="zh-CN" w:bidi="hi-IN"/>
        </w:rPr>
      </w:pPr>
      <w:r w:rsidRPr="00531FF5">
        <w:rPr>
          <w:rFonts w:ascii="Arial" w:eastAsia="Droid Sans Fallback" w:hAnsi="Arial" w:cs="Arial"/>
          <w:kern w:val="3"/>
          <w:sz w:val="21"/>
          <w:szCs w:val="21"/>
          <w:lang w:eastAsia="zh-CN" w:bidi="hi-IN"/>
        </w:rPr>
        <w:t>Por Resolución del Conseller de Hacienda y Modelo Económico de fecha 14 de diciembre de 2021, se acepta el reintegro de los remanentes de tesorería acumulados durante los ejercicios 2018, 2019 y 2020, por importe de 3.787.793,15 €.</w:t>
      </w:r>
    </w:p>
    <w:p w14:paraId="5FBCF7F7" w14:textId="3D6F089D" w:rsidR="002E203E" w:rsidRDefault="00531FF5" w:rsidP="00531FF5">
      <w:pPr>
        <w:spacing w:after="240" w:line="276" w:lineRule="auto"/>
        <w:jc w:val="both"/>
        <w:rPr>
          <w:rFonts w:ascii="Arial" w:eastAsia="Droid Sans Fallback" w:hAnsi="Arial" w:cs="Arial"/>
          <w:kern w:val="3"/>
          <w:sz w:val="21"/>
          <w:szCs w:val="21"/>
          <w:lang w:eastAsia="zh-CN" w:bidi="hi-IN"/>
        </w:rPr>
      </w:pPr>
      <w:r w:rsidRPr="00531FF5">
        <w:rPr>
          <w:rFonts w:ascii="Arial" w:eastAsia="Droid Sans Fallback" w:hAnsi="Arial" w:cs="Arial"/>
          <w:kern w:val="3"/>
          <w:sz w:val="21"/>
          <w:szCs w:val="21"/>
          <w:lang w:eastAsia="zh-CN" w:bidi="hi-IN"/>
        </w:rPr>
        <w:t>A estos efectos, siguiendo los trámites indicados por la Intervención de l</w:t>
      </w:r>
      <w:r w:rsidR="003472DE">
        <w:rPr>
          <w:rFonts w:ascii="Arial" w:eastAsia="Droid Sans Fallback" w:hAnsi="Arial" w:cs="Arial"/>
          <w:kern w:val="3"/>
          <w:sz w:val="21"/>
          <w:szCs w:val="21"/>
          <w:lang w:eastAsia="zh-CN" w:bidi="hi-IN"/>
        </w:rPr>
        <w:t>a</w:t>
      </w:r>
      <w:r w:rsidRPr="00531FF5">
        <w:rPr>
          <w:rFonts w:ascii="Arial" w:eastAsia="Droid Sans Fallback" w:hAnsi="Arial" w:cs="Arial"/>
          <w:kern w:val="3"/>
          <w:sz w:val="21"/>
          <w:szCs w:val="21"/>
          <w:lang w:eastAsia="zh-CN" w:bidi="hi-IN"/>
        </w:rPr>
        <w:t>s Corts, se ha procedido a aprobar la correspondiente modificación presupuestaria, mediante Resolución núm. 936/2021, de 23 de diciembre. A fecha de redacción de esta Memoria se ha dado traslado a les Corts para su publicación en el BOCV, de acuerdo con lo dispuesto en el artículo 77.4 del Reglamento de funcionamiento y régimen interior de la Agencia.</w:t>
      </w:r>
    </w:p>
    <w:p w14:paraId="4F97F896" w14:textId="1BAD8F40" w:rsidR="00531FF5" w:rsidRPr="00531FF5" w:rsidRDefault="00531FF5" w:rsidP="00531FF5">
      <w:pPr>
        <w:pStyle w:val="Descripcin"/>
        <w:keepNext/>
        <w:jc w:val="center"/>
        <w:rPr>
          <w:rFonts w:ascii="Arial" w:hAnsi="Arial" w:cs="Arial"/>
          <w:smallCaps w:val="0"/>
          <w:sz w:val="18"/>
          <w:szCs w:val="18"/>
        </w:rPr>
      </w:pPr>
      <w:bookmarkStart w:id="561" w:name="_Toc99107172"/>
      <w:r w:rsidRPr="00531FF5">
        <w:rPr>
          <w:rFonts w:ascii="Arial" w:hAnsi="Arial" w:cs="Arial"/>
          <w:smallCaps w:val="0"/>
          <w:color w:val="9D2235" w:themeColor="accent1"/>
          <w:sz w:val="18"/>
          <w:szCs w:val="18"/>
        </w:rPr>
        <w:t xml:space="preserve">Tabla </w:t>
      </w:r>
      <w:r w:rsidRPr="00531FF5">
        <w:rPr>
          <w:rFonts w:ascii="Arial" w:hAnsi="Arial" w:cs="Arial"/>
          <w:smallCaps w:val="0"/>
          <w:color w:val="9D2235" w:themeColor="accent1"/>
          <w:sz w:val="18"/>
          <w:szCs w:val="18"/>
        </w:rPr>
        <w:fldChar w:fldCharType="begin" w:fldLock="1"/>
      </w:r>
      <w:r w:rsidRPr="00531FF5">
        <w:rPr>
          <w:rFonts w:ascii="Arial" w:hAnsi="Arial" w:cs="Arial"/>
          <w:smallCaps w:val="0"/>
          <w:color w:val="9D2235" w:themeColor="accent1"/>
          <w:sz w:val="18"/>
          <w:szCs w:val="18"/>
        </w:rPr>
        <w:instrText xml:space="preserve"> SEQ Tabla \* ARABIC </w:instrText>
      </w:r>
      <w:r w:rsidRPr="00531FF5">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34</w:t>
      </w:r>
      <w:r w:rsidRPr="00531FF5">
        <w:rPr>
          <w:rFonts w:ascii="Arial" w:hAnsi="Arial" w:cs="Arial"/>
          <w:smallCaps w:val="0"/>
          <w:color w:val="9D2235" w:themeColor="accent1"/>
          <w:sz w:val="18"/>
          <w:szCs w:val="18"/>
        </w:rPr>
        <w:fldChar w:fldCharType="end"/>
      </w:r>
      <w:r w:rsidRPr="00531FF5">
        <w:rPr>
          <w:rFonts w:ascii="Arial" w:hAnsi="Arial" w:cs="Arial"/>
          <w:smallCaps w:val="0"/>
          <w:color w:val="9D2235" w:themeColor="accent1"/>
          <w:sz w:val="18"/>
          <w:szCs w:val="18"/>
        </w:rPr>
        <w:t xml:space="preserve">. </w:t>
      </w:r>
      <w:r w:rsidRPr="00531FF5">
        <w:rPr>
          <w:rFonts w:ascii="Arial" w:hAnsi="Arial" w:cs="Arial"/>
          <w:smallCaps w:val="0"/>
          <w:sz w:val="18"/>
          <w:szCs w:val="18"/>
        </w:rPr>
        <w:t>Modificación presupuestaria aprobada en 2021 para devolución a la Conselleria de Hacienda de los remanentes acumulados</w:t>
      </w:r>
      <w:bookmarkEnd w:id="561"/>
    </w:p>
    <w:tbl>
      <w:tblPr>
        <w:tblW w:w="7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tblCellMar>
        <w:tblLook w:val="0000" w:firstRow="0" w:lastRow="0" w:firstColumn="0" w:lastColumn="0" w:noHBand="0" w:noVBand="0"/>
      </w:tblPr>
      <w:tblGrid>
        <w:gridCol w:w="4769"/>
        <w:gridCol w:w="2779"/>
      </w:tblGrid>
      <w:tr w:rsidR="00531FF5" w:rsidRPr="00C052D8" w14:paraId="2FD432C2" w14:textId="77777777" w:rsidTr="00C052D8">
        <w:trPr>
          <w:trHeight w:val="686"/>
          <w:jc w:val="center"/>
        </w:trPr>
        <w:tc>
          <w:tcPr>
            <w:tcW w:w="7548" w:type="dxa"/>
            <w:gridSpan w:val="2"/>
            <w:shd w:val="clear" w:color="auto" w:fill="9D2235"/>
            <w:vAlign w:val="center"/>
          </w:tcPr>
          <w:p w14:paraId="6B943578" w14:textId="77777777" w:rsidR="00531FF5" w:rsidRPr="00C052D8" w:rsidRDefault="00531FF5" w:rsidP="00531FF5">
            <w:pPr>
              <w:widowControl w:val="0"/>
              <w:suppressAutoHyphens/>
              <w:spacing w:after="0" w:line="276" w:lineRule="auto"/>
              <w:jc w:val="both"/>
              <w:textAlignment w:val="baseline"/>
              <w:rPr>
                <w:rFonts w:ascii="Arial" w:eastAsia="NSimSun" w:hAnsi="Arial" w:cs="Arial"/>
                <w:b/>
                <w:bCs/>
                <w:color w:val="FFFFFF"/>
                <w:kern w:val="2"/>
                <w:sz w:val="19"/>
                <w:szCs w:val="19"/>
                <w:lang w:eastAsia="es-ES" w:bidi="hi-IN"/>
              </w:rPr>
            </w:pPr>
            <w:r w:rsidRPr="00C052D8">
              <w:rPr>
                <w:rFonts w:ascii="Arial" w:eastAsia="NSimSun" w:hAnsi="Arial" w:cs="Arial"/>
                <w:b/>
                <w:bCs/>
                <w:color w:val="FFFFFF"/>
                <w:kern w:val="2"/>
                <w:sz w:val="19"/>
                <w:szCs w:val="19"/>
                <w:lang w:eastAsia="es-ES" w:bidi="hi-IN"/>
              </w:rPr>
              <w:t>Modificación presupuestaria aprobada en 2021</w:t>
            </w:r>
          </w:p>
        </w:tc>
      </w:tr>
      <w:tr w:rsidR="00531FF5" w:rsidRPr="00C052D8" w14:paraId="754A3A4D" w14:textId="77777777" w:rsidTr="00531FF5">
        <w:trPr>
          <w:jc w:val="center"/>
        </w:trPr>
        <w:tc>
          <w:tcPr>
            <w:tcW w:w="4769" w:type="dxa"/>
            <w:shd w:val="clear" w:color="auto" w:fill="FFFFFF"/>
          </w:tcPr>
          <w:p w14:paraId="7AAC012F" w14:textId="77777777" w:rsidR="00531FF5" w:rsidRPr="00C052D8" w:rsidRDefault="00531FF5" w:rsidP="00531FF5">
            <w:pPr>
              <w:widowControl w:val="0"/>
              <w:suppressAutoHyphens/>
              <w:spacing w:after="0" w:line="276" w:lineRule="auto"/>
              <w:jc w:val="both"/>
              <w:textAlignment w:val="baseline"/>
              <w:rPr>
                <w:rFonts w:ascii="Arial" w:eastAsia="NSimSun" w:hAnsi="Arial" w:cs="Arial"/>
                <w:kern w:val="2"/>
                <w:sz w:val="19"/>
                <w:szCs w:val="19"/>
                <w:lang w:eastAsia="es-ES" w:bidi="hi-IN"/>
              </w:rPr>
            </w:pPr>
            <w:r w:rsidRPr="00C052D8">
              <w:rPr>
                <w:rFonts w:ascii="Arial" w:eastAsia="NSimSun" w:hAnsi="Arial" w:cs="Arial"/>
                <w:kern w:val="2"/>
                <w:sz w:val="19"/>
                <w:szCs w:val="19"/>
                <w:lang w:eastAsia="es-ES" w:bidi="hi-IN"/>
              </w:rPr>
              <w:t>Alta en Capítulo IV de Gastos (43001)</w:t>
            </w:r>
          </w:p>
        </w:tc>
        <w:tc>
          <w:tcPr>
            <w:tcW w:w="2779" w:type="dxa"/>
            <w:shd w:val="clear" w:color="auto" w:fill="FFFFFF"/>
          </w:tcPr>
          <w:p w14:paraId="33B65792" w14:textId="77777777" w:rsidR="00531FF5" w:rsidRPr="00C052D8" w:rsidRDefault="00531FF5" w:rsidP="00531FF5">
            <w:pPr>
              <w:widowControl w:val="0"/>
              <w:suppressAutoHyphens/>
              <w:spacing w:after="0" w:line="276" w:lineRule="auto"/>
              <w:jc w:val="right"/>
              <w:textAlignment w:val="baseline"/>
              <w:rPr>
                <w:rFonts w:ascii="Arial" w:eastAsia="Times New Roman" w:hAnsi="Arial" w:cs="Arial"/>
                <w:kern w:val="2"/>
                <w:sz w:val="19"/>
                <w:szCs w:val="19"/>
                <w:lang w:eastAsia="es-ES" w:bidi="hi-IN"/>
              </w:rPr>
            </w:pPr>
            <w:r w:rsidRPr="00C052D8">
              <w:rPr>
                <w:rFonts w:ascii="Arial" w:eastAsia="Times New Roman" w:hAnsi="Arial" w:cs="Arial"/>
                <w:kern w:val="2"/>
                <w:sz w:val="19"/>
                <w:szCs w:val="19"/>
                <w:lang w:eastAsia="es-ES" w:bidi="hi-IN"/>
              </w:rPr>
              <w:t>3.787.793,15</w:t>
            </w:r>
          </w:p>
        </w:tc>
      </w:tr>
      <w:tr w:rsidR="00531FF5" w:rsidRPr="00C052D8" w14:paraId="4A7E261E" w14:textId="77777777" w:rsidTr="00531FF5">
        <w:trPr>
          <w:jc w:val="center"/>
        </w:trPr>
        <w:tc>
          <w:tcPr>
            <w:tcW w:w="4769" w:type="dxa"/>
            <w:shd w:val="clear" w:color="auto" w:fill="FFFFFF"/>
          </w:tcPr>
          <w:p w14:paraId="3BAB9A01" w14:textId="77777777" w:rsidR="00531FF5" w:rsidRPr="00C052D8" w:rsidRDefault="00531FF5" w:rsidP="00531FF5">
            <w:pPr>
              <w:widowControl w:val="0"/>
              <w:suppressAutoHyphens/>
              <w:spacing w:after="0" w:line="276" w:lineRule="auto"/>
              <w:jc w:val="both"/>
              <w:textAlignment w:val="baseline"/>
              <w:rPr>
                <w:rFonts w:ascii="Arial" w:eastAsia="NSimSun" w:hAnsi="Arial" w:cs="Arial"/>
                <w:kern w:val="2"/>
                <w:sz w:val="19"/>
                <w:szCs w:val="19"/>
                <w:lang w:eastAsia="es-ES" w:bidi="hi-IN"/>
              </w:rPr>
            </w:pPr>
            <w:r w:rsidRPr="00C052D8">
              <w:rPr>
                <w:rFonts w:ascii="Arial" w:eastAsia="NSimSun" w:hAnsi="Arial" w:cs="Arial"/>
                <w:kern w:val="2"/>
                <w:sz w:val="19"/>
                <w:szCs w:val="19"/>
                <w:lang w:eastAsia="es-ES" w:bidi="hi-IN"/>
              </w:rPr>
              <w:t>Alta en Capítulo VIII de Ingresos (87001)</w:t>
            </w:r>
          </w:p>
        </w:tc>
        <w:tc>
          <w:tcPr>
            <w:tcW w:w="2779" w:type="dxa"/>
            <w:shd w:val="clear" w:color="auto" w:fill="FFFFFF"/>
          </w:tcPr>
          <w:p w14:paraId="413FDFEC" w14:textId="77777777" w:rsidR="00531FF5" w:rsidRPr="00C052D8" w:rsidRDefault="00531FF5" w:rsidP="00531FF5">
            <w:pPr>
              <w:widowControl w:val="0"/>
              <w:suppressAutoHyphens/>
              <w:spacing w:after="0" w:line="276" w:lineRule="auto"/>
              <w:jc w:val="right"/>
              <w:textAlignment w:val="baseline"/>
              <w:rPr>
                <w:rFonts w:ascii="Arial" w:eastAsia="Times New Roman" w:hAnsi="Arial" w:cs="Arial"/>
                <w:kern w:val="2"/>
                <w:sz w:val="19"/>
                <w:szCs w:val="19"/>
                <w:lang w:eastAsia="es-ES" w:bidi="hi-IN"/>
              </w:rPr>
            </w:pPr>
            <w:r w:rsidRPr="00C052D8">
              <w:rPr>
                <w:rFonts w:ascii="Arial" w:eastAsia="Times New Roman" w:hAnsi="Arial" w:cs="Arial"/>
                <w:kern w:val="2"/>
                <w:sz w:val="19"/>
                <w:szCs w:val="19"/>
                <w:lang w:eastAsia="es-ES" w:bidi="hi-IN"/>
              </w:rPr>
              <w:t>3.787.793,15</w:t>
            </w:r>
          </w:p>
        </w:tc>
      </w:tr>
      <w:tr w:rsidR="00531FF5" w:rsidRPr="00C052D8" w14:paraId="0F2EB11F" w14:textId="77777777" w:rsidTr="00531FF5">
        <w:trPr>
          <w:jc w:val="center"/>
        </w:trPr>
        <w:tc>
          <w:tcPr>
            <w:tcW w:w="4769" w:type="dxa"/>
            <w:shd w:val="clear" w:color="auto" w:fill="EEEEEE"/>
          </w:tcPr>
          <w:p w14:paraId="64892E61" w14:textId="77777777" w:rsidR="00531FF5" w:rsidRPr="00C052D8" w:rsidRDefault="00531FF5" w:rsidP="00531FF5">
            <w:pPr>
              <w:widowControl w:val="0"/>
              <w:suppressAutoHyphens/>
              <w:spacing w:after="0" w:line="276" w:lineRule="auto"/>
              <w:jc w:val="both"/>
              <w:textAlignment w:val="baseline"/>
              <w:rPr>
                <w:rFonts w:ascii="Arial" w:eastAsia="NSimSun" w:hAnsi="Arial" w:cs="Arial"/>
                <w:b/>
                <w:bCs/>
                <w:kern w:val="2"/>
                <w:sz w:val="19"/>
                <w:szCs w:val="19"/>
                <w:lang w:eastAsia="es-ES" w:bidi="hi-IN"/>
              </w:rPr>
            </w:pPr>
            <w:r w:rsidRPr="00C052D8">
              <w:rPr>
                <w:rFonts w:ascii="Arial" w:eastAsia="NSimSun" w:hAnsi="Arial" w:cs="Arial"/>
                <w:b/>
                <w:bCs/>
                <w:kern w:val="2"/>
                <w:sz w:val="19"/>
                <w:szCs w:val="19"/>
                <w:lang w:eastAsia="es-ES" w:bidi="hi-IN"/>
              </w:rPr>
              <w:t>TOTAL PRESUPUESTO TRAS MODIFICACIÓN</w:t>
            </w:r>
          </w:p>
        </w:tc>
        <w:tc>
          <w:tcPr>
            <w:tcW w:w="2779" w:type="dxa"/>
            <w:shd w:val="clear" w:color="auto" w:fill="EEEEEE"/>
          </w:tcPr>
          <w:p w14:paraId="7DC52523" w14:textId="77777777" w:rsidR="00531FF5" w:rsidRPr="00C052D8" w:rsidRDefault="00531FF5" w:rsidP="00531FF5">
            <w:pPr>
              <w:widowControl w:val="0"/>
              <w:suppressAutoHyphens/>
              <w:spacing w:after="0" w:line="276" w:lineRule="auto"/>
              <w:jc w:val="right"/>
              <w:textAlignment w:val="baseline"/>
              <w:rPr>
                <w:rFonts w:ascii="Arial" w:eastAsia="Times New Roman" w:hAnsi="Arial" w:cs="Arial"/>
                <w:b/>
                <w:bCs/>
                <w:kern w:val="2"/>
                <w:sz w:val="19"/>
                <w:szCs w:val="19"/>
                <w:lang w:eastAsia="es-ES" w:bidi="hi-IN"/>
              </w:rPr>
            </w:pPr>
            <w:r w:rsidRPr="00C052D8">
              <w:rPr>
                <w:rFonts w:ascii="Arial" w:eastAsia="Times New Roman" w:hAnsi="Arial" w:cs="Arial"/>
                <w:b/>
                <w:bCs/>
                <w:kern w:val="2"/>
                <w:sz w:val="19"/>
                <w:szCs w:val="19"/>
                <w:lang w:eastAsia="es-ES" w:bidi="hi-IN"/>
              </w:rPr>
              <w:t>8.212.133,15</w:t>
            </w:r>
          </w:p>
        </w:tc>
      </w:tr>
    </w:tbl>
    <w:p w14:paraId="5A0BE79B" w14:textId="37661F50" w:rsidR="002E203E" w:rsidRDefault="002E203E" w:rsidP="00531FF5">
      <w:pPr>
        <w:spacing w:after="240" w:line="276" w:lineRule="auto"/>
        <w:jc w:val="both"/>
        <w:rPr>
          <w:rFonts w:ascii="Arial" w:eastAsia="Droid Sans Fallback" w:hAnsi="Arial" w:cs="Arial"/>
          <w:kern w:val="3"/>
          <w:sz w:val="21"/>
          <w:szCs w:val="21"/>
          <w:lang w:eastAsia="zh-CN" w:bidi="hi-IN"/>
        </w:rPr>
      </w:pPr>
    </w:p>
    <w:p w14:paraId="375C94E4" w14:textId="77777777" w:rsidR="00A54EF9" w:rsidRPr="00A54EF9" w:rsidRDefault="00A54EF9" w:rsidP="00A54EF9">
      <w:pPr>
        <w:spacing w:after="240" w:line="276" w:lineRule="auto"/>
        <w:jc w:val="both"/>
        <w:rPr>
          <w:rFonts w:ascii="Arial" w:eastAsia="Droid Sans Fallback" w:hAnsi="Arial" w:cs="Arial"/>
          <w:kern w:val="3"/>
          <w:sz w:val="21"/>
          <w:szCs w:val="21"/>
          <w:lang w:eastAsia="zh-CN" w:bidi="hi-IN"/>
        </w:rPr>
      </w:pPr>
      <w:r w:rsidRPr="00A54EF9">
        <w:rPr>
          <w:rFonts w:ascii="Arial" w:eastAsia="Droid Sans Fallback" w:hAnsi="Arial" w:cs="Arial"/>
          <w:kern w:val="3"/>
          <w:sz w:val="21"/>
          <w:szCs w:val="21"/>
          <w:lang w:eastAsia="zh-CN" w:bidi="hi-IN"/>
        </w:rPr>
        <w:t>En este sentido, debemos destacar que finalmente se ha habilitado, respondiendo a las demandas que cada año formulaba esta Agencia, el procedimiento correspondiente para devolución de remanentes en la Ley de Presupuestos anual de la Generalitat, de igual forma a las Corts y al resto de instituciones dependientes de la mismas, a través de la inclusión de la Agencia en su disposición adicional primera. Así, se recoge en la Ley 8/2021, de 30 de diciembre, de Presupuestos de la Generalitat para el ejercicio 2022.</w:t>
      </w:r>
    </w:p>
    <w:p w14:paraId="2FD03839" w14:textId="668ADDE9" w:rsidR="00A54EF9" w:rsidRDefault="00A54EF9" w:rsidP="00A54EF9">
      <w:pPr>
        <w:spacing w:after="240" w:line="276" w:lineRule="auto"/>
        <w:jc w:val="both"/>
        <w:rPr>
          <w:rFonts w:ascii="Arial" w:eastAsia="Droid Sans Fallback" w:hAnsi="Arial" w:cs="Arial"/>
          <w:kern w:val="3"/>
          <w:sz w:val="21"/>
          <w:szCs w:val="21"/>
          <w:lang w:eastAsia="zh-CN" w:bidi="hi-IN"/>
        </w:rPr>
        <w:sectPr w:rsidR="00A54EF9" w:rsidSect="00DD0CB6">
          <w:headerReference w:type="even" r:id="rId539"/>
          <w:headerReference w:type="default" r:id="rId540"/>
          <w:headerReference w:type="first" r:id="rId541"/>
          <w:footerReference w:type="first" r:id="rId542"/>
          <w:pgSz w:w="11906" w:h="16838" w:code="9"/>
          <w:pgMar w:top="1134" w:right="1701" w:bottom="1985" w:left="1701" w:header="567" w:footer="567" w:gutter="0"/>
          <w:cols w:space="708"/>
          <w:titlePg/>
          <w:docGrid w:linePitch="360"/>
        </w:sectPr>
      </w:pPr>
    </w:p>
    <w:p w14:paraId="33AC1825" w14:textId="77777777" w:rsidR="00363DC5" w:rsidRPr="00A54EF9" w:rsidRDefault="00363DC5" w:rsidP="00363DC5">
      <w:pPr>
        <w:spacing w:after="240" w:line="276" w:lineRule="auto"/>
        <w:jc w:val="both"/>
        <w:rPr>
          <w:rFonts w:ascii="Arial" w:eastAsia="Droid Sans Fallback" w:hAnsi="Arial" w:cs="Arial"/>
          <w:b/>
          <w:bCs/>
          <w:kern w:val="3"/>
          <w:sz w:val="21"/>
          <w:szCs w:val="21"/>
          <w:lang w:eastAsia="zh-CN" w:bidi="hi-IN"/>
        </w:rPr>
      </w:pPr>
      <w:r w:rsidRPr="00A54EF9">
        <w:rPr>
          <w:rFonts w:ascii="Arial" w:eastAsia="Droid Sans Fallback" w:hAnsi="Arial" w:cs="Arial"/>
          <w:b/>
          <w:bCs/>
          <w:kern w:val="3"/>
          <w:sz w:val="21"/>
          <w:szCs w:val="21"/>
          <w:lang w:eastAsia="zh-CN" w:bidi="hi-IN"/>
        </w:rPr>
        <w:t>Presupuesto de ingresos:</w:t>
      </w:r>
    </w:p>
    <w:p w14:paraId="4B19164A" w14:textId="6C27162A" w:rsidR="008352D2" w:rsidRPr="00363DC5" w:rsidRDefault="00363DC5" w:rsidP="00363DC5">
      <w:pPr>
        <w:pStyle w:val="Descripcin"/>
        <w:keepNext/>
        <w:jc w:val="both"/>
        <w:rPr>
          <w:rFonts w:ascii="Arial" w:hAnsi="Arial" w:cs="Arial"/>
          <w:b w:val="0"/>
          <w:bCs w:val="0"/>
          <w:smallCaps w:val="0"/>
          <w:color w:val="auto"/>
          <w:sz w:val="21"/>
          <w:szCs w:val="21"/>
        </w:rPr>
      </w:pPr>
      <w:r w:rsidRPr="00363DC5">
        <w:rPr>
          <w:rFonts w:ascii="Arial" w:eastAsia="Droid Sans Fallback" w:hAnsi="Arial" w:cs="Arial"/>
          <w:b w:val="0"/>
          <w:smallCaps w:val="0"/>
          <w:kern w:val="3"/>
          <w:sz w:val="21"/>
          <w:szCs w:val="21"/>
          <w:lang w:eastAsia="zh-CN" w:bidi="hi-IN"/>
        </w:rPr>
        <w:t>En las siguientes tablas se muestra la ejecución del Presupuesto de ingresos durante el ejercicio 2021, así como la comparativa del grado de ejecución respecto del ejercicio 2020.</w:t>
      </w:r>
    </w:p>
    <w:p w14:paraId="020923B9" w14:textId="77777777" w:rsidR="00363DC5" w:rsidRPr="00363DC5" w:rsidRDefault="00363DC5" w:rsidP="00363DC5">
      <w:pPr>
        <w:jc w:val="both"/>
        <w:rPr>
          <w:sz w:val="21"/>
          <w:szCs w:val="21"/>
        </w:rPr>
      </w:pPr>
    </w:p>
    <w:p w14:paraId="3CB8888F" w14:textId="7BE4ABBC" w:rsidR="008352D2" w:rsidRPr="008352D2" w:rsidRDefault="008352D2" w:rsidP="002601BF">
      <w:pPr>
        <w:pStyle w:val="Descripcin"/>
        <w:keepNext/>
        <w:jc w:val="center"/>
        <w:rPr>
          <w:rFonts w:ascii="Arial" w:hAnsi="Arial" w:cs="Arial"/>
          <w:smallCaps w:val="0"/>
          <w:sz w:val="18"/>
          <w:szCs w:val="18"/>
        </w:rPr>
      </w:pPr>
      <w:bookmarkStart w:id="562" w:name="_Toc99107173"/>
      <w:r w:rsidRPr="008352D2">
        <w:rPr>
          <w:rFonts w:ascii="Arial" w:hAnsi="Arial" w:cs="Arial"/>
          <w:smallCaps w:val="0"/>
          <w:color w:val="9D2235" w:themeColor="accent1"/>
          <w:sz w:val="18"/>
          <w:szCs w:val="18"/>
        </w:rPr>
        <w:t xml:space="preserve">Tabla </w:t>
      </w:r>
      <w:r w:rsidRPr="008352D2">
        <w:rPr>
          <w:rFonts w:ascii="Arial" w:hAnsi="Arial" w:cs="Arial"/>
          <w:smallCaps w:val="0"/>
          <w:color w:val="9D2235" w:themeColor="accent1"/>
          <w:sz w:val="18"/>
          <w:szCs w:val="18"/>
        </w:rPr>
        <w:fldChar w:fldCharType="begin" w:fldLock="1"/>
      </w:r>
      <w:r w:rsidRPr="008352D2">
        <w:rPr>
          <w:rFonts w:ascii="Arial" w:hAnsi="Arial" w:cs="Arial"/>
          <w:smallCaps w:val="0"/>
          <w:color w:val="9D2235" w:themeColor="accent1"/>
          <w:sz w:val="18"/>
          <w:szCs w:val="18"/>
        </w:rPr>
        <w:instrText xml:space="preserve"> SEQ Tabla \* ARABIC </w:instrText>
      </w:r>
      <w:r w:rsidRPr="008352D2">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35</w:t>
      </w:r>
      <w:r w:rsidRPr="008352D2">
        <w:rPr>
          <w:rFonts w:ascii="Arial" w:hAnsi="Arial" w:cs="Arial"/>
          <w:smallCaps w:val="0"/>
          <w:color w:val="9D2235" w:themeColor="accent1"/>
          <w:sz w:val="18"/>
          <w:szCs w:val="18"/>
        </w:rPr>
        <w:fldChar w:fldCharType="end"/>
      </w:r>
      <w:r w:rsidRPr="008352D2">
        <w:rPr>
          <w:rFonts w:ascii="Arial" w:hAnsi="Arial" w:cs="Arial"/>
          <w:smallCaps w:val="0"/>
          <w:color w:val="9D2235" w:themeColor="accent1"/>
          <w:sz w:val="18"/>
          <w:szCs w:val="18"/>
        </w:rPr>
        <w:t xml:space="preserve">. </w:t>
      </w:r>
      <w:r w:rsidRPr="008352D2">
        <w:rPr>
          <w:rFonts w:ascii="Arial" w:hAnsi="Arial" w:cs="Arial"/>
          <w:smallCaps w:val="0"/>
          <w:sz w:val="18"/>
          <w:szCs w:val="18"/>
        </w:rPr>
        <w:t xml:space="preserve">Ejecución del presupuesto de ingresos del ejercicio </w:t>
      </w:r>
      <w:r w:rsidRPr="008352D2">
        <w:rPr>
          <w:rFonts w:ascii="Arial" w:hAnsi="Arial" w:cs="Arial"/>
          <w:smallCaps w:val="0"/>
          <w:noProof/>
          <w:sz w:val="18"/>
          <w:szCs w:val="18"/>
        </w:rPr>
        <w:t>2021</w:t>
      </w:r>
      <w:bookmarkEnd w:id="562"/>
    </w:p>
    <w:tbl>
      <w:tblPr>
        <w:tblW w:w="11929" w:type="dxa"/>
        <w:jc w:val="center"/>
        <w:tblCellMar>
          <w:top w:w="55" w:type="dxa"/>
          <w:left w:w="55" w:type="dxa"/>
          <w:bottom w:w="55" w:type="dxa"/>
          <w:right w:w="55" w:type="dxa"/>
        </w:tblCellMar>
        <w:tblLook w:val="0000" w:firstRow="0" w:lastRow="0" w:firstColumn="0" w:lastColumn="0" w:noHBand="0" w:noVBand="0"/>
      </w:tblPr>
      <w:tblGrid>
        <w:gridCol w:w="1171"/>
        <w:gridCol w:w="1161"/>
        <w:gridCol w:w="1411"/>
        <w:gridCol w:w="1232"/>
        <w:gridCol w:w="1369"/>
        <w:gridCol w:w="1161"/>
        <w:gridCol w:w="1281"/>
        <w:gridCol w:w="1231"/>
        <w:gridCol w:w="971"/>
        <w:gridCol w:w="941"/>
      </w:tblGrid>
      <w:tr w:rsidR="004969E6" w:rsidRPr="004969E6" w14:paraId="717D2079" w14:textId="77777777" w:rsidTr="008352D2">
        <w:trPr>
          <w:jc w:val="center"/>
        </w:trPr>
        <w:tc>
          <w:tcPr>
            <w:tcW w:w="1171" w:type="dxa"/>
            <w:shd w:val="clear" w:color="auto" w:fill="9D2235"/>
          </w:tcPr>
          <w:p w14:paraId="2E9C8637" w14:textId="77777777" w:rsidR="004969E6" w:rsidRPr="004969E6" w:rsidRDefault="004969E6" w:rsidP="004969E6">
            <w:pPr>
              <w:widowControl w:val="0"/>
              <w:suppressAutoHyphens/>
              <w:spacing w:after="0" w:line="276" w:lineRule="auto"/>
              <w:ind w:left="-50"/>
              <w:jc w:val="center"/>
              <w:textAlignment w:val="baseline"/>
              <w:rPr>
                <w:rFonts w:ascii="Arial" w:eastAsia="NSimSun" w:hAnsi="Arial" w:cs="Arial"/>
                <w:b/>
                <w:bCs/>
                <w:color w:val="FFFFFF"/>
                <w:kern w:val="2"/>
                <w:sz w:val="18"/>
                <w:szCs w:val="18"/>
                <w:lang w:eastAsia="zh-CN" w:bidi="hi-IN"/>
              </w:rPr>
            </w:pPr>
            <w:r w:rsidRPr="004969E6">
              <w:rPr>
                <w:rFonts w:ascii="Arial" w:eastAsia="NSimSun" w:hAnsi="Arial" w:cs="Arial"/>
                <w:b/>
                <w:bCs/>
                <w:color w:val="FFFFFF"/>
                <w:kern w:val="2"/>
                <w:sz w:val="18"/>
                <w:szCs w:val="18"/>
                <w:lang w:eastAsia="zh-CN" w:bidi="hi-IN"/>
              </w:rPr>
              <w:t>Capítulos</w:t>
            </w:r>
          </w:p>
        </w:tc>
        <w:tc>
          <w:tcPr>
            <w:tcW w:w="1161" w:type="dxa"/>
            <w:shd w:val="clear" w:color="auto" w:fill="9D2235"/>
          </w:tcPr>
          <w:p w14:paraId="45D5BEED"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color w:val="FFFFFF"/>
                <w:kern w:val="2"/>
                <w:sz w:val="18"/>
                <w:szCs w:val="18"/>
                <w:lang w:eastAsia="zh-CN" w:bidi="hi-IN"/>
              </w:rPr>
            </w:pPr>
            <w:r w:rsidRPr="004969E6">
              <w:rPr>
                <w:rFonts w:ascii="Arial" w:eastAsia="NSimSun" w:hAnsi="Arial" w:cs="Arial"/>
                <w:b/>
                <w:bCs/>
                <w:color w:val="FFFFFF"/>
                <w:kern w:val="2"/>
                <w:sz w:val="18"/>
                <w:szCs w:val="18"/>
                <w:lang w:eastAsia="zh-CN" w:bidi="hi-IN"/>
              </w:rPr>
              <w:t>Previsiones iniciales</w:t>
            </w:r>
          </w:p>
        </w:tc>
        <w:tc>
          <w:tcPr>
            <w:tcW w:w="1411" w:type="dxa"/>
            <w:shd w:val="clear" w:color="auto" w:fill="9D2235"/>
          </w:tcPr>
          <w:p w14:paraId="340A66DC"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color w:val="FFFFFF"/>
                <w:kern w:val="2"/>
                <w:sz w:val="18"/>
                <w:szCs w:val="18"/>
                <w:lang w:eastAsia="zh-CN" w:bidi="hi-IN"/>
              </w:rPr>
            </w:pPr>
            <w:r w:rsidRPr="004969E6">
              <w:rPr>
                <w:rFonts w:ascii="Arial" w:eastAsia="NSimSun" w:hAnsi="Arial" w:cs="Arial"/>
                <w:b/>
                <w:bCs/>
                <w:color w:val="FFFFFF"/>
                <w:kern w:val="2"/>
                <w:sz w:val="18"/>
                <w:szCs w:val="18"/>
                <w:lang w:eastAsia="zh-CN" w:bidi="hi-IN"/>
              </w:rPr>
              <w:t>Modificaciones de crédito</w:t>
            </w:r>
          </w:p>
        </w:tc>
        <w:tc>
          <w:tcPr>
            <w:tcW w:w="1232" w:type="dxa"/>
            <w:shd w:val="clear" w:color="auto" w:fill="9D2235"/>
          </w:tcPr>
          <w:p w14:paraId="0E18DAD2"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color w:val="FFFFFF"/>
                <w:kern w:val="2"/>
                <w:sz w:val="18"/>
                <w:szCs w:val="18"/>
                <w:lang w:eastAsia="zh-CN" w:bidi="hi-IN"/>
              </w:rPr>
            </w:pPr>
            <w:r w:rsidRPr="004969E6">
              <w:rPr>
                <w:rFonts w:ascii="Arial" w:eastAsia="NSimSun" w:hAnsi="Arial" w:cs="Arial"/>
                <w:b/>
                <w:bCs/>
                <w:color w:val="FFFFFF"/>
                <w:kern w:val="2"/>
                <w:sz w:val="18"/>
                <w:szCs w:val="18"/>
                <w:lang w:eastAsia="zh-CN" w:bidi="hi-IN"/>
              </w:rPr>
              <w:t>Previsiones totales</w:t>
            </w:r>
          </w:p>
        </w:tc>
        <w:tc>
          <w:tcPr>
            <w:tcW w:w="1369" w:type="dxa"/>
            <w:shd w:val="clear" w:color="auto" w:fill="9D2235"/>
          </w:tcPr>
          <w:p w14:paraId="6A8F560B"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color w:val="FFFFFF"/>
                <w:kern w:val="2"/>
                <w:sz w:val="18"/>
                <w:szCs w:val="18"/>
                <w:lang w:eastAsia="zh-CN" w:bidi="hi-IN"/>
              </w:rPr>
            </w:pPr>
            <w:r w:rsidRPr="004969E6">
              <w:rPr>
                <w:rFonts w:ascii="Arial" w:eastAsia="NSimSun" w:hAnsi="Arial" w:cs="Arial"/>
                <w:b/>
                <w:bCs/>
                <w:color w:val="FFFFFF"/>
                <w:kern w:val="2"/>
                <w:sz w:val="18"/>
                <w:szCs w:val="18"/>
                <w:lang w:eastAsia="zh-CN" w:bidi="hi-IN"/>
              </w:rPr>
              <w:t>Derechos reconocidos netos</w:t>
            </w:r>
          </w:p>
        </w:tc>
        <w:tc>
          <w:tcPr>
            <w:tcW w:w="1161" w:type="dxa"/>
            <w:shd w:val="clear" w:color="auto" w:fill="9D2235"/>
          </w:tcPr>
          <w:p w14:paraId="17E4E733"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color w:val="FFFFFF"/>
                <w:kern w:val="2"/>
                <w:sz w:val="18"/>
                <w:szCs w:val="18"/>
                <w:lang w:eastAsia="zh-CN" w:bidi="hi-IN"/>
              </w:rPr>
            </w:pPr>
            <w:r w:rsidRPr="004969E6">
              <w:rPr>
                <w:rFonts w:ascii="Arial" w:eastAsia="NSimSun" w:hAnsi="Arial" w:cs="Arial"/>
                <w:b/>
                <w:bCs/>
                <w:color w:val="FFFFFF"/>
                <w:kern w:val="2"/>
                <w:sz w:val="18"/>
                <w:szCs w:val="18"/>
                <w:lang w:eastAsia="zh-CN" w:bidi="hi-IN"/>
              </w:rPr>
              <w:t>Ingresos realizados</w:t>
            </w:r>
          </w:p>
        </w:tc>
        <w:tc>
          <w:tcPr>
            <w:tcW w:w="1281" w:type="dxa"/>
            <w:shd w:val="clear" w:color="auto" w:fill="9D2235"/>
          </w:tcPr>
          <w:p w14:paraId="43864507"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color w:val="FFFFFF"/>
                <w:kern w:val="2"/>
                <w:sz w:val="18"/>
                <w:szCs w:val="18"/>
                <w:lang w:eastAsia="zh-CN" w:bidi="hi-IN"/>
              </w:rPr>
            </w:pPr>
            <w:r w:rsidRPr="004969E6">
              <w:rPr>
                <w:rFonts w:ascii="Arial" w:eastAsia="NSimSun" w:hAnsi="Arial" w:cs="Arial"/>
                <w:b/>
                <w:bCs/>
                <w:color w:val="FFFFFF"/>
                <w:kern w:val="2"/>
                <w:sz w:val="18"/>
                <w:szCs w:val="18"/>
                <w:lang w:eastAsia="zh-CN" w:bidi="hi-IN"/>
              </w:rPr>
              <w:t>Devoluciones de ingresos</w:t>
            </w:r>
          </w:p>
        </w:tc>
        <w:tc>
          <w:tcPr>
            <w:tcW w:w="1231" w:type="dxa"/>
            <w:shd w:val="clear" w:color="auto" w:fill="9D2235"/>
          </w:tcPr>
          <w:p w14:paraId="1112EB8C"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color w:val="FFFFFF"/>
                <w:kern w:val="2"/>
                <w:sz w:val="18"/>
                <w:szCs w:val="18"/>
                <w:lang w:eastAsia="zh-CN" w:bidi="hi-IN"/>
              </w:rPr>
            </w:pPr>
            <w:r w:rsidRPr="004969E6">
              <w:rPr>
                <w:rFonts w:ascii="Arial" w:eastAsia="NSimSun" w:hAnsi="Arial" w:cs="Arial"/>
                <w:b/>
                <w:bCs/>
                <w:color w:val="FFFFFF"/>
                <w:kern w:val="2"/>
                <w:sz w:val="18"/>
                <w:szCs w:val="18"/>
                <w:lang w:eastAsia="zh-CN" w:bidi="hi-IN"/>
              </w:rPr>
              <w:t>Recaudación líquida</w:t>
            </w:r>
          </w:p>
        </w:tc>
        <w:tc>
          <w:tcPr>
            <w:tcW w:w="971" w:type="dxa"/>
            <w:shd w:val="clear" w:color="auto" w:fill="9D2235"/>
          </w:tcPr>
          <w:p w14:paraId="1DE310B6"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color w:val="FFFFFF"/>
                <w:kern w:val="2"/>
                <w:sz w:val="18"/>
                <w:szCs w:val="18"/>
                <w:lang w:eastAsia="zh-CN" w:bidi="hi-IN"/>
              </w:rPr>
            </w:pPr>
            <w:r w:rsidRPr="004969E6">
              <w:rPr>
                <w:rFonts w:ascii="Arial" w:eastAsia="NSimSun" w:hAnsi="Arial" w:cs="Arial"/>
                <w:b/>
                <w:bCs/>
                <w:color w:val="FFFFFF"/>
                <w:kern w:val="2"/>
                <w:sz w:val="18"/>
                <w:szCs w:val="18"/>
                <w:lang w:eastAsia="zh-CN" w:bidi="hi-IN"/>
              </w:rPr>
              <w:t>Pendiente de cobro</w:t>
            </w:r>
          </w:p>
        </w:tc>
        <w:tc>
          <w:tcPr>
            <w:tcW w:w="941" w:type="dxa"/>
            <w:shd w:val="clear" w:color="auto" w:fill="9D2235"/>
          </w:tcPr>
          <w:p w14:paraId="2B04C819"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color w:val="FFFFFF"/>
                <w:kern w:val="2"/>
                <w:sz w:val="18"/>
                <w:szCs w:val="18"/>
                <w:lang w:eastAsia="zh-CN" w:bidi="hi-IN"/>
              </w:rPr>
            </w:pPr>
            <w:r w:rsidRPr="004969E6">
              <w:rPr>
                <w:rFonts w:ascii="Arial" w:eastAsia="NSimSun" w:hAnsi="Arial" w:cs="Arial"/>
                <w:b/>
                <w:bCs/>
                <w:color w:val="FFFFFF"/>
                <w:kern w:val="2"/>
                <w:sz w:val="18"/>
                <w:szCs w:val="18"/>
                <w:lang w:eastAsia="zh-CN" w:bidi="hi-IN"/>
              </w:rPr>
              <w:t>Estado de ejecución</w:t>
            </w:r>
          </w:p>
        </w:tc>
      </w:tr>
      <w:tr w:rsidR="004969E6" w:rsidRPr="004969E6" w14:paraId="1B88FB90" w14:textId="77777777" w:rsidTr="008352D2">
        <w:trPr>
          <w:jc w:val="center"/>
        </w:trPr>
        <w:tc>
          <w:tcPr>
            <w:tcW w:w="1171" w:type="dxa"/>
            <w:tcBorders>
              <w:bottom w:val="single" w:sz="4" w:space="0" w:color="993333"/>
            </w:tcBorders>
            <w:shd w:val="clear" w:color="auto" w:fill="FFFFFF"/>
            <w:vAlign w:val="center"/>
          </w:tcPr>
          <w:p w14:paraId="6853C767"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color w:val="000000"/>
                <w:kern w:val="2"/>
                <w:sz w:val="18"/>
                <w:szCs w:val="18"/>
                <w:lang w:eastAsia="zh-CN" w:bidi="hi-IN"/>
              </w:rPr>
            </w:pPr>
            <w:r w:rsidRPr="004969E6">
              <w:rPr>
                <w:rFonts w:ascii="Arial" w:eastAsia="NSimSun" w:hAnsi="Arial" w:cs="Arial"/>
                <w:b/>
                <w:bCs/>
                <w:color w:val="000000"/>
                <w:kern w:val="2"/>
                <w:sz w:val="18"/>
                <w:szCs w:val="18"/>
                <w:lang w:eastAsia="zh-CN" w:bidi="hi-IN"/>
              </w:rPr>
              <w:t>III</w:t>
            </w:r>
          </w:p>
        </w:tc>
        <w:tc>
          <w:tcPr>
            <w:tcW w:w="1161" w:type="dxa"/>
            <w:tcBorders>
              <w:bottom w:val="single" w:sz="4" w:space="0" w:color="993333"/>
            </w:tcBorders>
            <w:shd w:val="clear" w:color="auto" w:fill="FFFFFF"/>
          </w:tcPr>
          <w:p w14:paraId="7115A796"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4969E6">
              <w:rPr>
                <w:rFonts w:ascii="Arial" w:eastAsia="NSimSun" w:hAnsi="Arial" w:cs="Arial"/>
                <w:color w:val="000000"/>
                <w:kern w:val="2"/>
                <w:sz w:val="18"/>
                <w:szCs w:val="18"/>
                <w:lang w:eastAsia="zh-CN" w:bidi="hi-IN"/>
              </w:rPr>
              <w:t>0,00</w:t>
            </w:r>
          </w:p>
        </w:tc>
        <w:tc>
          <w:tcPr>
            <w:tcW w:w="1411" w:type="dxa"/>
            <w:tcBorders>
              <w:bottom w:val="single" w:sz="4" w:space="0" w:color="993333"/>
            </w:tcBorders>
            <w:shd w:val="clear" w:color="auto" w:fill="FFFFFF"/>
          </w:tcPr>
          <w:p w14:paraId="66CB1848" w14:textId="77777777" w:rsidR="004969E6" w:rsidRPr="004969E6" w:rsidRDefault="004969E6" w:rsidP="004969E6">
            <w:pPr>
              <w:widowControl w:val="0"/>
              <w:suppressAutoHyphens/>
              <w:spacing w:after="0" w:line="276" w:lineRule="auto"/>
              <w:ind w:right="140"/>
              <w:jc w:val="right"/>
              <w:textAlignment w:val="baseline"/>
              <w:rPr>
                <w:rFonts w:ascii="Arial" w:eastAsia="NSimSun" w:hAnsi="Arial" w:cs="Arial"/>
                <w:color w:val="000000"/>
                <w:kern w:val="2"/>
                <w:sz w:val="18"/>
                <w:szCs w:val="18"/>
                <w:lang w:eastAsia="zh-CN" w:bidi="hi-IN"/>
              </w:rPr>
            </w:pPr>
            <w:r w:rsidRPr="004969E6">
              <w:rPr>
                <w:rFonts w:ascii="Arial" w:eastAsia="NSimSun" w:hAnsi="Arial" w:cs="Arial"/>
                <w:color w:val="000000"/>
                <w:kern w:val="2"/>
                <w:sz w:val="18"/>
                <w:szCs w:val="18"/>
                <w:lang w:eastAsia="zh-CN" w:bidi="hi-IN"/>
              </w:rPr>
              <w:t>0,00</w:t>
            </w:r>
          </w:p>
        </w:tc>
        <w:tc>
          <w:tcPr>
            <w:tcW w:w="1232" w:type="dxa"/>
            <w:tcBorders>
              <w:bottom w:val="single" w:sz="4" w:space="0" w:color="993333"/>
            </w:tcBorders>
            <w:shd w:val="clear" w:color="auto" w:fill="FFFFFF"/>
            <w:vAlign w:val="center"/>
          </w:tcPr>
          <w:p w14:paraId="186F667D"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4969E6">
              <w:rPr>
                <w:rFonts w:ascii="Arial" w:eastAsia="NSimSun" w:hAnsi="Arial" w:cs="Arial"/>
                <w:color w:val="000000"/>
                <w:kern w:val="2"/>
                <w:sz w:val="18"/>
                <w:szCs w:val="18"/>
                <w:lang w:eastAsia="zh-CN" w:bidi="hi-IN"/>
              </w:rPr>
              <w:t>0,00</w:t>
            </w:r>
          </w:p>
        </w:tc>
        <w:tc>
          <w:tcPr>
            <w:tcW w:w="1369" w:type="dxa"/>
            <w:tcBorders>
              <w:bottom w:val="single" w:sz="4" w:space="0" w:color="993333"/>
            </w:tcBorders>
            <w:shd w:val="clear" w:color="auto" w:fill="FFFFFF"/>
            <w:vAlign w:val="center"/>
          </w:tcPr>
          <w:p w14:paraId="04BB8535" w14:textId="77777777" w:rsidR="004969E6" w:rsidRPr="004969E6" w:rsidRDefault="004969E6" w:rsidP="004969E6">
            <w:pPr>
              <w:widowControl w:val="0"/>
              <w:suppressAutoHyphens/>
              <w:spacing w:after="0" w:line="276" w:lineRule="auto"/>
              <w:ind w:right="208"/>
              <w:jc w:val="right"/>
              <w:textAlignment w:val="baseline"/>
              <w:rPr>
                <w:rFonts w:ascii="Arial" w:eastAsia="NSimSun" w:hAnsi="Arial" w:cs="Arial"/>
                <w:color w:val="000000"/>
                <w:kern w:val="2"/>
                <w:sz w:val="18"/>
                <w:szCs w:val="18"/>
                <w:lang w:eastAsia="zh-CN" w:bidi="hi-IN"/>
              </w:rPr>
            </w:pPr>
            <w:r w:rsidRPr="004969E6">
              <w:rPr>
                <w:rFonts w:ascii="Arial" w:eastAsia="NSimSun" w:hAnsi="Arial" w:cs="Arial"/>
                <w:color w:val="000000"/>
                <w:kern w:val="2"/>
                <w:sz w:val="18"/>
                <w:szCs w:val="18"/>
                <w:lang w:eastAsia="zh-CN" w:bidi="hi-IN"/>
              </w:rPr>
              <w:t>167,77</w:t>
            </w:r>
          </w:p>
        </w:tc>
        <w:tc>
          <w:tcPr>
            <w:tcW w:w="1161" w:type="dxa"/>
            <w:tcBorders>
              <w:bottom w:val="single" w:sz="4" w:space="0" w:color="993333"/>
            </w:tcBorders>
            <w:shd w:val="clear" w:color="auto" w:fill="FFFFFF"/>
            <w:vAlign w:val="center"/>
          </w:tcPr>
          <w:p w14:paraId="28F1F3C9"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4969E6">
              <w:rPr>
                <w:rFonts w:ascii="Arial" w:eastAsia="NSimSun" w:hAnsi="Arial" w:cs="Arial"/>
                <w:color w:val="000000"/>
                <w:kern w:val="2"/>
                <w:sz w:val="18"/>
                <w:szCs w:val="18"/>
                <w:lang w:eastAsia="zh-CN" w:bidi="hi-IN"/>
              </w:rPr>
              <w:t>167,77</w:t>
            </w:r>
          </w:p>
        </w:tc>
        <w:tc>
          <w:tcPr>
            <w:tcW w:w="1281" w:type="dxa"/>
            <w:tcBorders>
              <w:bottom w:val="single" w:sz="4" w:space="0" w:color="993333"/>
            </w:tcBorders>
            <w:shd w:val="clear" w:color="auto" w:fill="FFFFFF"/>
            <w:vAlign w:val="center"/>
          </w:tcPr>
          <w:p w14:paraId="65221BF7"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4969E6">
              <w:rPr>
                <w:rFonts w:ascii="Arial" w:eastAsia="NSimSun" w:hAnsi="Arial" w:cs="Arial"/>
                <w:color w:val="000000"/>
                <w:kern w:val="2"/>
                <w:sz w:val="18"/>
                <w:szCs w:val="18"/>
                <w:lang w:eastAsia="zh-CN" w:bidi="hi-IN"/>
              </w:rPr>
              <w:t>0,00</w:t>
            </w:r>
          </w:p>
        </w:tc>
        <w:tc>
          <w:tcPr>
            <w:tcW w:w="1231" w:type="dxa"/>
            <w:tcBorders>
              <w:bottom w:val="single" w:sz="4" w:space="0" w:color="993333"/>
            </w:tcBorders>
            <w:shd w:val="clear" w:color="auto" w:fill="FFFFFF"/>
            <w:vAlign w:val="center"/>
          </w:tcPr>
          <w:p w14:paraId="6897CA8A"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4969E6">
              <w:rPr>
                <w:rFonts w:ascii="Arial" w:eastAsia="NSimSun" w:hAnsi="Arial" w:cs="Arial"/>
                <w:color w:val="000000"/>
                <w:kern w:val="2"/>
                <w:sz w:val="18"/>
                <w:szCs w:val="18"/>
                <w:lang w:eastAsia="zh-CN" w:bidi="hi-IN"/>
              </w:rPr>
              <w:t>167,77</w:t>
            </w:r>
          </w:p>
        </w:tc>
        <w:tc>
          <w:tcPr>
            <w:tcW w:w="971" w:type="dxa"/>
            <w:tcBorders>
              <w:bottom w:val="single" w:sz="4" w:space="0" w:color="993333"/>
            </w:tcBorders>
            <w:shd w:val="clear" w:color="auto" w:fill="FFFFFF"/>
            <w:vAlign w:val="center"/>
          </w:tcPr>
          <w:p w14:paraId="2241FAFC"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4969E6">
              <w:rPr>
                <w:rFonts w:ascii="Arial" w:eastAsia="NSimSun" w:hAnsi="Arial" w:cs="Arial"/>
                <w:color w:val="000000"/>
                <w:kern w:val="2"/>
                <w:sz w:val="18"/>
                <w:szCs w:val="18"/>
                <w:lang w:eastAsia="zh-CN" w:bidi="hi-IN"/>
              </w:rPr>
              <w:t>0,00</w:t>
            </w:r>
          </w:p>
        </w:tc>
        <w:tc>
          <w:tcPr>
            <w:tcW w:w="941" w:type="dxa"/>
            <w:tcBorders>
              <w:bottom w:val="single" w:sz="4" w:space="0" w:color="993333"/>
            </w:tcBorders>
            <w:shd w:val="clear" w:color="auto" w:fill="FFFFFF"/>
            <w:vAlign w:val="center"/>
          </w:tcPr>
          <w:p w14:paraId="584649C5"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p>
        </w:tc>
      </w:tr>
      <w:tr w:rsidR="004969E6" w:rsidRPr="004969E6" w14:paraId="1394C17A" w14:textId="77777777" w:rsidTr="008352D2">
        <w:trPr>
          <w:jc w:val="center"/>
        </w:trPr>
        <w:tc>
          <w:tcPr>
            <w:tcW w:w="1171" w:type="dxa"/>
            <w:tcBorders>
              <w:bottom w:val="single" w:sz="4" w:space="0" w:color="993333"/>
            </w:tcBorders>
            <w:shd w:val="clear" w:color="auto" w:fill="FFFFFF"/>
            <w:vAlign w:val="center"/>
          </w:tcPr>
          <w:p w14:paraId="7127737D"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color w:val="000000"/>
                <w:kern w:val="2"/>
                <w:sz w:val="18"/>
                <w:szCs w:val="18"/>
                <w:lang w:eastAsia="zh-CN" w:bidi="hi-IN"/>
              </w:rPr>
            </w:pPr>
            <w:r w:rsidRPr="004969E6">
              <w:rPr>
                <w:rFonts w:ascii="Arial" w:eastAsia="NSimSun" w:hAnsi="Arial" w:cs="Arial"/>
                <w:b/>
                <w:bCs/>
                <w:color w:val="000000"/>
                <w:kern w:val="2"/>
                <w:sz w:val="18"/>
                <w:szCs w:val="18"/>
                <w:lang w:eastAsia="zh-CN" w:bidi="hi-IN"/>
              </w:rPr>
              <w:t>IV</w:t>
            </w:r>
          </w:p>
        </w:tc>
        <w:tc>
          <w:tcPr>
            <w:tcW w:w="1161" w:type="dxa"/>
            <w:tcBorders>
              <w:bottom w:val="single" w:sz="4" w:space="0" w:color="993333"/>
            </w:tcBorders>
            <w:shd w:val="clear" w:color="auto" w:fill="FFFFFF"/>
          </w:tcPr>
          <w:p w14:paraId="11867AC0"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4969E6">
              <w:rPr>
                <w:rFonts w:ascii="Arial" w:eastAsia="NSimSun" w:hAnsi="Arial" w:cs="Arial"/>
                <w:color w:val="000000"/>
                <w:kern w:val="2"/>
                <w:sz w:val="18"/>
                <w:szCs w:val="18"/>
                <w:lang w:eastAsia="zh-CN" w:bidi="hi-IN"/>
              </w:rPr>
              <w:t>4.224.450,00</w:t>
            </w:r>
          </w:p>
        </w:tc>
        <w:tc>
          <w:tcPr>
            <w:tcW w:w="1411" w:type="dxa"/>
            <w:tcBorders>
              <w:bottom w:val="single" w:sz="4" w:space="0" w:color="993333"/>
            </w:tcBorders>
            <w:shd w:val="clear" w:color="auto" w:fill="FFFFFF"/>
          </w:tcPr>
          <w:p w14:paraId="6F1FC06F" w14:textId="77777777" w:rsidR="004969E6" w:rsidRPr="004969E6" w:rsidRDefault="004969E6" w:rsidP="004969E6">
            <w:pPr>
              <w:widowControl w:val="0"/>
              <w:suppressAutoHyphens/>
              <w:spacing w:after="0" w:line="276" w:lineRule="auto"/>
              <w:ind w:right="140"/>
              <w:jc w:val="right"/>
              <w:textAlignment w:val="baseline"/>
              <w:rPr>
                <w:rFonts w:ascii="Arial" w:eastAsia="NSimSun" w:hAnsi="Arial" w:cs="Arial"/>
                <w:color w:val="000000"/>
                <w:kern w:val="2"/>
                <w:sz w:val="18"/>
                <w:szCs w:val="18"/>
                <w:lang w:eastAsia="zh-CN" w:bidi="hi-IN"/>
              </w:rPr>
            </w:pPr>
            <w:r w:rsidRPr="004969E6">
              <w:rPr>
                <w:rFonts w:ascii="Arial" w:eastAsia="NSimSun" w:hAnsi="Arial" w:cs="Arial"/>
                <w:color w:val="000000"/>
                <w:kern w:val="2"/>
                <w:sz w:val="18"/>
                <w:szCs w:val="18"/>
                <w:lang w:eastAsia="zh-CN" w:bidi="hi-IN"/>
              </w:rPr>
              <w:t>0,00</w:t>
            </w:r>
          </w:p>
        </w:tc>
        <w:tc>
          <w:tcPr>
            <w:tcW w:w="1232" w:type="dxa"/>
            <w:tcBorders>
              <w:bottom w:val="single" w:sz="4" w:space="0" w:color="993333"/>
            </w:tcBorders>
            <w:shd w:val="clear" w:color="auto" w:fill="FFFFFF"/>
            <w:vAlign w:val="center"/>
          </w:tcPr>
          <w:p w14:paraId="3026545E"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highlight w:val="yellow"/>
                <w:lang w:eastAsia="zh-CN" w:bidi="hi-IN"/>
              </w:rPr>
            </w:pPr>
            <w:r w:rsidRPr="004969E6">
              <w:rPr>
                <w:rFonts w:ascii="Arial" w:eastAsia="NSimSun" w:hAnsi="Arial" w:cs="Arial"/>
                <w:color w:val="000000"/>
                <w:kern w:val="2"/>
                <w:sz w:val="18"/>
                <w:szCs w:val="18"/>
                <w:lang w:eastAsia="zh-CN" w:bidi="hi-IN"/>
              </w:rPr>
              <w:t>4.224.450,00</w:t>
            </w:r>
          </w:p>
        </w:tc>
        <w:tc>
          <w:tcPr>
            <w:tcW w:w="1369" w:type="dxa"/>
            <w:tcBorders>
              <w:bottom w:val="single" w:sz="4" w:space="0" w:color="993333"/>
            </w:tcBorders>
            <w:shd w:val="clear" w:color="auto" w:fill="FFFFFF"/>
            <w:vAlign w:val="center"/>
          </w:tcPr>
          <w:p w14:paraId="497F5F4F" w14:textId="77777777" w:rsidR="004969E6" w:rsidRPr="004969E6" w:rsidRDefault="004969E6" w:rsidP="004969E6">
            <w:pPr>
              <w:widowControl w:val="0"/>
              <w:suppressAutoHyphens/>
              <w:spacing w:after="0" w:line="276" w:lineRule="auto"/>
              <w:ind w:right="208"/>
              <w:jc w:val="right"/>
              <w:textAlignment w:val="baseline"/>
              <w:rPr>
                <w:rFonts w:ascii="Arial" w:eastAsia="NSimSun" w:hAnsi="Arial" w:cs="Arial"/>
                <w:color w:val="000000"/>
                <w:kern w:val="2"/>
                <w:sz w:val="18"/>
                <w:szCs w:val="18"/>
                <w:highlight w:val="yellow"/>
                <w:lang w:eastAsia="zh-CN" w:bidi="hi-IN"/>
              </w:rPr>
            </w:pPr>
            <w:r w:rsidRPr="004969E6">
              <w:rPr>
                <w:rFonts w:ascii="Arial" w:eastAsia="NSimSun" w:hAnsi="Arial" w:cs="Arial"/>
                <w:color w:val="000000"/>
                <w:kern w:val="2"/>
                <w:sz w:val="18"/>
                <w:szCs w:val="18"/>
                <w:lang w:eastAsia="zh-CN" w:bidi="hi-IN"/>
              </w:rPr>
              <w:t>4.224.450,00</w:t>
            </w:r>
          </w:p>
        </w:tc>
        <w:tc>
          <w:tcPr>
            <w:tcW w:w="1161" w:type="dxa"/>
            <w:tcBorders>
              <w:bottom w:val="single" w:sz="4" w:space="0" w:color="993333"/>
            </w:tcBorders>
            <w:shd w:val="clear" w:color="auto" w:fill="FFFFFF"/>
            <w:vAlign w:val="center"/>
          </w:tcPr>
          <w:p w14:paraId="36782647"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highlight w:val="yellow"/>
                <w:lang w:eastAsia="zh-CN" w:bidi="hi-IN"/>
              </w:rPr>
            </w:pPr>
            <w:r w:rsidRPr="004969E6">
              <w:rPr>
                <w:rFonts w:ascii="Arial" w:eastAsia="NSimSun" w:hAnsi="Arial" w:cs="Arial"/>
                <w:color w:val="000000"/>
                <w:kern w:val="2"/>
                <w:sz w:val="18"/>
                <w:szCs w:val="18"/>
                <w:lang w:eastAsia="zh-CN" w:bidi="hi-IN"/>
              </w:rPr>
              <w:t>4.224.450,00</w:t>
            </w:r>
          </w:p>
        </w:tc>
        <w:tc>
          <w:tcPr>
            <w:tcW w:w="1281" w:type="dxa"/>
            <w:tcBorders>
              <w:bottom w:val="single" w:sz="4" w:space="0" w:color="993333"/>
            </w:tcBorders>
            <w:shd w:val="clear" w:color="auto" w:fill="FFFFFF"/>
            <w:vAlign w:val="center"/>
          </w:tcPr>
          <w:p w14:paraId="3A613DB2"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4969E6">
              <w:rPr>
                <w:rFonts w:ascii="Arial" w:eastAsia="NSimSun" w:hAnsi="Arial" w:cs="Arial"/>
                <w:color w:val="000000"/>
                <w:kern w:val="2"/>
                <w:sz w:val="18"/>
                <w:szCs w:val="18"/>
                <w:lang w:eastAsia="zh-CN" w:bidi="hi-IN"/>
              </w:rPr>
              <w:t>0,00</w:t>
            </w:r>
          </w:p>
        </w:tc>
        <w:tc>
          <w:tcPr>
            <w:tcW w:w="1231" w:type="dxa"/>
            <w:tcBorders>
              <w:bottom w:val="single" w:sz="4" w:space="0" w:color="993333"/>
            </w:tcBorders>
            <w:shd w:val="clear" w:color="auto" w:fill="FFFFFF"/>
            <w:vAlign w:val="center"/>
          </w:tcPr>
          <w:p w14:paraId="3F88AF94"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highlight w:val="yellow"/>
                <w:lang w:eastAsia="zh-CN" w:bidi="hi-IN"/>
              </w:rPr>
            </w:pPr>
            <w:r w:rsidRPr="004969E6">
              <w:rPr>
                <w:rFonts w:ascii="Arial" w:eastAsia="NSimSun" w:hAnsi="Arial" w:cs="Arial"/>
                <w:color w:val="000000"/>
                <w:kern w:val="2"/>
                <w:sz w:val="18"/>
                <w:szCs w:val="18"/>
                <w:lang w:eastAsia="zh-CN" w:bidi="hi-IN"/>
              </w:rPr>
              <w:t>4.224.450,00</w:t>
            </w:r>
          </w:p>
        </w:tc>
        <w:tc>
          <w:tcPr>
            <w:tcW w:w="971" w:type="dxa"/>
            <w:tcBorders>
              <w:bottom w:val="single" w:sz="4" w:space="0" w:color="993333"/>
            </w:tcBorders>
            <w:shd w:val="clear" w:color="auto" w:fill="FFFFFF"/>
            <w:vAlign w:val="center"/>
          </w:tcPr>
          <w:p w14:paraId="79C49967"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highlight w:val="yellow"/>
                <w:lang w:eastAsia="zh-CN" w:bidi="hi-IN"/>
              </w:rPr>
            </w:pPr>
            <w:r w:rsidRPr="004969E6">
              <w:rPr>
                <w:rFonts w:ascii="Arial" w:eastAsia="NSimSun" w:hAnsi="Arial" w:cs="Arial"/>
                <w:color w:val="000000"/>
                <w:kern w:val="2"/>
                <w:sz w:val="18"/>
                <w:szCs w:val="18"/>
                <w:lang w:eastAsia="zh-CN" w:bidi="hi-IN"/>
              </w:rPr>
              <w:t>0,00</w:t>
            </w:r>
          </w:p>
        </w:tc>
        <w:tc>
          <w:tcPr>
            <w:tcW w:w="941" w:type="dxa"/>
            <w:tcBorders>
              <w:bottom w:val="single" w:sz="4" w:space="0" w:color="993333"/>
            </w:tcBorders>
            <w:shd w:val="clear" w:color="auto" w:fill="FFFFFF"/>
            <w:vAlign w:val="center"/>
          </w:tcPr>
          <w:p w14:paraId="063E000E"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highlight w:val="yellow"/>
                <w:lang w:eastAsia="zh-CN" w:bidi="hi-IN"/>
              </w:rPr>
            </w:pPr>
          </w:p>
        </w:tc>
      </w:tr>
      <w:tr w:rsidR="004969E6" w:rsidRPr="004969E6" w14:paraId="509790B8" w14:textId="77777777" w:rsidTr="008352D2">
        <w:trPr>
          <w:trHeight w:val="395"/>
          <w:jc w:val="center"/>
        </w:trPr>
        <w:tc>
          <w:tcPr>
            <w:tcW w:w="1171" w:type="dxa"/>
            <w:tcBorders>
              <w:bottom w:val="single" w:sz="4" w:space="0" w:color="993333"/>
            </w:tcBorders>
            <w:shd w:val="clear" w:color="auto" w:fill="EEEEEE"/>
            <w:vAlign w:val="center"/>
          </w:tcPr>
          <w:p w14:paraId="4CCF1520"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kern w:val="2"/>
                <w:sz w:val="24"/>
                <w:szCs w:val="24"/>
                <w:lang w:eastAsia="zh-CN" w:bidi="hi-IN"/>
              </w:rPr>
            </w:pPr>
            <w:r w:rsidRPr="004969E6">
              <w:rPr>
                <w:rFonts w:ascii="Arial" w:eastAsia="NSimSun" w:hAnsi="Arial" w:cs="Arial"/>
                <w:b/>
                <w:bCs/>
                <w:color w:val="000000"/>
                <w:kern w:val="2"/>
                <w:sz w:val="18"/>
                <w:szCs w:val="18"/>
                <w:lang w:eastAsia="zh-CN" w:bidi="hi-IN"/>
              </w:rPr>
              <w:t>TOTAL operaciones corrientes</w:t>
            </w:r>
          </w:p>
        </w:tc>
        <w:tc>
          <w:tcPr>
            <w:tcW w:w="1161" w:type="dxa"/>
            <w:tcBorders>
              <w:bottom w:val="single" w:sz="4" w:space="0" w:color="993333"/>
            </w:tcBorders>
            <w:shd w:val="clear" w:color="auto" w:fill="EEEEEE"/>
          </w:tcPr>
          <w:p w14:paraId="3F6A421E"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p>
          <w:p w14:paraId="6A775C67"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r w:rsidRPr="004969E6">
              <w:rPr>
                <w:rFonts w:ascii="Arial" w:eastAsia="NSimSun" w:hAnsi="Arial" w:cs="Arial"/>
                <w:color w:val="000000"/>
                <w:kern w:val="2"/>
                <w:sz w:val="18"/>
                <w:szCs w:val="18"/>
                <w:lang w:eastAsia="zh-CN" w:bidi="hi-IN"/>
              </w:rPr>
              <w:t>4.224.450,00</w:t>
            </w:r>
          </w:p>
        </w:tc>
        <w:tc>
          <w:tcPr>
            <w:tcW w:w="1411" w:type="dxa"/>
            <w:tcBorders>
              <w:bottom w:val="single" w:sz="4" w:space="0" w:color="993333"/>
            </w:tcBorders>
            <w:shd w:val="clear" w:color="auto" w:fill="EEEEEE"/>
          </w:tcPr>
          <w:p w14:paraId="0020BDA7" w14:textId="77777777" w:rsidR="004969E6" w:rsidRPr="004969E6" w:rsidRDefault="004969E6" w:rsidP="004969E6">
            <w:pPr>
              <w:widowControl w:val="0"/>
              <w:suppressAutoHyphens/>
              <w:spacing w:after="0" w:line="276" w:lineRule="auto"/>
              <w:ind w:right="140"/>
              <w:jc w:val="right"/>
              <w:textAlignment w:val="baseline"/>
              <w:rPr>
                <w:rFonts w:ascii="Arial" w:eastAsia="NSimSun" w:hAnsi="Arial" w:cs="Arial"/>
                <w:color w:val="000000"/>
                <w:kern w:val="2"/>
                <w:sz w:val="18"/>
                <w:szCs w:val="18"/>
                <w:lang w:eastAsia="zh-CN" w:bidi="hi-IN"/>
              </w:rPr>
            </w:pPr>
          </w:p>
          <w:p w14:paraId="0318682B" w14:textId="77777777" w:rsidR="004969E6" w:rsidRPr="004969E6" w:rsidRDefault="004969E6" w:rsidP="004969E6">
            <w:pPr>
              <w:widowControl w:val="0"/>
              <w:suppressAutoHyphens/>
              <w:spacing w:after="0" w:line="276" w:lineRule="auto"/>
              <w:ind w:right="140"/>
              <w:jc w:val="right"/>
              <w:textAlignment w:val="baseline"/>
              <w:rPr>
                <w:rFonts w:ascii="Arial" w:eastAsia="NSimSun" w:hAnsi="Arial" w:cs="Arial"/>
                <w:kern w:val="2"/>
                <w:sz w:val="18"/>
                <w:szCs w:val="18"/>
                <w:highlight w:val="yellow"/>
                <w:lang w:eastAsia="zh-CN" w:bidi="hi-IN"/>
              </w:rPr>
            </w:pPr>
            <w:r w:rsidRPr="004969E6">
              <w:rPr>
                <w:rFonts w:ascii="Arial" w:eastAsia="NSimSun" w:hAnsi="Arial" w:cs="Arial"/>
                <w:color w:val="000000"/>
                <w:kern w:val="2"/>
                <w:sz w:val="18"/>
                <w:szCs w:val="18"/>
                <w:lang w:eastAsia="zh-CN" w:bidi="hi-IN"/>
              </w:rPr>
              <w:t>0,00</w:t>
            </w:r>
          </w:p>
        </w:tc>
        <w:tc>
          <w:tcPr>
            <w:tcW w:w="1232" w:type="dxa"/>
            <w:tcBorders>
              <w:bottom w:val="single" w:sz="4" w:space="0" w:color="993333"/>
            </w:tcBorders>
            <w:shd w:val="clear" w:color="auto" w:fill="EEEEEE"/>
          </w:tcPr>
          <w:p w14:paraId="5A60EB73"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p>
          <w:p w14:paraId="53357AF9"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24"/>
                <w:szCs w:val="24"/>
                <w:highlight w:val="yellow"/>
                <w:lang w:eastAsia="zh-CN" w:bidi="hi-IN"/>
              </w:rPr>
            </w:pPr>
            <w:r w:rsidRPr="004969E6">
              <w:rPr>
                <w:rFonts w:ascii="Arial" w:eastAsia="NSimSun" w:hAnsi="Arial" w:cs="Arial"/>
                <w:kern w:val="2"/>
                <w:sz w:val="18"/>
                <w:szCs w:val="18"/>
                <w:lang w:eastAsia="zh-CN" w:bidi="hi-IN"/>
              </w:rPr>
              <w:t>4.224.450,00</w:t>
            </w:r>
          </w:p>
        </w:tc>
        <w:tc>
          <w:tcPr>
            <w:tcW w:w="1369" w:type="dxa"/>
            <w:tcBorders>
              <w:bottom w:val="single" w:sz="4" w:space="0" w:color="993333"/>
            </w:tcBorders>
            <w:shd w:val="clear" w:color="auto" w:fill="EEEEEE"/>
          </w:tcPr>
          <w:p w14:paraId="45BB8510" w14:textId="77777777" w:rsidR="004969E6" w:rsidRPr="004969E6" w:rsidRDefault="004969E6" w:rsidP="004969E6">
            <w:pPr>
              <w:widowControl w:val="0"/>
              <w:suppressAutoHyphens/>
              <w:spacing w:after="0" w:line="276" w:lineRule="auto"/>
              <w:ind w:right="208"/>
              <w:jc w:val="right"/>
              <w:textAlignment w:val="baseline"/>
              <w:rPr>
                <w:rFonts w:ascii="Arial" w:eastAsia="NSimSun" w:hAnsi="Arial" w:cs="Arial"/>
                <w:kern w:val="2"/>
                <w:sz w:val="18"/>
                <w:szCs w:val="18"/>
                <w:highlight w:val="yellow"/>
                <w:lang w:eastAsia="zh-CN" w:bidi="hi-IN"/>
              </w:rPr>
            </w:pPr>
          </w:p>
          <w:p w14:paraId="45EC9226" w14:textId="77777777" w:rsidR="004969E6" w:rsidRPr="004969E6" w:rsidRDefault="004969E6" w:rsidP="004969E6">
            <w:pPr>
              <w:widowControl w:val="0"/>
              <w:suppressAutoHyphens/>
              <w:spacing w:after="0" w:line="276" w:lineRule="auto"/>
              <w:ind w:right="208"/>
              <w:jc w:val="right"/>
              <w:textAlignment w:val="baseline"/>
              <w:rPr>
                <w:rFonts w:ascii="Arial" w:eastAsia="NSimSun" w:hAnsi="Arial" w:cs="Arial"/>
                <w:kern w:val="2"/>
                <w:sz w:val="24"/>
                <w:szCs w:val="24"/>
                <w:highlight w:val="yellow"/>
                <w:lang w:eastAsia="zh-CN" w:bidi="hi-IN"/>
              </w:rPr>
            </w:pPr>
            <w:r w:rsidRPr="004969E6">
              <w:rPr>
                <w:rFonts w:ascii="Arial" w:eastAsia="NSimSun" w:hAnsi="Arial" w:cs="Arial"/>
                <w:kern w:val="2"/>
                <w:sz w:val="18"/>
                <w:szCs w:val="18"/>
                <w:lang w:eastAsia="zh-CN" w:bidi="hi-IN"/>
              </w:rPr>
              <w:t>4.224.617,77</w:t>
            </w:r>
          </w:p>
        </w:tc>
        <w:tc>
          <w:tcPr>
            <w:tcW w:w="1161" w:type="dxa"/>
            <w:tcBorders>
              <w:bottom w:val="single" w:sz="4" w:space="0" w:color="993333"/>
            </w:tcBorders>
            <w:shd w:val="clear" w:color="auto" w:fill="EEEEEE"/>
          </w:tcPr>
          <w:p w14:paraId="1FAFA5C1"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p>
          <w:p w14:paraId="3076B0CF"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24"/>
                <w:szCs w:val="24"/>
                <w:highlight w:val="yellow"/>
                <w:lang w:eastAsia="zh-CN" w:bidi="hi-IN"/>
              </w:rPr>
            </w:pPr>
            <w:r w:rsidRPr="004969E6">
              <w:rPr>
                <w:rFonts w:ascii="Arial" w:eastAsia="NSimSun" w:hAnsi="Arial" w:cs="Arial"/>
                <w:kern w:val="2"/>
                <w:sz w:val="18"/>
                <w:szCs w:val="18"/>
                <w:lang w:eastAsia="zh-CN" w:bidi="hi-IN"/>
              </w:rPr>
              <w:t>4.224.617,77</w:t>
            </w:r>
          </w:p>
        </w:tc>
        <w:tc>
          <w:tcPr>
            <w:tcW w:w="1281" w:type="dxa"/>
            <w:tcBorders>
              <w:bottom w:val="single" w:sz="4" w:space="0" w:color="993333"/>
            </w:tcBorders>
            <w:shd w:val="clear" w:color="auto" w:fill="EEEEEE"/>
          </w:tcPr>
          <w:p w14:paraId="5469CAEB"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lang w:eastAsia="zh-CN" w:bidi="hi-IN"/>
              </w:rPr>
            </w:pPr>
          </w:p>
          <w:p w14:paraId="799A6B6A"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24"/>
                <w:szCs w:val="24"/>
                <w:lang w:eastAsia="zh-CN" w:bidi="hi-IN"/>
              </w:rPr>
            </w:pPr>
            <w:r w:rsidRPr="004969E6">
              <w:rPr>
                <w:rFonts w:ascii="Arial" w:eastAsia="NSimSun" w:hAnsi="Arial" w:cs="Arial"/>
                <w:kern w:val="2"/>
                <w:sz w:val="18"/>
                <w:szCs w:val="18"/>
                <w:lang w:eastAsia="zh-CN" w:bidi="hi-IN"/>
              </w:rPr>
              <w:t>0,00</w:t>
            </w:r>
          </w:p>
        </w:tc>
        <w:tc>
          <w:tcPr>
            <w:tcW w:w="1231" w:type="dxa"/>
            <w:tcBorders>
              <w:bottom w:val="single" w:sz="4" w:space="0" w:color="993333"/>
            </w:tcBorders>
            <w:shd w:val="clear" w:color="auto" w:fill="EEEEEE"/>
          </w:tcPr>
          <w:p w14:paraId="3417BDBD"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p>
          <w:p w14:paraId="0DD6DBCC"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24"/>
                <w:szCs w:val="24"/>
                <w:highlight w:val="yellow"/>
                <w:lang w:eastAsia="zh-CN" w:bidi="hi-IN"/>
              </w:rPr>
            </w:pPr>
            <w:r w:rsidRPr="004969E6">
              <w:rPr>
                <w:rFonts w:ascii="Arial" w:eastAsia="NSimSun" w:hAnsi="Arial" w:cs="Arial"/>
                <w:kern w:val="2"/>
                <w:sz w:val="18"/>
                <w:szCs w:val="18"/>
                <w:lang w:eastAsia="zh-CN" w:bidi="hi-IN"/>
              </w:rPr>
              <w:t>4.224.617,77</w:t>
            </w:r>
          </w:p>
        </w:tc>
        <w:tc>
          <w:tcPr>
            <w:tcW w:w="971" w:type="dxa"/>
            <w:tcBorders>
              <w:bottom w:val="single" w:sz="4" w:space="0" w:color="993333"/>
            </w:tcBorders>
            <w:shd w:val="clear" w:color="auto" w:fill="EEEEEE"/>
          </w:tcPr>
          <w:p w14:paraId="06BAD650"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p>
          <w:p w14:paraId="48BC6D30"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24"/>
                <w:szCs w:val="24"/>
                <w:highlight w:val="yellow"/>
                <w:lang w:eastAsia="zh-CN" w:bidi="hi-IN"/>
              </w:rPr>
            </w:pPr>
            <w:r w:rsidRPr="004969E6">
              <w:rPr>
                <w:rFonts w:ascii="Arial" w:eastAsia="NSimSun" w:hAnsi="Arial" w:cs="Arial"/>
                <w:color w:val="000000"/>
                <w:kern w:val="2"/>
                <w:sz w:val="18"/>
                <w:szCs w:val="18"/>
                <w:lang w:eastAsia="zh-CN" w:bidi="hi-IN"/>
              </w:rPr>
              <w:t>0,00</w:t>
            </w:r>
          </w:p>
        </w:tc>
        <w:tc>
          <w:tcPr>
            <w:tcW w:w="941" w:type="dxa"/>
            <w:tcBorders>
              <w:bottom w:val="single" w:sz="4" w:space="0" w:color="993333"/>
            </w:tcBorders>
            <w:shd w:val="clear" w:color="auto" w:fill="EEEEEE"/>
          </w:tcPr>
          <w:p w14:paraId="7FB5B821"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lang w:eastAsia="zh-CN" w:bidi="hi-IN"/>
              </w:rPr>
            </w:pPr>
          </w:p>
          <w:p w14:paraId="7965C731"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24"/>
                <w:szCs w:val="24"/>
                <w:lang w:eastAsia="zh-CN" w:bidi="hi-IN"/>
              </w:rPr>
            </w:pPr>
            <w:r w:rsidRPr="004969E6">
              <w:rPr>
                <w:rFonts w:ascii="Arial" w:eastAsia="NSimSun" w:hAnsi="Arial" w:cs="Arial"/>
                <w:kern w:val="2"/>
                <w:sz w:val="18"/>
                <w:szCs w:val="18"/>
                <w:lang w:eastAsia="zh-CN" w:bidi="hi-IN"/>
              </w:rPr>
              <w:t>167,77</w:t>
            </w:r>
          </w:p>
        </w:tc>
      </w:tr>
      <w:tr w:rsidR="004969E6" w:rsidRPr="004969E6" w14:paraId="4D081D08" w14:textId="77777777" w:rsidTr="008352D2">
        <w:trPr>
          <w:jc w:val="center"/>
        </w:trPr>
        <w:tc>
          <w:tcPr>
            <w:tcW w:w="1171" w:type="dxa"/>
            <w:tcBorders>
              <w:bottom w:val="single" w:sz="4" w:space="0" w:color="993333"/>
            </w:tcBorders>
            <w:shd w:val="clear" w:color="auto" w:fill="FFFFFF"/>
            <w:vAlign w:val="center"/>
          </w:tcPr>
          <w:p w14:paraId="6197CEAA"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kern w:val="2"/>
                <w:sz w:val="18"/>
                <w:szCs w:val="18"/>
                <w:lang w:eastAsia="zh-CN" w:bidi="hi-IN"/>
              </w:rPr>
            </w:pPr>
            <w:r w:rsidRPr="004969E6">
              <w:rPr>
                <w:rFonts w:ascii="Arial" w:eastAsia="NSimSun" w:hAnsi="Arial" w:cs="Arial"/>
                <w:b/>
                <w:bCs/>
                <w:kern w:val="2"/>
                <w:sz w:val="18"/>
                <w:szCs w:val="18"/>
                <w:lang w:eastAsia="zh-CN" w:bidi="hi-IN"/>
              </w:rPr>
              <w:t>VII</w:t>
            </w:r>
          </w:p>
        </w:tc>
        <w:tc>
          <w:tcPr>
            <w:tcW w:w="1161" w:type="dxa"/>
            <w:tcBorders>
              <w:bottom w:val="single" w:sz="4" w:space="0" w:color="993333"/>
            </w:tcBorders>
            <w:shd w:val="clear" w:color="auto" w:fill="FFFFFF"/>
          </w:tcPr>
          <w:p w14:paraId="17E03836"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4969E6">
              <w:rPr>
                <w:rFonts w:ascii="Arial" w:eastAsia="NSimSun" w:hAnsi="Arial" w:cs="Arial"/>
                <w:kern w:val="2"/>
                <w:sz w:val="18"/>
                <w:szCs w:val="18"/>
                <w:lang w:eastAsia="zh-CN" w:bidi="hi-IN"/>
              </w:rPr>
              <w:t>199.890,00</w:t>
            </w:r>
          </w:p>
        </w:tc>
        <w:tc>
          <w:tcPr>
            <w:tcW w:w="1411" w:type="dxa"/>
            <w:tcBorders>
              <w:bottom w:val="single" w:sz="4" w:space="0" w:color="993333"/>
            </w:tcBorders>
            <w:shd w:val="clear" w:color="auto" w:fill="FFFFFF"/>
          </w:tcPr>
          <w:p w14:paraId="0FD92B0A" w14:textId="77777777" w:rsidR="004969E6" w:rsidRPr="004969E6" w:rsidRDefault="004969E6" w:rsidP="004969E6">
            <w:pPr>
              <w:widowControl w:val="0"/>
              <w:suppressAutoHyphens/>
              <w:spacing w:after="0" w:line="276" w:lineRule="auto"/>
              <w:ind w:right="140"/>
              <w:jc w:val="right"/>
              <w:textAlignment w:val="baseline"/>
              <w:rPr>
                <w:rFonts w:ascii="Arial" w:eastAsia="NSimSun" w:hAnsi="Arial" w:cs="Arial"/>
                <w:kern w:val="2"/>
                <w:sz w:val="18"/>
                <w:szCs w:val="18"/>
                <w:lang w:eastAsia="zh-CN" w:bidi="hi-IN"/>
              </w:rPr>
            </w:pPr>
            <w:r w:rsidRPr="004969E6">
              <w:rPr>
                <w:rFonts w:ascii="Arial" w:eastAsia="NSimSun" w:hAnsi="Arial" w:cs="Arial"/>
                <w:color w:val="000000"/>
                <w:kern w:val="2"/>
                <w:sz w:val="18"/>
                <w:szCs w:val="18"/>
                <w:lang w:eastAsia="zh-CN" w:bidi="hi-IN"/>
              </w:rPr>
              <w:t>0,00</w:t>
            </w:r>
          </w:p>
        </w:tc>
        <w:tc>
          <w:tcPr>
            <w:tcW w:w="1232" w:type="dxa"/>
            <w:tcBorders>
              <w:bottom w:val="single" w:sz="4" w:space="0" w:color="993333"/>
            </w:tcBorders>
            <w:shd w:val="clear" w:color="auto" w:fill="FFFFFF"/>
            <w:vAlign w:val="center"/>
          </w:tcPr>
          <w:p w14:paraId="1954D3AF"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r w:rsidRPr="004969E6">
              <w:rPr>
                <w:rFonts w:ascii="Arial" w:eastAsia="NSimSun" w:hAnsi="Arial" w:cs="Arial"/>
                <w:kern w:val="2"/>
                <w:sz w:val="18"/>
                <w:szCs w:val="18"/>
                <w:lang w:eastAsia="zh-CN" w:bidi="hi-IN"/>
              </w:rPr>
              <w:t>199.890,00</w:t>
            </w:r>
          </w:p>
        </w:tc>
        <w:tc>
          <w:tcPr>
            <w:tcW w:w="1369" w:type="dxa"/>
            <w:tcBorders>
              <w:bottom w:val="single" w:sz="4" w:space="0" w:color="993333"/>
            </w:tcBorders>
            <w:shd w:val="clear" w:color="auto" w:fill="FFFFFF"/>
          </w:tcPr>
          <w:p w14:paraId="6649AB20" w14:textId="77777777" w:rsidR="004969E6" w:rsidRPr="004969E6" w:rsidRDefault="004969E6" w:rsidP="004969E6">
            <w:pPr>
              <w:widowControl w:val="0"/>
              <w:suppressAutoHyphens/>
              <w:spacing w:after="0" w:line="276" w:lineRule="auto"/>
              <w:ind w:right="208"/>
              <w:jc w:val="right"/>
              <w:textAlignment w:val="baseline"/>
              <w:rPr>
                <w:rFonts w:ascii="Arial" w:eastAsia="NSimSun" w:hAnsi="Arial" w:cs="Arial"/>
                <w:kern w:val="2"/>
                <w:sz w:val="18"/>
                <w:szCs w:val="18"/>
                <w:highlight w:val="yellow"/>
                <w:lang w:eastAsia="zh-CN" w:bidi="hi-IN"/>
              </w:rPr>
            </w:pPr>
            <w:r w:rsidRPr="004969E6">
              <w:rPr>
                <w:rFonts w:ascii="Arial" w:eastAsia="NSimSun" w:hAnsi="Arial" w:cs="Arial"/>
                <w:kern w:val="2"/>
                <w:sz w:val="18"/>
                <w:szCs w:val="18"/>
                <w:lang w:eastAsia="zh-CN" w:bidi="hi-IN"/>
              </w:rPr>
              <w:t>199.890,00</w:t>
            </w:r>
          </w:p>
        </w:tc>
        <w:tc>
          <w:tcPr>
            <w:tcW w:w="1161" w:type="dxa"/>
            <w:tcBorders>
              <w:bottom w:val="single" w:sz="4" w:space="0" w:color="993333"/>
            </w:tcBorders>
            <w:shd w:val="clear" w:color="auto" w:fill="FFFFFF"/>
          </w:tcPr>
          <w:p w14:paraId="3336E090"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r w:rsidRPr="004969E6">
              <w:rPr>
                <w:rFonts w:ascii="Arial" w:eastAsia="NSimSun" w:hAnsi="Arial" w:cs="Arial"/>
                <w:kern w:val="2"/>
                <w:sz w:val="18"/>
                <w:szCs w:val="18"/>
                <w:lang w:eastAsia="zh-CN" w:bidi="hi-IN"/>
              </w:rPr>
              <w:t>199.890,00</w:t>
            </w:r>
          </w:p>
        </w:tc>
        <w:tc>
          <w:tcPr>
            <w:tcW w:w="1281" w:type="dxa"/>
            <w:tcBorders>
              <w:bottom w:val="single" w:sz="4" w:space="0" w:color="993333"/>
            </w:tcBorders>
            <w:shd w:val="clear" w:color="auto" w:fill="FFFFFF"/>
            <w:vAlign w:val="center"/>
          </w:tcPr>
          <w:p w14:paraId="5B51CA67"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4969E6">
              <w:rPr>
                <w:rFonts w:ascii="Arial" w:eastAsia="NSimSun" w:hAnsi="Arial" w:cs="Arial"/>
                <w:kern w:val="2"/>
                <w:sz w:val="18"/>
                <w:szCs w:val="18"/>
                <w:lang w:eastAsia="zh-CN" w:bidi="hi-IN"/>
              </w:rPr>
              <w:t>0,00</w:t>
            </w:r>
          </w:p>
        </w:tc>
        <w:tc>
          <w:tcPr>
            <w:tcW w:w="1231" w:type="dxa"/>
            <w:tcBorders>
              <w:bottom w:val="single" w:sz="4" w:space="0" w:color="993333"/>
            </w:tcBorders>
            <w:shd w:val="clear" w:color="auto" w:fill="FFFFFF"/>
          </w:tcPr>
          <w:p w14:paraId="6BCEC64E"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r w:rsidRPr="004969E6">
              <w:rPr>
                <w:rFonts w:ascii="Arial" w:eastAsia="NSimSun" w:hAnsi="Arial" w:cs="Arial"/>
                <w:kern w:val="2"/>
                <w:sz w:val="18"/>
                <w:szCs w:val="18"/>
                <w:lang w:eastAsia="zh-CN" w:bidi="hi-IN"/>
              </w:rPr>
              <w:t>199.890,00</w:t>
            </w:r>
          </w:p>
        </w:tc>
        <w:tc>
          <w:tcPr>
            <w:tcW w:w="971" w:type="dxa"/>
            <w:tcBorders>
              <w:bottom w:val="single" w:sz="4" w:space="0" w:color="993333"/>
            </w:tcBorders>
            <w:shd w:val="clear" w:color="auto" w:fill="FFFFFF"/>
          </w:tcPr>
          <w:p w14:paraId="769A85F5"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r w:rsidRPr="004969E6">
              <w:rPr>
                <w:rFonts w:ascii="Arial" w:eastAsia="NSimSun" w:hAnsi="Arial" w:cs="Arial"/>
                <w:color w:val="000000"/>
                <w:kern w:val="2"/>
                <w:sz w:val="18"/>
                <w:szCs w:val="18"/>
                <w:lang w:eastAsia="zh-CN" w:bidi="hi-IN"/>
              </w:rPr>
              <w:t>0,00</w:t>
            </w:r>
          </w:p>
        </w:tc>
        <w:tc>
          <w:tcPr>
            <w:tcW w:w="941" w:type="dxa"/>
            <w:tcBorders>
              <w:bottom w:val="single" w:sz="4" w:space="0" w:color="993333"/>
            </w:tcBorders>
            <w:shd w:val="clear" w:color="auto" w:fill="FFFFFF"/>
            <w:vAlign w:val="center"/>
          </w:tcPr>
          <w:p w14:paraId="2112104D"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p>
        </w:tc>
      </w:tr>
      <w:tr w:rsidR="004969E6" w:rsidRPr="004969E6" w14:paraId="59C9300A" w14:textId="77777777" w:rsidTr="008352D2">
        <w:trPr>
          <w:jc w:val="center"/>
        </w:trPr>
        <w:tc>
          <w:tcPr>
            <w:tcW w:w="1171" w:type="dxa"/>
            <w:tcBorders>
              <w:bottom w:val="single" w:sz="4" w:space="0" w:color="993333"/>
            </w:tcBorders>
            <w:shd w:val="clear" w:color="auto" w:fill="FFFFFF"/>
            <w:vAlign w:val="center"/>
          </w:tcPr>
          <w:p w14:paraId="4B4EAB8D"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kern w:val="2"/>
                <w:sz w:val="18"/>
                <w:szCs w:val="18"/>
                <w:lang w:eastAsia="zh-CN" w:bidi="hi-IN"/>
              </w:rPr>
            </w:pPr>
            <w:r w:rsidRPr="004969E6">
              <w:rPr>
                <w:rFonts w:ascii="Arial" w:eastAsia="NSimSun" w:hAnsi="Arial" w:cs="Arial"/>
                <w:b/>
                <w:bCs/>
                <w:kern w:val="2"/>
                <w:sz w:val="18"/>
                <w:szCs w:val="18"/>
                <w:lang w:eastAsia="zh-CN" w:bidi="hi-IN"/>
              </w:rPr>
              <w:t>VIII</w:t>
            </w:r>
          </w:p>
        </w:tc>
        <w:tc>
          <w:tcPr>
            <w:tcW w:w="1161" w:type="dxa"/>
            <w:tcBorders>
              <w:bottom w:val="single" w:sz="4" w:space="0" w:color="993333"/>
            </w:tcBorders>
            <w:shd w:val="clear" w:color="auto" w:fill="FFFFFF"/>
          </w:tcPr>
          <w:p w14:paraId="24180C6D"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4969E6">
              <w:rPr>
                <w:rFonts w:ascii="Arial" w:eastAsia="NSimSun" w:hAnsi="Arial" w:cs="Arial"/>
                <w:kern w:val="2"/>
                <w:sz w:val="18"/>
                <w:szCs w:val="18"/>
                <w:lang w:eastAsia="zh-CN" w:bidi="hi-IN"/>
              </w:rPr>
              <w:t>0,00</w:t>
            </w:r>
          </w:p>
        </w:tc>
        <w:tc>
          <w:tcPr>
            <w:tcW w:w="1411" w:type="dxa"/>
            <w:tcBorders>
              <w:bottom w:val="single" w:sz="4" w:space="0" w:color="993333"/>
            </w:tcBorders>
            <w:shd w:val="clear" w:color="auto" w:fill="FFFFFF"/>
            <w:vAlign w:val="center"/>
          </w:tcPr>
          <w:p w14:paraId="49A18105" w14:textId="77777777" w:rsidR="004969E6" w:rsidRPr="004969E6" w:rsidRDefault="004969E6" w:rsidP="004969E6">
            <w:pPr>
              <w:widowControl w:val="0"/>
              <w:suppressAutoHyphens/>
              <w:spacing w:after="0" w:line="276" w:lineRule="auto"/>
              <w:ind w:right="140"/>
              <w:jc w:val="right"/>
              <w:textAlignment w:val="baseline"/>
              <w:rPr>
                <w:rFonts w:ascii="Arial" w:eastAsia="NSimSun" w:hAnsi="Arial" w:cs="Arial"/>
                <w:kern w:val="2"/>
                <w:sz w:val="18"/>
                <w:szCs w:val="18"/>
                <w:lang w:eastAsia="zh-CN" w:bidi="hi-IN"/>
              </w:rPr>
            </w:pPr>
            <w:r w:rsidRPr="004969E6">
              <w:rPr>
                <w:rFonts w:ascii="Arial" w:eastAsia="NSimSun" w:hAnsi="Arial" w:cs="Arial"/>
                <w:kern w:val="2"/>
                <w:sz w:val="18"/>
                <w:szCs w:val="18"/>
                <w:lang w:eastAsia="zh-CN" w:bidi="hi-IN"/>
              </w:rPr>
              <w:t>3.787.793,15</w:t>
            </w:r>
          </w:p>
        </w:tc>
        <w:tc>
          <w:tcPr>
            <w:tcW w:w="1232" w:type="dxa"/>
            <w:tcBorders>
              <w:bottom w:val="single" w:sz="4" w:space="0" w:color="993333"/>
            </w:tcBorders>
            <w:shd w:val="clear" w:color="auto" w:fill="FFFFFF"/>
            <w:vAlign w:val="center"/>
          </w:tcPr>
          <w:p w14:paraId="53DF8B56"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4969E6">
              <w:rPr>
                <w:rFonts w:ascii="Arial" w:eastAsia="NSimSun" w:hAnsi="Arial" w:cs="Arial"/>
                <w:kern w:val="2"/>
                <w:sz w:val="18"/>
                <w:szCs w:val="18"/>
                <w:lang w:eastAsia="zh-CN" w:bidi="hi-IN"/>
              </w:rPr>
              <w:t>3.787.793,15</w:t>
            </w:r>
          </w:p>
        </w:tc>
        <w:tc>
          <w:tcPr>
            <w:tcW w:w="1369" w:type="dxa"/>
            <w:tcBorders>
              <w:bottom w:val="single" w:sz="4" w:space="0" w:color="993333"/>
            </w:tcBorders>
            <w:shd w:val="clear" w:color="auto" w:fill="FFFFFF"/>
          </w:tcPr>
          <w:p w14:paraId="41F13902" w14:textId="77777777" w:rsidR="004969E6" w:rsidRPr="004969E6" w:rsidRDefault="004969E6" w:rsidP="004969E6">
            <w:pPr>
              <w:widowControl w:val="0"/>
              <w:suppressAutoHyphens/>
              <w:spacing w:after="0" w:line="276" w:lineRule="auto"/>
              <w:ind w:right="208"/>
              <w:jc w:val="right"/>
              <w:textAlignment w:val="baseline"/>
              <w:rPr>
                <w:rFonts w:ascii="Arial" w:eastAsia="NSimSun" w:hAnsi="Arial" w:cs="Arial"/>
                <w:kern w:val="2"/>
                <w:sz w:val="18"/>
                <w:szCs w:val="18"/>
                <w:lang w:eastAsia="zh-CN" w:bidi="hi-IN"/>
              </w:rPr>
            </w:pPr>
            <w:r w:rsidRPr="004969E6">
              <w:rPr>
                <w:rFonts w:ascii="Arial" w:eastAsia="NSimSun" w:hAnsi="Arial" w:cs="Arial"/>
                <w:kern w:val="2"/>
                <w:sz w:val="18"/>
                <w:szCs w:val="18"/>
                <w:lang w:eastAsia="zh-CN" w:bidi="hi-IN"/>
              </w:rPr>
              <w:t>0,00</w:t>
            </w:r>
          </w:p>
        </w:tc>
        <w:tc>
          <w:tcPr>
            <w:tcW w:w="1161" w:type="dxa"/>
            <w:tcBorders>
              <w:bottom w:val="single" w:sz="4" w:space="0" w:color="993333"/>
            </w:tcBorders>
            <w:shd w:val="clear" w:color="auto" w:fill="FFFFFF"/>
          </w:tcPr>
          <w:p w14:paraId="5E24E89A"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4969E6">
              <w:rPr>
                <w:rFonts w:ascii="Arial" w:eastAsia="NSimSun" w:hAnsi="Arial" w:cs="Arial"/>
                <w:kern w:val="2"/>
                <w:sz w:val="18"/>
                <w:szCs w:val="18"/>
                <w:lang w:eastAsia="zh-CN" w:bidi="hi-IN"/>
              </w:rPr>
              <w:t>0,00</w:t>
            </w:r>
          </w:p>
        </w:tc>
        <w:tc>
          <w:tcPr>
            <w:tcW w:w="1281" w:type="dxa"/>
            <w:tcBorders>
              <w:bottom w:val="single" w:sz="4" w:space="0" w:color="993333"/>
            </w:tcBorders>
            <w:shd w:val="clear" w:color="auto" w:fill="FFFFFF"/>
          </w:tcPr>
          <w:p w14:paraId="48FC44D8"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4969E6">
              <w:rPr>
                <w:rFonts w:ascii="Arial" w:eastAsia="NSimSun" w:hAnsi="Arial" w:cs="Arial"/>
                <w:kern w:val="2"/>
                <w:sz w:val="18"/>
                <w:szCs w:val="18"/>
                <w:lang w:eastAsia="zh-CN" w:bidi="hi-IN"/>
              </w:rPr>
              <w:t>0,00</w:t>
            </w:r>
          </w:p>
        </w:tc>
        <w:tc>
          <w:tcPr>
            <w:tcW w:w="1231" w:type="dxa"/>
            <w:tcBorders>
              <w:bottom w:val="single" w:sz="4" w:space="0" w:color="993333"/>
            </w:tcBorders>
            <w:shd w:val="clear" w:color="auto" w:fill="FFFFFF"/>
          </w:tcPr>
          <w:p w14:paraId="10E9F7B3"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4969E6">
              <w:rPr>
                <w:rFonts w:ascii="Arial" w:eastAsia="NSimSun" w:hAnsi="Arial" w:cs="Arial"/>
                <w:kern w:val="2"/>
                <w:sz w:val="18"/>
                <w:szCs w:val="18"/>
                <w:lang w:eastAsia="zh-CN" w:bidi="hi-IN"/>
              </w:rPr>
              <w:t>0,00</w:t>
            </w:r>
          </w:p>
        </w:tc>
        <w:tc>
          <w:tcPr>
            <w:tcW w:w="971" w:type="dxa"/>
            <w:tcBorders>
              <w:bottom w:val="single" w:sz="4" w:space="0" w:color="993333"/>
            </w:tcBorders>
            <w:shd w:val="clear" w:color="auto" w:fill="FFFFFF"/>
          </w:tcPr>
          <w:p w14:paraId="7AD050B6"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4969E6">
              <w:rPr>
                <w:rFonts w:ascii="Arial" w:eastAsia="NSimSun" w:hAnsi="Arial" w:cs="Arial"/>
                <w:kern w:val="2"/>
                <w:sz w:val="18"/>
                <w:szCs w:val="18"/>
                <w:lang w:eastAsia="zh-CN" w:bidi="hi-IN"/>
              </w:rPr>
              <w:t>0,00</w:t>
            </w:r>
          </w:p>
        </w:tc>
        <w:tc>
          <w:tcPr>
            <w:tcW w:w="941" w:type="dxa"/>
            <w:tcBorders>
              <w:bottom w:val="single" w:sz="4" w:space="0" w:color="993333"/>
            </w:tcBorders>
            <w:shd w:val="clear" w:color="auto" w:fill="FFFFFF"/>
            <w:vAlign w:val="center"/>
          </w:tcPr>
          <w:p w14:paraId="24B54949"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p>
        </w:tc>
      </w:tr>
      <w:tr w:rsidR="004969E6" w:rsidRPr="004969E6" w14:paraId="40953327" w14:textId="77777777" w:rsidTr="008352D2">
        <w:trPr>
          <w:jc w:val="center"/>
        </w:trPr>
        <w:tc>
          <w:tcPr>
            <w:tcW w:w="1171" w:type="dxa"/>
            <w:tcBorders>
              <w:bottom w:val="single" w:sz="4" w:space="0" w:color="993333"/>
            </w:tcBorders>
            <w:shd w:val="clear" w:color="auto" w:fill="EEEEEE"/>
            <w:vAlign w:val="center"/>
          </w:tcPr>
          <w:p w14:paraId="1644C428"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kern w:val="2"/>
                <w:sz w:val="18"/>
                <w:szCs w:val="18"/>
                <w:lang w:eastAsia="zh-CN" w:bidi="hi-IN"/>
              </w:rPr>
            </w:pPr>
            <w:r w:rsidRPr="004969E6">
              <w:rPr>
                <w:rFonts w:ascii="Arial" w:eastAsia="NSimSun" w:hAnsi="Arial" w:cs="Arial"/>
                <w:b/>
                <w:bCs/>
                <w:kern w:val="2"/>
                <w:sz w:val="18"/>
                <w:szCs w:val="18"/>
                <w:lang w:eastAsia="zh-CN" w:bidi="hi-IN"/>
              </w:rPr>
              <w:t>TOTAL operaciones capital</w:t>
            </w:r>
          </w:p>
        </w:tc>
        <w:tc>
          <w:tcPr>
            <w:tcW w:w="1161" w:type="dxa"/>
            <w:tcBorders>
              <w:bottom w:val="single" w:sz="4" w:space="0" w:color="993333"/>
            </w:tcBorders>
            <w:shd w:val="clear" w:color="auto" w:fill="EEEEEE"/>
          </w:tcPr>
          <w:p w14:paraId="6725E1CF"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lang w:eastAsia="zh-CN" w:bidi="hi-IN"/>
              </w:rPr>
            </w:pPr>
          </w:p>
          <w:p w14:paraId="3354B3A4"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r w:rsidRPr="004969E6">
              <w:rPr>
                <w:rFonts w:ascii="Arial" w:eastAsia="NSimSun" w:hAnsi="Arial" w:cs="Arial"/>
                <w:kern w:val="2"/>
                <w:sz w:val="18"/>
                <w:szCs w:val="18"/>
                <w:lang w:eastAsia="zh-CN" w:bidi="hi-IN"/>
              </w:rPr>
              <w:t>0,00</w:t>
            </w:r>
          </w:p>
        </w:tc>
        <w:tc>
          <w:tcPr>
            <w:tcW w:w="1411" w:type="dxa"/>
            <w:tcBorders>
              <w:bottom w:val="single" w:sz="4" w:space="0" w:color="993333"/>
            </w:tcBorders>
            <w:shd w:val="clear" w:color="auto" w:fill="EEEEEE"/>
          </w:tcPr>
          <w:p w14:paraId="537C7491" w14:textId="77777777" w:rsidR="004969E6" w:rsidRPr="004969E6" w:rsidRDefault="004969E6" w:rsidP="004969E6">
            <w:pPr>
              <w:widowControl w:val="0"/>
              <w:suppressAutoHyphens/>
              <w:spacing w:after="0" w:line="276" w:lineRule="auto"/>
              <w:ind w:right="140"/>
              <w:jc w:val="right"/>
              <w:textAlignment w:val="baseline"/>
              <w:rPr>
                <w:rFonts w:ascii="Arial" w:eastAsia="NSimSun" w:hAnsi="Arial" w:cs="Arial"/>
                <w:kern w:val="2"/>
                <w:sz w:val="18"/>
                <w:szCs w:val="18"/>
                <w:lang w:eastAsia="zh-CN" w:bidi="hi-IN"/>
              </w:rPr>
            </w:pPr>
          </w:p>
          <w:p w14:paraId="6890BE48" w14:textId="77777777" w:rsidR="004969E6" w:rsidRPr="004969E6" w:rsidRDefault="004969E6" w:rsidP="004969E6">
            <w:pPr>
              <w:widowControl w:val="0"/>
              <w:suppressAutoHyphens/>
              <w:spacing w:after="0" w:line="276" w:lineRule="auto"/>
              <w:ind w:right="140"/>
              <w:jc w:val="right"/>
              <w:textAlignment w:val="baseline"/>
              <w:rPr>
                <w:rFonts w:ascii="Arial" w:eastAsia="NSimSun" w:hAnsi="Arial" w:cs="Arial"/>
                <w:kern w:val="2"/>
                <w:sz w:val="18"/>
                <w:szCs w:val="18"/>
                <w:highlight w:val="yellow"/>
                <w:lang w:eastAsia="zh-CN" w:bidi="hi-IN"/>
              </w:rPr>
            </w:pPr>
            <w:r w:rsidRPr="004969E6">
              <w:rPr>
                <w:rFonts w:ascii="Arial" w:eastAsia="NSimSun" w:hAnsi="Arial" w:cs="Arial"/>
                <w:kern w:val="2"/>
                <w:sz w:val="18"/>
                <w:szCs w:val="18"/>
                <w:lang w:eastAsia="zh-CN" w:bidi="hi-IN"/>
              </w:rPr>
              <w:t>3.787.793,15</w:t>
            </w:r>
          </w:p>
        </w:tc>
        <w:tc>
          <w:tcPr>
            <w:tcW w:w="1232" w:type="dxa"/>
            <w:tcBorders>
              <w:bottom w:val="single" w:sz="4" w:space="0" w:color="993333"/>
            </w:tcBorders>
            <w:shd w:val="clear" w:color="auto" w:fill="EEEEEE"/>
          </w:tcPr>
          <w:p w14:paraId="13E0C7AB"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p>
          <w:p w14:paraId="3158BA19"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24"/>
                <w:szCs w:val="24"/>
                <w:highlight w:val="yellow"/>
                <w:lang w:eastAsia="zh-CN" w:bidi="hi-IN"/>
              </w:rPr>
            </w:pPr>
            <w:r w:rsidRPr="004969E6">
              <w:rPr>
                <w:rFonts w:ascii="Arial" w:eastAsia="NSimSun" w:hAnsi="Arial" w:cs="Arial"/>
                <w:kern w:val="2"/>
                <w:sz w:val="18"/>
                <w:szCs w:val="18"/>
                <w:lang w:eastAsia="zh-CN" w:bidi="hi-IN"/>
              </w:rPr>
              <w:t>199.890,00</w:t>
            </w:r>
          </w:p>
        </w:tc>
        <w:tc>
          <w:tcPr>
            <w:tcW w:w="1369" w:type="dxa"/>
            <w:tcBorders>
              <w:bottom w:val="single" w:sz="4" w:space="0" w:color="993333"/>
            </w:tcBorders>
            <w:shd w:val="clear" w:color="auto" w:fill="EEEEEE"/>
          </w:tcPr>
          <w:p w14:paraId="33E815CB" w14:textId="77777777" w:rsidR="004969E6" w:rsidRPr="004969E6" w:rsidRDefault="004969E6" w:rsidP="004969E6">
            <w:pPr>
              <w:widowControl w:val="0"/>
              <w:suppressAutoHyphens/>
              <w:spacing w:after="0" w:line="276" w:lineRule="auto"/>
              <w:ind w:right="208"/>
              <w:jc w:val="right"/>
              <w:textAlignment w:val="baseline"/>
              <w:rPr>
                <w:rFonts w:ascii="Arial" w:eastAsia="NSimSun" w:hAnsi="Arial" w:cs="Arial"/>
                <w:kern w:val="2"/>
                <w:sz w:val="18"/>
                <w:szCs w:val="18"/>
                <w:highlight w:val="yellow"/>
                <w:lang w:eastAsia="zh-CN" w:bidi="hi-IN"/>
              </w:rPr>
            </w:pPr>
          </w:p>
          <w:p w14:paraId="6998D5E0" w14:textId="77777777" w:rsidR="004969E6" w:rsidRPr="004969E6" w:rsidRDefault="004969E6" w:rsidP="004969E6">
            <w:pPr>
              <w:widowControl w:val="0"/>
              <w:suppressAutoHyphens/>
              <w:spacing w:after="0" w:line="276" w:lineRule="auto"/>
              <w:ind w:right="208"/>
              <w:jc w:val="right"/>
              <w:textAlignment w:val="baseline"/>
              <w:rPr>
                <w:rFonts w:ascii="Arial" w:eastAsia="NSimSun" w:hAnsi="Arial" w:cs="Arial"/>
                <w:kern w:val="2"/>
                <w:sz w:val="24"/>
                <w:szCs w:val="24"/>
                <w:highlight w:val="yellow"/>
                <w:lang w:eastAsia="zh-CN" w:bidi="hi-IN"/>
              </w:rPr>
            </w:pPr>
            <w:r w:rsidRPr="004969E6">
              <w:rPr>
                <w:rFonts w:ascii="Arial" w:eastAsia="NSimSun" w:hAnsi="Arial" w:cs="Arial"/>
                <w:kern w:val="2"/>
                <w:sz w:val="18"/>
                <w:szCs w:val="18"/>
                <w:lang w:eastAsia="zh-CN" w:bidi="hi-IN"/>
              </w:rPr>
              <w:t>199.890,00</w:t>
            </w:r>
          </w:p>
        </w:tc>
        <w:tc>
          <w:tcPr>
            <w:tcW w:w="1161" w:type="dxa"/>
            <w:tcBorders>
              <w:bottom w:val="single" w:sz="4" w:space="0" w:color="993333"/>
            </w:tcBorders>
            <w:shd w:val="clear" w:color="auto" w:fill="EEEEEE"/>
          </w:tcPr>
          <w:p w14:paraId="2751D701"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p>
          <w:p w14:paraId="09B21908"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24"/>
                <w:szCs w:val="24"/>
                <w:highlight w:val="yellow"/>
                <w:lang w:eastAsia="zh-CN" w:bidi="hi-IN"/>
              </w:rPr>
            </w:pPr>
            <w:r w:rsidRPr="004969E6">
              <w:rPr>
                <w:rFonts w:ascii="Arial" w:eastAsia="NSimSun" w:hAnsi="Arial" w:cs="Arial"/>
                <w:kern w:val="2"/>
                <w:sz w:val="18"/>
                <w:szCs w:val="18"/>
                <w:lang w:eastAsia="zh-CN" w:bidi="hi-IN"/>
              </w:rPr>
              <w:t>199.890,00</w:t>
            </w:r>
          </w:p>
        </w:tc>
        <w:tc>
          <w:tcPr>
            <w:tcW w:w="1281" w:type="dxa"/>
            <w:tcBorders>
              <w:bottom w:val="single" w:sz="4" w:space="0" w:color="993333"/>
            </w:tcBorders>
            <w:shd w:val="clear" w:color="auto" w:fill="EEEEEE"/>
          </w:tcPr>
          <w:p w14:paraId="10770F51"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lang w:eastAsia="zh-CN" w:bidi="hi-IN"/>
              </w:rPr>
            </w:pPr>
          </w:p>
          <w:p w14:paraId="42934DDF"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24"/>
                <w:szCs w:val="24"/>
                <w:lang w:eastAsia="zh-CN" w:bidi="hi-IN"/>
              </w:rPr>
            </w:pPr>
            <w:r w:rsidRPr="004969E6">
              <w:rPr>
                <w:rFonts w:ascii="Arial" w:eastAsia="NSimSun" w:hAnsi="Arial" w:cs="Arial"/>
                <w:kern w:val="2"/>
                <w:sz w:val="18"/>
                <w:szCs w:val="18"/>
                <w:lang w:eastAsia="zh-CN" w:bidi="hi-IN"/>
              </w:rPr>
              <w:t>0,00</w:t>
            </w:r>
          </w:p>
        </w:tc>
        <w:tc>
          <w:tcPr>
            <w:tcW w:w="1231" w:type="dxa"/>
            <w:tcBorders>
              <w:bottom w:val="single" w:sz="4" w:space="0" w:color="993333"/>
            </w:tcBorders>
            <w:shd w:val="clear" w:color="auto" w:fill="EEEEEE"/>
          </w:tcPr>
          <w:p w14:paraId="281F4DBD"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p>
          <w:p w14:paraId="53F60A73"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24"/>
                <w:szCs w:val="24"/>
                <w:highlight w:val="yellow"/>
                <w:lang w:eastAsia="zh-CN" w:bidi="hi-IN"/>
              </w:rPr>
            </w:pPr>
            <w:r w:rsidRPr="004969E6">
              <w:rPr>
                <w:rFonts w:ascii="Arial" w:eastAsia="NSimSun" w:hAnsi="Arial" w:cs="Arial"/>
                <w:kern w:val="2"/>
                <w:sz w:val="18"/>
                <w:szCs w:val="18"/>
                <w:lang w:eastAsia="zh-CN" w:bidi="hi-IN"/>
              </w:rPr>
              <w:t>199.890,00</w:t>
            </w:r>
          </w:p>
        </w:tc>
        <w:tc>
          <w:tcPr>
            <w:tcW w:w="971" w:type="dxa"/>
            <w:tcBorders>
              <w:bottom w:val="single" w:sz="4" w:space="0" w:color="993333"/>
            </w:tcBorders>
            <w:shd w:val="clear" w:color="auto" w:fill="EEEEEE"/>
          </w:tcPr>
          <w:p w14:paraId="20FBBFDC"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p>
          <w:p w14:paraId="74FC2BD7"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24"/>
                <w:szCs w:val="24"/>
                <w:highlight w:val="yellow"/>
                <w:lang w:eastAsia="zh-CN" w:bidi="hi-IN"/>
              </w:rPr>
            </w:pPr>
            <w:r w:rsidRPr="004969E6">
              <w:rPr>
                <w:rFonts w:ascii="Arial" w:eastAsia="NSimSun" w:hAnsi="Arial" w:cs="Arial"/>
                <w:kern w:val="2"/>
                <w:sz w:val="18"/>
                <w:szCs w:val="18"/>
                <w:lang w:eastAsia="zh-CN" w:bidi="hi-IN"/>
              </w:rPr>
              <w:t>0,00</w:t>
            </w:r>
          </w:p>
        </w:tc>
        <w:tc>
          <w:tcPr>
            <w:tcW w:w="941" w:type="dxa"/>
            <w:tcBorders>
              <w:bottom w:val="single" w:sz="4" w:space="0" w:color="993333"/>
            </w:tcBorders>
            <w:shd w:val="clear" w:color="auto" w:fill="EEEEEE"/>
          </w:tcPr>
          <w:p w14:paraId="092ADDE8"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18"/>
                <w:szCs w:val="18"/>
                <w:highlight w:val="yellow"/>
                <w:lang w:eastAsia="zh-CN" w:bidi="hi-IN"/>
              </w:rPr>
            </w:pPr>
          </w:p>
          <w:p w14:paraId="4C8FB811"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kern w:val="2"/>
                <w:sz w:val="24"/>
                <w:szCs w:val="24"/>
                <w:highlight w:val="yellow"/>
                <w:lang w:eastAsia="zh-CN" w:bidi="hi-IN"/>
              </w:rPr>
            </w:pPr>
            <w:r w:rsidRPr="004969E6">
              <w:rPr>
                <w:rFonts w:ascii="Arial" w:eastAsia="NSimSun" w:hAnsi="Arial" w:cs="Arial"/>
                <w:kern w:val="2"/>
                <w:sz w:val="18"/>
                <w:szCs w:val="18"/>
                <w:lang w:eastAsia="zh-CN" w:bidi="hi-IN"/>
              </w:rPr>
              <w:t>100,00</w:t>
            </w:r>
          </w:p>
        </w:tc>
      </w:tr>
      <w:tr w:rsidR="004969E6" w:rsidRPr="004969E6" w14:paraId="355BD721" w14:textId="77777777" w:rsidTr="008352D2">
        <w:trPr>
          <w:jc w:val="center"/>
        </w:trPr>
        <w:tc>
          <w:tcPr>
            <w:tcW w:w="1171" w:type="dxa"/>
            <w:tcBorders>
              <w:bottom w:val="single" w:sz="4" w:space="0" w:color="993333"/>
            </w:tcBorders>
            <w:shd w:val="clear" w:color="auto" w:fill="FFFFFF"/>
            <w:vAlign w:val="center"/>
          </w:tcPr>
          <w:p w14:paraId="36D823E1" w14:textId="77777777" w:rsidR="004969E6" w:rsidRPr="004969E6" w:rsidRDefault="004969E6" w:rsidP="004969E6">
            <w:pPr>
              <w:widowControl w:val="0"/>
              <w:suppressAutoHyphens/>
              <w:spacing w:after="0" w:line="276" w:lineRule="auto"/>
              <w:jc w:val="center"/>
              <w:textAlignment w:val="baseline"/>
              <w:rPr>
                <w:rFonts w:ascii="Arial" w:eastAsia="NSimSun" w:hAnsi="Arial" w:cs="Arial"/>
                <w:b/>
                <w:bCs/>
                <w:kern w:val="2"/>
                <w:sz w:val="18"/>
                <w:szCs w:val="18"/>
                <w:lang w:eastAsia="zh-CN" w:bidi="hi-IN"/>
              </w:rPr>
            </w:pPr>
            <w:r w:rsidRPr="004969E6">
              <w:rPr>
                <w:rFonts w:ascii="Arial" w:eastAsia="NSimSun" w:hAnsi="Arial" w:cs="Arial"/>
                <w:b/>
                <w:bCs/>
                <w:kern w:val="2"/>
                <w:sz w:val="18"/>
                <w:szCs w:val="18"/>
                <w:lang w:eastAsia="zh-CN" w:bidi="hi-IN"/>
              </w:rPr>
              <w:t>TOTAL</w:t>
            </w:r>
          </w:p>
        </w:tc>
        <w:tc>
          <w:tcPr>
            <w:tcW w:w="1161" w:type="dxa"/>
            <w:tcBorders>
              <w:bottom w:val="single" w:sz="4" w:space="0" w:color="993333"/>
            </w:tcBorders>
            <w:shd w:val="clear" w:color="auto" w:fill="FFFFFF"/>
          </w:tcPr>
          <w:p w14:paraId="1CE537DF"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b/>
                <w:bCs/>
                <w:kern w:val="2"/>
                <w:sz w:val="18"/>
                <w:szCs w:val="18"/>
                <w:lang w:eastAsia="zh-CN" w:bidi="hi-IN"/>
              </w:rPr>
            </w:pPr>
            <w:r w:rsidRPr="004969E6">
              <w:rPr>
                <w:rFonts w:ascii="Arial" w:eastAsia="NSimSun" w:hAnsi="Arial" w:cs="Arial"/>
                <w:b/>
                <w:bCs/>
                <w:kern w:val="2"/>
                <w:sz w:val="18"/>
                <w:szCs w:val="18"/>
                <w:lang w:eastAsia="zh-CN" w:bidi="hi-IN"/>
              </w:rPr>
              <w:t>4.424.340,00</w:t>
            </w:r>
          </w:p>
        </w:tc>
        <w:tc>
          <w:tcPr>
            <w:tcW w:w="1411" w:type="dxa"/>
            <w:tcBorders>
              <w:bottom w:val="single" w:sz="4" w:space="0" w:color="993333"/>
            </w:tcBorders>
            <w:shd w:val="clear" w:color="auto" w:fill="FFFFFF"/>
          </w:tcPr>
          <w:p w14:paraId="209D2448" w14:textId="4AB9845E" w:rsidR="004969E6" w:rsidRPr="004969E6" w:rsidRDefault="004969E6" w:rsidP="004969E6">
            <w:pPr>
              <w:widowControl w:val="0"/>
              <w:suppressAutoHyphens/>
              <w:spacing w:after="0" w:line="276" w:lineRule="auto"/>
              <w:ind w:right="140"/>
              <w:jc w:val="right"/>
              <w:textAlignment w:val="baseline"/>
              <w:rPr>
                <w:rFonts w:ascii="Arial" w:eastAsia="NSimSun" w:hAnsi="Arial" w:cs="Arial"/>
                <w:b/>
                <w:bCs/>
                <w:kern w:val="2"/>
                <w:sz w:val="18"/>
                <w:szCs w:val="18"/>
                <w:lang w:eastAsia="zh-CN" w:bidi="hi-IN"/>
              </w:rPr>
            </w:pPr>
            <w:r w:rsidRPr="004969E6">
              <w:rPr>
                <w:rFonts w:ascii="Arial" w:eastAsia="NSimSun" w:hAnsi="Arial" w:cs="Arial"/>
                <w:b/>
                <w:bCs/>
                <w:kern w:val="2"/>
                <w:sz w:val="18"/>
                <w:szCs w:val="18"/>
                <w:lang w:eastAsia="zh-CN" w:bidi="hi-IN"/>
              </w:rPr>
              <w:t>3.787.793,15</w:t>
            </w:r>
            <w:r w:rsidR="0007304E" w:rsidRPr="008352D2">
              <w:rPr>
                <w:rFonts w:ascii="Arial" w:eastAsia="Droid Sans Fallback" w:hAnsi="Arial" w:cs="Arial"/>
                <w:b/>
                <w:bCs/>
                <w:kern w:val="3"/>
                <w:sz w:val="21"/>
                <w:szCs w:val="21"/>
                <w:vertAlign w:val="superscript"/>
                <w:lang w:eastAsia="zh-CN" w:bidi="hi-IN"/>
              </w:rPr>
              <w:footnoteReference w:customMarkFollows="1" w:id="4"/>
              <w:sym w:font="Symbol" w:char="F02A"/>
            </w:r>
          </w:p>
        </w:tc>
        <w:tc>
          <w:tcPr>
            <w:tcW w:w="1232" w:type="dxa"/>
            <w:tcBorders>
              <w:bottom w:val="single" w:sz="4" w:space="0" w:color="993333"/>
            </w:tcBorders>
            <w:shd w:val="clear" w:color="auto" w:fill="FFFFFF"/>
            <w:vAlign w:val="center"/>
          </w:tcPr>
          <w:p w14:paraId="47858F75" w14:textId="1418F57D" w:rsidR="004969E6" w:rsidRPr="004969E6" w:rsidRDefault="004969E6" w:rsidP="004969E6">
            <w:pPr>
              <w:widowControl w:val="0"/>
              <w:suppressAutoHyphens/>
              <w:spacing w:after="0" w:line="276" w:lineRule="auto"/>
              <w:jc w:val="right"/>
              <w:textAlignment w:val="baseline"/>
              <w:rPr>
                <w:rFonts w:ascii="Arial" w:eastAsia="NSimSun" w:hAnsi="Arial" w:cs="Arial"/>
                <w:b/>
                <w:bCs/>
                <w:kern w:val="2"/>
                <w:sz w:val="18"/>
                <w:szCs w:val="18"/>
                <w:highlight w:val="yellow"/>
                <w:lang w:eastAsia="zh-CN" w:bidi="hi-IN"/>
              </w:rPr>
            </w:pPr>
            <w:r w:rsidRPr="004969E6">
              <w:rPr>
                <w:rFonts w:ascii="Arial" w:eastAsia="NSimSun" w:hAnsi="Arial" w:cs="Arial"/>
                <w:b/>
                <w:bCs/>
                <w:kern w:val="2"/>
                <w:sz w:val="18"/>
                <w:szCs w:val="18"/>
                <w:lang w:eastAsia="zh-CN" w:bidi="hi-IN"/>
              </w:rPr>
              <w:t>8.212.133,15</w:t>
            </w:r>
            <w:r w:rsidR="0007304E" w:rsidRPr="008352D2">
              <w:rPr>
                <w:rFonts w:ascii="Arial" w:eastAsia="Droid Sans Fallback" w:hAnsi="Arial" w:cs="Arial"/>
                <w:b/>
                <w:bCs/>
                <w:kern w:val="3"/>
                <w:sz w:val="21"/>
                <w:szCs w:val="21"/>
                <w:vertAlign w:val="superscript"/>
                <w:lang w:eastAsia="zh-CN" w:bidi="hi-IN"/>
              </w:rPr>
              <w:footnoteReference w:customMarkFollows="1" w:id="5"/>
              <w:sym w:font="Symbol" w:char="F02A"/>
            </w:r>
          </w:p>
        </w:tc>
        <w:tc>
          <w:tcPr>
            <w:tcW w:w="1369" w:type="dxa"/>
            <w:tcBorders>
              <w:bottom w:val="single" w:sz="4" w:space="0" w:color="993333"/>
            </w:tcBorders>
            <w:shd w:val="clear" w:color="auto" w:fill="FFFFFF"/>
            <w:vAlign w:val="center"/>
          </w:tcPr>
          <w:p w14:paraId="69DD6946" w14:textId="77777777" w:rsidR="004969E6" w:rsidRPr="004969E6" w:rsidRDefault="004969E6" w:rsidP="004969E6">
            <w:pPr>
              <w:widowControl w:val="0"/>
              <w:suppressAutoHyphens/>
              <w:spacing w:after="0" w:line="276" w:lineRule="auto"/>
              <w:ind w:right="208"/>
              <w:jc w:val="right"/>
              <w:textAlignment w:val="baseline"/>
              <w:rPr>
                <w:rFonts w:ascii="Arial" w:eastAsia="NSimSun" w:hAnsi="Arial" w:cs="Arial"/>
                <w:b/>
                <w:bCs/>
                <w:kern w:val="2"/>
                <w:sz w:val="18"/>
                <w:szCs w:val="18"/>
                <w:highlight w:val="yellow"/>
                <w:lang w:eastAsia="zh-CN" w:bidi="hi-IN"/>
              </w:rPr>
            </w:pPr>
            <w:r w:rsidRPr="004969E6">
              <w:rPr>
                <w:rFonts w:ascii="Arial" w:eastAsia="NSimSun" w:hAnsi="Arial" w:cs="Arial"/>
                <w:b/>
                <w:bCs/>
                <w:kern w:val="2"/>
                <w:sz w:val="18"/>
                <w:szCs w:val="18"/>
                <w:lang w:eastAsia="zh-CN" w:bidi="hi-IN"/>
              </w:rPr>
              <w:t>4.424.507,77</w:t>
            </w:r>
          </w:p>
        </w:tc>
        <w:tc>
          <w:tcPr>
            <w:tcW w:w="1161" w:type="dxa"/>
            <w:tcBorders>
              <w:bottom w:val="single" w:sz="4" w:space="0" w:color="993333"/>
            </w:tcBorders>
            <w:shd w:val="clear" w:color="auto" w:fill="FFFFFF"/>
            <w:vAlign w:val="center"/>
          </w:tcPr>
          <w:p w14:paraId="6E1C803D"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b/>
                <w:bCs/>
                <w:kern w:val="2"/>
                <w:sz w:val="18"/>
                <w:szCs w:val="18"/>
                <w:highlight w:val="yellow"/>
                <w:lang w:eastAsia="zh-CN" w:bidi="hi-IN"/>
              </w:rPr>
            </w:pPr>
            <w:r w:rsidRPr="004969E6">
              <w:rPr>
                <w:rFonts w:ascii="Arial" w:eastAsia="NSimSun" w:hAnsi="Arial" w:cs="Arial"/>
                <w:b/>
                <w:bCs/>
                <w:kern w:val="2"/>
                <w:sz w:val="18"/>
                <w:szCs w:val="18"/>
                <w:lang w:eastAsia="zh-CN" w:bidi="hi-IN"/>
              </w:rPr>
              <w:t>4.424.507,77</w:t>
            </w:r>
          </w:p>
        </w:tc>
        <w:tc>
          <w:tcPr>
            <w:tcW w:w="1281" w:type="dxa"/>
            <w:tcBorders>
              <w:bottom w:val="single" w:sz="4" w:space="0" w:color="993333"/>
            </w:tcBorders>
            <w:shd w:val="clear" w:color="auto" w:fill="FFFFFF"/>
            <w:vAlign w:val="center"/>
          </w:tcPr>
          <w:p w14:paraId="56708DE2"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b/>
                <w:bCs/>
                <w:kern w:val="2"/>
                <w:sz w:val="18"/>
                <w:szCs w:val="18"/>
                <w:lang w:eastAsia="zh-CN" w:bidi="hi-IN"/>
              </w:rPr>
            </w:pPr>
            <w:r w:rsidRPr="004969E6">
              <w:rPr>
                <w:rFonts w:ascii="Arial" w:eastAsia="NSimSun" w:hAnsi="Arial" w:cs="Arial"/>
                <w:b/>
                <w:bCs/>
                <w:kern w:val="2"/>
                <w:sz w:val="18"/>
                <w:szCs w:val="18"/>
                <w:lang w:eastAsia="zh-CN" w:bidi="hi-IN"/>
              </w:rPr>
              <w:t>0,00</w:t>
            </w:r>
          </w:p>
        </w:tc>
        <w:tc>
          <w:tcPr>
            <w:tcW w:w="1231" w:type="dxa"/>
            <w:tcBorders>
              <w:bottom w:val="single" w:sz="4" w:space="0" w:color="993333"/>
            </w:tcBorders>
            <w:shd w:val="clear" w:color="auto" w:fill="FFFFFF"/>
            <w:vAlign w:val="center"/>
          </w:tcPr>
          <w:p w14:paraId="36FFFC55"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b/>
                <w:bCs/>
                <w:kern w:val="2"/>
                <w:sz w:val="18"/>
                <w:szCs w:val="18"/>
                <w:highlight w:val="yellow"/>
                <w:lang w:eastAsia="zh-CN" w:bidi="hi-IN"/>
              </w:rPr>
            </w:pPr>
            <w:r w:rsidRPr="004969E6">
              <w:rPr>
                <w:rFonts w:ascii="Arial" w:eastAsia="NSimSun" w:hAnsi="Arial" w:cs="Arial"/>
                <w:b/>
                <w:bCs/>
                <w:kern w:val="2"/>
                <w:sz w:val="18"/>
                <w:szCs w:val="18"/>
                <w:lang w:eastAsia="zh-CN" w:bidi="hi-IN"/>
              </w:rPr>
              <w:t>4.424.507,77</w:t>
            </w:r>
          </w:p>
        </w:tc>
        <w:tc>
          <w:tcPr>
            <w:tcW w:w="971" w:type="dxa"/>
            <w:tcBorders>
              <w:bottom w:val="single" w:sz="4" w:space="0" w:color="993333"/>
            </w:tcBorders>
            <w:shd w:val="clear" w:color="auto" w:fill="FFFFFF"/>
            <w:vAlign w:val="center"/>
          </w:tcPr>
          <w:p w14:paraId="15800B91"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b/>
                <w:bCs/>
                <w:kern w:val="2"/>
                <w:sz w:val="18"/>
                <w:szCs w:val="18"/>
                <w:highlight w:val="yellow"/>
                <w:lang w:eastAsia="zh-CN" w:bidi="hi-IN"/>
              </w:rPr>
            </w:pPr>
            <w:r w:rsidRPr="004969E6">
              <w:rPr>
                <w:rFonts w:ascii="Arial" w:eastAsia="NSimSun" w:hAnsi="Arial" w:cs="Arial"/>
                <w:b/>
                <w:bCs/>
                <w:color w:val="000000"/>
                <w:kern w:val="2"/>
                <w:sz w:val="18"/>
                <w:szCs w:val="18"/>
                <w:lang w:eastAsia="zh-CN" w:bidi="hi-IN"/>
              </w:rPr>
              <w:t>0,00</w:t>
            </w:r>
          </w:p>
        </w:tc>
        <w:tc>
          <w:tcPr>
            <w:tcW w:w="941" w:type="dxa"/>
            <w:tcBorders>
              <w:bottom w:val="single" w:sz="4" w:space="0" w:color="993333"/>
            </w:tcBorders>
            <w:shd w:val="clear" w:color="auto" w:fill="FFFFFF"/>
            <w:vAlign w:val="center"/>
          </w:tcPr>
          <w:p w14:paraId="6C48867A" w14:textId="77777777" w:rsidR="004969E6" w:rsidRPr="004969E6" w:rsidRDefault="004969E6" w:rsidP="004969E6">
            <w:pPr>
              <w:widowControl w:val="0"/>
              <w:suppressAutoHyphens/>
              <w:spacing w:after="0" w:line="276" w:lineRule="auto"/>
              <w:jc w:val="right"/>
              <w:textAlignment w:val="baseline"/>
              <w:rPr>
                <w:rFonts w:ascii="Arial" w:eastAsia="NSimSun" w:hAnsi="Arial" w:cs="Arial"/>
                <w:b/>
                <w:bCs/>
                <w:color w:val="000000"/>
                <w:kern w:val="2"/>
                <w:sz w:val="18"/>
                <w:szCs w:val="18"/>
                <w:highlight w:val="yellow"/>
                <w:lang w:eastAsia="zh-CN" w:bidi="hi-IN"/>
              </w:rPr>
            </w:pPr>
          </w:p>
        </w:tc>
      </w:tr>
    </w:tbl>
    <w:p w14:paraId="16D90441" w14:textId="2EB8F73B" w:rsidR="00531FF5" w:rsidRDefault="00531FF5" w:rsidP="00A54EF9">
      <w:pPr>
        <w:spacing w:after="240" w:line="276" w:lineRule="auto"/>
        <w:jc w:val="both"/>
        <w:rPr>
          <w:rFonts w:ascii="Arial" w:eastAsia="Droid Sans Fallback" w:hAnsi="Arial" w:cs="Arial"/>
          <w:kern w:val="3"/>
          <w:sz w:val="21"/>
          <w:szCs w:val="21"/>
          <w:lang w:eastAsia="zh-CN" w:bidi="hi-IN"/>
        </w:rPr>
      </w:pPr>
    </w:p>
    <w:p w14:paraId="4878660C" w14:textId="2735E6CF" w:rsidR="008352D2" w:rsidRDefault="008352D2" w:rsidP="008352D2">
      <w:pPr>
        <w:spacing w:after="240" w:line="276" w:lineRule="auto"/>
        <w:jc w:val="both"/>
        <w:rPr>
          <w:rFonts w:ascii="Arial" w:eastAsia="Droid Sans Fallback" w:hAnsi="Arial" w:cs="Arial"/>
          <w:b/>
          <w:bCs/>
          <w:kern w:val="3"/>
          <w:sz w:val="21"/>
          <w:szCs w:val="21"/>
          <w:lang w:eastAsia="zh-CN" w:bidi="hi-IN"/>
        </w:rPr>
      </w:pPr>
    </w:p>
    <w:p w14:paraId="020EF6A8" w14:textId="222B31A9" w:rsidR="00EA4E12" w:rsidRPr="00EA4E12" w:rsidRDefault="00EA4E12" w:rsidP="002601BF">
      <w:pPr>
        <w:pStyle w:val="Descripcin"/>
        <w:keepNext/>
        <w:jc w:val="center"/>
        <w:rPr>
          <w:rFonts w:ascii="Arial" w:hAnsi="Arial" w:cs="Arial"/>
          <w:smallCaps w:val="0"/>
          <w:sz w:val="18"/>
          <w:szCs w:val="18"/>
        </w:rPr>
      </w:pPr>
      <w:bookmarkStart w:id="563" w:name="_Toc99107174"/>
      <w:r w:rsidRPr="00EA4E12">
        <w:rPr>
          <w:rFonts w:ascii="Arial" w:hAnsi="Arial" w:cs="Arial"/>
          <w:smallCaps w:val="0"/>
          <w:color w:val="9D2235" w:themeColor="accent1"/>
          <w:sz w:val="18"/>
          <w:szCs w:val="18"/>
        </w:rPr>
        <w:t xml:space="preserve">Tabla </w:t>
      </w:r>
      <w:r w:rsidRPr="00EA4E12">
        <w:rPr>
          <w:rFonts w:ascii="Arial" w:hAnsi="Arial" w:cs="Arial"/>
          <w:smallCaps w:val="0"/>
          <w:color w:val="9D2235" w:themeColor="accent1"/>
          <w:sz w:val="18"/>
          <w:szCs w:val="18"/>
        </w:rPr>
        <w:fldChar w:fldCharType="begin" w:fldLock="1"/>
      </w:r>
      <w:r w:rsidRPr="00EA4E12">
        <w:rPr>
          <w:rFonts w:ascii="Arial" w:hAnsi="Arial" w:cs="Arial"/>
          <w:smallCaps w:val="0"/>
          <w:color w:val="9D2235" w:themeColor="accent1"/>
          <w:sz w:val="18"/>
          <w:szCs w:val="18"/>
        </w:rPr>
        <w:instrText xml:space="preserve"> SEQ Tabla \* ARABIC </w:instrText>
      </w:r>
      <w:r w:rsidRPr="00EA4E12">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36</w:t>
      </w:r>
      <w:r w:rsidRPr="00EA4E12">
        <w:rPr>
          <w:rFonts w:ascii="Arial" w:hAnsi="Arial" w:cs="Arial"/>
          <w:smallCaps w:val="0"/>
          <w:color w:val="9D2235" w:themeColor="accent1"/>
          <w:sz w:val="18"/>
          <w:szCs w:val="18"/>
        </w:rPr>
        <w:fldChar w:fldCharType="end"/>
      </w:r>
      <w:r w:rsidRPr="00EA4E12">
        <w:rPr>
          <w:rFonts w:ascii="Arial" w:hAnsi="Arial" w:cs="Arial"/>
          <w:smallCaps w:val="0"/>
          <w:color w:val="9D2235" w:themeColor="accent1"/>
          <w:sz w:val="18"/>
          <w:szCs w:val="18"/>
        </w:rPr>
        <w:t xml:space="preserve">. </w:t>
      </w:r>
      <w:r w:rsidRPr="00EA4E12">
        <w:rPr>
          <w:rFonts w:ascii="Arial" w:hAnsi="Arial" w:cs="Arial"/>
          <w:smallCaps w:val="0"/>
          <w:sz w:val="18"/>
          <w:szCs w:val="18"/>
        </w:rPr>
        <w:t>Comparativa del estado de ejecución de ingresos a 31 de diciembre de los ejercicios 2020 y 2021</w:t>
      </w:r>
      <w:bookmarkEnd w:id="563"/>
    </w:p>
    <w:tbl>
      <w:tblPr>
        <w:tblW w:w="15026" w:type="dxa"/>
        <w:jc w:val="center"/>
        <w:tblLayout w:type="fixed"/>
        <w:tblCellMar>
          <w:left w:w="70" w:type="dxa"/>
          <w:right w:w="70" w:type="dxa"/>
        </w:tblCellMar>
        <w:tblLook w:val="04A0" w:firstRow="1" w:lastRow="0" w:firstColumn="1" w:lastColumn="0" w:noHBand="0" w:noVBand="1"/>
      </w:tblPr>
      <w:tblGrid>
        <w:gridCol w:w="1135"/>
        <w:gridCol w:w="1417"/>
        <w:gridCol w:w="1559"/>
        <w:gridCol w:w="1418"/>
        <w:gridCol w:w="1276"/>
        <w:gridCol w:w="1559"/>
        <w:gridCol w:w="1548"/>
        <w:gridCol w:w="716"/>
        <w:gridCol w:w="713"/>
        <w:gridCol w:w="708"/>
        <w:gridCol w:w="709"/>
        <w:gridCol w:w="851"/>
        <w:gridCol w:w="708"/>
        <w:gridCol w:w="709"/>
      </w:tblGrid>
      <w:tr w:rsidR="004E0292" w:rsidRPr="004E0292" w14:paraId="343478C5" w14:textId="77777777" w:rsidTr="00EA4E12">
        <w:trPr>
          <w:trHeight w:val="332"/>
          <w:jc w:val="center"/>
        </w:trPr>
        <w:tc>
          <w:tcPr>
            <w:tcW w:w="1135" w:type="dxa"/>
            <w:vMerge w:val="restart"/>
            <w:tcBorders>
              <w:top w:val="single" w:sz="4" w:space="0" w:color="000000"/>
              <w:left w:val="single" w:sz="4" w:space="0" w:color="000000"/>
              <w:bottom w:val="single" w:sz="4" w:space="0" w:color="000000"/>
              <w:right w:val="single" w:sz="4" w:space="0" w:color="000000"/>
            </w:tcBorders>
            <w:shd w:val="clear" w:color="auto" w:fill="9D2235"/>
            <w:vAlign w:val="center"/>
            <w:hideMark/>
          </w:tcPr>
          <w:p w14:paraId="6FF291C4" w14:textId="77777777" w:rsidR="004E0292" w:rsidRPr="004E0292" w:rsidRDefault="004E0292" w:rsidP="00EA4E12">
            <w:pPr>
              <w:spacing w:after="0" w:line="240" w:lineRule="auto"/>
              <w:ind w:left="-80"/>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CAPÍTULO</w:t>
            </w:r>
          </w:p>
        </w:tc>
        <w:tc>
          <w:tcPr>
            <w:tcW w:w="4394" w:type="dxa"/>
            <w:gridSpan w:val="3"/>
            <w:vMerge w:val="restart"/>
            <w:tcBorders>
              <w:top w:val="single" w:sz="4" w:space="0" w:color="auto"/>
              <w:left w:val="single" w:sz="4" w:space="0" w:color="auto"/>
              <w:bottom w:val="single" w:sz="4" w:space="0" w:color="auto"/>
              <w:right w:val="single" w:sz="4" w:space="0" w:color="auto"/>
            </w:tcBorders>
            <w:shd w:val="clear" w:color="auto" w:fill="9D2235"/>
            <w:vAlign w:val="center"/>
            <w:hideMark/>
          </w:tcPr>
          <w:p w14:paraId="47CF0596"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2020</w:t>
            </w:r>
          </w:p>
        </w:tc>
        <w:tc>
          <w:tcPr>
            <w:tcW w:w="4383" w:type="dxa"/>
            <w:gridSpan w:val="3"/>
            <w:vMerge w:val="restart"/>
            <w:tcBorders>
              <w:top w:val="single" w:sz="4" w:space="0" w:color="auto"/>
              <w:left w:val="single" w:sz="4" w:space="0" w:color="auto"/>
              <w:bottom w:val="single" w:sz="4" w:space="0" w:color="auto"/>
              <w:right w:val="single" w:sz="4" w:space="0" w:color="auto"/>
            </w:tcBorders>
            <w:shd w:val="clear" w:color="auto" w:fill="9D2235"/>
            <w:vAlign w:val="center"/>
            <w:hideMark/>
          </w:tcPr>
          <w:p w14:paraId="6C162F38"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2021 </w:t>
            </w:r>
          </w:p>
        </w:tc>
        <w:tc>
          <w:tcPr>
            <w:tcW w:w="2846" w:type="dxa"/>
            <w:gridSpan w:val="4"/>
            <w:tcBorders>
              <w:top w:val="single" w:sz="4" w:space="0" w:color="auto"/>
              <w:left w:val="nil"/>
              <w:bottom w:val="single" w:sz="4" w:space="0" w:color="auto"/>
              <w:right w:val="single" w:sz="4" w:space="0" w:color="auto"/>
            </w:tcBorders>
            <w:shd w:val="clear" w:color="auto" w:fill="9D2235"/>
            <w:noWrap/>
            <w:vAlign w:val="bottom"/>
            <w:hideMark/>
          </w:tcPr>
          <w:p w14:paraId="2A1E6E7B"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 DE REALIZACIÓN</w:t>
            </w:r>
          </w:p>
        </w:tc>
        <w:tc>
          <w:tcPr>
            <w:tcW w:w="2268" w:type="dxa"/>
            <w:gridSpan w:val="3"/>
            <w:vMerge w:val="restart"/>
            <w:tcBorders>
              <w:top w:val="single" w:sz="4" w:space="0" w:color="000000"/>
              <w:left w:val="nil"/>
              <w:bottom w:val="single" w:sz="4" w:space="0" w:color="000000"/>
              <w:right w:val="single" w:sz="4" w:space="0" w:color="000000"/>
            </w:tcBorders>
            <w:shd w:val="clear" w:color="auto" w:fill="9D2235"/>
            <w:vAlign w:val="center"/>
            <w:hideMark/>
          </w:tcPr>
          <w:p w14:paraId="6C813754"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TASAS DE VARIACIÓN</w:t>
            </w:r>
          </w:p>
        </w:tc>
      </w:tr>
      <w:tr w:rsidR="004E0292" w:rsidRPr="004E0292" w14:paraId="6A12C3C2" w14:textId="77777777" w:rsidTr="00EA4E12">
        <w:trPr>
          <w:trHeight w:val="300"/>
          <w:jc w:val="center"/>
        </w:trPr>
        <w:tc>
          <w:tcPr>
            <w:tcW w:w="1135" w:type="dxa"/>
            <w:vMerge/>
            <w:tcBorders>
              <w:top w:val="single" w:sz="4" w:space="0" w:color="000000"/>
              <w:left w:val="single" w:sz="4" w:space="0" w:color="000000"/>
              <w:bottom w:val="single" w:sz="4" w:space="0" w:color="000000"/>
              <w:right w:val="single" w:sz="4" w:space="0" w:color="000000"/>
            </w:tcBorders>
            <w:shd w:val="clear" w:color="auto" w:fill="9D2235"/>
            <w:vAlign w:val="center"/>
            <w:hideMark/>
          </w:tcPr>
          <w:p w14:paraId="5C09DCBB" w14:textId="77777777" w:rsidR="004E0292" w:rsidRPr="004E0292" w:rsidRDefault="004E0292" w:rsidP="004E0292">
            <w:pPr>
              <w:spacing w:after="0" w:line="240" w:lineRule="auto"/>
              <w:rPr>
                <w:rFonts w:ascii="Arial" w:eastAsia="Times New Roman" w:hAnsi="Arial" w:cs="Arial"/>
                <w:b/>
                <w:bCs/>
                <w:color w:val="FFFFFF"/>
                <w:sz w:val="16"/>
                <w:szCs w:val="16"/>
                <w:lang w:eastAsia="es-ES"/>
              </w:rPr>
            </w:pPr>
          </w:p>
        </w:tc>
        <w:tc>
          <w:tcPr>
            <w:tcW w:w="4394" w:type="dxa"/>
            <w:gridSpan w:val="3"/>
            <w:vMerge/>
            <w:tcBorders>
              <w:top w:val="single" w:sz="4" w:space="0" w:color="auto"/>
              <w:left w:val="single" w:sz="4" w:space="0" w:color="auto"/>
              <w:bottom w:val="single" w:sz="4" w:space="0" w:color="auto"/>
              <w:right w:val="single" w:sz="4" w:space="0" w:color="auto"/>
            </w:tcBorders>
            <w:shd w:val="clear" w:color="auto" w:fill="9D2235"/>
            <w:vAlign w:val="center"/>
            <w:hideMark/>
          </w:tcPr>
          <w:p w14:paraId="0165D07F" w14:textId="77777777" w:rsidR="004E0292" w:rsidRPr="004E0292" w:rsidRDefault="004E0292" w:rsidP="004E0292">
            <w:pPr>
              <w:spacing w:after="0" w:line="240" w:lineRule="auto"/>
              <w:rPr>
                <w:rFonts w:ascii="Arial" w:eastAsia="Times New Roman" w:hAnsi="Arial" w:cs="Arial"/>
                <w:b/>
                <w:bCs/>
                <w:color w:val="FFFFFF"/>
                <w:sz w:val="16"/>
                <w:szCs w:val="16"/>
                <w:lang w:eastAsia="es-ES"/>
              </w:rPr>
            </w:pPr>
          </w:p>
        </w:tc>
        <w:tc>
          <w:tcPr>
            <w:tcW w:w="4383" w:type="dxa"/>
            <w:gridSpan w:val="3"/>
            <w:vMerge/>
            <w:tcBorders>
              <w:top w:val="single" w:sz="4" w:space="0" w:color="auto"/>
              <w:left w:val="single" w:sz="4" w:space="0" w:color="auto"/>
              <w:bottom w:val="single" w:sz="4" w:space="0" w:color="auto"/>
              <w:right w:val="single" w:sz="4" w:space="0" w:color="auto"/>
            </w:tcBorders>
            <w:shd w:val="clear" w:color="auto" w:fill="9D2235"/>
            <w:vAlign w:val="center"/>
            <w:hideMark/>
          </w:tcPr>
          <w:p w14:paraId="39FC5474" w14:textId="77777777" w:rsidR="004E0292" w:rsidRPr="004E0292" w:rsidRDefault="004E0292" w:rsidP="004E0292">
            <w:pPr>
              <w:spacing w:after="0" w:line="240" w:lineRule="auto"/>
              <w:rPr>
                <w:rFonts w:ascii="Arial" w:eastAsia="Times New Roman" w:hAnsi="Arial" w:cs="Arial"/>
                <w:b/>
                <w:bCs/>
                <w:color w:val="FFFFFF"/>
                <w:sz w:val="16"/>
                <w:szCs w:val="16"/>
                <w:lang w:eastAsia="es-ES"/>
              </w:rPr>
            </w:pPr>
          </w:p>
        </w:tc>
        <w:tc>
          <w:tcPr>
            <w:tcW w:w="1429" w:type="dxa"/>
            <w:gridSpan w:val="2"/>
            <w:tcBorders>
              <w:top w:val="single" w:sz="4" w:space="0" w:color="auto"/>
              <w:left w:val="nil"/>
              <w:bottom w:val="single" w:sz="4" w:space="0" w:color="auto"/>
              <w:right w:val="single" w:sz="4" w:space="0" w:color="auto"/>
            </w:tcBorders>
            <w:shd w:val="clear" w:color="auto" w:fill="9D2235"/>
            <w:noWrap/>
            <w:vAlign w:val="bottom"/>
            <w:hideMark/>
          </w:tcPr>
          <w:p w14:paraId="2040C873"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2020</w:t>
            </w:r>
          </w:p>
        </w:tc>
        <w:tc>
          <w:tcPr>
            <w:tcW w:w="1417" w:type="dxa"/>
            <w:gridSpan w:val="2"/>
            <w:tcBorders>
              <w:top w:val="single" w:sz="4" w:space="0" w:color="auto"/>
              <w:left w:val="nil"/>
              <w:bottom w:val="single" w:sz="4" w:space="0" w:color="auto"/>
              <w:right w:val="single" w:sz="4" w:space="0" w:color="auto"/>
            </w:tcBorders>
            <w:shd w:val="clear" w:color="auto" w:fill="9D2235"/>
            <w:noWrap/>
            <w:vAlign w:val="bottom"/>
            <w:hideMark/>
          </w:tcPr>
          <w:p w14:paraId="7056AEB4"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2021</w:t>
            </w:r>
          </w:p>
        </w:tc>
        <w:tc>
          <w:tcPr>
            <w:tcW w:w="2268" w:type="dxa"/>
            <w:gridSpan w:val="3"/>
            <w:vMerge/>
            <w:tcBorders>
              <w:top w:val="single" w:sz="4" w:space="0" w:color="000000"/>
              <w:left w:val="nil"/>
              <w:bottom w:val="single" w:sz="4" w:space="0" w:color="000000"/>
              <w:right w:val="single" w:sz="4" w:space="0" w:color="000000"/>
            </w:tcBorders>
            <w:shd w:val="clear" w:color="auto" w:fill="9D2235"/>
            <w:vAlign w:val="center"/>
            <w:hideMark/>
          </w:tcPr>
          <w:p w14:paraId="487921CE" w14:textId="77777777" w:rsidR="004E0292" w:rsidRPr="004E0292" w:rsidRDefault="004E0292" w:rsidP="004E0292">
            <w:pPr>
              <w:spacing w:after="0" w:line="240" w:lineRule="auto"/>
              <w:rPr>
                <w:rFonts w:ascii="Arial" w:eastAsia="Times New Roman" w:hAnsi="Arial" w:cs="Arial"/>
                <w:b/>
                <w:bCs/>
                <w:color w:val="FFFFFF"/>
                <w:sz w:val="16"/>
                <w:szCs w:val="16"/>
                <w:lang w:eastAsia="es-ES"/>
              </w:rPr>
            </w:pPr>
          </w:p>
        </w:tc>
      </w:tr>
      <w:tr w:rsidR="004E0292" w:rsidRPr="004E0292" w14:paraId="6BFA8BE0" w14:textId="77777777" w:rsidTr="00EA4E12">
        <w:trPr>
          <w:trHeight w:val="1260"/>
          <w:jc w:val="center"/>
        </w:trPr>
        <w:tc>
          <w:tcPr>
            <w:tcW w:w="1135" w:type="dxa"/>
            <w:vMerge/>
            <w:tcBorders>
              <w:top w:val="single" w:sz="4" w:space="0" w:color="000000"/>
              <w:left w:val="single" w:sz="4" w:space="0" w:color="000000"/>
              <w:bottom w:val="single" w:sz="4" w:space="0" w:color="000000"/>
              <w:right w:val="single" w:sz="4" w:space="0" w:color="000000"/>
            </w:tcBorders>
            <w:shd w:val="clear" w:color="auto" w:fill="9D2235"/>
            <w:vAlign w:val="center"/>
            <w:hideMark/>
          </w:tcPr>
          <w:p w14:paraId="6CECE734" w14:textId="77777777" w:rsidR="004E0292" w:rsidRPr="004E0292" w:rsidRDefault="004E0292" w:rsidP="004E0292">
            <w:pPr>
              <w:spacing w:after="0" w:line="240" w:lineRule="auto"/>
              <w:rPr>
                <w:rFonts w:ascii="Arial" w:eastAsia="Times New Roman" w:hAnsi="Arial" w:cs="Arial"/>
                <w:b/>
                <w:bCs/>
                <w:color w:val="FFFFFF"/>
                <w:sz w:val="16"/>
                <w:szCs w:val="16"/>
                <w:lang w:eastAsia="es-ES"/>
              </w:rPr>
            </w:pPr>
          </w:p>
        </w:tc>
        <w:tc>
          <w:tcPr>
            <w:tcW w:w="1417" w:type="dxa"/>
            <w:tcBorders>
              <w:top w:val="nil"/>
              <w:left w:val="nil"/>
              <w:bottom w:val="single" w:sz="4" w:space="0" w:color="000000"/>
              <w:right w:val="single" w:sz="4" w:space="0" w:color="000000"/>
            </w:tcBorders>
            <w:shd w:val="clear" w:color="auto" w:fill="9D2235"/>
            <w:vAlign w:val="center"/>
            <w:hideMark/>
          </w:tcPr>
          <w:p w14:paraId="576EAE26"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PREVISIONES TOTALES</w:t>
            </w:r>
            <w:r w:rsidRPr="004E0292">
              <w:rPr>
                <w:rFonts w:ascii="Arial" w:eastAsia="Times New Roman" w:hAnsi="Arial" w:cs="Arial"/>
                <w:b/>
                <w:bCs/>
                <w:color w:val="FFFFFF"/>
                <w:sz w:val="16"/>
                <w:szCs w:val="16"/>
                <w:lang w:eastAsia="es-ES"/>
              </w:rPr>
              <w:br/>
              <w:t>(1)</w:t>
            </w:r>
          </w:p>
        </w:tc>
        <w:tc>
          <w:tcPr>
            <w:tcW w:w="1559" w:type="dxa"/>
            <w:tcBorders>
              <w:top w:val="nil"/>
              <w:left w:val="nil"/>
              <w:bottom w:val="single" w:sz="4" w:space="0" w:color="000000"/>
              <w:right w:val="single" w:sz="4" w:space="0" w:color="000000"/>
            </w:tcBorders>
            <w:shd w:val="clear" w:color="auto" w:fill="9D2235"/>
            <w:vAlign w:val="center"/>
            <w:hideMark/>
          </w:tcPr>
          <w:p w14:paraId="4C1BD62C"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DERECHOS RECONOCIDOS NETOS</w:t>
            </w:r>
            <w:r w:rsidRPr="004E0292">
              <w:rPr>
                <w:rFonts w:ascii="Arial" w:eastAsia="Times New Roman" w:hAnsi="Arial" w:cs="Arial"/>
                <w:b/>
                <w:bCs/>
                <w:color w:val="FFFFFF"/>
                <w:sz w:val="16"/>
                <w:szCs w:val="16"/>
                <w:lang w:eastAsia="es-ES"/>
              </w:rPr>
              <w:br/>
              <w:t>(2)</w:t>
            </w:r>
          </w:p>
        </w:tc>
        <w:tc>
          <w:tcPr>
            <w:tcW w:w="1418" w:type="dxa"/>
            <w:tcBorders>
              <w:top w:val="nil"/>
              <w:left w:val="nil"/>
              <w:bottom w:val="single" w:sz="4" w:space="0" w:color="000000"/>
              <w:right w:val="single" w:sz="4" w:space="0" w:color="000000"/>
            </w:tcBorders>
            <w:shd w:val="clear" w:color="auto" w:fill="9D2235"/>
            <w:vAlign w:val="center"/>
            <w:hideMark/>
          </w:tcPr>
          <w:p w14:paraId="62F4452D"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RECAUDACIÓN LÍQUIDA</w:t>
            </w:r>
            <w:r w:rsidRPr="004E0292">
              <w:rPr>
                <w:rFonts w:ascii="Arial" w:eastAsia="Times New Roman" w:hAnsi="Arial" w:cs="Arial"/>
                <w:b/>
                <w:bCs/>
                <w:color w:val="FFFFFF"/>
                <w:sz w:val="16"/>
                <w:szCs w:val="16"/>
                <w:lang w:eastAsia="es-ES"/>
              </w:rPr>
              <w:br/>
              <w:t>(3)</w:t>
            </w:r>
          </w:p>
        </w:tc>
        <w:tc>
          <w:tcPr>
            <w:tcW w:w="1276" w:type="dxa"/>
            <w:tcBorders>
              <w:top w:val="nil"/>
              <w:left w:val="nil"/>
              <w:bottom w:val="single" w:sz="4" w:space="0" w:color="000000"/>
              <w:right w:val="single" w:sz="4" w:space="0" w:color="000000"/>
            </w:tcBorders>
            <w:shd w:val="clear" w:color="auto" w:fill="9D2235"/>
            <w:vAlign w:val="center"/>
            <w:hideMark/>
          </w:tcPr>
          <w:p w14:paraId="500EBE77"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PREVISIONES TOTALES</w:t>
            </w:r>
            <w:r w:rsidRPr="004E0292">
              <w:rPr>
                <w:rFonts w:ascii="Arial" w:eastAsia="Times New Roman" w:hAnsi="Arial" w:cs="Arial"/>
                <w:b/>
                <w:bCs/>
                <w:color w:val="FFFFFF"/>
                <w:sz w:val="16"/>
                <w:szCs w:val="16"/>
                <w:lang w:eastAsia="es-ES"/>
              </w:rPr>
              <w:br/>
              <w:t>(4)</w:t>
            </w:r>
          </w:p>
        </w:tc>
        <w:tc>
          <w:tcPr>
            <w:tcW w:w="1559" w:type="dxa"/>
            <w:tcBorders>
              <w:top w:val="nil"/>
              <w:left w:val="nil"/>
              <w:bottom w:val="single" w:sz="4" w:space="0" w:color="000000"/>
              <w:right w:val="single" w:sz="4" w:space="0" w:color="000000"/>
            </w:tcBorders>
            <w:shd w:val="clear" w:color="auto" w:fill="9D2235"/>
            <w:vAlign w:val="center"/>
            <w:hideMark/>
          </w:tcPr>
          <w:p w14:paraId="60ADC361"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DERECHOS RECONOCIDOS NETOS</w:t>
            </w:r>
            <w:r w:rsidRPr="004E0292">
              <w:rPr>
                <w:rFonts w:ascii="Arial" w:eastAsia="Times New Roman" w:hAnsi="Arial" w:cs="Arial"/>
                <w:b/>
                <w:bCs/>
                <w:color w:val="FFFFFF"/>
                <w:sz w:val="16"/>
                <w:szCs w:val="16"/>
                <w:lang w:eastAsia="es-ES"/>
              </w:rPr>
              <w:br/>
              <w:t>(5)</w:t>
            </w:r>
          </w:p>
        </w:tc>
        <w:tc>
          <w:tcPr>
            <w:tcW w:w="1548" w:type="dxa"/>
            <w:tcBorders>
              <w:top w:val="nil"/>
              <w:left w:val="nil"/>
              <w:bottom w:val="single" w:sz="4" w:space="0" w:color="000000"/>
              <w:right w:val="single" w:sz="4" w:space="0" w:color="000000"/>
            </w:tcBorders>
            <w:shd w:val="clear" w:color="auto" w:fill="9D2235"/>
            <w:vAlign w:val="center"/>
            <w:hideMark/>
          </w:tcPr>
          <w:p w14:paraId="052D4C83"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RECAUDACIÓN LÍQUIDA</w:t>
            </w:r>
            <w:r w:rsidRPr="004E0292">
              <w:rPr>
                <w:rFonts w:ascii="Arial" w:eastAsia="Times New Roman" w:hAnsi="Arial" w:cs="Arial"/>
                <w:b/>
                <w:bCs/>
                <w:color w:val="FFFFFF"/>
                <w:sz w:val="16"/>
                <w:szCs w:val="16"/>
                <w:lang w:eastAsia="es-ES"/>
              </w:rPr>
              <w:br/>
              <w:t>(6)</w:t>
            </w:r>
          </w:p>
        </w:tc>
        <w:tc>
          <w:tcPr>
            <w:tcW w:w="716" w:type="dxa"/>
            <w:tcBorders>
              <w:top w:val="nil"/>
              <w:left w:val="nil"/>
              <w:bottom w:val="single" w:sz="4" w:space="0" w:color="000000"/>
              <w:right w:val="single" w:sz="4" w:space="0" w:color="000000"/>
            </w:tcBorders>
            <w:shd w:val="clear" w:color="auto" w:fill="9D2235"/>
            <w:vAlign w:val="center"/>
            <w:hideMark/>
          </w:tcPr>
          <w:p w14:paraId="35DD0320"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2/1</w:t>
            </w:r>
          </w:p>
        </w:tc>
        <w:tc>
          <w:tcPr>
            <w:tcW w:w="713" w:type="dxa"/>
            <w:tcBorders>
              <w:top w:val="nil"/>
              <w:left w:val="nil"/>
              <w:bottom w:val="single" w:sz="4" w:space="0" w:color="000000"/>
              <w:right w:val="single" w:sz="4" w:space="0" w:color="000000"/>
            </w:tcBorders>
            <w:shd w:val="clear" w:color="auto" w:fill="9D2235"/>
            <w:vAlign w:val="center"/>
            <w:hideMark/>
          </w:tcPr>
          <w:p w14:paraId="7ACDABAD"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3/2</w:t>
            </w:r>
          </w:p>
        </w:tc>
        <w:tc>
          <w:tcPr>
            <w:tcW w:w="708" w:type="dxa"/>
            <w:tcBorders>
              <w:top w:val="nil"/>
              <w:left w:val="nil"/>
              <w:bottom w:val="single" w:sz="4" w:space="0" w:color="000000"/>
              <w:right w:val="single" w:sz="4" w:space="0" w:color="000000"/>
            </w:tcBorders>
            <w:shd w:val="clear" w:color="auto" w:fill="9D2235"/>
            <w:vAlign w:val="center"/>
            <w:hideMark/>
          </w:tcPr>
          <w:p w14:paraId="3F400FDF"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5/4</w:t>
            </w:r>
          </w:p>
        </w:tc>
        <w:tc>
          <w:tcPr>
            <w:tcW w:w="709" w:type="dxa"/>
            <w:tcBorders>
              <w:top w:val="nil"/>
              <w:left w:val="nil"/>
              <w:bottom w:val="single" w:sz="4" w:space="0" w:color="000000"/>
              <w:right w:val="single" w:sz="4" w:space="0" w:color="000000"/>
            </w:tcBorders>
            <w:shd w:val="clear" w:color="auto" w:fill="9D2235"/>
            <w:vAlign w:val="center"/>
            <w:hideMark/>
          </w:tcPr>
          <w:p w14:paraId="17ADB9F4"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6/5</w:t>
            </w:r>
          </w:p>
        </w:tc>
        <w:tc>
          <w:tcPr>
            <w:tcW w:w="851" w:type="dxa"/>
            <w:tcBorders>
              <w:top w:val="nil"/>
              <w:left w:val="nil"/>
              <w:bottom w:val="single" w:sz="4" w:space="0" w:color="000000"/>
              <w:right w:val="single" w:sz="4" w:space="0" w:color="000000"/>
            </w:tcBorders>
            <w:shd w:val="clear" w:color="auto" w:fill="9D2235"/>
            <w:vAlign w:val="center"/>
            <w:hideMark/>
          </w:tcPr>
          <w:p w14:paraId="7EC3743E"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4/1</w:t>
            </w:r>
          </w:p>
        </w:tc>
        <w:tc>
          <w:tcPr>
            <w:tcW w:w="708" w:type="dxa"/>
            <w:tcBorders>
              <w:top w:val="nil"/>
              <w:left w:val="nil"/>
              <w:bottom w:val="single" w:sz="4" w:space="0" w:color="000000"/>
              <w:right w:val="single" w:sz="4" w:space="0" w:color="000000"/>
            </w:tcBorders>
            <w:shd w:val="clear" w:color="auto" w:fill="9D2235"/>
            <w:vAlign w:val="center"/>
            <w:hideMark/>
          </w:tcPr>
          <w:p w14:paraId="2B4F6DFA"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5/2</w:t>
            </w:r>
          </w:p>
        </w:tc>
        <w:tc>
          <w:tcPr>
            <w:tcW w:w="709" w:type="dxa"/>
            <w:tcBorders>
              <w:top w:val="nil"/>
              <w:left w:val="nil"/>
              <w:bottom w:val="single" w:sz="4" w:space="0" w:color="000000"/>
              <w:right w:val="single" w:sz="4" w:space="0" w:color="000000"/>
            </w:tcBorders>
            <w:shd w:val="clear" w:color="auto" w:fill="9D2235"/>
            <w:vAlign w:val="center"/>
            <w:hideMark/>
          </w:tcPr>
          <w:p w14:paraId="213AE89D" w14:textId="77777777" w:rsidR="004E0292" w:rsidRPr="004E0292" w:rsidRDefault="004E0292" w:rsidP="004E0292">
            <w:pPr>
              <w:spacing w:after="0" w:line="240" w:lineRule="auto"/>
              <w:jc w:val="center"/>
              <w:rPr>
                <w:rFonts w:ascii="Arial" w:eastAsia="Times New Roman" w:hAnsi="Arial" w:cs="Arial"/>
                <w:b/>
                <w:bCs/>
                <w:color w:val="FFFFFF"/>
                <w:sz w:val="16"/>
                <w:szCs w:val="16"/>
                <w:lang w:eastAsia="es-ES"/>
              </w:rPr>
            </w:pPr>
            <w:r w:rsidRPr="004E0292">
              <w:rPr>
                <w:rFonts w:ascii="Arial" w:eastAsia="Times New Roman" w:hAnsi="Arial" w:cs="Arial"/>
                <w:b/>
                <w:bCs/>
                <w:color w:val="FFFFFF"/>
                <w:sz w:val="16"/>
                <w:szCs w:val="16"/>
                <w:lang w:eastAsia="es-ES"/>
              </w:rPr>
              <w:t>6/3</w:t>
            </w:r>
          </w:p>
        </w:tc>
      </w:tr>
      <w:tr w:rsidR="004E0292" w:rsidRPr="004E0292" w14:paraId="42FDA6B5" w14:textId="77777777" w:rsidTr="00EA4E12">
        <w:trPr>
          <w:trHeight w:val="300"/>
          <w:jc w:val="center"/>
        </w:trPr>
        <w:tc>
          <w:tcPr>
            <w:tcW w:w="1135" w:type="dxa"/>
            <w:tcBorders>
              <w:top w:val="nil"/>
              <w:left w:val="single" w:sz="4" w:space="0" w:color="000000"/>
              <w:bottom w:val="single" w:sz="4" w:space="0" w:color="000000"/>
              <w:right w:val="single" w:sz="4" w:space="0" w:color="000000"/>
            </w:tcBorders>
            <w:shd w:val="clear" w:color="auto" w:fill="auto"/>
            <w:vAlign w:val="center"/>
            <w:hideMark/>
          </w:tcPr>
          <w:p w14:paraId="05D4FD1A" w14:textId="77777777" w:rsidR="004E0292" w:rsidRPr="004E0292" w:rsidRDefault="004E0292" w:rsidP="004E0292">
            <w:pPr>
              <w:spacing w:after="0" w:line="240" w:lineRule="auto"/>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III</w:t>
            </w:r>
          </w:p>
        </w:tc>
        <w:tc>
          <w:tcPr>
            <w:tcW w:w="1417" w:type="dxa"/>
            <w:tcBorders>
              <w:top w:val="nil"/>
              <w:left w:val="nil"/>
              <w:bottom w:val="single" w:sz="4" w:space="0" w:color="000000"/>
              <w:right w:val="single" w:sz="4" w:space="0" w:color="000000"/>
            </w:tcBorders>
            <w:shd w:val="clear" w:color="auto" w:fill="auto"/>
            <w:noWrap/>
            <w:vAlign w:val="bottom"/>
            <w:hideMark/>
          </w:tcPr>
          <w:p w14:paraId="56FE7123"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0,00</w:t>
            </w:r>
          </w:p>
        </w:tc>
        <w:tc>
          <w:tcPr>
            <w:tcW w:w="1559" w:type="dxa"/>
            <w:tcBorders>
              <w:top w:val="nil"/>
              <w:left w:val="nil"/>
              <w:bottom w:val="single" w:sz="4" w:space="0" w:color="000000"/>
              <w:right w:val="single" w:sz="4" w:space="0" w:color="000000"/>
            </w:tcBorders>
            <w:shd w:val="clear" w:color="auto" w:fill="auto"/>
            <w:vAlign w:val="center"/>
            <w:hideMark/>
          </w:tcPr>
          <w:p w14:paraId="7A47295F"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0,00</w:t>
            </w:r>
          </w:p>
        </w:tc>
        <w:tc>
          <w:tcPr>
            <w:tcW w:w="1418" w:type="dxa"/>
            <w:tcBorders>
              <w:top w:val="nil"/>
              <w:left w:val="nil"/>
              <w:bottom w:val="single" w:sz="4" w:space="0" w:color="000000"/>
              <w:right w:val="single" w:sz="4" w:space="0" w:color="000000"/>
            </w:tcBorders>
            <w:shd w:val="clear" w:color="auto" w:fill="auto"/>
            <w:vAlign w:val="center"/>
            <w:hideMark/>
          </w:tcPr>
          <w:p w14:paraId="170B23AA"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0,00</w:t>
            </w:r>
          </w:p>
        </w:tc>
        <w:tc>
          <w:tcPr>
            <w:tcW w:w="1276" w:type="dxa"/>
            <w:tcBorders>
              <w:top w:val="nil"/>
              <w:left w:val="nil"/>
              <w:bottom w:val="single" w:sz="4" w:space="0" w:color="000000"/>
              <w:right w:val="single" w:sz="4" w:space="0" w:color="000000"/>
            </w:tcBorders>
            <w:shd w:val="clear" w:color="auto" w:fill="auto"/>
            <w:noWrap/>
            <w:vAlign w:val="bottom"/>
            <w:hideMark/>
          </w:tcPr>
          <w:p w14:paraId="2163F7DE"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0,00</w:t>
            </w:r>
          </w:p>
        </w:tc>
        <w:tc>
          <w:tcPr>
            <w:tcW w:w="1559" w:type="dxa"/>
            <w:tcBorders>
              <w:top w:val="nil"/>
              <w:left w:val="nil"/>
              <w:bottom w:val="single" w:sz="4" w:space="0" w:color="000000"/>
              <w:right w:val="single" w:sz="4" w:space="0" w:color="000000"/>
            </w:tcBorders>
            <w:shd w:val="clear" w:color="auto" w:fill="auto"/>
            <w:noWrap/>
            <w:vAlign w:val="bottom"/>
            <w:hideMark/>
          </w:tcPr>
          <w:p w14:paraId="1328C197"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167,77</w:t>
            </w:r>
          </w:p>
        </w:tc>
        <w:tc>
          <w:tcPr>
            <w:tcW w:w="1548" w:type="dxa"/>
            <w:tcBorders>
              <w:top w:val="nil"/>
              <w:left w:val="nil"/>
              <w:bottom w:val="single" w:sz="4" w:space="0" w:color="000000"/>
              <w:right w:val="single" w:sz="4" w:space="0" w:color="000000"/>
            </w:tcBorders>
            <w:shd w:val="clear" w:color="auto" w:fill="auto"/>
            <w:noWrap/>
            <w:vAlign w:val="bottom"/>
            <w:hideMark/>
          </w:tcPr>
          <w:p w14:paraId="1D976B57"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167,77</w:t>
            </w:r>
          </w:p>
        </w:tc>
        <w:tc>
          <w:tcPr>
            <w:tcW w:w="716" w:type="dxa"/>
            <w:tcBorders>
              <w:top w:val="nil"/>
              <w:left w:val="nil"/>
              <w:bottom w:val="single" w:sz="4" w:space="0" w:color="000000"/>
              <w:right w:val="single" w:sz="4" w:space="0" w:color="000000"/>
            </w:tcBorders>
            <w:shd w:val="clear" w:color="auto" w:fill="auto"/>
            <w:noWrap/>
            <w:vAlign w:val="bottom"/>
            <w:hideMark/>
          </w:tcPr>
          <w:p w14:paraId="54FDA5E5"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 </w:t>
            </w:r>
          </w:p>
        </w:tc>
        <w:tc>
          <w:tcPr>
            <w:tcW w:w="713" w:type="dxa"/>
            <w:tcBorders>
              <w:top w:val="nil"/>
              <w:left w:val="nil"/>
              <w:bottom w:val="single" w:sz="4" w:space="0" w:color="000000"/>
              <w:right w:val="single" w:sz="4" w:space="0" w:color="000000"/>
            </w:tcBorders>
            <w:shd w:val="clear" w:color="auto" w:fill="auto"/>
            <w:noWrap/>
            <w:vAlign w:val="bottom"/>
            <w:hideMark/>
          </w:tcPr>
          <w:p w14:paraId="21D2325C"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 </w:t>
            </w:r>
          </w:p>
        </w:tc>
        <w:tc>
          <w:tcPr>
            <w:tcW w:w="708" w:type="dxa"/>
            <w:tcBorders>
              <w:top w:val="nil"/>
              <w:left w:val="nil"/>
              <w:bottom w:val="single" w:sz="4" w:space="0" w:color="000000"/>
              <w:right w:val="single" w:sz="4" w:space="0" w:color="000000"/>
            </w:tcBorders>
            <w:shd w:val="clear" w:color="auto" w:fill="auto"/>
            <w:noWrap/>
            <w:vAlign w:val="bottom"/>
            <w:hideMark/>
          </w:tcPr>
          <w:p w14:paraId="17E2CA0B"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 </w:t>
            </w:r>
          </w:p>
        </w:tc>
        <w:tc>
          <w:tcPr>
            <w:tcW w:w="709" w:type="dxa"/>
            <w:tcBorders>
              <w:top w:val="nil"/>
              <w:left w:val="nil"/>
              <w:bottom w:val="single" w:sz="4" w:space="0" w:color="000000"/>
              <w:right w:val="single" w:sz="4" w:space="0" w:color="000000"/>
            </w:tcBorders>
            <w:shd w:val="clear" w:color="auto" w:fill="auto"/>
            <w:noWrap/>
            <w:vAlign w:val="bottom"/>
            <w:hideMark/>
          </w:tcPr>
          <w:p w14:paraId="726DBA92"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100% </w:t>
            </w:r>
          </w:p>
        </w:tc>
        <w:tc>
          <w:tcPr>
            <w:tcW w:w="851" w:type="dxa"/>
            <w:tcBorders>
              <w:top w:val="nil"/>
              <w:left w:val="nil"/>
              <w:bottom w:val="single" w:sz="4" w:space="0" w:color="000000"/>
              <w:right w:val="single" w:sz="4" w:space="0" w:color="000000"/>
            </w:tcBorders>
            <w:shd w:val="clear" w:color="EEEEEE" w:fill="EEEEEE"/>
            <w:noWrap/>
            <w:vAlign w:val="bottom"/>
            <w:hideMark/>
          </w:tcPr>
          <w:p w14:paraId="769B642E"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 </w:t>
            </w:r>
          </w:p>
        </w:tc>
        <w:tc>
          <w:tcPr>
            <w:tcW w:w="708" w:type="dxa"/>
            <w:tcBorders>
              <w:top w:val="nil"/>
              <w:left w:val="nil"/>
              <w:bottom w:val="single" w:sz="4" w:space="0" w:color="000000"/>
              <w:right w:val="single" w:sz="4" w:space="0" w:color="000000"/>
            </w:tcBorders>
            <w:shd w:val="clear" w:color="EEEEEE" w:fill="EEEEEE"/>
            <w:noWrap/>
            <w:vAlign w:val="bottom"/>
            <w:hideMark/>
          </w:tcPr>
          <w:p w14:paraId="425F1D57"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 </w:t>
            </w:r>
          </w:p>
        </w:tc>
        <w:tc>
          <w:tcPr>
            <w:tcW w:w="709" w:type="dxa"/>
            <w:tcBorders>
              <w:top w:val="nil"/>
              <w:left w:val="nil"/>
              <w:bottom w:val="single" w:sz="4" w:space="0" w:color="000000"/>
              <w:right w:val="single" w:sz="4" w:space="0" w:color="000000"/>
            </w:tcBorders>
            <w:shd w:val="clear" w:color="000000" w:fill="E7E6E6"/>
            <w:vAlign w:val="center"/>
            <w:hideMark/>
          </w:tcPr>
          <w:p w14:paraId="55F56A58" w14:textId="77777777" w:rsidR="004E0292" w:rsidRPr="004E0292" w:rsidRDefault="004E0292" w:rsidP="004E0292">
            <w:pPr>
              <w:spacing w:after="0" w:line="240" w:lineRule="auto"/>
              <w:jc w:val="center"/>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 </w:t>
            </w:r>
          </w:p>
        </w:tc>
      </w:tr>
      <w:tr w:rsidR="004E0292" w:rsidRPr="004E0292" w14:paraId="1F01C3B8" w14:textId="77777777" w:rsidTr="00EA4E12">
        <w:trPr>
          <w:trHeight w:val="330"/>
          <w:jc w:val="center"/>
        </w:trPr>
        <w:tc>
          <w:tcPr>
            <w:tcW w:w="1135" w:type="dxa"/>
            <w:tcBorders>
              <w:top w:val="nil"/>
              <w:left w:val="single" w:sz="4" w:space="0" w:color="000000"/>
              <w:bottom w:val="single" w:sz="4" w:space="0" w:color="000000"/>
              <w:right w:val="single" w:sz="4" w:space="0" w:color="000000"/>
            </w:tcBorders>
            <w:shd w:val="clear" w:color="auto" w:fill="auto"/>
            <w:noWrap/>
            <w:vAlign w:val="bottom"/>
            <w:hideMark/>
          </w:tcPr>
          <w:p w14:paraId="17F14772" w14:textId="77777777" w:rsidR="004E0292" w:rsidRPr="004E0292" w:rsidRDefault="004E0292" w:rsidP="004E0292">
            <w:pPr>
              <w:spacing w:after="0" w:line="240" w:lineRule="auto"/>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IV</w:t>
            </w:r>
          </w:p>
        </w:tc>
        <w:tc>
          <w:tcPr>
            <w:tcW w:w="1417" w:type="dxa"/>
            <w:tcBorders>
              <w:top w:val="nil"/>
              <w:left w:val="nil"/>
              <w:bottom w:val="single" w:sz="4" w:space="0" w:color="000000"/>
              <w:right w:val="single" w:sz="4" w:space="0" w:color="000000"/>
            </w:tcBorders>
            <w:shd w:val="clear" w:color="auto" w:fill="auto"/>
            <w:noWrap/>
            <w:vAlign w:val="bottom"/>
            <w:hideMark/>
          </w:tcPr>
          <w:p w14:paraId="1E4EA427"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4.227.429,79</w:t>
            </w:r>
          </w:p>
        </w:tc>
        <w:tc>
          <w:tcPr>
            <w:tcW w:w="1559" w:type="dxa"/>
            <w:tcBorders>
              <w:top w:val="nil"/>
              <w:left w:val="nil"/>
              <w:bottom w:val="single" w:sz="4" w:space="0" w:color="000000"/>
              <w:right w:val="single" w:sz="4" w:space="0" w:color="000000"/>
            </w:tcBorders>
            <w:shd w:val="clear" w:color="auto" w:fill="auto"/>
            <w:noWrap/>
            <w:vAlign w:val="bottom"/>
            <w:hideMark/>
          </w:tcPr>
          <w:p w14:paraId="49FC2770"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4.227.462,00</w:t>
            </w:r>
          </w:p>
        </w:tc>
        <w:tc>
          <w:tcPr>
            <w:tcW w:w="1418" w:type="dxa"/>
            <w:tcBorders>
              <w:top w:val="nil"/>
              <w:left w:val="nil"/>
              <w:bottom w:val="single" w:sz="4" w:space="0" w:color="000000"/>
              <w:right w:val="single" w:sz="4" w:space="0" w:color="000000"/>
            </w:tcBorders>
            <w:shd w:val="clear" w:color="auto" w:fill="auto"/>
            <w:noWrap/>
            <w:vAlign w:val="bottom"/>
            <w:hideMark/>
          </w:tcPr>
          <w:p w14:paraId="6981C129"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1.409.141,32</w:t>
            </w:r>
          </w:p>
        </w:tc>
        <w:tc>
          <w:tcPr>
            <w:tcW w:w="1276" w:type="dxa"/>
            <w:tcBorders>
              <w:top w:val="nil"/>
              <w:left w:val="nil"/>
              <w:bottom w:val="single" w:sz="4" w:space="0" w:color="000000"/>
              <w:right w:val="single" w:sz="4" w:space="0" w:color="000000"/>
            </w:tcBorders>
            <w:shd w:val="clear" w:color="auto" w:fill="auto"/>
            <w:noWrap/>
            <w:vAlign w:val="bottom"/>
            <w:hideMark/>
          </w:tcPr>
          <w:p w14:paraId="31DC3B0E"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4.224.450,00</w:t>
            </w:r>
          </w:p>
        </w:tc>
        <w:tc>
          <w:tcPr>
            <w:tcW w:w="1559" w:type="dxa"/>
            <w:tcBorders>
              <w:top w:val="nil"/>
              <w:left w:val="nil"/>
              <w:bottom w:val="single" w:sz="4" w:space="0" w:color="000000"/>
              <w:right w:val="single" w:sz="4" w:space="0" w:color="000000"/>
            </w:tcBorders>
            <w:shd w:val="clear" w:color="auto" w:fill="auto"/>
            <w:noWrap/>
            <w:vAlign w:val="bottom"/>
            <w:hideMark/>
          </w:tcPr>
          <w:p w14:paraId="68D256E9"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4.224.450,00</w:t>
            </w:r>
          </w:p>
        </w:tc>
        <w:tc>
          <w:tcPr>
            <w:tcW w:w="1548" w:type="dxa"/>
            <w:tcBorders>
              <w:top w:val="nil"/>
              <w:left w:val="nil"/>
              <w:bottom w:val="single" w:sz="4" w:space="0" w:color="000000"/>
              <w:right w:val="single" w:sz="4" w:space="0" w:color="000000"/>
            </w:tcBorders>
            <w:shd w:val="clear" w:color="auto" w:fill="auto"/>
            <w:noWrap/>
            <w:vAlign w:val="bottom"/>
            <w:hideMark/>
          </w:tcPr>
          <w:p w14:paraId="685D05C7"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4.224.450,00</w:t>
            </w:r>
          </w:p>
        </w:tc>
        <w:tc>
          <w:tcPr>
            <w:tcW w:w="716" w:type="dxa"/>
            <w:tcBorders>
              <w:top w:val="nil"/>
              <w:left w:val="nil"/>
              <w:bottom w:val="single" w:sz="4" w:space="0" w:color="000000"/>
              <w:right w:val="single" w:sz="4" w:space="0" w:color="000000"/>
            </w:tcBorders>
            <w:shd w:val="clear" w:color="auto" w:fill="auto"/>
            <w:noWrap/>
            <w:vAlign w:val="bottom"/>
            <w:hideMark/>
          </w:tcPr>
          <w:p w14:paraId="53B39B07"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100%</w:t>
            </w:r>
          </w:p>
        </w:tc>
        <w:tc>
          <w:tcPr>
            <w:tcW w:w="713" w:type="dxa"/>
            <w:tcBorders>
              <w:top w:val="nil"/>
              <w:left w:val="nil"/>
              <w:bottom w:val="single" w:sz="4" w:space="0" w:color="000000"/>
              <w:right w:val="single" w:sz="4" w:space="0" w:color="000000"/>
            </w:tcBorders>
            <w:shd w:val="clear" w:color="auto" w:fill="auto"/>
            <w:noWrap/>
            <w:vAlign w:val="bottom"/>
            <w:hideMark/>
          </w:tcPr>
          <w:p w14:paraId="2C4F3F6D"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33%</w:t>
            </w:r>
          </w:p>
        </w:tc>
        <w:tc>
          <w:tcPr>
            <w:tcW w:w="708" w:type="dxa"/>
            <w:tcBorders>
              <w:top w:val="nil"/>
              <w:left w:val="nil"/>
              <w:bottom w:val="single" w:sz="4" w:space="0" w:color="000000"/>
              <w:right w:val="single" w:sz="4" w:space="0" w:color="000000"/>
            </w:tcBorders>
            <w:shd w:val="clear" w:color="auto" w:fill="auto"/>
            <w:noWrap/>
            <w:vAlign w:val="bottom"/>
            <w:hideMark/>
          </w:tcPr>
          <w:p w14:paraId="7740F0F1"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100%</w:t>
            </w:r>
          </w:p>
        </w:tc>
        <w:tc>
          <w:tcPr>
            <w:tcW w:w="709" w:type="dxa"/>
            <w:tcBorders>
              <w:top w:val="nil"/>
              <w:left w:val="nil"/>
              <w:bottom w:val="single" w:sz="4" w:space="0" w:color="000000"/>
              <w:right w:val="single" w:sz="4" w:space="0" w:color="000000"/>
            </w:tcBorders>
            <w:shd w:val="clear" w:color="auto" w:fill="auto"/>
            <w:noWrap/>
            <w:vAlign w:val="bottom"/>
            <w:hideMark/>
          </w:tcPr>
          <w:p w14:paraId="11683E2C"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100%</w:t>
            </w:r>
          </w:p>
        </w:tc>
        <w:tc>
          <w:tcPr>
            <w:tcW w:w="851" w:type="dxa"/>
            <w:tcBorders>
              <w:top w:val="nil"/>
              <w:left w:val="nil"/>
              <w:bottom w:val="single" w:sz="4" w:space="0" w:color="000000"/>
              <w:right w:val="single" w:sz="4" w:space="0" w:color="000000"/>
            </w:tcBorders>
            <w:shd w:val="clear" w:color="EEEEEE" w:fill="EEEEEE"/>
            <w:noWrap/>
            <w:vAlign w:val="bottom"/>
            <w:hideMark/>
          </w:tcPr>
          <w:p w14:paraId="6725D1C2"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-0,07</w:t>
            </w:r>
          </w:p>
        </w:tc>
        <w:tc>
          <w:tcPr>
            <w:tcW w:w="708" w:type="dxa"/>
            <w:tcBorders>
              <w:top w:val="nil"/>
              <w:left w:val="nil"/>
              <w:bottom w:val="single" w:sz="4" w:space="0" w:color="000000"/>
              <w:right w:val="single" w:sz="4" w:space="0" w:color="000000"/>
            </w:tcBorders>
            <w:shd w:val="clear" w:color="EEEEEE" w:fill="EEEEEE"/>
            <w:noWrap/>
            <w:vAlign w:val="bottom"/>
            <w:hideMark/>
          </w:tcPr>
          <w:p w14:paraId="30ECED06"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-0,07</w:t>
            </w:r>
          </w:p>
        </w:tc>
        <w:tc>
          <w:tcPr>
            <w:tcW w:w="709" w:type="dxa"/>
            <w:tcBorders>
              <w:top w:val="nil"/>
              <w:left w:val="nil"/>
              <w:bottom w:val="single" w:sz="4" w:space="0" w:color="000000"/>
              <w:right w:val="single" w:sz="4" w:space="0" w:color="000000"/>
            </w:tcBorders>
            <w:shd w:val="clear" w:color="EEEEEE" w:fill="EEEEEE"/>
            <w:noWrap/>
            <w:vAlign w:val="bottom"/>
            <w:hideMark/>
          </w:tcPr>
          <w:p w14:paraId="0C4DC817"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199,79</w:t>
            </w:r>
          </w:p>
        </w:tc>
      </w:tr>
      <w:tr w:rsidR="004E0292" w:rsidRPr="004E0292" w14:paraId="649EC13F" w14:textId="77777777" w:rsidTr="00EA4E12">
        <w:trPr>
          <w:trHeight w:val="330"/>
          <w:jc w:val="center"/>
        </w:trPr>
        <w:tc>
          <w:tcPr>
            <w:tcW w:w="1135" w:type="dxa"/>
            <w:tcBorders>
              <w:top w:val="nil"/>
              <w:left w:val="single" w:sz="4" w:space="0" w:color="000000"/>
              <w:bottom w:val="single" w:sz="4" w:space="0" w:color="000000"/>
              <w:right w:val="single" w:sz="4" w:space="0" w:color="000000"/>
            </w:tcBorders>
            <w:shd w:val="clear" w:color="auto" w:fill="auto"/>
            <w:noWrap/>
            <w:vAlign w:val="bottom"/>
            <w:hideMark/>
          </w:tcPr>
          <w:p w14:paraId="21BE2783" w14:textId="77777777" w:rsidR="004E0292" w:rsidRPr="004E0292" w:rsidRDefault="004E0292" w:rsidP="004E0292">
            <w:pPr>
              <w:spacing w:after="0" w:line="240" w:lineRule="auto"/>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VII</w:t>
            </w:r>
          </w:p>
        </w:tc>
        <w:tc>
          <w:tcPr>
            <w:tcW w:w="1417" w:type="dxa"/>
            <w:tcBorders>
              <w:top w:val="nil"/>
              <w:left w:val="nil"/>
              <w:bottom w:val="single" w:sz="4" w:space="0" w:color="000000"/>
              <w:right w:val="single" w:sz="4" w:space="0" w:color="000000"/>
            </w:tcBorders>
            <w:shd w:val="clear" w:color="auto" w:fill="auto"/>
            <w:noWrap/>
            <w:vAlign w:val="bottom"/>
            <w:hideMark/>
          </w:tcPr>
          <w:p w14:paraId="16FE92E0"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242.445,95</w:t>
            </w:r>
          </w:p>
        </w:tc>
        <w:tc>
          <w:tcPr>
            <w:tcW w:w="1559" w:type="dxa"/>
            <w:tcBorders>
              <w:top w:val="nil"/>
              <w:left w:val="nil"/>
              <w:bottom w:val="single" w:sz="4" w:space="0" w:color="000000"/>
              <w:right w:val="single" w:sz="4" w:space="0" w:color="000000"/>
            </w:tcBorders>
            <w:shd w:val="clear" w:color="auto" w:fill="auto"/>
            <w:noWrap/>
            <w:vAlign w:val="bottom"/>
            <w:hideMark/>
          </w:tcPr>
          <w:p w14:paraId="3F555D63"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242.450,00</w:t>
            </w:r>
          </w:p>
        </w:tc>
        <w:tc>
          <w:tcPr>
            <w:tcW w:w="1418" w:type="dxa"/>
            <w:tcBorders>
              <w:top w:val="nil"/>
              <w:left w:val="nil"/>
              <w:bottom w:val="single" w:sz="4" w:space="0" w:color="000000"/>
              <w:right w:val="single" w:sz="4" w:space="0" w:color="000000"/>
            </w:tcBorders>
            <w:shd w:val="clear" w:color="auto" w:fill="auto"/>
            <w:noWrap/>
            <w:vAlign w:val="bottom"/>
            <w:hideMark/>
          </w:tcPr>
          <w:p w14:paraId="48EC79C7"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242.450,00</w:t>
            </w:r>
          </w:p>
        </w:tc>
        <w:tc>
          <w:tcPr>
            <w:tcW w:w="1276" w:type="dxa"/>
            <w:tcBorders>
              <w:top w:val="nil"/>
              <w:left w:val="nil"/>
              <w:bottom w:val="single" w:sz="4" w:space="0" w:color="000000"/>
              <w:right w:val="single" w:sz="4" w:space="0" w:color="000000"/>
            </w:tcBorders>
            <w:shd w:val="clear" w:color="auto" w:fill="auto"/>
            <w:noWrap/>
            <w:vAlign w:val="bottom"/>
            <w:hideMark/>
          </w:tcPr>
          <w:p w14:paraId="3308A6D4"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199.890,00</w:t>
            </w:r>
          </w:p>
        </w:tc>
        <w:tc>
          <w:tcPr>
            <w:tcW w:w="1559" w:type="dxa"/>
            <w:tcBorders>
              <w:top w:val="nil"/>
              <w:left w:val="nil"/>
              <w:bottom w:val="single" w:sz="4" w:space="0" w:color="000000"/>
              <w:right w:val="single" w:sz="4" w:space="0" w:color="000000"/>
            </w:tcBorders>
            <w:shd w:val="clear" w:color="auto" w:fill="auto"/>
            <w:noWrap/>
            <w:vAlign w:val="bottom"/>
            <w:hideMark/>
          </w:tcPr>
          <w:p w14:paraId="6DF4DD31"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199.890,00</w:t>
            </w:r>
          </w:p>
        </w:tc>
        <w:tc>
          <w:tcPr>
            <w:tcW w:w="1548" w:type="dxa"/>
            <w:tcBorders>
              <w:top w:val="nil"/>
              <w:left w:val="nil"/>
              <w:bottom w:val="single" w:sz="4" w:space="0" w:color="000000"/>
              <w:right w:val="single" w:sz="4" w:space="0" w:color="000000"/>
            </w:tcBorders>
            <w:shd w:val="clear" w:color="auto" w:fill="auto"/>
            <w:noWrap/>
            <w:vAlign w:val="bottom"/>
            <w:hideMark/>
          </w:tcPr>
          <w:p w14:paraId="65D69A42"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199.890,00</w:t>
            </w:r>
          </w:p>
        </w:tc>
        <w:tc>
          <w:tcPr>
            <w:tcW w:w="716" w:type="dxa"/>
            <w:tcBorders>
              <w:top w:val="nil"/>
              <w:left w:val="nil"/>
              <w:bottom w:val="single" w:sz="4" w:space="0" w:color="000000"/>
              <w:right w:val="single" w:sz="4" w:space="0" w:color="000000"/>
            </w:tcBorders>
            <w:shd w:val="clear" w:color="auto" w:fill="auto"/>
            <w:noWrap/>
            <w:vAlign w:val="bottom"/>
            <w:hideMark/>
          </w:tcPr>
          <w:p w14:paraId="74E8C0BF"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100%</w:t>
            </w:r>
          </w:p>
        </w:tc>
        <w:tc>
          <w:tcPr>
            <w:tcW w:w="713" w:type="dxa"/>
            <w:tcBorders>
              <w:top w:val="nil"/>
              <w:left w:val="nil"/>
              <w:bottom w:val="single" w:sz="4" w:space="0" w:color="000000"/>
              <w:right w:val="single" w:sz="4" w:space="0" w:color="000000"/>
            </w:tcBorders>
            <w:shd w:val="clear" w:color="auto" w:fill="auto"/>
            <w:noWrap/>
            <w:vAlign w:val="bottom"/>
            <w:hideMark/>
          </w:tcPr>
          <w:p w14:paraId="2037595F"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100%</w:t>
            </w:r>
          </w:p>
        </w:tc>
        <w:tc>
          <w:tcPr>
            <w:tcW w:w="708" w:type="dxa"/>
            <w:tcBorders>
              <w:top w:val="nil"/>
              <w:left w:val="nil"/>
              <w:bottom w:val="single" w:sz="4" w:space="0" w:color="000000"/>
              <w:right w:val="single" w:sz="4" w:space="0" w:color="000000"/>
            </w:tcBorders>
            <w:shd w:val="clear" w:color="auto" w:fill="auto"/>
            <w:noWrap/>
            <w:vAlign w:val="bottom"/>
            <w:hideMark/>
          </w:tcPr>
          <w:p w14:paraId="066C6044"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100%</w:t>
            </w:r>
          </w:p>
        </w:tc>
        <w:tc>
          <w:tcPr>
            <w:tcW w:w="709" w:type="dxa"/>
            <w:tcBorders>
              <w:top w:val="nil"/>
              <w:left w:val="nil"/>
              <w:bottom w:val="single" w:sz="4" w:space="0" w:color="000000"/>
              <w:right w:val="single" w:sz="4" w:space="0" w:color="000000"/>
            </w:tcBorders>
            <w:shd w:val="clear" w:color="auto" w:fill="auto"/>
            <w:noWrap/>
            <w:vAlign w:val="bottom"/>
            <w:hideMark/>
          </w:tcPr>
          <w:p w14:paraId="06B5C083"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100%</w:t>
            </w:r>
          </w:p>
        </w:tc>
        <w:tc>
          <w:tcPr>
            <w:tcW w:w="851" w:type="dxa"/>
            <w:tcBorders>
              <w:top w:val="nil"/>
              <w:left w:val="nil"/>
              <w:bottom w:val="single" w:sz="4" w:space="0" w:color="000000"/>
              <w:right w:val="single" w:sz="4" w:space="0" w:color="000000"/>
            </w:tcBorders>
            <w:shd w:val="clear" w:color="EEEEEE" w:fill="EEEEEE"/>
            <w:noWrap/>
            <w:vAlign w:val="bottom"/>
            <w:hideMark/>
          </w:tcPr>
          <w:p w14:paraId="05A710B9"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-17.55</w:t>
            </w:r>
          </w:p>
        </w:tc>
        <w:tc>
          <w:tcPr>
            <w:tcW w:w="708" w:type="dxa"/>
            <w:tcBorders>
              <w:top w:val="nil"/>
              <w:left w:val="nil"/>
              <w:bottom w:val="single" w:sz="4" w:space="0" w:color="000000"/>
              <w:right w:val="single" w:sz="4" w:space="0" w:color="000000"/>
            </w:tcBorders>
            <w:shd w:val="clear" w:color="EEEEEE" w:fill="EEEEEE"/>
            <w:noWrap/>
            <w:vAlign w:val="bottom"/>
            <w:hideMark/>
          </w:tcPr>
          <w:p w14:paraId="75394658"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-17,55</w:t>
            </w:r>
          </w:p>
        </w:tc>
        <w:tc>
          <w:tcPr>
            <w:tcW w:w="709" w:type="dxa"/>
            <w:tcBorders>
              <w:top w:val="nil"/>
              <w:left w:val="nil"/>
              <w:bottom w:val="single" w:sz="4" w:space="0" w:color="000000"/>
              <w:right w:val="single" w:sz="4" w:space="0" w:color="000000"/>
            </w:tcBorders>
            <w:shd w:val="clear" w:color="EEEEEE" w:fill="EEEEEE"/>
            <w:noWrap/>
            <w:vAlign w:val="bottom"/>
            <w:hideMark/>
          </w:tcPr>
          <w:p w14:paraId="314CA690"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-17,55</w:t>
            </w:r>
          </w:p>
        </w:tc>
      </w:tr>
      <w:tr w:rsidR="004E0292" w:rsidRPr="004E0292" w14:paraId="38E82985" w14:textId="77777777" w:rsidTr="00EA4E12">
        <w:trPr>
          <w:trHeight w:val="330"/>
          <w:jc w:val="center"/>
        </w:trPr>
        <w:tc>
          <w:tcPr>
            <w:tcW w:w="1135" w:type="dxa"/>
            <w:tcBorders>
              <w:top w:val="nil"/>
              <w:left w:val="single" w:sz="4" w:space="0" w:color="000000"/>
              <w:bottom w:val="single" w:sz="4" w:space="0" w:color="000000"/>
              <w:right w:val="single" w:sz="4" w:space="0" w:color="000000"/>
            </w:tcBorders>
            <w:shd w:val="clear" w:color="auto" w:fill="auto"/>
            <w:vAlign w:val="bottom"/>
            <w:hideMark/>
          </w:tcPr>
          <w:p w14:paraId="39686D0C" w14:textId="77777777" w:rsidR="004E0292" w:rsidRPr="004E0292" w:rsidRDefault="004E0292" w:rsidP="004E0292">
            <w:pPr>
              <w:spacing w:after="0" w:line="240" w:lineRule="auto"/>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VIII</w:t>
            </w:r>
          </w:p>
        </w:tc>
        <w:tc>
          <w:tcPr>
            <w:tcW w:w="1417" w:type="dxa"/>
            <w:tcBorders>
              <w:top w:val="nil"/>
              <w:left w:val="nil"/>
              <w:bottom w:val="single" w:sz="4" w:space="0" w:color="000000"/>
              <w:right w:val="single" w:sz="4" w:space="0" w:color="000000"/>
            </w:tcBorders>
            <w:shd w:val="clear" w:color="auto" w:fill="auto"/>
            <w:noWrap/>
            <w:vAlign w:val="bottom"/>
            <w:hideMark/>
          </w:tcPr>
          <w:p w14:paraId="762C330F"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0,00</w:t>
            </w:r>
          </w:p>
        </w:tc>
        <w:tc>
          <w:tcPr>
            <w:tcW w:w="1559" w:type="dxa"/>
            <w:tcBorders>
              <w:top w:val="nil"/>
              <w:left w:val="nil"/>
              <w:bottom w:val="single" w:sz="4" w:space="0" w:color="000000"/>
              <w:right w:val="single" w:sz="4" w:space="0" w:color="000000"/>
            </w:tcBorders>
            <w:shd w:val="clear" w:color="auto" w:fill="auto"/>
            <w:noWrap/>
            <w:vAlign w:val="bottom"/>
            <w:hideMark/>
          </w:tcPr>
          <w:p w14:paraId="18AFAE27"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0,00</w:t>
            </w:r>
          </w:p>
        </w:tc>
        <w:tc>
          <w:tcPr>
            <w:tcW w:w="1418" w:type="dxa"/>
            <w:tcBorders>
              <w:top w:val="nil"/>
              <w:left w:val="nil"/>
              <w:bottom w:val="single" w:sz="4" w:space="0" w:color="000000"/>
              <w:right w:val="single" w:sz="4" w:space="0" w:color="000000"/>
            </w:tcBorders>
            <w:shd w:val="clear" w:color="auto" w:fill="auto"/>
            <w:noWrap/>
            <w:vAlign w:val="bottom"/>
            <w:hideMark/>
          </w:tcPr>
          <w:p w14:paraId="26B8D0A2"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0,00</w:t>
            </w:r>
          </w:p>
        </w:tc>
        <w:tc>
          <w:tcPr>
            <w:tcW w:w="1276" w:type="dxa"/>
            <w:tcBorders>
              <w:top w:val="nil"/>
              <w:left w:val="nil"/>
              <w:bottom w:val="single" w:sz="4" w:space="0" w:color="000000"/>
              <w:right w:val="single" w:sz="4" w:space="0" w:color="000000"/>
            </w:tcBorders>
            <w:shd w:val="clear" w:color="auto" w:fill="auto"/>
            <w:noWrap/>
            <w:vAlign w:val="bottom"/>
            <w:hideMark/>
          </w:tcPr>
          <w:p w14:paraId="1B288EC0"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3.787.793,15</w:t>
            </w:r>
          </w:p>
        </w:tc>
        <w:tc>
          <w:tcPr>
            <w:tcW w:w="1559" w:type="dxa"/>
            <w:tcBorders>
              <w:top w:val="nil"/>
              <w:left w:val="nil"/>
              <w:bottom w:val="single" w:sz="4" w:space="0" w:color="000000"/>
              <w:right w:val="single" w:sz="4" w:space="0" w:color="000000"/>
            </w:tcBorders>
            <w:shd w:val="clear" w:color="auto" w:fill="auto"/>
            <w:noWrap/>
            <w:vAlign w:val="bottom"/>
            <w:hideMark/>
          </w:tcPr>
          <w:p w14:paraId="7DF9228E"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0,00</w:t>
            </w:r>
          </w:p>
        </w:tc>
        <w:tc>
          <w:tcPr>
            <w:tcW w:w="1548" w:type="dxa"/>
            <w:tcBorders>
              <w:top w:val="nil"/>
              <w:left w:val="nil"/>
              <w:bottom w:val="single" w:sz="4" w:space="0" w:color="000000"/>
              <w:right w:val="single" w:sz="4" w:space="0" w:color="000000"/>
            </w:tcBorders>
            <w:shd w:val="clear" w:color="auto" w:fill="auto"/>
            <w:noWrap/>
            <w:vAlign w:val="bottom"/>
            <w:hideMark/>
          </w:tcPr>
          <w:p w14:paraId="59AF9460"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0,00</w:t>
            </w:r>
          </w:p>
        </w:tc>
        <w:tc>
          <w:tcPr>
            <w:tcW w:w="716" w:type="dxa"/>
            <w:tcBorders>
              <w:top w:val="nil"/>
              <w:left w:val="nil"/>
              <w:bottom w:val="single" w:sz="4" w:space="0" w:color="000000"/>
              <w:right w:val="single" w:sz="4" w:space="0" w:color="000000"/>
            </w:tcBorders>
            <w:shd w:val="clear" w:color="auto" w:fill="auto"/>
            <w:noWrap/>
            <w:vAlign w:val="bottom"/>
            <w:hideMark/>
          </w:tcPr>
          <w:p w14:paraId="3FDC0B34"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 </w:t>
            </w:r>
          </w:p>
        </w:tc>
        <w:tc>
          <w:tcPr>
            <w:tcW w:w="713" w:type="dxa"/>
            <w:tcBorders>
              <w:top w:val="nil"/>
              <w:left w:val="nil"/>
              <w:bottom w:val="single" w:sz="4" w:space="0" w:color="000000"/>
              <w:right w:val="single" w:sz="4" w:space="0" w:color="000000"/>
            </w:tcBorders>
            <w:shd w:val="clear" w:color="auto" w:fill="auto"/>
            <w:noWrap/>
            <w:vAlign w:val="bottom"/>
            <w:hideMark/>
          </w:tcPr>
          <w:p w14:paraId="77A6AC0B"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 </w:t>
            </w:r>
          </w:p>
        </w:tc>
        <w:tc>
          <w:tcPr>
            <w:tcW w:w="708" w:type="dxa"/>
            <w:tcBorders>
              <w:top w:val="nil"/>
              <w:left w:val="nil"/>
              <w:bottom w:val="single" w:sz="4" w:space="0" w:color="000000"/>
              <w:right w:val="single" w:sz="4" w:space="0" w:color="000000"/>
            </w:tcBorders>
            <w:shd w:val="clear" w:color="auto" w:fill="auto"/>
            <w:noWrap/>
            <w:vAlign w:val="bottom"/>
            <w:hideMark/>
          </w:tcPr>
          <w:p w14:paraId="50232040"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0% </w:t>
            </w:r>
          </w:p>
        </w:tc>
        <w:tc>
          <w:tcPr>
            <w:tcW w:w="709" w:type="dxa"/>
            <w:tcBorders>
              <w:top w:val="nil"/>
              <w:left w:val="nil"/>
              <w:bottom w:val="single" w:sz="4" w:space="0" w:color="000000"/>
              <w:right w:val="single" w:sz="4" w:space="0" w:color="000000"/>
            </w:tcBorders>
            <w:shd w:val="clear" w:color="auto" w:fill="auto"/>
            <w:noWrap/>
            <w:vAlign w:val="bottom"/>
            <w:hideMark/>
          </w:tcPr>
          <w:p w14:paraId="6E9913A2"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 </w:t>
            </w:r>
          </w:p>
        </w:tc>
        <w:tc>
          <w:tcPr>
            <w:tcW w:w="851" w:type="dxa"/>
            <w:tcBorders>
              <w:top w:val="nil"/>
              <w:left w:val="nil"/>
              <w:bottom w:val="single" w:sz="4" w:space="0" w:color="000000"/>
              <w:right w:val="single" w:sz="4" w:space="0" w:color="000000"/>
            </w:tcBorders>
            <w:shd w:val="clear" w:color="EEEEEE" w:fill="EEEEEE"/>
            <w:noWrap/>
            <w:vAlign w:val="bottom"/>
            <w:hideMark/>
          </w:tcPr>
          <w:p w14:paraId="01932CA2"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100,00</w:t>
            </w:r>
          </w:p>
        </w:tc>
        <w:tc>
          <w:tcPr>
            <w:tcW w:w="708" w:type="dxa"/>
            <w:tcBorders>
              <w:top w:val="nil"/>
              <w:left w:val="nil"/>
              <w:bottom w:val="single" w:sz="4" w:space="0" w:color="000000"/>
              <w:right w:val="single" w:sz="4" w:space="0" w:color="000000"/>
            </w:tcBorders>
            <w:shd w:val="clear" w:color="EEEEEE" w:fill="EEEEEE"/>
            <w:noWrap/>
            <w:vAlign w:val="bottom"/>
            <w:hideMark/>
          </w:tcPr>
          <w:p w14:paraId="06240338"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 </w:t>
            </w:r>
          </w:p>
        </w:tc>
        <w:tc>
          <w:tcPr>
            <w:tcW w:w="709" w:type="dxa"/>
            <w:tcBorders>
              <w:top w:val="nil"/>
              <w:left w:val="nil"/>
              <w:bottom w:val="single" w:sz="4" w:space="0" w:color="000000"/>
              <w:right w:val="single" w:sz="4" w:space="0" w:color="000000"/>
            </w:tcBorders>
            <w:shd w:val="clear" w:color="EEEEEE" w:fill="EEEEEE"/>
            <w:noWrap/>
            <w:vAlign w:val="bottom"/>
            <w:hideMark/>
          </w:tcPr>
          <w:p w14:paraId="2E9C2FF2" w14:textId="77777777" w:rsidR="004E0292" w:rsidRPr="004E0292" w:rsidRDefault="004E0292" w:rsidP="004E0292">
            <w:pPr>
              <w:spacing w:after="0" w:line="240" w:lineRule="auto"/>
              <w:jc w:val="right"/>
              <w:rPr>
                <w:rFonts w:ascii="Arial" w:eastAsia="Times New Roman" w:hAnsi="Arial" w:cs="Arial"/>
                <w:color w:val="000000"/>
                <w:sz w:val="16"/>
                <w:szCs w:val="16"/>
                <w:lang w:eastAsia="es-ES"/>
              </w:rPr>
            </w:pPr>
            <w:r w:rsidRPr="004E0292">
              <w:rPr>
                <w:rFonts w:ascii="Arial" w:eastAsia="Times New Roman" w:hAnsi="Arial" w:cs="Arial"/>
                <w:color w:val="000000"/>
                <w:sz w:val="16"/>
                <w:szCs w:val="16"/>
                <w:lang w:eastAsia="es-ES"/>
              </w:rPr>
              <w:t> </w:t>
            </w:r>
          </w:p>
        </w:tc>
      </w:tr>
      <w:tr w:rsidR="004E0292" w:rsidRPr="004E0292" w14:paraId="210BA391" w14:textId="77777777" w:rsidTr="00EA4E12">
        <w:trPr>
          <w:trHeight w:val="336"/>
          <w:jc w:val="center"/>
        </w:trPr>
        <w:tc>
          <w:tcPr>
            <w:tcW w:w="1135" w:type="dxa"/>
            <w:tcBorders>
              <w:top w:val="nil"/>
              <w:left w:val="single" w:sz="4" w:space="0" w:color="000000"/>
              <w:bottom w:val="single" w:sz="4" w:space="0" w:color="000000"/>
              <w:right w:val="single" w:sz="4" w:space="0" w:color="000000"/>
            </w:tcBorders>
            <w:shd w:val="clear" w:color="auto" w:fill="auto"/>
            <w:noWrap/>
            <w:vAlign w:val="bottom"/>
            <w:hideMark/>
          </w:tcPr>
          <w:p w14:paraId="3D8D9C42" w14:textId="77777777" w:rsidR="004E0292" w:rsidRPr="004E0292" w:rsidRDefault="004E0292" w:rsidP="004E0292">
            <w:pPr>
              <w:spacing w:after="0" w:line="240" w:lineRule="auto"/>
              <w:jc w:val="right"/>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 xml:space="preserve">Suma total </w:t>
            </w:r>
          </w:p>
        </w:tc>
        <w:tc>
          <w:tcPr>
            <w:tcW w:w="1417" w:type="dxa"/>
            <w:tcBorders>
              <w:top w:val="nil"/>
              <w:left w:val="nil"/>
              <w:bottom w:val="single" w:sz="4" w:space="0" w:color="000000"/>
              <w:right w:val="single" w:sz="4" w:space="0" w:color="000000"/>
            </w:tcBorders>
            <w:shd w:val="clear" w:color="auto" w:fill="auto"/>
            <w:noWrap/>
            <w:vAlign w:val="bottom"/>
            <w:hideMark/>
          </w:tcPr>
          <w:p w14:paraId="7CB07653" w14:textId="77777777" w:rsidR="004E0292" w:rsidRPr="004E0292" w:rsidRDefault="004E0292" w:rsidP="004E0292">
            <w:pPr>
              <w:spacing w:after="0" w:line="240" w:lineRule="auto"/>
              <w:jc w:val="right"/>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4.469.875,74</w:t>
            </w:r>
          </w:p>
        </w:tc>
        <w:tc>
          <w:tcPr>
            <w:tcW w:w="1559" w:type="dxa"/>
            <w:tcBorders>
              <w:top w:val="nil"/>
              <w:left w:val="nil"/>
              <w:bottom w:val="single" w:sz="4" w:space="0" w:color="000000"/>
              <w:right w:val="single" w:sz="4" w:space="0" w:color="000000"/>
            </w:tcBorders>
            <w:shd w:val="clear" w:color="auto" w:fill="auto"/>
            <w:noWrap/>
            <w:vAlign w:val="bottom"/>
            <w:hideMark/>
          </w:tcPr>
          <w:p w14:paraId="18B85301" w14:textId="77777777" w:rsidR="004E0292" w:rsidRPr="004E0292" w:rsidRDefault="004E0292" w:rsidP="004E0292">
            <w:pPr>
              <w:spacing w:after="0" w:line="240" w:lineRule="auto"/>
              <w:jc w:val="right"/>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4.469.912,00</w:t>
            </w:r>
          </w:p>
        </w:tc>
        <w:tc>
          <w:tcPr>
            <w:tcW w:w="1418" w:type="dxa"/>
            <w:tcBorders>
              <w:top w:val="nil"/>
              <w:left w:val="nil"/>
              <w:bottom w:val="single" w:sz="4" w:space="0" w:color="000000"/>
              <w:right w:val="single" w:sz="4" w:space="0" w:color="000000"/>
            </w:tcBorders>
            <w:shd w:val="clear" w:color="auto" w:fill="auto"/>
            <w:noWrap/>
            <w:vAlign w:val="bottom"/>
            <w:hideMark/>
          </w:tcPr>
          <w:p w14:paraId="725502C9" w14:textId="77777777" w:rsidR="004E0292" w:rsidRPr="004E0292" w:rsidRDefault="004E0292" w:rsidP="004E0292">
            <w:pPr>
              <w:spacing w:after="0" w:line="240" w:lineRule="auto"/>
              <w:jc w:val="right"/>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1.651.591,32</w:t>
            </w:r>
          </w:p>
        </w:tc>
        <w:tc>
          <w:tcPr>
            <w:tcW w:w="1276" w:type="dxa"/>
            <w:tcBorders>
              <w:top w:val="nil"/>
              <w:left w:val="nil"/>
              <w:bottom w:val="single" w:sz="4" w:space="0" w:color="000000"/>
              <w:right w:val="single" w:sz="4" w:space="0" w:color="000000"/>
            </w:tcBorders>
            <w:shd w:val="clear" w:color="auto" w:fill="auto"/>
            <w:noWrap/>
            <w:vAlign w:val="bottom"/>
            <w:hideMark/>
          </w:tcPr>
          <w:p w14:paraId="4258C66A" w14:textId="77777777" w:rsidR="004E0292" w:rsidRPr="004E0292" w:rsidRDefault="004E0292" w:rsidP="004E0292">
            <w:pPr>
              <w:spacing w:after="0" w:line="240" w:lineRule="auto"/>
              <w:jc w:val="right"/>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8.212.133,15</w:t>
            </w:r>
          </w:p>
        </w:tc>
        <w:tc>
          <w:tcPr>
            <w:tcW w:w="1559" w:type="dxa"/>
            <w:tcBorders>
              <w:top w:val="nil"/>
              <w:left w:val="nil"/>
              <w:bottom w:val="single" w:sz="4" w:space="0" w:color="000000"/>
              <w:right w:val="single" w:sz="4" w:space="0" w:color="000000"/>
            </w:tcBorders>
            <w:shd w:val="clear" w:color="auto" w:fill="auto"/>
            <w:noWrap/>
            <w:vAlign w:val="bottom"/>
            <w:hideMark/>
          </w:tcPr>
          <w:p w14:paraId="62C0B1D6" w14:textId="77777777" w:rsidR="004E0292" w:rsidRPr="004E0292" w:rsidRDefault="004E0292" w:rsidP="004E0292">
            <w:pPr>
              <w:spacing w:after="0" w:line="240" w:lineRule="auto"/>
              <w:jc w:val="right"/>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4.424.507,77</w:t>
            </w:r>
          </w:p>
        </w:tc>
        <w:tc>
          <w:tcPr>
            <w:tcW w:w="1548" w:type="dxa"/>
            <w:tcBorders>
              <w:top w:val="nil"/>
              <w:left w:val="nil"/>
              <w:bottom w:val="single" w:sz="4" w:space="0" w:color="000000"/>
              <w:right w:val="single" w:sz="4" w:space="0" w:color="000000"/>
            </w:tcBorders>
            <w:shd w:val="clear" w:color="auto" w:fill="auto"/>
            <w:noWrap/>
            <w:vAlign w:val="bottom"/>
            <w:hideMark/>
          </w:tcPr>
          <w:p w14:paraId="15735D13" w14:textId="77777777" w:rsidR="004E0292" w:rsidRPr="004E0292" w:rsidRDefault="004E0292" w:rsidP="004E0292">
            <w:pPr>
              <w:spacing w:after="0" w:line="240" w:lineRule="auto"/>
              <w:jc w:val="right"/>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4.424.507,77</w:t>
            </w:r>
          </w:p>
        </w:tc>
        <w:tc>
          <w:tcPr>
            <w:tcW w:w="716" w:type="dxa"/>
            <w:tcBorders>
              <w:top w:val="nil"/>
              <w:left w:val="nil"/>
              <w:bottom w:val="single" w:sz="4" w:space="0" w:color="000000"/>
              <w:right w:val="single" w:sz="4" w:space="0" w:color="000000"/>
            </w:tcBorders>
            <w:shd w:val="clear" w:color="auto" w:fill="auto"/>
            <w:noWrap/>
            <w:vAlign w:val="bottom"/>
            <w:hideMark/>
          </w:tcPr>
          <w:p w14:paraId="05C65ED3" w14:textId="77777777" w:rsidR="004E0292" w:rsidRPr="004E0292" w:rsidRDefault="004E0292" w:rsidP="004E0292">
            <w:pPr>
              <w:spacing w:after="0" w:line="240" w:lineRule="auto"/>
              <w:jc w:val="right"/>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100%</w:t>
            </w:r>
          </w:p>
        </w:tc>
        <w:tc>
          <w:tcPr>
            <w:tcW w:w="713" w:type="dxa"/>
            <w:tcBorders>
              <w:top w:val="nil"/>
              <w:left w:val="nil"/>
              <w:bottom w:val="single" w:sz="4" w:space="0" w:color="000000"/>
              <w:right w:val="single" w:sz="4" w:space="0" w:color="000000"/>
            </w:tcBorders>
            <w:shd w:val="clear" w:color="auto" w:fill="auto"/>
            <w:noWrap/>
            <w:vAlign w:val="bottom"/>
            <w:hideMark/>
          </w:tcPr>
          <w:p w14:paraId="26306B9E" w14:textId="77777777" w:rsidR="004E0292" w:rsidRPr="004E0292" w:rsidRDefault="004E0292" w:rsidP="004E0292">
            <w:pPr>
              <w:spacing w:after="0" w:line="240" w:lineRule="auto"/>
              <w:jc w:val="right"/>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37%</w:t>
            </w:r>
          </w:p>
        </w:tc>
        <w:tc>
          <w:tcPr>
            <w:tcW w:w="708" w:type="dxa"/>
            <w:tcBorders>
              <w:top w:val="nil"/>
              <w:left w:val="nil"/>
              <w:bottom w:val="single" w:sz="4" w:space="0" w:color="000000"/>
              <w:right w:val="single" w:sz="4" w:space="0" w:color="000000"/>
            </w:tcBorders>
            <w:shd w:val="clear" w:color="auto" w:fill="auto"/>
            <w:noWrap/>
            <w:vAlign w:val="bottom"/>
            <w:hideMark/>
          </w:tcPr>
          <w:p w14:paraId="2A9D5142" w14:textId="77777777" w:rsidR="004E0292" w:rsidRPr="004E0292" w:rsidRDefault="004E0292" w:rsidP="004E0292">
            <w:pPr>
              <w:spacing w:after="0" w:line="240" w:lineRule="auto"/>
              <w:jc w:val="right"/>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54%</w:t>
            </w:r>
          </w:p>
        </w:tc>
        <w:tc>
          <w:tcPr>
            <w:tcW w:w="709" w:type="dxa"/>
            <w:tcBorders>
              <w:top w:val="nil"/>
              <w:left w:val="nil"/>
              <w:bottom w:val="single" w:sz="4" w:space="0" w:color="000000"/>
              <w:right w:val="single" w:sz="4" w:space="0" w:color="000000"/>
            </w:tcBorders>
            <w:shd w:val="clear" w:color="auto" w:fill="auto"/>
            <w:noWrap/>
            <w:vAlign w:val="bottom"/>
            <w:hideMark/>
          </w:tcPr>
          <w:p w14:paraId="7043280A" w14:textId="77777777" w:rsidR="004E0292" w:rsidRPr="004E0292" w:rsidRDefault="004E0292" w:rsidP="004E0292">
            <w:pPr>
              <w:spacing w:after="0" w:line="240" w:lineRule="auto"/>
              <w:jc w:val="right"/>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100%</w:t>
            </w:r>
          </w:p>
        </w:tc>
        <w:tc>
          <w:tcPr>
            <w:tcW w:w="851" w:type="dxa"/>
            <w:tcBorders>
              <w:top w:val="nil"/>
              <w:left w:val="nil"/>
              <w:bottom w:val="single" w:sz="4" w:space="0" w:color="000000"/>
              <w:right w:val="single" w:sz="4" w:space="0" w:color="000000"/>
            </w:tcBorders>
            <w:shd w:val="clear" w:color="EEEEEE" w:fill="EEEEEE"/>
            <w:noWrap/>
            <w:vAlign w:val="bottom"/>
            <w:hideMark/>
          </w:tcPr>
          <w:p w14:paraId="5B640A62" w14:textId="77777777" w:rsidR="004E0292" w:rsidRPr="004E0292" w:rsidRDefault="004E0292" w:rsidP="004E0292">
            <w:pPr>
              <w:spacing w:after="0" w:line="240" w:lineRule="auto"/>
              <w:jc w:val="right"/>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83,72</w:t>
            </w:r>
          </w:p>
        </w:tc>
        <w:tc>
          <w:tcPr>
            <w:tcW w:w="708" w:type="dxa"/>
            <w:tcBorders>
              <w:top w:val="nil"/>
              <w:left w:val="nil"/>
              <w:bottom w:val="single" w:sz="4" w:space="0" w:color="000000"/>
              <w:right w:val="single" w:sz="4" w:space="0" w:color="000000"/>
            </w:tcBorders>
            <w:shd w:val="clear" w:color="EEEEEE" w:fill="EEEEEE"/>
            <w:noWrap/>
            <w:vAlign w:val="bottom"/>
            <w:hideMark/>
          </w:tcPr>
          <w:p w14:paraId="27EF2A18" w14:textId="77777777" w:rsidR="004E0292" w:rsidRPr="004E0292" w:rsidRDefault="004E0292" w:rsidP="004E0292">
            <w:pPr>
              <w:spacing w:after="0" w:line="240" w:lineRule="auto"/>
              <w:jc w:val="right"/>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-1,02</w:t>
            </w:r>
          </w:p>
        </w:tc>
        <w:tc>
          <w:tcPr>
            <w:tcW w:w="709" w:type="dxa"/>
            <w:tcBorders>
              <w:top w:val="nil"/>
              <w:left w:val="nil"/>
              <w:bottom w:val="single" w:sz="4" w:space="0" w:color="000000"/>
              <w:right w:val="single" w:sz="4" w:space="0" w:color="000000"/>
            </w:tcBorders>
            <w:shd w:val="clear" w:color="EEEEEE" w:fill="EEEEEE"/>
            <w:noWrap/>
            <w:vAlign w:val="bottom"/>
            <w:hideMark/>
          </w:tcPr>
          <w:p w14:paraId="1D2EA20E" w14:textId="77777777" w:rsidR="004E0292" w:rsidRPr="004E0292" w:rsidRDefault="004E0292" w:rsidP="004E0292">
            <w:pPr>
              <w:spacing w:after="0" w:line="240" w:lineRule="auto"/>
              <w:jc w:val="right"/>
              <w:rPr>
                <w:rFonts w:ascii="Arial" w:eastAsia="Times New Roman" w:hAnsi="Arial" w:cs="Arial"/>
                <w:b/>
                <w:bCs/>
                <w:color w:val="000000"/>
                <w:sz w:val="16"/>
                <w:szCs w:val="16"/>
                <w:lang w:eastAsia="es-ES"/>
              </w:rPr>
            </w:pPr>
            <w:r w:rsidRPr="004E0292">
              <w:rPr>
                <w:rFonts w:ascii="Arial" w:eastAsia="Times New Roman" w:hAnsi="Arial" w:cs="Arial"/>
                <w:b/>
                <w:bCs/>
                <w:color w:val="000000"/>
                <w:sz w:val="16"/>
                <w:szCs w:val="16"/>
                <w:lang w:eastAsia="es-ES"/>
              </w:rPr>
              <w:t>167,89</w:t>
            </w:r>
          </w:p>
        </w:tc>
      </w:tr>
    </w:tbl>
    <w:p w14:paraId="3AE4DBF9" w14:textId="77777777" w:rsidR="008352D2" w:rsidRPr="008352D2" w:rsidRDefault="008352D2" w:rsidP="008352D2">
      <w:pPr>
        <w:spacing w:after="240" w:line="276" w:lineRule="auto"/>
        <w:jc w:val="both"/>
        <w:rPr>
          <w:rFonts w:ascii="Arial" w:eastAsia="Droid Sans Fallback" w:hAnsi="Arial" w:cs="Arial"/>
          <w:b/>
          <w:bCs/>
          <w:kern w:val="3"/>
          <w:sz w:val="21"/>
          <w:szCs w:val="21"/>
          <w:lang w:eastAsia="zh-CN" w:bidi="hi-IN"/>
        </w:rPr>
      </w:pPr>
    </w:p>
    <w:p w14:paraId="78D7B0D3" w14:textId="77777777" w:rsidR="008352D2" w:rsidRPr="008352D2" w:rsidRDefault="008352D2" w:rsidP="008352D2">
      <w:pPr>
        <w:spacing w:after="240" w:line="276" w:lineRule="auto"/>
        <w:jc w:val="both"/>
        <w:rPr>
          <w:rFonts w:ascii="Arial" w:eastAsia="Droid Sans Fallback" w:hAnsi="Arial" w:cs="Arial"/>
          <w:b/>
          <w:bCs/>
          <w:kern w:val="3"/>
          <w:sz w:val="21"/>
          <w:szCs w:val="21"/>
          <w:lang w:eastAsia="zh-CN" w:bidi="hi-IN"/>
        </w:rPr>
      </w:pPr>
    </w:p>
    <w:p w14:paraId="05A798E6" w14:textId="77777777" w:rsidR="008352D2" w:rsidRPr="008352D2" w:rsidRDefault="008352D2" w:rsidP="008352D2">
      <w:pPr>
        <w:spacing w:after="240" w:line="276" w:lineRule="auto"/>
        <w:jc w:val="both"/>
        <w:rPr>
          <w:rFonts w:ascii="Arial" w:eastAsia="Droid Sans Fallback" w:hAnsi="Arial" w:cs="Arial"/>
          <w:b/>
          <w:bCs/>
          <w:kern w:val="3"/>
          <w:sz w:val="21"/>
          <w:szCs w:val="21"/>
          <w:lang w:eastAsia="zh-CN" w:bidi="hi-IN"/>
        </w:rPr>
      </w:pPr>
    </w:p>
    <w:p w14:paraId="09A167FB" w14:textId="77777777" w:rsidR="008352D2" w:rsidRPr="008352D2" w:rsidRDefault="008352D2" w:rsidP="008352D2">
      <w:pPr>
        <w:spacing w:after="240" w:line="276" w:lineRule="auto"/>
        <w:jc w:val="both"/>
        <w:rPr>
          <w:rFonts w:ascii="Arial" w:eastAsia="Droid Sans Fallback" w:hAnsi="Arial" w:cs="Arial"/>
          <w:b/>
          <w:bCs/>
          <w:kern w:val="3"/>
          <w:sz w:val="21"/>
          <w:szCs w:val="21"/>
          <w:lang w:eastAsia="zh-CN" w:bidi="hi-IN"/>
        </w:rPr>
      </w:pPr>
    </w:p>
    <w:p w14:paraId="101EB30C" w14:textId="77777777" w:rsidR="008352D2" w:rsidRPr="008352D2" w:rsidRDefault="008352D2" w:rsidP="008352D2">
      <w:pPr>
        <w:spacing w:after="240" w:line="276" w:lineRule="auto"/>
        <w:jc w:val="both"/>
        <w:rPr>
          <w:rFonts w:ascii="Arial" w:eastAsia="Droid Sans Fallback" w:hAnsi="Arial" w:cs="Arial"/>
          <w:b/>
          <w:bCs/>
          <w:kern w:val="3"/>
          <w:sz w:val="21"/>
          <w:szCs w:val="21"/>
          <w:lang w:eastAsia="zh-CN" w:bidi="hi-IN"/>
        </w:rPr>
      </w:pPr>
    </w:p>
    <w:p w14:paraId="08F16130" w14:textId="2F2A1E3E" w:rsidR="00F84E97" w:rsidRDefault="00F84E97" w:rsidP="00A54EF9">
      <w:pPr>
        <w:spacing w:after="240" w:line="276" w:lineRule="auto"/>
        <w:jc w:val="both"/>
        <w:rPr>
          <w:rFonts w:ascii="Arial" w:eastAsia="Droid Sans Fallback" w:hAnsi="Arial" w:cs="Arial"/>
          <w:kern w:val="3"/>
          <w:sz w:val="21"/>
          <w:szCs w:val="21"/>
          <w:lang w:eastAsia="zh-CN" w:bidi="hi-IN"/>
        </w:rPr>
      </w:pPr>
    </w:p>
    <w:p w14:paraId="7DD70603" w14:textId="20FA0C9C" w:rsidR="00F84E97" w:rsidRDefault="00F84E97" w:rsidP="00A54EF9">
      <w:pPr>
        <w:spacing w:after="240" w:line="276" w:lineRule="auto"/>
        <w:jc w:val="both"/>
        <w:rPr>
          <w:rFonts w:ascii="Arial" w:eastAsia="Droid Sans Fallback" w:hAnsi="Arial" w:cs="Arial"/>
          <w:kern w:val="3"/>
          <w:sz w:val="21"/>
          <w:szCs w:val="21"/>
          <w:lang w:eastAsia="zh-CN" w:bidi="hi-IN"/>
        </w:rPr>
      </w:pPr>
    </w:p>
    <w:p w14:paraId="33C27CA9" w14:textId="77777777" w:rsidR="002601BF" w:rsidRDefault="002601BF" w:rsidP="00A54EF9">
      <w:pPr>
        <w:spacing w:after="240" w:line="276" w:lineRule="auto"/>
        <w:jc w:val="both"/>
        <w:rPr>
          <w:rFonts w:ascii="Arial" w:eastAsia="Droid Sans Fallback" w:hAnsi="Arial" w:cs="Arial"/>
          <w:kern w:val="3"/>
          <w:sz w:val="21"/>
          <w:szCs w:val="21"/>
          <w:lang w:eastAsia="zh-CN" w:bidi="hi-IN"/>
        </w:rPr>
      </w:pPr>
    </w:p>
    <w:p w14:paraId="484376DF" w14:textId="77777777" w:rsidR="00682FAB" w:rsidRPr="00682FAB" w:rsidRDefault="00682FAB" w:rsidP="00682FAB">
      <w:pPr>
        <w:spacing w:after="240" w:line="276" w:lineRule="auto"/>
        <w:jc w:val="both"/>
        <w:rPr>
          <w:rFonts w:ascii="Arial" w:eastAsia="Droid Sans Fallback" w:hAnsi="Arial" w:cs="Arial"/>
          <w:b/>
          <w:kern w:val="3"/>
          <w:sz w:val="21"/>
          <w:szCs w:val="21"/>
          <w:lang w:eastAsia="zh-CN" w:bidi="hi-IN"/>
        </w:rPr>
      </w:pPr>
      <w:r w:rsidRPr="00682FAB">
        <w:rPr>
          <w:rFonts w:ascii="Arial" w:eastAsia="Droid Sans Fallback" w:hAnsi="Arial" w:cs="Arial"/>
          <w:b/>
          <w:kern w:val="3"/>
          <w:sz w:val="21"/>
          <w:szCs w:val="21"/>
          <w:lang w:eastAsia="zh-CN" w:bidi="hi-IN"/>
        </w:rPr>
        <w:t>Presupuesto de gastos:</w:t>
      </w:r>
    </w:p>
    <w:p w14:paraId="76C15B3B" w14:textId="7120B4B9" w:rsidR="00F84E97" w:rsidRDefault="00682FAB" w:rsidP="00682FAB">
      <w:pPr>
        <w:spacing w:after="240" w:line="276" w:lineRule="auto"/>
        <w:jc w:val="both"/>
        <w:rPr>
          <w:rFonts w:ascii="Arial" w:eastAsia="Droid Sans Fallback" w:hAnsi="Arial" w:cs="Arial"/>
          <w:kern w:val="3"/>
          <w:sz w:val="21"/>
          <w:szCs w:val="21"/>
          <w:lang w:eastAsia="zh-CN" w:bidi="hi-IN"/>
        </w:rPr>
      </w:pPr>
      <w:r w:rsidRPr="00682FAB">
        <w:rPr>
          <w:rFonts w:ascii="Arial" w:eastAsia="Droid Sans Fallback" w:hAnsi="Arial" w:cs="Arial"/>
          <w:kern w:val="3"/>
          <w:sz w:val="21"/>
          <w:szCs w:val="21"/>
          <w:lang w:eastAsia="zh-CN" w:bidi="hi-IN"/>
        </w:rPr>
        <w:t>El detalle por capítulos de la ejecución del presupuesto de gastos de la Agencia a 31 de diciembre de 2021, así como la comparativa respecto del ejercicio 2021, se muestra en las tablas siguientes.</w:t>
      </w:r>
    </w:p>
    <w:p w14:paraId="13BE6460" w14:textId="0A1D7059" w:rsidR="00F84E97" w:rsidRDefault="00F84E97" w:rsidP="00A54EF9">
      <w:pPr>
        <w:spacing w:after="240" w:line="276" w:lineRule="auto"/>
        <w:jc w:val="both"/>
        <w:rPr>
          <w:rFonts w:ascii="Arial" w:eastAsia="Droid Sans Fallback" w:hAnsi="Arial" w:cs="Arial"/>
          <w:kern w:val="3"/>
          <w:sz w:val="21"/>
          <w:szCs w:val="21"/>
          <w:lang w:eastAsia="zh-CN" w:bidi="hi-IN"/>
        </w:rPr>
      </w:pPr>
    </w:p>
    <w:p w14:paraId="1A40AABB" w14:textId="23374FD2" w:rsidR="002601BF" w:rsidRPr="002601BF" w:rsidRDefault="002601BF" w:rsidP="002601BF">
      <w:pPr>
        <w:pStyle w:val="Descripcin"/>
        <w:keepNext/>
        <w:rPr>
          <w:rFonts w:ascii="Arial" w:hAnsi="Arial" w:cs="Arial"/>
          <w:smallCaps w:val="0"/>
          <w:sz w:val="18"/>
          <w:szCs w:val="18"/>
        </w:rPr>
      </w:pPr>
      <w:bookmarkStart w:id="564" w:name="_Toc99107175"/>
      <w:r w:rsidRPr="002601BF">
        <w:rPr>
          <w:rFonts w:ascii="Arial" w:hAnsi="Arial" w:cs="Arial"/>
          <w:smallCaps w:val="0"/>
          <w:color w:val="9D2235" w:themeColor="accent1"/>
          <w:sz w:val="18"/>
          <w:szCs w:val="18"/>
        </w:rPr>
        <w:t xml:space="preserve">Tabla </w:t>
      </w:r>
      <w:r w:rsidRPr="002601BF">
        <w:rPr>
          <w:rFonts w:ascii="Arial" w:hAnsi="Arial" w:cs="Arial"/>
          <w:smallCaps w:val="0"/>
          <w:color w:val="9D2235" w:themeColor="accent1"/>
          <w:sz w:val="18"/>
          <w:szCs w:val="18"/>
        </w:rPr>
        <w:fldChar w:fldCharType="begin" w:fldLock="1"/>
      </w:r>
      <w:r w:rsidRPr="002601BF">
        <w:rPr>
          <w:rFonts w:ascii="Arial" w:hAnsi="Arial" w:cs="Arial"/>
          <w:smallCaps w:val="0"/>
          <w:color w:val="9D2235" w:themeColor="accent1"/>
          <w:sz w:val="18"/>
          <w:szCs w:val="18"/>
        </w:rPr>
        <w:instrText xml:space="preserve"> SEQ Tabla \* ARABIC </w:instrText>
      </w:r>
      <w:r w:rsidRPr="002601BF">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37</w:t>
      </w:r>
      <w:r w:rsidRPr="002601BF">
        <w:rPr>
          <w:rFonts w:ascii="Arial" w:hAnsi="Arial" w:cs="Arial"/>
          <w:smallCaps w:val="0"/>
          <w:color w:val="9D2235" w:themeColor="accent1"/>
          <w:sz w:val="18"/>
          <w:szCs w:val="18"/>
        </w:rPr>
        <w:fldChar w:fldCharType="end"/>
      </w:r>
      <w:r w:rsidRPr="002601BF">
        <w:rPr>
          <w:rFonts w:ascii="Arial" w:hAnsi="Arial" w:cs="Arial"/>
          <w:smallCaps w:val="0"/>
          <w:color w:val="9D2235" w:themeColor="accent1"/>
          <w:sz w:val="18"/>
          <w:szCs w:val="18"/>
        </w:rPr>
        <w:t xml:space="preserve">. </w:t>
      </w:r>
      <w:r w:rsidRPr="002601BF">
        <w:rPr>
          <w:rFonts w:ascii="Arial" w:hAnsi="Arial" w:cs="Arial"/>
          <w:smallCaps w:val="0"/>
          <w:sz w:val="18"/>
          <w:szCs w:val="18"/>
        </w:rPr>
        <w:t>Ejecución del presupuesto de gastos del ejercicio 2021</w:t>
      </w:r>
      <w:bookmarkEnd w:id="564"/>
    </w:p>
    <w:tbl>
      <w:tblPr>
        <w:tblW w:w="14527" w:type="dxa"/>
        <w:jc w:val="center"/>
        <w:tblCellMar>
          <w:top w:w="55" w:type="dxa"/>
          <w:left w:w="55" w:type="dxa"/>
          <w:bottom w:w="55" w:type="dxa"/>
          <w:right w:w="55" w:type="dxa"/>
        </w:tblCellMar>
        <w:tblLook w:val="0000" w:firstRow="0" w:lastRow="0" w:firstColumn="0" w:lastColumn="0" w:noHBand="0" w:noVBand="0"/>
      </w:tblPr>
      <w:tblGrid>
        <w:gridCol w:w="1214"/>
        <w:gridCol w:w="1161"/>
        <w:gridCol w:w="1411"/>
        <w:gridCol w:w="1232"/>
        <w:gridCol w:w="1510"/>
        <w:gridCol w:w="1510"/>
        <w:gridCol w:w="1307"/>
        <w:gridCol w:w="1525"/>
        <w:gridCol w:w="1229"/>
        <w:gridCol w:w="1335"/>
        <w:gridCol w:w="1093"/>
      </w:tblGrid>
      <w:tr w:rsidR="002601BF" w:rsidRPr="002601BF" w14:paraId="09DA8CAB" w14:textId="77777777" w:rsidTr="002601BF">
        <w:trPr>
          <w:trHeight w:val="937"/>
          <w:jc w:val="center"/>
        </w:trPr>
        <w:tc>
          <w:tcPr>
            <w:tcW w:w="1214" w:type="dxa"/>
            <w:shd w:val="clear" w:color="auto" w:fill="9D2235"/>
          </w:tcPr>
          <w:p w14:paraId="2C2BDE0F"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b/>
                <w:bCs/>
                <w:color w:val="FFFFFF"/>
                <w:kern w:val="2"/>
                <w:sz w:val="18"/>
                <w:szCs w:val="18"/>
                <w:lang w:eastAsia="zh-CN" w:bidi="hi-IN"/>
              </w:rPr>
            </w:pPr>
            <w:r w:rsidRPr="002601BF">
              <w:rPr>
                <w:rFonts w:ascii="Arial" w:eastAsia="NSimSun" w:hAnsi="Arial" w:cs="Arial"/>
                <w:b/>
                <w:bCs/>
                <w:color w:val="FFFFFF"/>
                <w:kern w:val="2"/>
                <w:sz w:val="18"/>
                <w:szCs w:val="18"/>
                <w:lang w:eastAsia="zh-CN" w:bidi="hi-IN"/>
              </w:rPr>
              <w:t>Capítulos</w:t>
            </w:r>
          </w:p>
        </w:tc>
        <w:tc>
          <w:tcPr>
            <w:tcW w:w="1161" w:type="dxa"/>
            <w:shd w:val="clear" w:color="auto" w:fill="9D2235"/>
          </w:tcPr>
          <w:p w14:paraId="29F2A00B" w14:textId="77777777" w:rsidR="002601BF" w:rsidRPr="002601BF" w:rsidRDefault="002601BF" w:rsidP="002601BF">
            <w:pPr>
              <w:widowControl w:val="0"/>
              <w:suppressAutoHyphens/>
              <w:spacing w:after="0" w:line="276" w:lineRule="auto"/>
              <w:jc w:val="center"/>
              <w:textAlignment w:val="baseline"/>
              <w:rPr>
                <w:rFonts w:ascii="Arial" w:eastAsia="NSimSun" w:hAnsi="Arial" w:cs="MillerText-Roman"/>
                <w:b/>
                <w:bCs/>
                <w:color w:val="FFFFFF"/>
                <w:kern w:val="2"/>
                <w:sz w:val="18"/>
                <w:szCs w:val="18"/>
                <w:lang w:eastAsia="zh-CN" w:bidi="hi-IN"/>
              </w:rPr>
            </w:pPr>
            <w:r w:rsidRPr="002601BF">
              <w:rPr>
                <w:rFonts w:ascii="Arial" w:eastAsia="NSimSun" w:hAnsi="Arial" w:cs="MillerText-Roman"/>
                <w:b/>
                <w:bCs/>
                <w:color w:val="FFFFFF"/>
                <w:kern w:val="2"/>
                <w:sz w:val="18"/>
                <w:szCs w:val="18"/>
                <w:lang w:eastAsia="zh-CN" w:bidi="hi-IN"/>
              </w:rPr>
              <w:t>Créditos iniciales</w:t>
            </w:r>
          </w:p>
        </w:tc>
        <w:tc>
          <w:tcPr>
            <w:tcW w:w="1411" w:type="dxa"/>
            <w:shd w:val="clear" w:color="auto" w:fill="9D2235"/>
          </w:tcPr>
          <w:p w14:paraId="5BF2A17B" w14:textId="77777777" w:rsidR="002601BF" w:rsidRPr="002601BF" w:rsidRDefault="002601BF" w:rsidP="002601BF">
            <w:pPr>
              <w:widowControl w:val="0"/>
              <w:suppressAutoHyphens/>
              <w:spacing w:after="0" w:line="276" w:lineRule="auto"/>
              <w:jc w:val="center"/>
              <w:textAlignment w:val="baseline"/>
              <w:rPr>
                <w:rFonts w:ascii="Arial" w:eastAsia="NSimSun" w:hAnsi="Arial" w:cs="MillerText-Roman"/>
                <w:b/>
                <w:bCs/>
                <w:color w:val="FFFFFF"/>
                <w:kern w:val="2"/>
                <w:sz w:val="18"/>
                <w:szCs w:val="18"/>
                <w:lang w:eastAsia="zh-CN" w:bidi="hi-IN"/>
              </w:rPr>
            </w:pPr>
            <w:r w:rsidRPr="002601BF">
              <w:rPr>
                <w:rFonts w:ascii="Arial" w:eastAsia="NSimSun" w:hAnsi="Arial" w:cs="MillerText-Roman"/>
                <w:b/>
                <w:bCs/>
                <w:color w:val="FFFFFF"/>
                <w:kern w:val="2"/>
                <w:sz w:val="18"/>
                <w:szCs w:val="18"/>
                <w:lang w:eastAsia="zh-CN" w:bidi="hi-IN"/>
              </w:rPr>
              <w:t>Modificaciones de crédito</w:t>
            </w:r>
          </w:p>
        </w:tc>
        <w:tc>
          <w:tcPr>
            <w:tcW w:w="1232" w:type="dxa"/>
            <w:shd w:val="clear" w:color="auto" w:fill="9D2235"/>
          </w:tcPr>
          <w:p w14:paraId="0629E393" w14:textId="77777777" w:rsidR="002601BF" w:rsidRPr="002601BF" w:rsidRDefault="002601BF" w:rsidP="002601BF">
            <w:pPr>
              <w:widowControl w:val="0"/>
              <w:suppressAutoHyphens/>
              <w:spacing w:after="0" w:line="276" w:lineRule="auto"/>
              <w:jc w:val="center"/>
              <w:textAlignment w:val="baseline"/>
              <w:rPr>
                <w:rFonts w:ascii="Arial" w:eastAsia="NSimSun" w:hAnsi="Arial" w:cs="MillerText-Roman"/>
                <w:b/>
                <w:bCs/>
                <w:color w:val="FFFFFF"/>
                <w:kern w:val="2"/>
                <w:sz w:val="18"/>
                <w:szCs w:val="18"/>
                <w:lang w:eastAsia="zh-CN" w:bidi="hi-IN"/>
              </w:rPr>
            </w:pPr>
            <w:r w:rsidRPr="002601BF">
              <w:rPr>
                <w:rFonts w:ascii="Arial" w:eastAsia="NSimSun" w:hAnsi="Arial" w:cs="MillerText-Roman"/>
                <w:b/>
                <w:bCs/>
                <w:color w:val="FFFFFF"/>
                <w:kern w:val="2"/>
                <w:sz w:val="18"/>
                <w:szCs w:val="18"/>
                <w:lang w:eastAsia="zh-CN" w:bidi="hi-IN"/>
              </w:rPr>
              <w:t>Créditos  totales</w:t>
            </w:r>
          </w:p>
        </w:tc>
        <w:tc>
          <w:tcPr>
            <w:tcW w:w="1510" w:type="dxa"/>
            <w:shd w:val="clear" w:color="auto" w:fill="9D2235"/>
          </w:tcPr>
          <w:p w14:paraId="100C237F" w14:textId="77777777" w:rsidR="002601BF" w:rsidRPr="002601BF" w:rsidRDefault="002601BF" w:rsidP="002601BF">
            <w:pPr>
              <w:widowControl w:val="0"/>
              <w:suppressAutoHyphens/>
              <w:spacing w:after="0" w:line="276" w:lineRule="auto"/>
              <w:jc w:val="center"/>
              <w:textAlignment w:val="baseline"/>
              <w:rPr>
                <w:rFonts w:ascii="Arial" w:eastAsia="NSimSun" w:hAnsi="Arial" w:cs="MillerText-Roman"/>
                <w:b/>
                <w:bCs/>
                <w:color w:val="FFFFFF"/>
                <w:kern w:val="2"/>
                <w:sz w:val="18"/>
                <w:szCs w:val="18"/>
                <w:lang w:eastAsia="zh-CN" w:bidi="hi-IN"/>
              </w:rPr>
            </w:pPr>
            <w:r w:rsidRPr="002601BF">
              <w:rPr>
                <w:rFonts w:ascii="Arial" w:eastAsia="NSimSun" w:hAnsi="Arial" w:cs="MillerText-Roman"/>
                <w:b/>
                <w:bCs/>
                <w:color w:val="FFFFFF"/>
                <w:kern w:val="2"/>
                <w:sz w:val="18"/>
                <w:szCs w:val="18"/>
                <w:lang w:eastAsia="zh-CN" w:bidi="hi-IN"/>
              </w:rPr>
              <w:t>Gastos comprometidos</w:t>
            </w:r>
          </w:p>
        </w:tc>
        <w:tc>
          <w:tcPr>
            <w:tcW w:w="1510" w:type="dxa"/>
            <w:shd w:val="clear" w:color="auto" w:fill="9D2235"/>
          </w:tcPr>
          <w:p w14:paraId="3CBA6F3E" w14:textId="77777777" w:rsidR="002601BF" w:rsidRPr="002601BF" w:rsidRDefault="002601BF" w:rsidP="002601BF">
            <w:pPr>
              <w:widowControl w:val="0"/>
              <w:suppressAutoHyphens/>
              <w:spacing w:after="0" w:line="276" w:lineRule="auto"/>
              <w:jc w:val="center"/>
              <w:textAlignment w:val="baseline"/>
              <w:rPr>
                <w:rFonts w:ascii="Arial" w:eastAsia="NSimSun" w:hAnsi="Arial" w:cs="MillerText-Roman"/>
                <w:b/>
                <w:bCs/>
                <w:color w:val="FFFFFF"/>
                <w:kern w:val="2"/>
                <w:sz w:val="18"/>
                <w:szCs w:val="18"/>
                <w:lang w:eastAsia="zh-CN" w:bidi="hi-IN"/>
              </w:rPr>
            </w:pPr>
            <w:r w:rsidRPr="002601BF">
              <w:rPr>
                <w:rFonts w:ascii="Arial" w:eastAsia="NSimSun" w:hAnsi="Arial" w:cs="MillerText-Roman"/>
                <w:b/>
                <w:bCs/>
                <w:color w:val="FFFFFF"/>
                <w:kern w:val="2"/>
                <w:sz w:val="18"/>
                <w:szCs w:val="18"/>
                <w:lang w:eastAsia="zh-CN" w:bidi="hi-IN"/>
              </w:rPr>
              <w:t>% Créditos comprometidos</w:t>
            </w:r>
          </w:p>
        </w:tc>
        <w:tc>
          <w:tcPr>
            <w:tcW w:w="1307" w:type="dxa"/>
            <w:shd w:val="clear" w:color="auto" w:fill="9D2235"/>
          </w:tcPr>
          <w:p w14:paraId="574A6887" w14:textId="77777777" w:rsidR="002601BF" w:rsidRPr="002601BF" w:rsidRDefault="002601BF" w:rsidP="002601BF">
            <w:pPr>
              <w:widowControl w:val="0"/>
              <w:suppressAutoHyphens/>
              <w:spacing w:after="0" w:line="276" w:lineRule="auto"/>
              <w:jc w:val="center"/>
              <w:textAlignment w:val="baseline"/>
              <w:rPr>
                <w:rFonts w:ascii="Arial" w:eastAsia="NSimSun" w:hAnsi="Arial" w:cs="MillerText-Roman"/>
                <w:b/>
                <w:bCs/>
                <w:color w:val="FFFFFF"/>
                <w:kern w:val="2"/>
                <w:sz w:val="18"/>
                <w:szCs w:val="18"/>
                <w:lang w:eastAsia="zh-CN" w:bidi="hi-IN"/>
              </w:rPr>
            </w:pPr>
            <w:r w:rsidRPr="002601BF">
              <w:rPr>
                <w:rFonts w:ascii="Arial" w:eastAsia="NSimSun" w:hAnsi="Arial" w:cs="MillerText-Roman"/>
                <w:b/>
                <w:bCs/>
                <w:color w:val="FFFFFF"/>
                <w:kern w:val="2"/>
                <w:sz w:val="18"/>
                <w:szCs w:val="18"/>
                <w:lang w:eastAsia="zh-CN" w:bidi="hi-IN"/>
              </w:rPr>
              <w:t>Obligaciones reconocidas</w:t>
            </w:r>
          </w:p>
        </w:tc>
        <w:tc>
          <w:tcPr>
            <w:tcW w:w="1525" w:type="dxa"/>
            <w:shd w:val="clear" w:color="auto" w:fill="9D2235"/>
          </w:tcPr>
          <w:p w14:paraId="5C98D610" w14:textId="77777777" w:rsidR="002601BF" w:rsidRPr="002601BF" w:rsidRDefault="002601BF" w:rsidP="002601BF">
            <w:pPr>
              <w:widowControl w:val="0"/>
              <w:suppressAutoHyphens/>
              <w:spacing w:after="0" w:line="276" w:lineRule="auto"/>
              <w:jc w:val="center"/>
              <w:textAlignment w:val="baseline"/>
              <w:rPr>
                <w:rFonts w:ascii="Arial" w:eastAsia="NSimSun" w:hAnsi="Arial" w:cs="MillerText-Roman"/>
                <w:b/>
                <w:bCs/>
                <w:color w:val="FFFFFF"/>
                <w:kern w:val="2"/>
                <w:sz w:val="18"/>
                <w:szCs w:val="18"/>
                <w:lang w:eastAsia="zh-CN" w:bidi="hi-IN"/>
              </w:rPr>
            </w:pPr>
            <w:r w:rsidRPr="002601BF">
              <w:rPr>
                <w:rFonts w:ascii="Arial" w:eastAsia="NSimSun" w:hAnsi="Arial" w:cs="MillerText-Roman"/>
                <w:b/>
                <w:bCs/>
                <w:color w:val="FFFFFF"/>
                <w:kern w:val="2"/>
                <w:sz w:val="18"/>
                <w:szCs w:val="18"/>
                <w:lang w:eastAsia="zh-CN" w:bidi="hi-IN"/>
              </w:rPr>
              <w:t>% Obligaciones</w:t>
            </w:r>
          </w:p>
          <w:p w14:paraId="6E59078A" w14:textId="77777777" w:rsidR="002601BF" w:rsidRPr="002601BF" w:rsidRDefault="002601BF" w:rsidP="002601BF">
            <w:pPr>
              <w:widowControl w:val="0"/>
              <w:suppressAutoHyphens/>
              <w:spacing w:after="0" w:line="276" w:lineRule="auto"/>
              <w:jc w:val="center"/>
              <w:textAlignment w:val="baseline"/>
              <w:rPr>
                <w:rFonts w:ascii="Arial" w:eastAsia="NSimSun" w:hAnsi="Arial" w:cs="MillerText-Roman"/>
                <w:b/>
                <w:bCs/>
                <w:color w:val="FFFFFF"/>
                <w:kern w:val="2"/>
                <w:sz w:val="18"/>
                <w:szCs w:val="18"/>
                <w:lang w:eastAsia="zh-CN" w:bidi="hi-IN"/>
              </w:rPr>
            </w:pPr>
            <w:r w:rsidRPr="002601BF">
              <w:rPr>
                <w:rFonts w:ascii="Arial" w:eastAsia="NSimSun" w:hAnsi="Arial" w:cs="MillerText-Roman"/>
                <w:b/>
                <w:bCs/>
                <w:color w:val="FFFFFF"/>
                <w:kern w:val="2"/>
                <w:sz w:val="18"/>
                <w:szCs w:val="18"/>
                <w:lang w:eastAsia="zh-CN" w:bidi="hi-IN"/>
              </w:rPr>
              <w:t>gastos comprometidos</w:t>
            </w:r>
          </w:p>
        </w:tc>
        <w:tc>
          <w:tcPr>
            <w:tcW w:w="1229" w:type="dxa"/>
            <w:shd w:val="clear" w:color="auto" w:fill="9D2235"/>
          </w:tcPr>
          <w:p w14:paraId="68833044" w14:textId="77777777" w:rsidR="002601BF" w:rsidRPr="002601BF" w:rsidRDefault="002601BF" w:rsidP="002601BF">
            <w:pPr>
              <w:widowControl w:val="0"/>
              <w:suppressAutoHyphens/>
              <w:spacing w:after="0" w:line="276" w:lineRule="auto"/>
              <w:jc w:val="center"/>
              <w:textAlignment w:val="baseline"/>
              <w:rPr>
                <w:rFonts w:ascii="Arial" w:eastAsia="NSimSun" w:hAnsi="Arial" w:cs="MillerText-Roman"/>
                <w:b/>
                <w:bCs/>
                <w:color w:val="FFFFFF"/>
                <w:kern w:val="2"/>
                <w:sz w:val="18"/>
                <w:szCs w:val="18"/>
                <w:lang w:eastAsia="zh-CN" w:bidi="hi-IN"/>
              </w:rPr>
            </w:pPr>
            <w:r w:rsidRPr="002601BF">
              <w:rPr>
                <w:rFonts w:ascii="Arial" w:eastAsia="NSimSun" w:hAnsi="Arial" w:cs="MillerText-Roman"/>
                <w:b/>
                <w:bCs/>
                <w:color w:val="FFFFFF"/>
                <w:kern w:val="2"/>
                <w:sz w:val="18"/>
                <w:szCs w:val="18"/>
                <w:lang w:eastAsia="zh-CN" w:bidi="hi-IN"/>
              </w:rPr>
              <w:t>Pagos liquidados</w:t>
            </w:r>
          </w:p>
        </w:tc>
        <w:tc>
          <w:tcPr>
            <w:tcW w:w="1335" w:type="dxa"/>
            <w:shd w:val="clear" w:color="auto" w:fill="9D2235"/>
          </w:tcPr>
          <w:p w14:paraId="0BDF99B7" w14:textId="77777777" w:rsidR="002601BF" w:rsidRPr="002601BF" w:rsidRDefault="002601BF" w:rsidP="002601BF">
            <w:pPr>
              <w:widowControl w:val="0"/>
              <w:suppressAutoHyphens/>
              <w:spacing w:after="0" w:line="276" w:lineRule="auto"/>
              <w:jc w:val="center"/>
              <w:textAlignment w:val="baseline"/>
              <w:rPr>
                <w:rFonts w:ascii="Arial" w:eastAsia="NSimSun" w:hAnsi="Arial" w:cs="MillerText-Roman"/>
                <w:b/>
                <w:bCs/>
                <w:color w:val="FFFFFF"/>
                <w:kern w:val="2"/>
                <w:sz w:val="18"/>
                <w:szCs w:val="18"/>
                <w:lang w:eastAsia="zh-CN" w:bidi="hi-IN"/>
              </w:rPr>
            </w:pPr>
            <w:r w:rsidRPr="002601BF">
              <w:rPr>
                <w:rFonts w:ascii="Arial" w:eastAsia="NSimSun" w:hAnsi="Arial" w:cs="MillerText-Roman"/>
                <w:b/>
                <w:bCs/>
                <w:color w:val="FFFFFF"/>
                <w:kern w:val="2"/>
                <w:sz w:val="18"/>
                <w:szCs w:val="18"/>
                <w:lang w:eastAsia="zh-CN" w:bidi="hi-IN"/>
              </w:rPr>
              <w:t>% Pagos</w:t>
            </w:r>
          </w:p>
          <w:p w14:paraId="1C18C25F" w14:textId="77777777" w:rsidR="002601BF" w:rsidRPr="002601BF" w:rsidRDefault="002601BF" w:rsidP="002601BF">
            <w:pPr>
              <w:widowControl w:val="0"/>
              <w:suppressAutoHyphens/>
              <w:spacing w:after="0" w:line="276" w:lineRule="auto"/>
              <w:jc w:val="center"/>
              <w:textAlignment w:val="baseline"/>
              <w:rPr>
                <w:rFonts w:ascii="Arial" w:eastAsia="NSimSun" w:hAnsi="Arial" w:cs="MillerText-Roman"/>
                <w:b/>
                <w:bCs/>
                <w:color w:val="FFFFFF"/>
                <w:kern w:val="2"/>
                <w:sz w:val="18"/>
                <w:szCs w:val="18"/>
                <w:lang w:eastAsia="zh-CN" w:bidi="hi-IN"/>
              </w:rPr>
            </w:pPr>
            <w:r w:rsidRPr="002601BF">
              <w:rPr>
                <w:rFonts w:ascii="Arial" w:eastAsia="NSimSun" w:hAnsi="Arial" w:cs="MillerText-Roman"/>
                <w:b/>
                <w:bCs/>
                <w:color w:val="FFFFFF"/>
                <w:kern w:val="2"/>
                <w:sz w:val="18"/>
                <w:szCs w:val="18"/>
                <w:lang w:eastAsia="zh-CN" w:bidi="hi-IN"/>
              </w:rPr>
              <w:t xml:space="preserve"> Obligaciones reconocidas</w:t>
            </w:r>
          </w:p>
        </w:tc>
        <w:tc>
          <w:tcPr>
            <w:tcW w:w="1093" w:type="dxa"/>
            <w:shd w:val="clear" w:color="auto" w:fill="9D2235"/>
          </w:tcPr>
          <w:p w14:paraId="7CE57586" w14:textId="77777777" w:rsidR="002601BF" w:rsidRPr="002601BF" w:rsidRDefault="002601BF" w:rsidP="002601BF">
            <w:pPr>
              <w:widowControl w:val="0"/>
              <w:suppressAutoHyphens/>
              <w:spacing w:after="0" w:line="276" w:lineRule="auto"/>
              <w:jc w:val="center"/>
              <w:textAlignment w:val="baseline"/>
              <w:rPr>
                <w:rFonts w:ascii="Arial" w:eastAsia="NSimSun" w:hAnsi="Arial" w:cs="MillerText-Roman"/>
                <w:b/>
                <w:bCs/>
                <w:color w:val="FFFFFF"/>
                <w:kern w:val="2"/>
                <w:sz w:val="18"/>
                <w:szCs w:val="18"/>
                <w:lang w:eastAsia="zh-CN" w:bidi="hi-IN"/>
              </w:rPr>
            </w:pPr>
            <w:r w:rsidRPr="002601BF">
              <w:rPr>
                <w:rFonts w:ascii="Arial" w:eastAsia="NSimSun" w:hAnsi="Arial" w:cs="MillerText-Roman"/>
                <w:b/>
                <w:bCs/>
                <w:color w:val="FFFFFF"/>
                <w:kern w:val="2"/>
                <w:sz w:val="18"/>
                <w:szCs w:val="18"/>
                <w:lang w:eastAsia="zh-CN" w:bidi="hi-IN"/>
              </w:rPr>
              <w:t>Pendiente de pago</w:t>
            </w:r>
          </w:p>
        </w:tc>
      </w:tr>
      <w:tr w:rsidR="002601BF" w:rsidRPr="002601BF" w14:paraId="7993719C" w14:textId="77777777" w:rsidTr="002601BF">
        <w:trPr>
          <w:jc w:val="center"/>
        </w:trPr>
        <w:tc>
          <w:tcPr>
            <w:tcW w:w="1214" w:type="dxa"/>
            <w:tcBorders>
              <w:bottom w:val="single" w:sz="4" w:space="0" w:color="993333"/>
            </w:tcBorders>
            <w:shd w:val="clear" w:color="auto" w:fill="FFFFFF"/>
            <w:vAlign w:val="center"/>
          </w:tcPr>
          <w:p w14:paraId="205340AF"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b/>
                <w:bCs/>
                <w:color w:val="000000"/>
                <w:kern w:val="2"/>
                <w:sz w:val="18"/>
                <w:szCs w:val="18"/>
                <w:lang w:eastAsia="zh-CN" w:bidi="hi-IN"/>
              </w:rPr>
            </w:pPr>
            <w:r w:rsidRPr="002601BF">
              <w:rPr>
                <w:rFonts w:ascii="Arial" w:eastAsia="NSimSun" w:hAnsi="Arial" w:cs="Arial"/>
                <w:b/>
                <w:bCs/>
                <w:color w:val="000000"/>
                <w:kern w:val="2"/>
                <w:sz w:val="18"/>
                <w:szCs w:val="18"/>
                <w:lang w:eastAsia="zh-CN" w:bidi="hi-IN"/>
              </w:rPr>
              <w:t>I</w:t>
            </w:r>
          </w:p>
        </w:tc>
        <w:tc>
          <w:tcPr>
            <w:tcW w:w="1161" w:type="dxa"/>
            <w:tcBorders>
              <w:bottom w:val="single" w:sz="4" w:space="0" w:color="993333"/>
            </w:tcBorders>
            <w:shd w:val="clear" w:color="auto" w:fill="FFFFFF"/>
            <w:vAlign w:val="center"/>
          </w:tcPr>
          <w:p w14:paraId="34E534C5" w14:textId="77777777" w:rsidR="002601BF" w:rsidRPr="002601BF" w:rsidRDefault="002601BF" w:rsidP="002601BF">
            <w:pPr>
              <w:widowControl w:val="0"/>
              <w:suppressAutoHyphens/>
              <w:spacing w:after="0" w:line="276" w:lineRule="auto"/>
              <w:jc w:val="right"/>
              <w:textAlignment w:val="baseline"/>
              <w:rPr>
                <w:rFonts w:ascii="Arial" w:eastAsia="Calibri" w:hAnsi="Arial" w:cs="Arial"/>
                <w:sz w:val="18"/>
                <w:szCs w:val="18"/>
              </w:rPr>
            </w:pPr>
            <w:r w:rsidRPr="002601BF">
              <w:rPr>
                <w:rFonts w:ascii="Arial" w:eastAsia="Calibri" w:hAnsi="Arial" w:cs="Arial"/>
                <w:sz w:val="18"/>
                <w:szCs w:val="18"/>
              </w:rPr>
              <w:t>3.505.480,00</w:t>
            </w:r>
          </w:p>
        </w:tc>
        <w:tc>
          <w:tcPr>
            <w:tcW w:w="1411" w:type="dxa"/>
            <w:tcBorders>
              <w:bottom w:val="single" w:sz="4" w:space="0" w:color="993333"/>
            </w:tcBorders>
            <w:shd w:val="clear" w:color="auto" w:fill="FFFFFF"/>
          </w:tcPr>
          <w:p w14:paraId="58263013" w14:textId="77777777" w:rsidR="002601BF" w:rsidRPr="002601BF" w:rsidRDefault="002601BF" w:rsidP="002601BF">
            <w:pPr>
              <w:widowControl w:val="0"/>
              <w:suppressAutoHyphens/>
              <w:spacing w:after="0" w:line="276" w:lineRule="auto"/>
              <w:jc w:val="right"/>
              <w:textAlignment w:val="baseline"/>
              <w:rPr>
                <w:rFonts w:ascii="Arial" w:eastAsia="Calibri" w:hAnsi="Arial" w:cs="Arial"/>
                <w:sz w:val="18"/>
                <w:szCs w:val="18"/>
              </w:rPr>
            </w:pPr>
            <w:r w:rsidRPr="002601BF">
              <w:rPr>
                <w:rFonts w:ascii="Arial" w:eastAsia="Calibri" w:hAnsi="Arial" w:cs="Arial"/>
                <w:sz w:val="18"/>
                <w:szCs w:val="18"/>
              </w:rPr>
              <w:t>0,00</w:t>
            </w:r>
          </w:p>
        </w:tc>
        <w:tc>
          <w:tcPr>
            <w:tcW w:w="1232" w:type="dxa"/>
            <w:tcBorders>
              <w:bottom w:val="single" w:sz="4" w:space="0" w:color="993333"/>
            </w:tcBorders>
            <w:shd w:val="clear" w:color="auto" w:fill="FFFFFF"/>
            <w:vAlign w:val="center"/>
          </w:tcPr>
          <w:p w14:paraId="4C0F1FD2"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highlight w:val="yellow"/>
                <w:lang w:eastAsia="zh-CN" w:bidi="hi-IN"/>
              </w:rPr>
            </w:pPr>
            <w:r w:rsidRPr="002601BF">
              <w:rPr>
                <w:rFonts w:ascii="Arial" w:eastAsia="Calibri" w:hAnsi="Arial" w:cs="Arial"/>
                <w:sz w:val="18"/>
                <w:szCs w:val="18"/>
              </w:rPr>
              <w:t>3.505.480,00</w:t>
            </w:r>
          </w:p>
        </w:tc>
        <w:tc>
          <w:tcPr>
            <w:tcW w:w="1510" w:type="dxa"/>
            <w:tcBorders>
              <w:bottom w:val="single" w:sz="4" w:space="0" w:color="993333"/>
            </w:tcBorders>
            <w:shd w:val="clear" w:color="auto" w:fill="FFFFFF"/>
            <w:vAlign w:val="center"/>
          </w:tcPr>
          <w:p w14:paraId="7B4489BC"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2.677.798,99</w:t>
            </w:r>
          </w:p>
        </w:tc>
        <w:tc>
          <w:tcPr>
            <w:tcW w:w="1510" w:type="dxa"/>
            <w:tcBorders>
              <w:bottom w:val="single" w:sz="4" w:space="0" w:color="993333"/>
            </w:tcBorders>
            <w:shd w:val="clear" w:color="auto" w:fill="FFFFFF"/>
            <w:vAlign w:val="center"/>
          </w:tcPr>
          <w:p w14:paraId="0F64F852"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76,39</w:t>
            </w:r>
          </w:p>
        </w:tc>
        <w:tc>
          <w:tcPr>
            <w:tcW w:w="1307" w:type="dxa"/>
            <w:tcBorders>
              <w:bottom w:val="single" w:sz="4" w:space="0" w:color="993333"/>
            </w:tcBorders>
            <w:shd w:val="clear" w:color="auto" w:fill="FFFFFF"/>
            <w:vAlign w:val="center"/>
          </w:tcPr>
          <w:p w14:paraId="2F97218E"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2.642.987,99</w:t>
            </w:r>
          </w:p>
        </w:tc>
        <w:tc>
          <w:tcPr>
            <w:tcW w:w="1525" w:type="dxa"/>
            <w:tcBorders>
              <w:bottom w:val="single" w:sz="4" w:space="0" w:color="993333"/>
            </w:tcBorders>
            <w:shd w:val="clear" w:color="auto" w:fill="FFFFFF"/>
            <w:vAlign w:val="center"/>
          </w:tcPr>
          <w:p w14:paraId="53EF0E2A"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75,40</w:t>
            </w:r>
          </w:p>
        </w:tc>
        <w:tc>
          <w:tcPr>
            <w:tcW w:w="1229" w:type="dxa"/>
            <w:tcBorders>
              <w:bottom w:val="single" w:sz="4" w:space="0" w:color="993333"/>
            </w:tcBorders>
            <w:shd w:val="clear" w:color="auto" w:fill="FFFFFF"/>
            <w:vAlign w:val="center"/>
          </w:tcPr>
          <w:p w14:paraId="14FF4956"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2.642.522,99</w:t>
            </w:r>
          </w:p>
        </w:tc>
        <w:tc>
          <w:tcPr>
            <w:tcW w:w="1335" w:type="dxa"/>
            <w:tcBorders>
              <w:bottom w:val="single" w:sz="4" w:space="0" w:color="993333"/>
            </w:tcBorders>
            <w:shd w:val="clear" w:color="auto" w:fill="FFFFFF"/>
            <w:vAlign w:val="center"/>
          </w:tcPr>
          <w:p w14:paraId="20AD272F"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99,98</w:t>
            </w:r>
          </w:p>
        </w:tc>
        <w:tc>
          <w:tcPr>
            <w:tcW w:w="1093" w:type="dxa"/>
            <w:tcBorders>
              <w:bottom w:val="single" w:sz="4" w:space="0" w:color="993333"/>
            </w:tcBorders>
            <w:shd w:val="clear" w:color="auto" w:fill="FFFFFF"/>
            <w:vAlign w:val="center"/>
          </w:tcPr>
          <w:p w14:paraId="2DC4FFBB"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465,00</w:t>
            </w:r>
          </w:p>
        </w:tc>
      </w:tr>
      <w:tr w:rsidR="002601BF" w:rsidRPr="002601BF" w14:paraId="7EC822C0" w14:textId="77777777" w:rsidTr="002601BF">
        <w:trPr>
          <w:trHeight w:val="395"/>
          <w:jc w:val="center"/>
        </w:trPr>
        <w:tc>
          <w:tcPr>
            <w:tcW w:w="1214" w:type="dxa"/>
            <w:tcBorders>
              <w:top w:val="single" w:sz="4" w:space="0" w:color="993333"/>
              <w:bottom w:val="single" w:sz="4" w:space="0" w:color="993333"/>
            </w:tcBorders>
            <w:shd w:val="clear" w:color="auto" w:fill="FFFFFF"/>
            <w:vAlign w:val="center"/>
          </w:tcPr>
          <w:p w14:paraId="287A7538"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b/>
                <w:bCs/>
                <w:color w:val="000000"/>
                <w:kern w:val="2"/>
                <w:sz w:val="18"/>
                <w:szCs w:val="18"/>
                <w:lang w:eastAsia="zh-CN" w:bidi="hi-IN"/>
              </w:rPr>
            </w:pPr>
            <w:r w:rsidRPr="002601BF">
              <w:rPr>
                <w:rFonts w:ascii="Arial" w:eastAsia="NSimSun" w:hAnsi="Arial" w:cs="Arial"/>
                <w:b/>
                <w:bCs/>
                <w:color w:val="000000"/>
                <w:kern w:val="2"/>
                <w:sz w:val="18"/>
                <w:szCs w:val="18"/>
                <w:lang w:eastAsia="zh-CN" w:bidi="hi-IN"/>
              </w:rPr>
              <w:t>II</w:t>
            </w:r>
          </w:p>
        </w:tc>
        <w:tc>
          <w:tcPr>
            <w:tcW w:w="1161" w:type="dxa"/>
            <w:tcBorders>
              <w:top w:val="single" w:sz="4" w:space="0" w:color="993333"/>
              <w:bottom w:val="single" w:sz="4" w:space="0" w:color="993333"/>
            </w:tcBorders>
            <w:shd w:val="clear" w:color="auto" w:fill="FFFFFF"/>
          </w:tcPr>
          <w:p w14:paraId="7CEFAF72"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704.970,00</w:t>
            </w:r>
          </w:p>
        </w:tc>
        <w:tc>
          <w:tcPr>
            <w:tcW w:w="1411" w:type="dxa"/>
            <w:tcBorders>
              <w:top w:val="single" w:sz="4" w:space="0" w:color="993333"/>
              <w:bottom w:val="single" w:sz="4" w:space="0" w:color="993333"/>
            </w:tcBorders>
            <w:shd w:val="clear" w:color="auto" w:fill="FFFFFF"/>
          </w:tcPr>
          <w:p w14:paraId="122A9AE8"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0,00</w:t>
            </w:r>
          </w:p>
        </w:tc>
        <w:tc>
          <w:tcPr>
            <w:tcW w:w="1232" w:type="dxa"/>
            <w:tcBorders>
              <w:top w:val="single" w:sz="4" w:space="0" w:color="993333"/>
              <w:bottom w:val="single" w:sz="4" w:space="0" w:color="993333"/>
            </w:tcBorders>
            <w:shd w:val="clear" w:color="auto" w:fill="FFFFFF"/>
            <w:vAlign w:val="center"/>
          </w:tcPr>
          <w:p w14:paraId="07857EBE"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704.970,00</w:t>
            </w:r>
          </w:p>
        </w:tc>
        <w:tc>
          <w:tcPr>
            <w:tcW w:w="1510" w:type="dxa"/>
            <w:tcBorders>
              <w:top w:val="single" w:sz="4" w:space="0" w:color="993333"/>
              <w:bottom w:val="single" w:sz="4" w:space="0" w:color="993333"/>
            </w:tcBorders>
            <w:shd w:val="clear" w:color="auto" w:fill="FFFFFF"/>
            <w:vAlign w:val="center"/>
          </w:tcPr>
          <w:p w14:paraId="275BE4F0"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411.566,90</w:t>
            </w:r>
          </w:p>
        </w:tc>
        <w:tc>
          <w:tcPr>
            <w:tcW w:w="1510" w:type="dxa"/>
            <w:tcBorders>
              <w:top w:val="single" w:sz="4" w:space="0" w:color="993333"/>
              <w:bottom w:val="single" w:sz="4" w:space="0" w:color="993333"/>
            </w:tcBorders>
            <w:shd w:val="clear" w:color="auto" w:fill="FFFFFF"/>
            <w:vAlign w:val="center"/>
          </w:tcPr>
          <w:p w14:paraId="0B6AA195"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58,38</w:t>
            </w:r>
          </w:p>
        </w:tc>
        <w:tc>
          <w:tcPr>
            <w:tcW w:w="1307" w:type="dxa"/>
            <w:tcBorders>
              <w:top w:val="single" w:sz="4" w:space="0" w:color="993333"/>
              <w:bottom w:val="single" w:sz="4" w:space="0" w:color="993333"/>
            </w:tcBorders>
            <w:shd w:val="clear" w:color="auto" w:fill="FFFFFF"/>
            <w:vAlign w:val="center"/>
          </w:tcPr>
          <w:p w14:paraId="14C5952B"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363.647,56</w:t>
            </w:r>
          </w:p>
        </w:tc>
        <w:tc>
          <w:tcPr>
            <w:tcW w:w="1525" w:type="dxa"/>
            <w:tcBorders>
              <w:top w:val="single" w:sz="4" w:space="0" w:color="993333"/>
              <w:bottom w:val="single" w:sz="4" w:space="0" w:color="993333"/>
            </w:tcBorders>
            <w:shd w:val="clear" w:color="auto" w:fill="FFFFFF"/>
            <w:vAlign w:val="center"/>
          </w:tcPr>
          <w:p w14:paraId="7AF84365"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51,58</w:t>
            </w:r>
          </w:p>
        </w:tc>
        <w:tc>
          <w:tcPr>
            <w:tcW w:w="1229" w:type="dxa"/>
            <w:tcBorders>
              <w:top w:val="single" w:sz="4" w:space="0" w:color="993333"/>
              <w:bottom w:val="single" w:sz="4" w:space="0" w:color="993333"/>
            </w:tcBorders>
            <w:shd w:val="clear" w:color="auto" w:fill="FFFFFF"/>
            <w:vAlign w:val="center"/>
          </w:tcPr>
          <w:p w14:paraId="213E8369"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346.573,03</w:t>
            </w:r>
          </w:p>
        </w:tc>
        <w:tc>
          <w:tcPr>
            <w:tcW w:w="1335" w:type="dxa"/>
            <w:tcBorders>
              <w:top w:val="single" w:sz="4" w:space="0" w:color="993333"/>
              <w:bottom w:val="single" w:sz="4" w:space="0" w:color="993333"/>
            </w:tcBorders>
            <w:shd w:val="clear" w:color="auto" w:fill="FFFFFF"/>
            <w:vAlign w:val="center"/>
          </w:tcPr>
          <w:p w14:paraId="76442796"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95,30</w:t>
            </w:r>
          </w:p>
        </w:tc>
        <w:tc>
          <w:tcPr>
            <w:tcW w:w="1093" w:type="dxa"/>
            <w:tcBorders>
              <w:top w:val="single" w:sz="4" w:space="0" w:color="993333"/>
              <w:bottom w:val="single" w:sz="4" w:space="0" w:color="993333"/>
            </w:tcBorders>
            <w:shd w:val="clear" w:color="auto" w:fill="FFFFFF"/>
            <w:vAlign w:val="center"/>
          </w:tcPr>
          <w:p w14:paraId="2FAF9A88"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17.074,53</w:t>
            </w:r>
          </w:p>
        </w:tc>
      </w:tr>
      <w:tr w:rsidR="002601BF" w:rsidRPr="002601BF" w14:paraId="5E892398" w14:textId="77777777" w:rsidTr="002601BF">
        <w:trPr>
          <w:trHeight w:val="395"/>
          <w:jc w:val="center"/>
        </w:trPr>
        <w:tc>
          <w:tcPr>
            <w:tcW w:w="1214" w:type="dxa"/>
            <w:tcBorders>
              <w:top w:val="single" w:sz="4" w:space="0" w:color="993333"/>
              <w:bottom w:val="single" w:sz="4" w:space="0" w:color="993333"/>
            </w:tcBorders>
            <w:shd w:val="clear" w:color="auto" w:fill="FFFFFF"/>
            <w:vAlign w:val="center"/>
          </w:tcPr>
          <w:p w14:paraId="5EEA2DAA"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b/>
                <w:bCs/>
                <w:color w:val="000000"/>
                <w:kern w:val="2"/>
                <w:sz w:val="18"/>
                <w:szCs w:val="18"/>
                <w:lang w:eastAsia="zh-CN" w:bidi="hi-IN"/>
              </w:rPr>
            </w:pPr>
            <w:r w:rsidRPr="002601BF">
              <w:rPr>
                <w:rFonts w:ascii="Arial" w:eastAsia="NSimSun" w:hAnsi="Arial" w:cs="Arial"/>
                <w:b/>
                <w:bCs/>
                <w:color w:val="000000"/>
                <w:kern w:val="2"/>
                <w:sz w:val="18"/>
                <w:szCs w:val="18"/>
                <w:lang w:eastAsia="zh-CN" w:bidi="hi-IN"/>
              </w:rPr>
              <w:t>IV</w:t>
            </w:r>
          </w:p>
        </w:tc>
        <w:tc>
          <w:tcPr>
            <w:tcW w:w="1161" w:type="dxa"/>
            <w:tcBorders>
              <w:top w:val="single" w:sz="4" w:space="0" w:color="993333"/>
              <w:bottom w:val="single" w:sz="4" w:space="0" w:color="993333"/>
            </w:tcBorders>
            <w:shd w:val="clear" w:color="auto" w:fill="FFFFFF"/>
          </w:tcPr>
          <w:p w14:paraId="58E6ADCB"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kern w:val="2"/>
                <w:sz w:val="18"/>
                <w:szCs w:val="18"/>
                <w:lang w:eastAsia="zh-CN" w:bidi="hi-IN"/>
              </w:rPr>
              <w:t>14.000,00</w:t>
            </w:r>
          </w:p>
        </w:tc>
        <w:tc>
          <w:tcPr>
            <w:tcW w:w="1411" w:type="dxa"/>
            <w:tcBorders>
              <w:top w:val="single" w:sz="4" w:space="0" w:color="993333"/>
              <w:bottom w:val="single" w:sz="4" w:space="0" w:color="993333"/>
            </w:tcBorders>
            <w:shd w:val="clear" w:color="auto" w:fill="FFFFFF"/>
          </w:tcPr>
          <w:p w14:paraId="24A63930"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3.787.793,15</w:t>
            </w:r>
          </w:p>
        </w:tc>
        <w:tc>
          <w:tcPr>
            <w:tcW w:w="1232" w:type="dxa"/>
            <w:tcBorders>
              <w:top w:val="single" w:sz="4" w:space="0" w:color="993333"/>
              <w:bottom w:val="single" w:sz="4" w:space="0" w:color="993333"/>
            </w:tcBorders>
            <w:shd w:val="clear" w:color="auto" w:fill="FFFFFF"/>
            <w:vAlign w:val="center"/>
          </w:tcPr>
          <w:p w14:paraId="17ECA442"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3.801.793,15</w:t>
            </w:r>
          </w:p>
        </w:tc>
        <w:tc>
          <w:tcPr>
            <w:tcW w:w="1510" w:type="dxa"/>
            <w:tcBorders>
              <w:top w:val="single" w:sz="4" w:space="0" w:color="993333"/>
              <w:bottom w:val="single" w:sz="4" w:space="0" w:color="993333"/>
            </w:tcBorders>
            <w:shd w:val="clear" w:color="auto" w:fill="FFFFFF"/>
            <w:vAlign w:val="center"/>
          </w:tcPr>
          <w:p w14:paraId="6C6625D5"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3.787.793,15</w:t>
            </w:r>
          </w:p>
        </w:tc>
        <w:tc>
          <w:tcPr>
            <w:tcW w:w="1510" w:type="dxa"/>
            <w:tcBorders>
              <w:top w:val="single" w:sz="4" w:space="0" w:color="993333"/>
              <w:bottom w:val="single" w:sz="4" w:space="0" w:color="993333"/>
            </w:tcBorders>
            <w:shd w:val="clear" w:color="auto" w:fill="FFFFFF"/>
            <w:vAlign w:val="center"/>
          </w:tcPr>
          <w:p w14:paraId="25C63C84"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99,63</w:t>
            </w:r>
          </w:p>
        </w:tc>
        <w:tc>
          <w:tcPr>
            <w:tcW w:w="1307" w:type="dxa"/>
            <w:tcBorders>
              <w:top w:val="single" w:sz="4" w:space="0" w:color="993333"/>
              <w:bottom w:val="single" w:sz="4" w:space="0" w:color="993333"/>
            </w:tcBorders>
            <w:shd w:val="clear" w:color="auto" w:fill="FFFFFF"/>
            <w:vAlign w:val="center"/>
          </w:tcPr>
          <w:p w14:paraId="410C493A"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3.787.793,15</w:t>
            </w:r>
          </w:p>
        </w:tc>
        <w:tc>
          <w:tcPr>
            <w:tcW w:w="1525" w:type="dxa"/>
            <w:tcBorders>
              <w:top w:val="single" w:sz="4" w:space="0" w:color="993333"/>
              <w:bottom w:val="single" w:sz="4" w:space="0" w:color="993333"/>
            </w:tcBorders>
            <w:shd w:val="clear" w:color="auto" w:fill="FFFFFF"/>
            <w:vAlign w:val="center"/>
          </w:tcPr>
          <w:p w14:paraId="0F621588"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99,63</w:t>
            </w:r>
          </w:p>
        </w:tc>
        <w:tc>
          <w:tcPr>
            <w:tcW w:w="1229" w:type="dxa"/>
            <w:tcBorders>
              <w:top w:val="single" w:sz="4" w:space="0" w:color="993333"/>
              <w:bottom w:val="single" w:sz="4" w:space="0" w:color="993333"/>
            </w:tcBorders>
            <w:shd w:val="clear" w:color="auto" w:fill="FFFFFF"/>
            <w:vAlign w:val="center"/>
          </w:tcPr>
          <w:p w14:paraId="40E0C59E"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3.787.793,15</w:t>
            </w:r>
          </w:p>
        </w:tc>
        <w:tc>
          <w:tcPr>
            <w:tcW w:w="1335" w:type="dxa"/>
            <w:tcBorders>
              <w:top w:val="single" w:sz="4" w:space="0" w:color="993333"/>
              <w:bottom w:val="single" w:sz="4" w:space="0" w:color="993333"/>
            </w:tcBorders>
            <w:shd w:val="clear" w:color="auto" w:fill="FFFFFF"/>
            <w:vAlign w:val="center"/>
          </w:tcPr>
          <w:p w14:paraId="0A0A159E"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color w:val="000000"/>
                <w:kern w:val="2"/>
                <w:sz w:val="18"/>
                <w:szCs w:val="18"/>
                <w:lang w:eastAsia="zh-CN" w:bidi="hi-IN"/>
              </w:rPr>
            </w:pPr>
            <w:r w:rsidRPr="002601BF">
              <w:rPr>
                <w:rFonts w:ascii="Arial" w:eastAsia="NSimSun" w:hAnsi="Arial" w:cs="Arial"/>
                <w:color w:val="000000"/>
                <w:kern w:val="2"/>
                <w:sz w:val="18"/>
                <w:szCs w:val="18"/>
                <w:lang w:eastAsia="zh-CN" w:bidi="hi-IN"/>
              </w:rPr>
              <w:t>100,00</w:t>
            </w:r>
          </w:p>
        </w:tc>
        <w:tc>
          <w:tcPr>
            <w:tcW w:w="1093" w:type="dxa"/>
            <w:tcBorders>
              <w:top w:val="single" w:sz="4" w:space="0" w:color="993333"/>
              <w:bottom w:val="single" w:sz="4" w:space="0" w:color="993333"/>
            </w:tcBorders>
            <w:shd w:val="clear" w:color="auto" w:fill="FFFFFF"/>
            <w:vAlign w:val="center"/>
          </w:tcPr>
          <w:p w14:paraId="3FEC125C"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p>
        </w:tc>
      </w:tr>
      <w:tr w:rsidR="002601BF" w:rsidRPr="002601BF" w14:paraId="24F2BC74" w14:textId="77777777" w:rsidTr="002601BF">
        <w:trPr>
          <w:trHeight w:val="676"/>
          <w:jc w:val="center"/>
        </w:trPr>
        <w:tc>
          <w:tcPr>
            <w:tcW w:w="1214" w:type="dxa"/>
            <w:tcBorders>
              <w:top w:val="single" w:sz="4" w:space="0" w:color="993333"/>
              <w:bottom w:val="single" w:sz="4" w:space="0" w:color="993333"/>
            </w:tcBorders>
            <w:shd w:val="clear" w:color="auto" w:fill="E7E6E6"/>
            <w:vAlign w:val="center"/>
          </w:tcPr>
          <w:p w14:paraId="4E2765B2"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b/>
                <w:bCs/>
                <w:kern w:val="2"/>
                <w:sz w:val="18"/>
                <w:szCs w:val="18"/>
                <w:lang w:eastAsia="zh-CN" w:bidi="hi-IN"/>
              </w:rPr>
            </w:pPr>
            <w:r w:rsidRPr="002601BF">
              <w:rPr>
                <w:rFonts w:ascii="Arial" w:eastAsia="NSimSun" w:hAnsi="Arial" w:cs="Arial"/>
                <w:b/>
                <w:bCs/>
                <w:kern w:val="2"/>
                <w:sz w:val="18"/>
                <w:szCs w:val="18"/>
                <w:lang w:eastAsia="zh-CN" w:bidi="hi-IN"/>
              </w:rPr>
              <w:t>TOTAL operaciones corrientes</w:t>
            </w:r>
          </w:p>
        </w:tc>
        <w:tc>
          <w:tcPr>
            <w:tcW w:w="1161" w:type="dxa"/>
            <w:tcBorders>
              <w:top w:val="single" w:sz="4" w:space="0" w:color="993333"/>
              <w:bottom w:val="single" w:sz="4" w:space="0" w:color="993333"/>
            </w:tcBorders>
            <w:shd w:val="clear" w:color="auto" w:fill="E7E6E6"/>
          </w:tcPr>
          <w:p w14:paraId="58753195"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p>
          <w:p w14:paraId="22FC0BC1"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4.224.450,00</w:t>
            </w:r>
          </w:p>
        </w:tc>
        <w:tc>
          <w:tcPr>
            <w:tcW w:w="1411" w:type="dxa"/>
            <w:tcBorders>
              <w:top w:val="single" w:sz="4" w:space="0" w:color="993333"/>
              <w:bottom w:val="single" w:sz="4" w:space="0" w:color="993333"/>
            </w:tcBorders>
            <w:shd w:val="clear" w:color="auto" w:fill="E7E6E6"/>
          </w:tcPr>
          <w:p w14:paraId="3A5BB0CC"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color w:val="000000"/>
                <w:kern w:val="2"/>
                <w:sz w:val="18"/>
                <w:szCs w:val="18"/>
                <w:lang w:eastAsia="zh-CN" w:bidi="hi-IN"/>
              </w:rPr>
            </w:pPr>
          </w:p>
          <w:p w14:paraId="6A9A5919"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color w:val="000000"/>
                <w:kern w:val="2"/>
                <w:sz w:val="18"/>
                <w:szCs w:val="18"/>
                <w:lang w:eastAsia="zh-CN" w:bidi="hi-IN"/>
              </w:rPr>
              <w:t>3.787.793,15</w:t>
            </w:r>
          </w:p>
        </w:tc>
        <w:tc>
          <w:tcPr>
            <w:tcW w:w="1232" w:type="dxa"/>
            <w:tcBorders>
              <w:top w:val="single" w:sz="4" w:space="0" w:color="993333"/>
              <w:bottom w:val="single" w:sz="4" w:space="0" w:color="993333"/>
            </w:tcBorders>
            <w:shd w:val="clear" w:color="auto" w:fill="E7E6E6"/>
            <w:vAlign w:val="center"/>
          </w:tcPr>
          <w:p w14:paraId="3E590FDD"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8.012.243,15</w:t>
            </w:r>
          </w:p>
        </w:tc>
        <w:tc>
          <w:tcPr>
            <w:tcW w:w="1510" w:type="dxa"/>
            <w:tcBorders>
              <w:top w:val="single" w:sz="4" w:space="0" w:color="993333"/>
              <w:bottom w:val="single" w:sz="4" w:space="0" w:color="993333"/>
            </w:tcBorders>
            <w:shd w:val="clear" w:color="auto" w:fill="E7E6E6"/>
            <w:vAlign w:val="center"/>
          </w:tcPr>
          <w:p w14:paraId="79C26DD2"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6.877.159,04</w:t>
            </w:r>
          </w:p>
        </w:tc>
        <w:tc>
          <w:tcPr>
            <w:tcW w:w="1510" w:type="dxa"/>
            <w:tcBorders>
              <w:top w:val="single" w:sz="4" w:space="0" w:color="993333"/>
              <w:bottom w:val="single" w:sz="4" w:space="0" w:color="993333"/>
            </w:tcBorders>
            <w:shd w:val="clear" w:color="auto" w:fill="E7E6E6"/>
            <w:vAlign w:val="center"/>
          </w:tcPr>
          <w:p w14:paraId="32FBF7A4"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85,83</w:t>
            </w:r>
          </w:p>
        </w:tc>
        <w:tc>
          <w:tcPr>
            <w:tcW w:w="1307" w:type="dxa"/>
            <w:tcBorders>
              <w:top w:val="single" w:sz="4" w:space="0" w:color="993333"/>
              <w:bottom w:val="single" w:sz="4" w:space="0" w:color="993333"/>
            </w:tcBorders>
            <w:shd w:val="clear" w:color="auto" w:fill="E7E6E6"/>
            <w:vAlign w:val="center"/>
          </w:tcPr>
          <w:p w14:paraId="07582D37"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6.794.428,70</w:t>
            </w:r>
          </w:p>
        </w:tc>
        <w:tc>
          <w:tcPr>
            <w:tcW w:w="1525" w:type="dxa"/>
            <w:tcBorders>
              <w:top w:val="single" w:sz="4" w:space="0" w:color="993333"/>
              <w:bottom w:val="single" w:sz="4" w:space="0" w:color="993333"/>
            </w:tcBorders>
            <w:shd w:val="clear" w:color="auto" w:fill="E7E6E6"/>
            <w:vAlign w:val="center"/>
          </w:tcPr>
          <w:p w14:paraId="5CCB5A44"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84,80</w:t>
            </w:r>
          </w:p>
        </w:tc>
        <w:tc>
          <w:tcPr>
            <w:tcW w:w="1229" w:type="dxa"/>
            <w:tcBorders>
              <w:top w:val="single" w:sz="4" w:space="0" w:color="993333"/>
              <w:bottom w:val="single" w:sz="4" w:space="0" w:color="993333"/>
            </w:tcBorders>
            <w:shd w:val="clear" w:color="auto" w:fill="E7E6E6"/>
            <w:vAlign w:val="center"/>
          </w:tcPr>
          <w:p w14:paraId="0052C0E4"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6.776.889,17</w:t>
            </w:r>
          </w:p>
        </w:tc>
        <w:tc>
          <w:tcPr>
            <w:tcW w:w="1335" w:type="dxa"/>
            <w:tcBorders>
              <w:top w:val="single" w:sz="4" w:space="0" w:color="993333"/>
              <w:bottom w:val="single" w:sz="4" w:space="0" w:color="993333"/>
            </w:tcBorders>
            <w:shd w:val="clear" w:color="auto" w:fill="E7E6E6"/>
            <w:vAlign w:val="center"/>
          </w:tcPr>
          <w:p w14:paraId="01BEAAAC"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99,74</w:t>
            </w:r>
          </w:p>
        </w:tc>
        <w:tc>
          <w:tcPr>
            <w:tcW w:w="1093" w:type="dxa"/>
            <w:tcBorders>
              <w:top w:val="single" w:sz="4" w:space="0" w:color="993333"/>
              <w:bottom w:val="single" w:sz="4" w:space="0" w:color="993333"/>
            </w:tcBorders>
            <w:shd w:val="clear" w:color="auto" w:fill="E7E6E6"/>
            <w:vAlign w:val="center"/>
          </w:tcPr>
          <w:p w14:paraId="0AA632AD"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17.539,53</w:t>
            </w:r>
          </w:p>
        </w:tc>
      </w:tr>
      <w:tr w:rsidR="002601BF" w:rsidRPr="002601BF" w14:paraId="63740F8A" w14:textId="77777777" w:rsidTr="002601BF">
        <w:trPr>
          <w:jc w:val="center"/>
        </w:trPr>
        <w:tc>
          <w:tcPr>
            <w:tcW w:w="1214" w:type="dxa"/>
            <w:tcBorders>
              <w:top w:val="single" w:sz="4" w:space="0" w:color="993333"/>
              <w:bottom w:val="single" w:sz="4" w:space="0" w:color="993333"/>
            </w:tcBorders>
            <w:shd w:val="clear" w:color="auto" w:fill="FFFFFF"/>
            <w:vAlign w:val="center"/>
          </w:tcPr>
          <w:p w14:paraId="0F3468C6"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b/>
                <w:bCs/>
                <w:kern w:val="2"/>
                <w:sz w:val="18"/>
                <w:szCs w:val="18"/>
                <w:lang w:eastAsia="zh-CN" w:bidi="hi-IN"/>
              </w:rPr>
            </w:pPr>
            <w:r w:rsidRPr="002601BF">
              <w:rPr>
                <w:rFonts w:ascii="Arial" w:eastAsia="NSimSun" w:hAnsi="Arial" w:cs="Arial"/>
                <w:b/>
                <w:bCs/>
                <w:kern w:val="2"/>
                <w:sz w:val="18"/>
                <w:szCs w:val="18"/>
                <w:lang w:eastAsia="zh-CN" w:bidi="hi-IN"/>
              </w:rPr>
              <w:t>VI</w:t>
            </w:r>
          </w:p>
        </w:tc>
        <w:tc>
          <w:tcPr>
            <w:tcW w:w="1161" w:type="dxa"/>
            <w:tcBorders>
              <w:top w:val="single" w:sz="4" w:space="0" w:color="993333"/>
              <w:bottom w:val="single" w:sz="4" w:space="0" w:color="993333"/>
            </w:tcBorders>
            <w:shd w:val="clear" w:color="auto" w:fill="auto"/>
          </w:tcPr>
          <w:p w14:paraId="68A43FB8"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199.890,00</w:t>
            </w:r>
          </w:p>
        </w:tc>
        <w:tc>
          <w:tcPr>
            <w:tcW w:w="1411" w:type="dxa"/>
            <w:tcBorders>
              <w:top w:val="single" w:sz="4" w:space="0" w:color="993333"/>
              <w:bottom w:val="single" w:sz="4" w:space="0" w:color="993333"/>
            </w:tcBorders>
            <w:shd w:val="clear" w:color="auto" w:fill="auto"/>
          </w:tcPr>
          <w:p w14:paraId="002D587E"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0,00</w:t>
            </w:r>
          </w:p>
        </w:tc>
        <w:tc>
          <w:tcPr>
            <w:tcW w:w="1232" w:type="dxa"/>
            <w:tcBorders>
              <w:top w:val="single" w:sz="4" w:space="0" w:color="993333"/>
              <w:bottom w:val="single" w:sz="4" w:space="0" w:color="993333"/>
            </w:tcBorders>
            <w:shd w:val="clear" w:color="auto" w:fill="auto"/>
            <w:vAlign w:val="center"/>
          </w:tcPr>
          <w:p w14:paraId="66A87F16"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199.890,00</w:t>
            </w:r>
          </w:p>
        </w:tc>
        <w:tc>
          <w:tcPr>
            <w:tcW w:w="1510" w:type="dxa"/>
            <w:tcBorders>
              <w:top w:val="single" w:sz="4" w:space="0" w:color="993333"/>
              <w:bottom w:val="single" w:sz="4" w:space="0" w:color="993333"/>
            </w:tcBorders>
            <w:shd w:val="clear" w:color="auto" w:fill="auto"/>
            <w:vAlign w:val="center"/>
          </w:tcPr>
          <w:p w14:paraId="69205A5D"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41.253,66</w:t>
            </w:r>
          </w:p>
        </w:tc>
        <w:tc>
          <w:tcPr>
            <w:tcW w:w="1510" w:type="dxa"/>
            <w:tcBorders>
              <w:top w:val="single" w:sz="4" w:space="0" w:color="993333"/>
              <w:bottom w:val="single" w:sz="4" w:space="0" w:color="993333"/>
            </w:tcBorders>
            <w:shd w:val="clear" w:color="auto" w:fill="auto"/>
            <w:vAlign w:val="center"/>
          </w:tcPr>
          <w:p w14:paraId="1937952D"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20,64</w:t>
            </w:r>
          </w:p>
        </w:tc>
        <w:tc>
          <w:tcPr>
            <w:tcW w:w="1307" w:type="dxa"/>
            <w:tcBorders>
              <w:top w:val="single" w:sz="4" w:space="0" w:color="993333"/>
              <w:bottom w:val="single" w:sz="4" w:space="0" w:color="993333"/>
            </w:tcBorders>
            <w:shd w:val="clear" w:color="auto" w:fill="auto"/>
            <w:vAlign w:val="center"/>
          </w:tcPr>
          <w:p w14:paraId="0462AEB3"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22.398,27</w:t>
            </w:r>
          </w:p>
        </w:tc>
        <w:tc>
          <w:tcPr>
            <w:tcW w:w="1525" w:type="dxa"/>
            <w:tcBorders>
              <w:top w:val="single" w:sz="4" w:space="0" w:color="993333"/>
              <w:bottom w:val="single" w:sz="4" w:space="0" w:color="993333"/>
            </w:tcBorders>
            <w:shd w:val="clear" w:color="auto" w:fill="auto"/>
            <w:vAlign w:val="center"/>
          </w:tcPr>
          <w:p w14:paraId="58D4CA37"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11,21</w:t>
            </w:r>
          </w:p>
        </w:tc>
        <w:tc>
          <w:tcPr>
            <w:tcW w:w="1229" w:type="dxa"/>
            <w:tcBorders>
              <w:top w:val="single" w:sz="4" w:space="0" w:color="993333"/>
              <w:bottom w:val="single" w:sz="4" w:space="0" w:color="993333"/>
            </w:tcBorders>
            <w:shd w:val="clear" w:color="auto" w:fill="auto"/>
            <w:vAlign w:val="center"/>
          </w:tcPr>
          <w:p w14:paraId="765E7ADE"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22.398,27</w:t>
            </w:r>
          </w:p>
        </w:tc>
        <w:tc>
          <w:tcPr>
            <w:tcW w:w="1335" w:type="dxa"/>
            <w:tcBorders>
              <w:top w:val="single" w:sz="4" w:space="0" w:color="993333"/>
              <w:bottom w:val="single" w:sz="4" w:space="0" w:color="993333"/>
            </w:tcBorders>
            <w:shd w:val="clear" w:color="auto" w:fill="auto"/>
            <w:vAlign w:val="center"/>
          </w:tcPr>
          <w:p w14:paraId="219C7D27"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100,00</w:t>
            </w:r>
          </w:p>
        </w:tc>
        <w:tc>
          <w:tcPr>
            <w:tcW w:w="1093" w:type="dxa"/>
            <w:tcBorders>
              <w:top w:val="single" w:sz="4" w:space="0" w:color="993333"/>
              <w:bottom w:val="single" w:sz="4" w:space="0" w:color="993333"/>
            </w:tcBorders>
            <w:shd w:val="clear" w:color="auto" w:fill="auto"/>
            <w:vAlign w:val="center"/>
          </w:tcPr>
          <w:p w14:paraId="0B7A073B"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p>
        </w:tc>
      </w:tr>
      <w:tr w:rsidR="002601BF" w:rsidRPr="002601BF" w14:paraId="5C3477CC" w14:textId="77777777" w:rsidTr="002601BF">
        <w:trPr>
          <w:jc w:val="center"/>
        </w:trPr>
        <w:tc>
          <w:tcPr>
            <w:tcW w:w="1214" w:type="dxa"/>
            <w:tcBorders>
              <w:top w:val="single" w:sz="4" w:space="0" w:color="993333"/>
              <w:bottom w:val="single" w:sz="4" w:space="0" w:color="993333"/>
            </w:tcBorders>
            <w:shd w:val="clear" w:color="auto" w:fill="FFFFFF"/>
            <w:vAlign w:val="center"/>
          </w:tcPr>
          <w:p w14:paraId="7685084E"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b/>
                <w:bCs/>
                <w:kern w:val="2"/>
                <w:sz w:val="18"/>
                <w:szCs w:val="18"/>
                <w:lang w:eastAsia="zh-CN" w:bidi="hi-IN"/>
              </w:rPr>
            </w:pPr>
            <w:r w:rsidRPr="002601BF">
              <w:rPr>
                <w:rFonts w:ascii="Arial" w:eastAsia="NSimSun" w:hAnsi="Arial" w:cs="Arial"/>
                <w:b/>
                <w:bCs/>
                <w:kern w:val="2"/>
                <w:sz w:val="18"/>
                <w:szCs w:val="18"/>
                <w:lang w:eastAsia="zh-CN" w:bidi="hi-IN"/>
              </w:rPr>
              <w:t>TOTAL operaciones capital</w:t>
            </w:r>
          </w:p>
        </w:tc>
        <w:tc>
          <w:tcPr>
            <w:tcW w:w="1161" w:type="dxa"/>
            <w:tcBorders>
              <w:top w:val="single" w:sz="4" w:space="0" w:color="993333"/>
              <w:bottom w:val="single" w:sz="4" w:space="0" w:color="993333"/>
            </w:tcBorders>
            <w:shd w:val="clear" w:color="auto" w:fill="auto"/>
          </w:tcPr>
          <w:p w14:paraId="689C9D1B"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p>
          <w:p w14:paraId="5B440FEA"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199.890,00</w:t>
            </w:r>
          </w:p>
        </w:tc>
        <w:tc>
          <w:tcPr>
            <w:tcW w:w="1411" w:type="dxa"/>
            <w:tcBorders>
              <w:top w:val="single" w:sz="4" w:space="0" w:color="993333"/>
              <w:bottom w:val="single" w:sz="4" w:space="0" w:color="993333"/>
            </w:tcBorders>
            <w:shd w:val="clear" w:color="auto" w:fill="auto"/>
          </w:tcPr>
          <w:p w14:paraId="5D236E8E"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p>
          <w:p w14:paraId="335522AA"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0,00</w:t>
            </w:r>
          </w:p>
        </w:tc>
        <w:tc>
          <w:tcPr>
            <w:tcW w:w="1232" w:type="dxa"/>
            <w:tcBorders>
              <w:top w:val="single" w:sz="4" w:space="0" w:color="993333"/>
              <w:bottom w:val="single" w:sz="4" w:space="0" w:color="993333"/>
            </w:tcBorders>
            <w:shd w:val="clear" w:color="auto" w:fill="auto"/>
          </w:tcPr>
          <w:p w14:paraId="641FAEDE"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p>
          <w:p w14:paraId="2E84760F"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199.890,00</w:t>
            </w:r>
          </w:p>
        </w:tc>
        <w:tc>
          <w:tcPr>
            <w:tcW w:w="1510" w:type="dxa"/>
            <w:tcBorders>
              <w:top w:val="single" w:sz="4" w:space="0" w:color="993333"/>
              <w:bottom w:val="single" w:sz="4" w:space="0" w:color="993333"/>
            </w:tcBorders>
            <w:shd w:val="clear" w:color="auto" w:fill="auto"/>
          </w:tcPr>
          <w:p w14:paraId="2AB1D725"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p>
          <w:p w14:paraId="03977B0A"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41.253,66</w:t>
            </w:r>
          </w:p>
        </w:tc>
        <w:tc>
          <w:tcPr>
            <w:tcW w:w="1510" w:type="dxa"/>
            <w:tcBorders>
              <w:top w:val="single" w:sz="4" w:space="0" w:color="993333"/>
              <w:bottom w:val="single" w:sz="4" w:space="0" w:color="993333"/>
            </w:tcBorders>
            <w:shd w:val="clear" w:color="auto" w:fill="auto"/>
          </w:tcPr>
          <w:p w14:paraId="6557E4E1"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kern w:val="2"/>
                <w:sz w:val="18"/>
                <w:szCs w:val="18"/>
                <w:lang w:eastAsia="zh-CN" w:bidi="hi-IN"/>
              </w:rPr>
            </w:pPr>
          </w:p>
          <w:p w14:paraId="77F4790E"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20,64</w:t>
            </w:r>
          </w:p>
        </w:tc>
        <w:tc>
          <w:tcPr>
            <w:tcW w:w="1307" w:type="dxa"/>
            <w:tcBorders>
              <w:top w:val="single" w:sz="4" w:space="0" w:color="993333"/>
              <w:bottom w:val="single" w:sz="4" w:space="0" w:color="993333"/>
            </w:tcBorders>
            <w:shd w:val="clear" w:color="auto" w:fill="auto"/>
            <w:vAlign w:val="center"/>
          </w:tcPr>
          <w:p w14:paraId="78D50ECF"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22.398,27</w:t>
            </w:r>
          </w:p>
        </w:tc>
        <w:tc>
          <w:tcPr>
            <w:tcW w:w="1525" w:type="dxa"/>
            <w:tcBorders>
              <w:top w:val="single" w:sz="4" w:space="0" w:color="993333"/>
              <w:bottom w:val="single" w:sz="4" w:space="0" w:color="993333"/>
            </w:tcBorders>
            <w:shd w:val="clear" w:color="auto" w:fill="auto"/>
          </w:tcPr>
          <w:p w14:paraId="20A61DCD"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kern w:val="2"/>
                <w:sz w:val="18"/>
                <w:szCs w:val="18"/>
                <w:lang w:eastAsia="zh-CN" w:bidi="hi-IN"/>
              </w:rPr>
            </w:pPr>
          </w:p>
          <w:p w14:paraId="1FD20C07"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11,21</w:t>
            </w:r>
          </w:p>
        </w:tc>
        <w:tc>
          <w:tcPr>
            <w:tcW w:w="1229" w:type="dxa"/>
            <w:tcBorders>
              <w:top w:val="single" w:sz="4" w:space="0" w:color="993333"/>
              <w:bottom w:val="single" w:sz="4" w:space="0" w:color="993333"/>
            </w:tcBorders>
            <w:shd w:val="clear" w:color="auto" w:fill="auto"/>
          </w:tcPr>
          <w:p w14:paraId="5824381E"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p>
          <w:p w14:paraId="0089ACFF"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22.398,27</w:t>
            </w:r>
          </w:p>
        </w:tc>
        <w:tc>
          <w:tcPr>
            <w:tcW w:w="1335" w:type="dxa"/>
            <w:tcBorders>
              <w:top w:val="single" w:sz="4" w:space="0" w:color="993333"/>
              <w:bottom w:val="single" w:sz="4" w:space="0" w:color="993333"/>
            </w:tcBorders>
            <w:shd w:val="clear" w:color="auto" w:fill="auto"/>
          </w:tcPr>
          <w:p w14:paraId="3CBE5ACC"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kern w:val="2"/>
                <w:sz w:val="18"/>
                <w:szCs w:val="18"/>
                <w:lang w:eastAsia="zh-CN" w:bidi="hi-IN"/>
              </w:rPr>
            </w:pPr>
          </w:p>
          <w:p w14:paraId="6DAE2BBC"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kern w:val="2"/>
                <w:sz w:val="18"/>
                <w:szCs w:val="18"/>
                <w:lang w:eastAsia="zh-CN" w:bidi="hi-IN"/>
              </w:rPr>
            </w:pPr>
            <w:r w:rsidRPr="002601BF">
              <w:rPr>
                <w:rFonts w:ascii="Arial" w:eastAsia="NSimSun" w:hAnsi="Arial" w:cs="Arial"/>
                <w:kern w:val="2"/>
                <w:sz w:val="18"/>
                <w:szCs w:val="18"/>
                <w:lang w:eastAsia="zh-CN" w:bidi="hi-IN"/>
              </w:rPr>
              <w:t>100,00</w:t>
            </w:r>
          </w:p>
        </w:tc>
        <w:tc>
          <w:tcPr>
            <w:tcW w:w="1093" w:type="dxa"/>
            <w:tcBorders>
              <w:top w:val="single" w:sz="4" w:space="0" w:color="993333"/>
              <w:bottom w:val="single" w:sz="4" w:space="0" w:color="993333"/>
            </w:tcBorders>
            <w:shd w:val="clear" w:color="auto" w:fill="auto"/>
          </w:tcPr>
          <w:p w14:paraId="4DD0B89E"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p>
          <w:p w14:paraId="5B475FD6"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kern w:val="2"/>
                <w:sz w:val="18"/>
                <w:szCs w:val="18"/>
                <w:lang w:eastAsia="zh-CN" w:bidi="hi-IN"/>
              </w:rPr>
            </w:pPr>
          </w:p>
        </w:tc>
      </w:tr>
      <w:tr w:rsidR="002601BF" w:rsidRPr="002601BF" w14:paraId="68766A90" w14:textId="77777777" w:rsidTr="002601BF">
        <w:trPr>
          <w:jc w:val="center"/>
        </w:trPr>
        <w:tc>
          <w:tcPr>
            <w:tcW w:w="1214" w:type="dxa"/>
            <w:tcBorders>
              <w:top w:val="single" w:sz="4" w:space="0" w:color="993333"/>
              <w:bottom w:val="single" w:sz="4" w:space="0" w:color="993333"/>
            </w:tcBorders>
            <w:shd w:val="clear" w:color="auto" w:fill="E7E6E6"/>
            <w:vAlign w:val="center"/>
          </w:tcPr>
          <w:p w14:paraId="63E4ABE4"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b/>
                <w:bCs/>
                <w:kern w:val="2"/>
                <w:sz w:val="18"/>
                <w:szCs w:val="18"/>
                <w:lang w:eastAsia="zh-CN" w:bidi="hi-IN"/>
              </w:rPr>
            </w:pPr>
            <w:r w:rsidRPr="002601BF">
              <w:rPr>
                <w:rFonts w:ascii="Arial" w:eastAsia="NSimSun" w:hAnsi="Arial" w:cs="Arial"/>
                <w:b/>
                <w:bCs/>
                <w:kern w:val="2"/>
                <w:sz w:val="18"/>
                <w:szCs w:val="18"/>
                <w:lang w:eastAsia="zh-CN" w:bidi="hi-IN"/>
              </w:rPr>
              <w:t>TOTAL</w:t>
            </w:r>
          </w:p>
        </w:tc>
        <w:tc>
          <w:tcPr>
            <w:tcW w:w="1161" w:type="dxa"/>
            <w:tcBorders>
              <w:top w:val="single" w:sz="4" w:space="0" w:color="993333"/>
              <w:bottom w:val="single" w:sz="4" w:space="0" w:color="993333"/>
            </w:tcBorders>
            <w:shd w:val="clear" w:color="auto" w:fill="E7E6E6"/>
          </w:tcPr>
          <w:p w14:paraId="56A3416A"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b/>
                <w:bCs/>
                <w:kern w:val="2"/>
                <w:sz w:val="18"/>
                <w:szCs w:val="18"/>
                <w:lang w:eastAsia="zh-CN" w:bidi="hi-IN"/>
              </w:rPr>
            </w:pPr>
            <w:r w:rsidRPr="002601BF">
              <w:rPr>
                <w:rFonts w:ascii="Arial" w:eastAsia="NSimSun" w:hAnsi="Arial" w:cs="Arial"/>
                <w:b/>
                <w:bCs/>
                <w:kern w:val="2"/>
                <w:sz w:val="18"/>
                <w:szCs w:val="18"/>
                <w:lang w:eastAsia="zh-CN" w:bidi="hi-IN"/>
              </w:rPr>
              <w:t>4.424.340,00</w:t>
            </w:r>
          </w:p>
        </w:tc>
        <w:tc>
          <w:tcPr>
            <w:tcW w:w="1411" w:type="dxa"/>
            <w:tcBorders>
              <w:top w:val="single" w:sz="4" w:space="0" w:color="993333"/>
              <w:bottom w:val="single" w:sz="4" w:space="0" w:color="993333"/>
            </w:tcBorders>
            <w:shd w:val="clear" w:color="auto" w:fill="E7E6E6"/>
          </w:tcPr>
          <w:p w14:paraId="50115573"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b/>
                <w:bCs/>
                <w:kern w:val="2"/>
                <w:sz w:val="18"/>
                <w:szCs w:val="18"/>
                <w:lang w:eastAsia="zh-CN" w:bidi="hi-IN"/>
              </w:rPr>
            </w:pPr>
            <w:r w:rsidRPr="002601BF">
              <w:rPr>
                <w:rFonts w:ascii="Arial" w:eastAsia="NSimSun" w:hAnsi="Arial" w:cs="Arial"/>
                <w:b/>
                <w:bCs/>
                <w:kern w:val="2"/>
                <w:sz w:val="18"/>
                <w:szCs w:val="18"/>
                <w:lang w:eastAsia="zh-CN" w:bidi="hi-IN"/>
              </w:rPr>
              <w:t>3.787.793,15</w:t>
            </w:r>
            <w:r w:rsidRPr="002601BF">
              <w:rPr>
                <w:rFonts w:ascii="Arial" w:eastAsia="NSimSun" w:hAnsi="Arial" w:cs="Arial"/>
                <w:b/>
                <w:bCs/>
                <w:kern w:val="2"/>
                <w:sz w:val="18"/>
                <w:szCs w:val="18"/>
                <w:vertAlign w:val="superscript"/>
                <w:lang w:eastAsia="zh-CN" w:bidi="hi-IN"/>
              </w:rPr>
              <w:footnoteReference w:customMarkFollows="1" w:id="6"/>
              <w:sym w:font="Symbol" w:char="F02A"/>
            </w:r>
          </w:p>
        </w:tc>
        <w:tc>
          <w:tcPr>
            <w:tcW w:w="1232" w:type="dxa"/>
            <w:tcBorders>
              <w:top w:val="single" w:sz="4" w:space="0" w:color="993333"/>
              <w:bottom w:val="single" w:sz="4" w:space="0" w:color="993333"/>
            </w:tcBorders>
            <w:shd w:val="clear" w:color="auto" w:fill="E7E6E6"/>
            <w:vAlign w:val="center"/>
          </w:tcPr>
          <w:p w14:paraId="440803BB"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b/>
                <w:bCs/>
                <w:kern w:val="2"/>
                <w:sz w:val="18"/>
                <w:szCs w:val="18"/>
                <w:lang w:eastAsia="zh-CN" w:bidi="hi-IN"/>
              </w:rPr>
            </w:pPr>
            <w:r w:rsidRPr="002601BF">
              <w:rPr>
                <w:rFonts w:ascii="Arial" w:eastAsia="NSimSun" w:hAnsi="Arial" w:cs="Arial"/>
                <w:b/>
                <w:bCs/>
                <w:kern w:val="2"/>
                <w:sz w:val="18"/>
                <w:szCs w:val="18"/>
                <w:lang w:eastAsia="zh-CN" w:bidi="hi-IN"/>
              </w:rPr>
              <w:t>8.212.133,15*</w:t>
            </w:r>
          </w:p>
        </w:tc>
        <w:tc>
          <w:tcPr>
            <w:tcW w:w="1510" w:type="dxa"/>
            <w:tcBorders>
              <w:top w:val="single" w:sz="4" w:space="0" w:color="993333"/>
              <w:bottom w:val="single" w:sz="4" w:space="0" w:color="993333"/>
            </w:tcBorders>
            <w:shd w:val="clear" w:color="auto" w:fill="E7E6E6"/>
            <w:vAlign w:val="center"/>
          </w:tcPr>
          <w:p w14:paraId="0283E671"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b/>
                <w:bCs/>
                <w:kern w:val="2"/>
                <w:sz w:val="18"/>
                <w:szCs w:val="18"/>
                <w:lang w:eastAsia="zh-CN" w:bidi="hi-IN"/>
              </w:rPr>
            </w:pPr>
            <w:r w:rsidRPr="002601BF">
              <w:rPr>
                <w:rFonts w:ascii="Arial" w:eastAsia="NSimSun" w:hAnsi="Arial" w:cs="Arial"/>
                <w:b/>
                <w:bCs/>
                <w:kern w:val="2"/>
                <w:sz w:val="18"/>
                <w:szCs w:val="18"/>
                <w:lang w:eastAsia="zh-CN" w:bidi="hi-IN"/>
              </w:rPr>
              <w:t>6.918.412,70</w:t>
            </w:r>
          </w:p>
        </w:tc>
        <w:tc>
          <w:tcPr>
            <w:tcW w:w="1510" w:type="dxa"/>
            <w:tcBorders>
              <w:top w:val="single" w:sz="4" w:space="0" w:color="993333"/>
              <w:bottom w:val="single" w:sz="4" w:space="0" w:color="993333"/>
            </w:tcBorders>
            <w:shd w:val="clear" w:color="auto" w:fill="E7E6E6"/>
            <w:vAlign w:val="center"/>
          </w:tcPr>
          <w:p w14:paraId="192C37CC"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b/>
                <w:bCs/>
                <w:kern w:val="2"/>
                <w:sz w:val="18"/>
                <w:szCs w:val="18"/>
                <w:lang w:eastAsia="zh-CN" w:bidi="hi-IN"/>
              </w:rPr>
            </w:pPr>
            <w:r w:rsidRPr="002601BF">
              <w:rPr>
                <w:rFonts w:ascii="Arial" w:eastAsia="NSimSun" w:hAnsi="Arial" w:cs="Arial"/>
                <w:b/>
                <w:bCs/>
                <w:kern w:val="2"/>
                <w:sz w:val="18"/>
                <w:szCs w:val="18"/>
                <w:lang w:eastAsia="zh-CN" w:bidi="hi-IN"/>
              </w:rPr>
              <w:t>84,25</w:t>
            </w:r>
          </w:p>
        </w:tc>
        <w:tc>
          <w:tcPr>
            <w:tcW w:w="1307" w:type="dxa"/>
            <w:tcBorders>
              <w:top w:val="single" w:sz="4" w:space="0" w:color="993333"/>
              <w:bottom w:val="single" w:sz="4" w:space="0" w:color="993333"/>
            </w:tcBorders>
            <w:shd w:val="clear" w:color="auto" w:fill="E7E6E6"/>
            <w:vAlign w:val="center"/>
          </w:tcPr>
          <w:p w14:paraId="5065502C"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b/>
                <w:bCs/>
                <w:kern w:val="2"/>
                <w:sz w:val="18"/>
                <w:szCs w:val="18"/>
                <w:lang w:eastAsia="zh-CN" w:bidi="hi-IN"/>
              </w:rPr>
            </w:pPr>
            <w:r w:rsidRPr="002601BF">
              <w:rPr>
                <w:rFonts w:ascii="Arial" w:eastAsia="NSimSun" w:hAnsi="Arial" w:cs="Arial"/>
                <w:b/>
                <w:bCs/>
                <w:kern w:val="2"/>
                <w:sz w:val="18"/>
                <w:szCs w:val="18"/>
                <w:lang w:eastAsia="zh-CN" w:bidi="hi-IN"/>
              </w:rPr>
              <w:t>6.816.826,97</w:t>
            </w:r>
          </w:p>
        </w:tc>
        <w:tc>
          <w:tcPr>
            <w:tcW w:w="1525" w:type="dxa"/>
            <w:tcBorders>
              <w:top w:val="single" w:sz="4" w:space="0" w:color="993333"/>
              <w:bottom w:val="single" w:sz="4" w:space="0" w:color="993333"/>
            </w:tcBorders>
            <w:shd w:val="clear" w:color="auto" w:fill="E7E6E6"/>
            <w:vAlign w:val="center"/>
          </w:tcPr>
          <w:p w14:paraId="59C18844"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b/>
                <w:bCs/>
                <w:kern w:val="2"/>
                <w:sz w:val="18"/>
                <w:szCs w:val="18"/>
                <w:lang w:eastAsia="zh-CN" w:bidi="hi-IN"/>
              </w:rPr>
            </w:pPr>
            <w:r w:rsidRPr="002601BF">
              <w:rPr>
                <w:rFonts w:ascii="Arial" w:eastAsia="NSimSun" w:hAnsi="Arial" w:cs="Arial"/>
                <w:b/>
                <w:bCs/>
                <w:kern w:val="2"/>
                <w:sz w:val="18"/>
                <w:szCs w:val="18"/>
                <w:lang w:eastAsia="zh-CN" w:bidi="hi-IN"/>
              </w:rPr>
              <w:t>83,01</w:t>
            </w:r>
          </w:p>
        </w:tc>
        <w:tc>
          <w:tcPr>
            <w:tcW w:w="1229" w:type="dxa"/>
            <w:tcBorders>
              <w:top w:val="single" w:sz="4" w:space="0" w:color="993333"/>
              <w:bottom w:val="single" w:sz="4" w:space="0" w:color="993333"/>
            </w:tcBorders>
            <w:shd w:val="clear" w:color="auto" w:fill="E7E6E6"/>
            <w:vAlign w:val="center"/>
          </w:tcPr>
          <w:p w14:paraId="70958233"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b/>
                <w:bCs/>
                <w:kern w:val="2"/>
                <w:sz w:val="18"/>
                <w:szCs w:val="18"/>
                <w:lang w:eastAsia="zh-CN" w:bidi="hi-IN"/>
              </w:rPr>
            </w:pPr>
            <w:r w:rsidRPr="002601BF">
              <w:rPr>
                <w:rFonts w:ascii="Arial" w:eastAsia="NSimSun" w:hAnsi="Arial" w:cs="Arial"/>
                <w:b/>
                <w:bCs/>
                <w:kern w:val="2"/>
                <w:sz w:val="18"/>
                <w:szCs w:val="18"/>
                <w:lang w:eastAsia="zh-CN" w:bidi="hi-IN"/>
              </w:rPr>
              <w:t>6.799.287,44</w:t>
            </w:r>
          </w:p>
        </w:tc>
        <w:tc>
          <w:tcPr>
            <w:tcW w:w="1335" w:type="dxa"/>
            <w:tcBorders>
              <w:top w:val="single" w:sz="4" w:space="0" w:color="993333"/>
              <w:bottom w:val="single" w:sz="4" w:space="0" w:color="993333"/>
            </w:tcBorders>
            <w:shd w:val="clear" w:color="auto" w:fill="E7E6E6"/>
            <w:vAlign w:val="center"/>
          </w:tcPr>
          <w:p w14:paraId="32B0D524" w14:textId="77777777" w:rsidR="002601BF" w:rsidRPr="002601BF" w:rsidRDefault="002601BF" w:rsidP="002601BF">
            <w:pPr>
              <w:widowControl w:val="0"/>
              <w:suppressAutoHyphens/>
              <w:spacing w:after="0" w:line="276" w:lineRule="auto"/>
              <w:jc w:val="center"/>
              <w:textAlignment w:val="baseline"/>
              <w:rPr>
                <w:rFonts w:ascii="Arial" w:eastAsia="NSimSun" w:hAnsi="Arial" w:cs="Arial"/>
                <w:b/>
                <w:bCs/>
                <w:kern w:val="2"/>
                <w:sz w:val="18"/>
                <w:szCs w:val="18"/>
                <w:lang w:eastAsia="zh-CN" w:bidi="hi-IN"/>
              </w:rPr>
            </w:pPr>
            <w:r w:rsidRPr="002601BF">
              <w:rPr>
                <w:rFonts w:ascii="Arial" w:eastAsia="NSimSun" w:hAnsi="Arial" w:cs="Arial"/>
                <w:b/>
                <w:bCs/>
                <w:kern w:val="2"/>
                <w:sz w:val="18"/>
                <w:szCs w:val="18"/>
                <w:lang w:eastAsia="zh-CN" w:bidi="hi-IN"/>
              </w:rPr>
              <w:t>99,74</w:t>
            </w:r>
          </w:p>
        </w:tc>
        <w:tc>
          <w:tcPr>
            <w:tcW w:w="1093" w:type="dxa"/>
            <w:tcBorders>
              <w:top w:val="single" w:sz="4" w:space="0" w:color="993333"/>
              <w:bottom w:val="single" w:sz="4" w:space="0" w:color="993333"/>
            </w:tcBorders>
            <w:shd w:val="clear" w:color="auto" w:fill="E7E6E6"/>
            <w:vAlign w:val="center"/>
          </w:tcPr>
          <w:p w14:paraId="44ED8E3C" w14:textId="77777777" w:rsidR="002601BF" w:rsidRPr="002601BF" w:rsidRDefault="002601BF" w:rsidP="002601BF">
            <w:pPr>
              <w:widowControl w:val="0"/>
              <w:suppressAutoHyphens/>
              <w:spacing w:after="0" w:line="276" w:lineRule="auto"/>
              <w:jc w:val="right"/>
              <w:textAlignment w:val="baseline"/>
              <w:rPr>
                <w:rFonts w:ascii="Arial" w:eastAsia="NSimSun" w:hAnsi="Arial" w:cs="Arial"/>
                <w:b/>
                <w:bCs/>
                <w:kern w:val="2"/>
                <w:sz w:val="18"/>
                <w:szCs w:val="18"/>
                <w:lang w:eastAsia="zh-CN" w:bidi="hi-IN"/>
              </w:rPr>
            </w:pPr>
            <w:r w:rsidRPr="002601BF">
              <w:rPr>
                <w:rFonts w:ascii="Arial" w:eastAsia="NSimSun" w:hAnsi="Arial" w:cs="Arial"/>
                <w:kern w:val="2"/>
                <w:sz w:val="18"/>
                <w:szCs w:val="18"/>
                <w:lang w:eastAsia="zh-CN" w:bidi="hi-IN"/>
              </w:rPr>
              <w:t>17.539,53</w:t>
            </w:r>
          </w:p>
        </w:tc>
      </w:tr>
    </w:tbl>
    <w:p w14:paraId="266BC606" w14:textId="0F9896CB" w:rsidR="00F84E97" w:rsidRDefault="00F84E97" w:rsidP="00A54EF9">
      <w:pPr>
        <w:spacing w:after="240" w:line="276" w:lineRule="auto"/>
        <w:jc w:val="both"/>
        <w:rPr>
          <w:rFonts w:ascii="Arial" w:eastAsia="Droid Sans Fallback" w:hAnsi="Arial" w:cs="Arial"/>
          <w:kern w:val="3"/>
          <w:sz w:val="21"/>
          <w:szCs w:val="21"/>
          <w:lang w:eastAsia="zh-CN" w:bidi="hi-IN"/>
        </w:rPr>
      </w:pPr>
    </w:p>
    <w:p w14:paraId="6BDDAF94" w14:textId="32A5A5B2" w:rsidR="00F84E97" w:rsidRDefault="00F84E97" w:rsidP="00A54EF9">
      <w:pPr>
        <w:spacing w:after="240" w:line="276" w:lineRule="auto"/>
        <w:jc w:val="both"/>
        <w:rPr>
          <w:rFonts w:ascii="Arial" w:eastAsia="Droid Sans Fallback" w:hAnsi="Arial" w:cs="Arial"/>
          <w:kern w:val="3"/>
          <w:sz w:val="21"/>
          <w:szCs w:val="21"/>
          <w:lang w:eastAsia="zh-CN" w:bidi="hi-IN"/>
        </w:rPr>
      </w:pPr>
    </w:p>
    <w:p w14:paraId="17D26AEB" w14:textId="7E5C7742" w:rsidR="00F84E97" w:rsidRDefault="00F84E97" w:rsidP="00A54EF9">
      <w:pPr>
        <w:spacing w:after="240" w:line="276" w:lineRule="auto"/>
        <w:jc w:val="both"/>
        <w:rPr>
          <w:rFonts w:ascii="Arial" w:eastAsia="Droid Sans Fallback" w:hAnsi="Arial" w:cs="Arial"/>
          <w:kern w:val="3"/>
          <w:sz w:val="21"/>
          <w:szCs w:val="21"/>
          <w:lang w:eastAsia="zh-CN" w:bidi="hi-IN"/>
        </w:rPr>
      </w:pPr>
    </w:p>
    <w:p w14:paraId="3F041070" w14:textId="0557AEC1" w:rsidR="008F158E" w:rsidRPr="008F158E" w:rsidRDefault="008F158E" w:rsidP="008F158E">
      <w:pPr>
        <w:pStyle w:val="Descripcin"/>
        <w:keepNext/>
        <w:jc w:val="center"/>
        <w:rPr>
          <w:rFonts w:ascii="Arial" w:hAnsi="Arial" w:cs="Arial"/>
          <w:smallCaps w:val="0"/>
          <w:sz w:val="18"/>
          <w:szCs w:val="18"/>
        </w:rPr>
      </w:pPr>
      <w:bookmarkStart w:id="565" w:name="_Toc99107176"/>
      <w:r w:rsidRPr="008F158E">
        <w:rPr>
          <w:rFonts w:ascii="Arial" w:hAnsi="Arial" w:cs="Arial"/>
          <w:smallCaps w:val="0"/>
          <w:color w:val="9D2235" w:themeColor="accent1"/>
          <w:sz w:val="18"/>
          <w:szCs w:val="18"/>
        </w:rPr>
        <w:t xml:space="preserve">Tabla </w:t>
      </w:r>
      <w:r w:rsidRPr="008F158E">
        <w:rPr>
          <w:rFonts w:ascii="Arial" w:hAnsi="Arial" w:cs="Arial"/>
          <w:smallCaps w:val="0"/>
          <w:color w:val="9D2235" w:themeColor="accent1"/>
          <w:sz w:val="18"/>
          <w:szCs w:val="18"/>
        </w:rPr>
        <w:fldChar w:fldCharType="begin" w:fldLock="1"/>
      </w:r>
      <w:r w:rsidRPr="008F158E">
        <w:rPr>
          <w:rFonts w:ascii="Arial" w:hAnsi="Arial" w:cs="Arial"/>
          <w:smallCaps w:val="0"/>
          <w:color w:val="9D2235" w:themeColor="accent1"/>
          <w:sz w:val="18"/>
          <w:szCs w:val="18"/>
        </w:rPr>
        <w:instrText xml:space="preserve"> SEQ Tabla \* ARABIC </w:instrText>
      </w:r>
      <w:r w:rsidRPr="008F158E">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38</w:t>
      </w:r>
      <w:r w:rsidRPr="008F158E">
        <w:rPr>
          <w:rFonts w:ascii="Arial" w:hAnsi="Arial" w:cs="Arial"/>
          <w:smallCaps w:val="0"/>
          <w:color w:val="9D2235" w:themeColor="accent1"/>
          <w:sz w:val="18"/>
          <w:szCs w:val="18"/>
        </w:rPr>
        <w:fldChar w:fldCharType="end"/>
      </w:r>
      <w:r w:rsidRPr="008F158E">
        <w:rPr>
          <w:rFonts w:ascii="Arial" w:hAnsi="Arial" w:cs="Arial"/>
          <w:smallCaps w:val="0"/>
          <w:color w:val="9D2235" w:themeColor="accent1"/>
          <w:sz w:val="18"/>
          <w:szCs w:val="18"/>
        </w:rPr>
        <w:t xml:space="preserve">. </w:t>
      </w:r>
      <w:r w:rsidRPr="008F158E">
        <w:rPr>
          <w:rFonts w:ascii="Arial" w:hAnsi="Arial" w:cs="Arial"/>
          <w:smallCaps w:val="0"/>
          <w:sz w:val="18"/>
          <w:szCs w:val="18"/>
        </w:rPr>
        <w:t>Comparativa del estado de ejecución de gastos a 31 de diciembre de los ejercicios 2020 y 2021</w:t>
      </w:r>
      <w:bookmarkEnd w:id="565"/>
    </w:p>
    <w:tbl>
      <w:tblPr>
        <w:tblW w:w="16297" w:type="dxa"/>
        <w:jc w:val="center"/>
        <w:tblLayout w:type="fixed"/>
        <w:tblCellMar>
          <w:left w:w="70" w:type="dxa"/>
          <w:right w:w="70" w:type="dxa"/>
        </w:tblCellMar>
        <w:tblLook w:val="04A0" w:firstRow="1" w:lastRow="0" w:firstColumn="1" w:lastColumn="0" w:noHBand="0" w:noVBand="1"/>
      </w:tblPr>
      <w:tblGrid>
        <w:gridCol w:w="704"/>
        <w:gridCol w:w="1276"/>
        <w:gridCol w:w="1134"/>
        <w:gridCol w:w="1417"/>
        <w:gridCol w:w="1134"/>
        <w:gridCol w:w="1276"/>
        <w:gridCol w:w="1276"/>
        <w:gridCol w:w="1417"/>
        <w:gridCol w:w="1701"/>
        <w:gridCol w:w="851"/>
        <w:gridCol w:w="567"/>
        <w:gridCol w:w="709"/>
        <w:gridCol w:w="708"/>
        <w:gridCol w:w="709"/>
        <w:gridCol w:w="709"/>
        <w:gridCol w:w="709"/>
      </w:tblGrid>
      <w:tr w:rsidR="008F158E" w:rsidRPr="008F158E" w14:paraId="09307C85" w14:textId="77777777" w:rsidTr="00271465">
        <w:trPr>
          <w:trHeight w:val="468"/>
          <w:jc w:val="center"/>
        </w:trPr>
        <w:tc>
          <w:tcPr>
            <w:tcW w:w="704" w:type="dxa"/>
            <w:vMerge w:val="restart"/>
            <w:tcBorders>
              <w:top w:val="single" w:sz="4" w:space="0" w:color="000000"/>
              <w:left w:val="single" w:sz="4" w:space="0" w:color="000000"/>
              <w:right w:val="nil"/>
            </w:tcBorders>
            <w:shd w:val="clear" w:color="auto" w:fill="9D2235"/>
            <w:vAlign w:val="center"/>
            <w:hideMark/>
          </w:tcPr>
          <w:p w14:paraId="4C77B6B3"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bookmarkStart w:id="566" w:name="_Hlk98929914"/>
            <w:r w:rsidRPr="008F158E">
              <w:rPr>
                <w:rFonts w:ascii="Arial" w:eastAsia="Times New Roman" w:hAnsi="Arial" w:cs="Arial"/>
                <w:b/>
                <w:bCs/>
                <w:color w:val="FFFFFF"/>
                <w:sz w:val="16"/>
                <w:szCs w:val="16"/>
                <w:lang w:eastAsia="es-ES"/>
              </w:rPr>
              <w:t>CAPÍT.</w:t>
            </w:r>
          </w:p>
        </w:tc>
        <w:tc>
          <w:tcPr>
            <w:tcW w:w="4961" w:type="dxa"/>
            <w:gridSpan w:val="4"/>
            <w:vMerge w:val="restart"/>
            <w:tcBorders>
              <w:top w:val="single" w:sz="4" w:space="0" w:color="auto"/>
              <w:left w:val="single" w:sz="4" w:space="0" w:color="auto"/>
              <w:right w:val="single" w:sz="4" w:space="0" w:color="auto"/>
            </w:tcBorders>
            <w:shd w:val="clear" w:color="auto" w:fill="9D2235"/>
            <w:vAlign w:val="center"/>
            <w:hideMark/>
          </w:tcPr>
          <w:p w14:paraId="27A8C3AD"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2020</w:t>
            </w:r>
          </w:p>
        </w:tc>
        <w:tc>
          <w:tcPr>
            <w:tcW w:w="5670" w:type="dxa"/>
            <w:gridSpan w:val="4"/>
            <w:vMerge w:val="restart"/>
            <w:tcBorders>
              <w:top w:val="single" w:sz="4" w:space="0" w:color="auto"/>
              <w:left w:val="single" w:sz="4" w:space="0" w:color="auto"/>
              <w:right w:val="single" w:sz="4" w:space="0" w:color="auto"/>
            </w:tcBorders>
            <w:shd w:val="clear" w:color="auto" w:fill="9D2235"/>
            <w:noWrap/>
            <w:vAlign w:val="center"/>
            <w:hideMark/>
          </w:tcPr>
          <w:p w14:paraId="106784BD"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2021</w:t>
            </w:r>
          </w:p>
        </w:tc>
        <w:tc>
          <w:tcPr>
            <w:tcW w:w="2835" w:type="dxa"/>
            <w:gridSpan w:val="4"/>
            <w:tcBorders>
              <w:top w:val="single" w:sz="4" w:space="0" w:color="auto"/>
              <w:left w:val="nil"/>
              <w:bottom w:val="single" w:sz="4" w:space="0" w:color="auto"/>
              <w:right w:val="single" w:sz="4" w:space="0" w:color="auto"/>
            </w:tcBorders>
            <w:shd w:val="clear" w:color="auto" w:fill="9D2235"/>
            <w:vAlign w:val="center"/>
            <w:hideMark/>
          </w:tcPr>
          <w:p w14:paraId="6E5C05AC"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 DE REALIZACIÓN</w:t>
            </w:r>
          </w:p>
        </w:tc>
        <w:tc>
          <w:tcPr>
            <w:tcW w:w="2127" w:type="dxa"/>
            <w:gridSpan w:val="3"/>
            <w:tcBorders>
              <w:top w:val="single" w:sz="4" w:space="0" w:color="auto"/>
              <w:left w:val="nil"/>
              <w:right w:val="single" w:sz="4" w:space="0" w:color="auto"/>
            </w:tcBorders>
            <w:shd w:val="clear" w:color="auto" w:fill="9D2235"/>
            <w:vAlign w:val="center"/>
          </w:tcPr>
          <w:p w14:paraId="5B528E78"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TASAS DE VARIACIÓN</w:t>
            </w:r>
          </w:p>
        </w:tc>
      </w:tr>
      <w:tr w:rsidR="008F158E" w:rsidRPr="008F158E" w14:paraId="648640FA" w14:textId="77777777" w:rsidTr="00271465">
        <w:trPr>
          <w:trHeight w:val="467"/>
          <w:jc w:val="center"/>
        </w:trPr>
        <w:tc>
          <w:tcPr>
            <w:tcW w:w="704" w:type="dxa"/>
            <w:vMerge/>
            <w:tcBorders>
              <w:left w:val="single" w:sz="4" w:space="0" w:color="000000"/>
              <w:right w:val="nil"/>
            </w:tcBorders>
            <w:shd w:val="clear" w:color="auto" w:fill="9D2235"/>
            <w:vAlign w:val="center"/>
          </w:tcPr>
          <w:p w14:paraId="2425B583"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p>
        </w:tc>
        <w:tc>
          <w:tcPr>
            <w:tcW w:w="4961" w:type="dxa"/>
            <w:gridSpan w:val="4"/>
            <w:vMerge/>
            <w:tcBorders>
              <w:left w:val="single" w:sz="4" w:space="0" w:color="auto"/>
              <w:bottom w:val="single" w:sz="4" w:space="0" w:color="auto"/>
              <w:right w:val="single" w:sz="4" w:space="0" w:color="auto"/>
            </w:tcBorders>
            <w:shd w:val="clear" w:color="auto" w:fill="9D2235"/>
            <w:vAlign w:val="center"/>
          </w:tcPr>
          <w:p w14:paraId="55B12919"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p>
        </w:tc>
        <w:tc>
          <w:tcPr>
            <w:tcW w:w="5670" w:type="dxa"/>
            <w:gridSpan w:val="4"/>
            <w:vMerge/>
            <w:tcBorders>
              <w:left w:val="single" w:sz="4" w:space="0" w:color="auto"/>
              <w:bottom w:val="single" w:sz="4" w:space="0" w:color="auto"/>
              <w:right w:val="single" w:sz="4" w:space="0" w:color="auto"/>
            </w:tcBorders>
            <w:shd w:val="clear" w:color="auto" w:fill="9D2235"/>
            <w:noWrap/>
            <w:vAlign w:val="center"/>
          </w:tcPr>
          <w:p w14:paraId="08827B01"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p>
        </w:tc>
        <w:tc>
          <w:tcPr>
            <w:tcW w:w="1418" w:type="dxa"/>
            <w:gridSpan w:val="2"/>
            <w:tcBorders>
              <w:top w:val="single" w:sz="4" w:space="0" w:color="auto"/>
              <w:left w:val="nil"/>
              <w:bottom w:val="single" w:sz="4" w:space="0" w:color="auto"/>
              <w:right w:val="single" w:sz="4" w:space="0" w:color="auto"/>
            </w:tcBorders>
            <w:shd w:val="clear" w:color="auto" w:fill="9D2235"/>
            <w:vAlign w:val="center"/>
          </w:tcPr>
          <w:p w14:paraId="10B57D74"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2020</w:t>
            </w:r>
          </w:p>
        </w:tc>
        <w:tc>
          <w:tcPr>
            <w:tcW w:w="1417" w:type="dxa"/>
            <w:gridSpan w:val="2"/>
            <w:tcBorders>
              <w:top w:val="single" w:sz="4" w:space="0" w:color="auto"/>
              <w:left w:val="nil"/>
              <w:bottom w:val="single" w:sz="4" w:space="0" w:color="auto"/>
              <w:right w:val="single" w:sz="4" w:space="0" w:color="auto"/>
            </w:tcBorders>
            <w:shd w:val="clear" w:color="auto" w:fill="9D2235"/>
            <w:vAlign w:val="center"/>
          </w:tcPr>
          <w:p w14:paraId="1D9A8570"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2021</w:t>
            </w:r>
          </w:p>
        </w:tc>
        <w:tc>
          <w:tcPr>
            <w:tcW w:w="2127" w:type="dxa"/>
            <w:gridSpan w:val="3"/>
            <w:tcBorders>
              <w:left w:val="nil"/>
              <w:bottom w:val="single" w:sz="4" w:space="0" w:color="auto"/>
              <w:right w:val="single" w:sz="4" w:space="0" w:color="auto"/>
            </w:tcBorders>
            <w:shd w:val="clear" w:color="auto" w:fill="9D2235"/>
            <w:vAlign w:val="center"/>
          </w:tcPr>
          <w:p w14:paraId="4BFDD94D" w14:textId="77777777" w:rsidR="008F158E" w:rsidRPr="008F158E" w:rsidRDefault="008F158E" w:rsidP="008F158E">
            <w:pPr>
              <w:spacing w:after="0" w:line="240" w:lineRule="auto"/>
              <w:rPr>
                <w:rFonts w:ascii="Arial" w:eastAsia="Times New Roman" w:hAnsi="Arial" w:cs="Arial"/>
                <w:b/>
                <w:bCs/>
                <w:color w:val="FFFFFF"/>
                <w:sz w:val="16"/>
                <w:szCs w:val="16"/>
                <w:lang w:eastAsia="es-ES"/>
              </w:rPr>
            </w:pPr>
          </w:p>
        </w:tc>
      </w:tr>
      <w:tr w:rsidR="008F158E" w:rsidRPr="008F158E" w14:paraId="1241C9FC" w14:textId="77777777" w:rsidTr="00271465">
        <w:trPr>
          <w:trHeight w:val="1035"/>
          <w:jc w:val="center"/>
        </w:trPr>
        <w:tc>
          <w:tcPr>
            <w:tcW w:w="704" w:type="dxa"/>
            <w:vMerge/>
            <w:tcBorders>
              <w:left w:val="single" w:sz="4" w:space="0" w:color="000000"/>
              <w:bottom w:val="single" w:sz="4" w:space="0" w:color="000000"/>
              <w:right w:val="nil"/>
            </w:tcBorders>
            <w:shd w:val="clear" w:color="auto" w:fill="9D2235"/>
            <w:vAlign w:val="center"/>
            <w:hideMark/>
          </w:tcPr>
          <w:p w14:paraId="0D77A724" w14:textId="77777777" w:rsidR="008F158E" w:rsidRPr="008F158E" w:rsidRDefault="008F158E" w:rsidP="008F158E">
            <w:pPr>
              <w:spacing w:after="0" w:line="240" w:lineRule="auto"/>
              <w:rPr>
                <w:rFonts w:ascii="Arial" w:eastAsia="Times New Roman" w:hAnsi="Arial" w:cs="Arial"/>
                <w:b/>
                <w:bCs/>
                <w:color w:val="FFFFFF"/>
                <w:sz w:val="16"/>
                <w:szCs w:val="16"/>
                <w:lang w:eastAsia="es-ES"/>
              </w:rPr>
            </w:pPr>
          </w:p>
        </w:tc>
        <w:tc>
          <w:tcPr>
            <w:tcW w:w="1276" w:type="dxa"/>
            <w:tcBorders>
              <w:top w:val="nil"/>
              <w:left w:val="single" w:sz="4" w:space="0" w:color="auto"/>
              <w:bottom w:val="single" w:sz="4" w:space="0" w:color="auto"/>
              <w:right w:val="single" w:sz="4" w:space="0" w:color="auto"/>
            </w:tcBorders>
            <w:shd w:val="clear" w:color="auto" w:fill="9D2235"/>
            <w:vAlign w:val="center"/>
            <w:hideMark/>
          </w:tcPr>
          <w:p w14:paraId="4253CE45" w14:textId="77777777" w:rsidR="008F158E" w:rsidRPr="008F158E" w:rsidRDefault="008F158E" w:rsidP="008F158E">
            <w:pPr>
              <w:spacing w:after="0" w:line="240" w:lineRule="auto"/>
              <w:ind w:left="201" w:hanging="201"/>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CRÉDITOS</w:t>
            </w:r>
          </w:p>
          <w:p w14:paraId="241CFDC4" w14:textId="77777777" w:rsidR="008F158E" w:rsidRPr="008F158E" w:rsidRDefault="008F158E" w:rsidP="008F158E">
            <w:pPr>
              <w:spacing w:after="0" w:line="240" w:lineRule="auto"/>
              <w:ind w:left="201" w:hanging="201"/>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DEFINI-</w:t>
            </w:r>
          </w:p>
          <w:p w14:paraId="074013BC" w14:textId="77777777" w:rsidR="008F158E" w:rsidRPr="008F158E" w:rsidRDefault="008F158E" w:rsidP="008F158E">
            <w:pPr>
              <w:spacing w:after="0" w:line="240" w:lineRule="auto"/>
              <w:ind w:left="201" w:hanging="201"/>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TIVOS</w:t>
            </w:r>
          </w:p>
          <w:p w14:paraId="4041CA5F" w14:textId="77777777" w:rsidR="008F158E" w:rsidRPr="008F158E" w:rsidRDefault="008F158E" w:rsidP="008F158E">
            <w:pPr>
              <w:spacing w:after="0" w:line="240" w:lineRule="auto"/>
              <w:ind w:left="201" w:hanging="201"/>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(1)</w:t>
            </w:r>
          </w:p>
        </w:tc>
        <w:tc>
          <w:tcPr>
            <w:tcW w:w="1134" w:type="dxa"/>
            <w:tcBorders>
              <w:top w:val="nil"/>
              <w:left w:val="nil"/>
              <w:bottom w:val="single" w:sz="4" w:space="0" w:color="auto"/>
              <w:right w:val="single" w:sz="4" w:space="0" w:color="auto"/>
            </w:tcBorders>
            <w:shd w:val="clear" w:color="auto" w:fill="9D2235"/>
            <w:vAlign w:val="center"/>
            <w:hideMark/>
          </w:tcPr>
          <w:p w14:paraId="36FD6565"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GASTOS COMPROME-TIDOS</w:t>
            </w:r>
            <w:r w:rsidRPr="008F158E">
              <w:rPr>
                <w:rFonts w:ascii="Arial" w:eastAsia="Times New Roman" w:hAnsi="Arial" w:cs="Arial"/>
                <w:b/>
                <w:bCs/>
                <w:color w:val="FFFFFF"/>
                <w:sz w:val="16"/>
                <w:szCs w:val="16"/>
                <w:lang w:eastAsia="es-ES"/>
              </w:rPr>
              <w:br/>
              <w:t>(2)</w:t>
            </w:r>
          </w:p>
        </w:tc>
        <w:tc>
          <w:tcPr>
            <w:tcW w:w="1417" w:type="dxa"/>
            <w:tcBorders>
              <w:top w:val="nil"/>
              <w:left w:val="nil"/>
              <w:bottom w:val="single" w:sz="4" w:space="0" w:color="auto"/>
              <w:right w:val="single" w:sz="4" w:space="0" w:color="auto"/>
            </w:tcBorders>
            <w:shd w:val="clear" w:color="auto" w:fill="9D2235"/>
            <w:vAlign w:val="center"/>
            <w:hideMark/>
          </w:tcPr>
          <w:p w14:paraId="3227A716"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OBLIGACIONES RECONOCIDAS NETAS</w:t>
            </w:r>
            <w:r w:rsidRPr="008F158E">
              <w:rPr>
                <w:rFonts w:ascii="Arial" w:eastAsia="Times New Roman" w:hAnsi="Arial" w:cs="Arial"/>
                <w:b/>
                <w:bCs/>
                <w:color w:val="FFFFFF"/>
                <w:sz w:val="16"/>
                <w:szCs w:val="16"/>
                <w:lang w:eastAsia="es-ES"/>
              </w:rPr>
              <w:br/>
              <w:t>(3)</w:t>
            </w:r>
          </w:p>
        </w:tc>
        <w:tc>
          <w:tcPr>
            <w:tcW w:w="1134" w:type="dxa"/>
            <w:tcBorders>
              <w:top w:val="nil"/>
              <w:left w:val="nil"/>
              <w:bottom w:val="single" w:sz="4" w:space="0" w:color="auto"/>
              <w:right w:val="single" w:sz="4" w:space="0" w:color="auto"/>
            </w:tcBorders>
            <w:shd w:val="clear" w:color="auto" w:fill="9D2235"/>
            <w:vAlign w:val="center"/>
            <w:hideMark/>
          </w:tcPr>
          <w:p w14:paraId="3641D733"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PAGOS REALI-</w:t>
            </w:r>
          </w:p>
          <w:p w14:paraId="16E9A210"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ZADOS</w:t>
            </w:r>
            <w:r w:rsidRPr="008F158E">
              <w:rPr>
                <w:rFonts w:ascii="Arial" w:eastAsia="Times New Roman" w:hAnsi="Arial" w:cs="Arial"/>
                <w:b/>
                <w:bCs/>
                <w:color w:val="FFFFFF"/>
                <w:sz w:val="16"/>
                <w:szCs w:val="16"/>
                <w:lang w:eastAsia="es-ES"/>
              </w:rPr>
              <w:br/>
              <w:t>(4)</w:t>
            </w:r>
          </w:p>
        </w:tc>
        <w:tc>
          <w:tcPr>
            <w:tcW w:w="1276" w:type="dxa"/>
            <w:tcBorders>
              <w:top w:val="nil"/>
              <w:left w:val="nil"/>
              <w:bottom w:val="single" w:sz="4" w:space="0" w:color="000000"/>
              <w:right w:val="single" w:sz="4" w:space="0" w:color="000000"/>
            </w:tcBorders>
            <w:shd w:val="clear" w:color="auto" w:fill="9D2235"/>
            <w:vAlign w:val="center"/>
            <w:hideMark/>
          </w:tcPr>
          <w:p w14:paraId="1BFAEDD2"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CRÉDITOS DEFINITIVOS</w:t>
            </w:r>
            <w:r w:rsidRPr="008F158E">
              <w:rPr>
                <w:rFonts w:ascii="Arial" w:eastAsia="Times New Roman" w:hAnsi="Arial" w:cs="Arial"/>
                <w:b/>
                <w:bCs/>
                <w:color w:val="FFFFFF"/>
                <w:sz w:val="16"/>
                <w:szCs w:val="16"/>
                <w:lang w:eastAsia="es-ES"/>
              </w:rPr>
              <w:br/>
              <w:t>(5)</w:t>
            </w:r>
          </w:p>
        </w:tc>
        <w:tc>
          <w:tcPr>
            <w:tcW w:w="1276" w:type="dxa"/>
            <w:tcBorders>
              <w:top w:val="nil"/>
              <w:left w:val="nil"/>
              <w:bottom w:val="single" w:sz="4" w:space="0" w:color="000000"/>
              <w:right w:val="single" w:sz="4" w:space="0" w:color="000000"/>
            </w:tcBorders>
            <w:shd w:val="clear" w:color="auto" w:fill="9D2235"/>
            <w:vAlign w:val="center"/>
            <w:hideMark/>
          </w:tcPr>
          <w:p w14:paraId="04825900"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GASTOS COMPROME-</w:t>
            </w:r>
          </w:p>
          <w:p w14:paraId="179D01F6"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TIDOS</w:t>
            </w:r>
            <w:r w:rsidRPr="008F158E">
              <w:rPr>
                <w:rFonts w:ascii="Arial" w:eastAsia="Times New Roman" w:hAnsi="Arial" w:cs="Arial"/>
                <w:b/>
                <w:bCs/>
                <w:color w:val="FFFFFF"/>
                <w:sz w:val="16"/>
                <w:szCs w:val="16"/>
                <w:lang w:eastAsia="es-ES"/>
              </w:rPr>
              <w:br/>
              <w:t>(6)</w:t>
            </w:r>
          </w:p>
        </w:tc>
        <w:tc>
          <w:tcPr>
            <w:tcW w:w="1417" w:type="dxa"/>
            <w:tcBorders>
              <w:top w:val="nil"/>
              <w:left w:val="nil"/>
              <w:bottom w:val="single" w:sz="4" w:space="0" w:color="000000"/>
              <w:right w:val="single" w:sz="4" w:space="0" w:color="000000"/>
            </w:tcBorders>
            <w:shd w:val="clear" w:color="auto" w:fill="9D2235"/>
            <w:vAlign w:val="center"/>
            <w:hideMark/>
          </w:tcPr>
          <w:p w14:paraId="7D60ED3D"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OBLIGACIONES RECONOCIDAS NETAS</w:t>
            </w:r>
            <w:r w:rsidRPr="008F158E">
              <w:rPr>
                <w:rFonts w:ascii="Arial" w:eastAsia="Times New Roman" w:hAnsi="Arial" w:cs="Arial"/>
                <w:b/>
                <w:bCs/>
                <w:color w:val="FFFFFF"/>
                <w:sz w:val="16"/>
                <w:szCs w:val="16"/>
                <w:lang w:eastAsia="es-ES"/>
              </w:rPr>
              <w:br/>
              <w:t>(7)</w:t>
            </w:r>
          </w:p>
        </w:tc>
        <w:tc>
          <w:tcPr>
            <w:tcW w:w="1701" w:type="dxa"/>
            <w:tcBorders>
              <w:top w:val="nil"/>
              <w:left w:val="nil"/>
              <w:bottom w:val="single" w:sz="4" w:space="0" w:color="000000"/>
              <w:right w:val="single" w:sz="4" w:space="0" w:color="000000"/>
            </w:tcBorders>
            <w:shd w:val="clear" w:color="auto" w:fill="9D2235"/>
            <w:vAlign w:val="center"/>
            <w:hideMark/>
          </w:tcPr>
          <w:p w14:paraId="0A7A4A2E"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 xml:space="preserve">PAGOS </w:t>
            </w:r>
          </w:p>
          <w:p w14:paraId="107C747F"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REALI-</w:t>
            </w:r>
          </w:p>
          <w:p w14:paraId="118DDEF1"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ZADOS</w:t>
            </w:r>
            <w:r w:rsidRPr="008F158E">
              <w:rPr>
                <w:rFonts w:ascii="Arial" w:eastAsia="Times New Roman" w:hAnsi="Arial" w:cs="Arial"/>
                <w:b/>
                <w:bCs/>
                <w:color w:val="FFFFFF"/>
                <w:sz w:val="16"/>
                <w:szCs w:val="16"/>
                <w:lang w:eastAsia="es-ES"/>
              </w:rPr>
              <w:br/>
              <w:t>(8)</w:t>
            </w:r>
          </w:p>
        </w:tc>
        <w:tc>
          <w:tcPr>
            <w:tcW w:w="851" w:type="dxa"/>
            <w:tcBorders>
              <w:top w:val="single" w:sz="4" w:space="0" w:color="auto"/>
              <w:left w:val="nil"/>
              <w:bottom w:val="single" w:sz="4" w:space="0" w:color="000000"/>
              <w:right w:val="single" w:sz="4" w:space="0" w:color="000000"/>
            </w:tcBorders>
            <w:shd w:val="clear" w:color="auto" w:fill="9D2235"/>
            <w:vAlign w:val="center"/>
            <w:hideMark/>
          </w:tcPr>
          <w:p w14:paraId="0AAE7CE0"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3/1</w:t>
            </w:r>
          </w:p>
        </w:tc>
        <w:tc>
          <w:tcPr>
            <w:tcW w:w="567" w:type="dxa"/>
            <w:tcBorders>
              <w:top w:val="single" w:sz="4" w:space="0" w:color="auto"/>
              <w:left w:val="nil"/>
              <w:bottom w:val="single" w:sz="4" w:space="0" w:color="000000"/>
              <w:right w:val="single" w:sz="4" w:space="0" w:color="000000"/>
            </w:tcBorders>
            <w:shd w:val="clear" w:color="auto" w:fill="9D2235"/>
            <w:vAlign w:val="center"/>
            <w:hideMark/>
          </w:tcPr>
          <w:p w14:paraId="62F94F20"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4/3</w:t>
            </w:r>
          </w:p>
        </w:tc>
        <w:tc>
          <w:tcPr>
            <w:tcW w:w="709" w:type="dxa"/>
            <w:tcBorders>
              <w:top w:val="single" w:sz="4" w:space="0" w:color="auto"/>
              <w:left w:val="nil"/>
              <w:bottom w:val="single" w:sz="4" w:space="0" w:color="000000"/>
              <w:right w:val="single" w:sz="4" w:space="0" w:color="000000"/>
            </w:tcBorders>
            <w:shd w:val="clear" w:color="auto" w:fill="9D2235"/>
            <w:vAlign w:val="center"/>
          </w:tcPr>
          <w:p w14:paraId="115D6FD8"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7/5</w:t>
            </w:r>
          </w:p>
        </w:tc>
        <w:tc>
          <w:tcPr>
            <w:tcW w:w="708" w:type="dxa"/>
            <w:tcBorders>
              <w:top w:val="single" w:sz="4" w:space="0" w:color="auto"/>
              <w:left w:val="nil"/>
              <w:bottom w:val="single" w:sz="4" w:space="0" w:color="000000"/>
              <w:right w:val="single" w:sz="4" w:space="0" w:color="000000"/>
            </w:tcBorders>
            <w:shd w:val="clear" w:color="auto" w:fill="9D2235"/>
            <w:vAlign w:val="center"/>
            <w:hideMark/>
          </w:tcPr>
          <w:p w14:paraId="4898768D"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8/7</w:t>
            </w:r>
          </w:p>
        </w:tc>
        <w:tc>
          <w:tcPr>
            <w:tcW w:w="709" w:type="dxa"/>
            <w:tcBorders>
              <w:top w:val="single" w:sz="4" w:space="0" w:color="auto"/>
              <w:left w:val="nil"/>
              <w:bottom w:val="single" w:sz="4" w:space="0" w:color="000000"/>
              <w:right w:val="single" w:sz="4" w:space="0" w:color="000000"/>
            </w:tcBorders>
            <w:shd w:val="clear" w:color="auto" w:fill="9D2235"/>
            <w:vAlign w:val="center"/>
            <w:hideMark/>
          </w:tcPr>
          <w:p w14:paraId="1C08EB32"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5/1</w:t>
            </w:r>
          </w:p>
        </w:tc>
        <w:tc>
          <w:tcPr>
            <w:tcW w:w="709" w:type="dxa"/>
            <w:tcBorders>
              <w:top w:val="single" w:sz="4" w:space="0" w:color="auto"/>
              <w:left w:val="nil"/>
              <w:bottom w:val="single" w:sz="4" w:space="0" w:color="000000"/>
              <w:right w:val="single" w:sz="4" w:space="0" w:color="000000"/>
            </w:tcBorders>
            <w:shd w:val="clear" w:color="auto" w:fill="9D2235"/>
            <w:vAlign w:val="center"/>
            <w:hideMark/>
          </w:tcPr>
          <w:p w14:paraId="1D33AD31"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7/3</w:t>
            </w:r>
          </w:p>
        </w:tc>
        <w:tc>
          <w:tcPr>
            <w:tcW w:w="709" w:type="dxa"/>
            <w:tcBorders>
              <w:top w:val="single" w:sz="4" w:space="0" w:color="auto"/>
              <w:left w:val="nil"/>
              <w:bottom w:val="single" w:sz="4" w:space="0" w:color="000000"/>
              <w:right w:val="single" w:sz="4" w:space="0" w:color="000000"/>
            </w:tcBorders>
            <w:shd w:val="clear" w:color="auto" w:fill="9D2235"/>
            <w:vAlign w:val="center"/>
            <w:hideMark/>
          </w:tcPr>
          <w:p w14:paraId="6287E3FA" w14:textId="77777777" w:rsidR="008F158E" w:rsidRPr="008F158E" w:rsidRDefault="008F158E" w:rsidP="008F158E">
            <w:pPr>
              <w:spacing w:after="0" w:line="240" w:lineRule="auto"/>
              <w:jc w:val="center"/>
              <w:rPr>
                <w:rFonts w:ascii="Arial" w:eastAsia="Times New Roman" w:hAnsi="Arial" w:cs="Arial"/>
                <w:b/>
                <w:bCs/>
                <w:color w:val="FFFFFF"/>
                <w:sz w:val="16"/>
                <w:szCs w:val="16"/>
                <w:lang w:eastAsia="es-ES"/>
              </w:rPr>
            </w:pPr>
            <w:r w:rsidRPr="008F158E">
              <w:rPr>
                <w:rFonts w:ascii="Arial" w:eastAsia="Times New Roman" w:hAnsi="Arial" w:cs="Arial"/>
                <w:b/>
                <w:bCs/>
                <w:color w:val="FFFFFF"/>
                <w:sz w:val="16"/>
                <w:szCs w:val="16"/>
                <w:lang w:eastAsia="es-ES"/>
              </w:rPr>
              <w:t>8/4</w:t>
            </w:r>
          </w:p>
        </w:tc>
      </w:tr>
      <w:tr w:rsidR="008F158E" w:rsidRPr="008F158E" w14:paraId="3D94BC39" w14:textId="77777777" w:rsidTr="00271465">
        <w:trPr>
          <w:trHeight w:val="315"/>
          <w:jc w:val="center"/>
        </w:trPr>
        <w:tc>
          <w:tcPr>
            <w:tcW w:w="704" w:type="dxa"/>
            <w:tcBorders>
              <w:top w:val="nil"/>
              <w:left w:val="single" w:sz="4" w:space="0" w:color="000000"/>
              <w:bottom w:val="single" w:sz="4" w:space="0" w:color="000000"/>
              <w:right w:val="nil"/>
            </w:tcBorders>
            <w:shd w:val="clear" w:color="auto" w:fill="auto"/>
            <w:noWrap/>
            <w:vAlign w:val="center"/>
            <w:hideMark/>
          </w:tcPr>
          <w:p w14:paraId="00EE8C10" w14:textId="77777777" w:rsidR="008F158E" w:rsidRPr="008F158E" w:rsidRDefault="008F158E" w:rsidP="008F158E">
            <w:pPr>
              <w:spacing w:after="0" w:line="240" w:lineRule="auto"/>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I</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A7FE82D"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3.456.767,80</w:t>
            </w:r>
          </w:p>
        </w:tc>
        <w:tc>
          <w:tcPr>
            <w:tcW w:w="1134" w:type="dxa"/>
            <w:tcBorders>
              <w:top w:val="nil"/>
              <w:left w:val="nil"/>
              <w:bottom w:val="single" w:sz="4" w:space="0" w:color="auto"/>
              <w:right w:val="single" w:sz="4" w:space="0" w:color="auto"/>
            </w:tcBorders>
            <w:shd w:val="clear" w:color="auto" w:fill="auto"/>
            <w:noWrap/>
            <w:vAlign w:val="center"/>
            <w:hideMark/>
          </w:tcPr>
          <w:p w14:paraId="77FAE02F"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2.755.042,50</w:t>
            </w:r>
          </w:p>
        </w:tc>
        <w:tc>
          <w:tcPr>
            <w:tcW w:w="1417" w:type="dxa"/>
            <w:tcBorders>
              <w:top w:val="nil"/>
              <w:left w:val="nil"/>
              <w:bottom w:val="single" w:sz="4" w:space="0" w:color="auto"/>
              <w:right w:val="single" w:sz="4" w:space="0" w:color="auto"/>
            </w:tcBorders>
            <w:shd w:val="clear" w:color="auto" w:fill="auto"/>
            <w:noWrap/>
            <w:vAlign w:val="center"/>
            <w:hideMark/>
          </w:tcPr>
          <w:p w14:paraId="6E776E92"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2.338.518,67</w:t>
            </w:r>
          </w:p>
        </w:tc>
        <w:tc>
          <w:tcPr>
            <w:tcW w:w="1134" w:type="dxa"/>
            <w:tcBorders>
              <w:top w:val="nil"/>
              <w:left w:val="nil"/>
              <w:bottom w:val="single" w:sz="4" w:space="0" w:color="auto"/>
              <w:right w:val="single" w:sz="4" w:space="0" w:color="auto"/>
            </w:tcBorders>
            <w:shd w:val="clear" w:color="auto" w:fill="auto"/>
            <w:noWrap/>
            <w:vAlign w:val="center"/>
            <w:hideMark/>
          </w:tcPr>
          <w:p w14:paraId="76D9CED9"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2.334.778,67</w:t>
            </w:r>
          </w:p>
        </w:tc>
        <w:tc>
          <w:tcPr>
            <w:tcW w:w="1276" w:type="dxa"/>
            <w:tcBorders>
              <w:top w:val="nil"/>
              <w:left w:val="nil"/>
              <w:bottom w:val="single" w:sz="4" w:space="0" w:color="000000"/>
              <w:right w:val="single" w:sz="4" w:space="0" w:color="000000"/>
            </w:tcBorders>
            <w:shd w:val="clear" w:color="auto" w:fill="auto"/>
            <w:noWrap/>
            <w:vAlign w:val="center"/>
            <w:hideMark/>
          </w:tcPr>
          <w:p w14:paraId="1CE145C2"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3.505.480,00</w:t>
            </w:r>
          </w:p>
        </w:tc>
        <w:tc>
          <w:tcPr>
            <w:tcW w:w="1276" w:type="dxa"/>
            <w:tcBorders>
              <w:top w:val="nil"/>
              <w:left w:val="nil"/>
              <w:bottom w:val="single" w:sz="4" w:space="0" w:color="000000"/>
              <w:right w:val="single" w:sz="4" w:space="0" w:color="000000"/>
            </w:tcBorders>
            <w:shd w:val="clear" w:color="auto" w:fill="auto"/>
            <w:noWrap/>
            <w:vAlign w:val="center"/>
            <w:hideMark/>
          </w:tcPr>
          <w:p w14:paraId="093DDEC0"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2.677.798,99</w:t>
            </w:r>
          </w:p>
        </w:tc>
        <w:tc>
          <w:tcPr>
            <w:tcW w:w="1417" w:type="dxa"/>
            <w:tcBorders>
              <w:top w:val="nil"/>
              <w:left w:val="nil"/>
              <w:bottom w:val="single" w:sz="4" w:space="0" w:color="000000"/>
              <w:right w:val="single" w:sz="4" w:space="0" w:color="000000"/>
            </w:tcBorders>
            <w:shd w:val="clear" w:color="auto" w:fill="auto"/>
            <w:noWrap/>
            <w:vAlign w:val="center"/>
            <w:hideMark/>
          </w:tcPr>
          <w:p w14:paraId="259712DD"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2.643.496,78</w:t>
            </w:r>
          </w:p>
        </w:tc>
        <w:tc>
          <w:tcPr>
            <w:tcW w:w="1701" w:type="dxa"/>
            <w:tcBorders>
              <w:top w:val="nil"/>
              <w:left w:val="nil"/>
              <w:bottom w:val="single" w:sz="4" w:space="0" w:color="000000"/>
              <w:right w:val="single" w:sz="4" w:space="0" w:color="000000"/>
            </w:tcBorders>
            <w:shd w:val="clear" w:color="auto" w:fill="auto"/>
            <w:noWrap/>
            <w:vAlign w:val="center"/>
            <w:hideMark/>
          </w:tcPr>
          <w:p w14:paraId="2FBB7B15"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2.624.024,23</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66DA374"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68%</w:t>
            </w:r>
          </w:p>
        </w:tc>
        <w:tc>
          <w:tcPr>
            <w:tcW w:w="567" w:type="dxa"/>
            <w:tcBorders>
              <w:top w:val="single" w:sz="4" w:space="0" w:color="000000"/>
              <w:left w:val="nil"/>
              <w:bottom w:val="single" w:sz="4" w:space="0" w:color="000000"/>
              <w:right w:val="single" w:sz="4" w:space="0" w:color="000000"/>
            </w:tcBorders>
            <w:shd w:val="clear" w:color="auto" w:fill="auto"/>
            <w:noWrap/>
            <w:vAlign w:val="center"/>
            <w:hideMark/>
          </w:tcPr>
          <w:p w14:paraId="77247646"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100%</w:t>
            </w:r>
          </w:p>
        </w:tc>
        <w:tc>
          <w:tcPr>
            <w:tcW w:w="709" w:type="dxa"/>
            <w:tcBorders>
              <w:top w:val="single" w:sz="4" w:space="0" w:color="000000"/>
              <w:left w:val="nil"/>
              <w:bottom w:val="single" w:sz="4" w:space="0" w:color="000000"/>
              <w:right w:val="single" w:sz="4" w:space="0" w:color="000000"/>
            </w:tcBorders>
            <w:shd w:val="clear" w:color="auto" w:fill="auto"/>
            <w:noWrap/>
            <w:vAlign w:val="center"/>
          </w:tcPr>
          <w:p w14:paraId="4CDA532A"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75%</w:t>
            </w:r>
          </w:p>
        </w:tc>
        <w:tc>
          <w:tcPr>
            <w:tcW w:w="708" w:type="dxa"/>
            <w:tcBorders>
              <w:top w:val="single" w:sz="4" w:space="0" w:color="000000"/>
              <w:left w:val="nil"/>
              <w:bottom w:val="single" w:sz="4" w:space="0" w:color="000000"/>
              <w:right w:val="single" w:sz="4" w:space="0" w:color="000000"/>
            </w:tcBorders>
            <w:shd w:val="clear" w:color="auto" w:fill="auto"/>
            <w:noWrap/>
            <w:vAlign w:val="center"/>
            <w:hideMark/>
          </w:tcPr>
          <w:p w14:paraId="6EB55649"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99%</w:t>
            </w:r>
          </w:p>
        </w:tc>
        <w:tc>
          <w:tcPr>
            <w:tcW w:w="709" w:type="dxa"/>
            <w:tcBorders>
              <w:top w:val="single" w:sz="4" w:space="0" w:color="000000"/>
              <w:left w:val="single" w:sz="4" w:space="0" w:color="000000"/>
              <w:bottom w:val="single" w:sz="4" w:space="0" w:color="000000"/>
              <w:right w:val="single" w:sz="4" w:space="0" w:color="000000"/>
            </w:tcBorders>
            <w:shd w:val="clear" w:color="000000" w:fill="E7E6E6"/>
            <w:noWrap/>
            <w:vAlign w:val="center"/>
            <w:hideMark/>
          </w:tcPr>
          <w:p w14:paraId="3DBC1B2B"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1,41</w:t>
            </w:r>
          </w:p>
        </w:tc>
        <w:tc>
          <w:tcPr>
            <w:tcW w:w="709" w:type="dxa"/>
            <w:tcBorders>
              <w:top w:val="single" w:sz="4" w:space="0" w:color="000000"/>
              <w:left w:val="nil"/>
              <w:bottom w:val="single" w:sz="4" w:space="0" w:color="000000"/>
              <w:right w:val="single" w:sz="4" w:space="0" w:color="000000"/>
            </w:tcBorders>
            <w:shd w:val="clear" w:color="000000" w:fill="E7E6E6"/>
            <w:noWrap/>
            <w:vAlign w:val="center"/>
            <w:hideMark/>
          </w:tcPr>
          <w:p w14:paraId="746B02C8"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13,04</w:t>
            </w:r>
          </w:p>
        </w:tc>
        <w:tc>
          <w:tcPr>
            <w:tcW w:w="709" w:type="dxa"/>
            <w:tcBorders>
              <w:top w:val="single" w:sz="4" w:space="0" w:color="000000"/>
              <w:left w:val="nil"/>
              <w:bottom w:val="single" w:sz="4" w:space="0" w:color="000000"/>
              <w:right w:val="single" w:sz="4" w:space="0" w:color="000000"/>
            </w:tcBorders>
            <w:shd w:val="clear" w:color="000000" w:fill="E7E6E6"/>
            <w:noWrap/>
            <w:vAlign w:val="center"/>
            <w:hideMark/>
          </w:tcPr>
          <w:p w14:paraId="48569B68"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12,39</w:t>
            </w:r>
          </w:p>
        </w:tc>
      </w:tr>
      <w:tr w:rsidR="008F158E" w:rsidRPr="008F158E" w14:paraId="6B90EB30" w14:textId="77777777" w:rsidTr="00271465">
        <w:trPr>
          <w:trHeight w:val="600"/>
          <w:jc w:val="center"/>
        </w:trPr>
        <w:tc>
          <w:tcPr>
            <w:tcW w:w="704" w:type="dxa"/>
            <w:tcBorders>
              <w:top w:val="nil"/>
              <w:left w:val="single" w:sz="4" w:space="0" w:color="000000"/>
              <w:bottom w:val="single" w:sz="4" w:space="0" w:color="000000"/>
              <w:right w:val="nil"/>
            </w:tcBorders>
            <w:shd w:val="clear" w:color="auto" w:fill="auto"/>
            <w:vAlign w:val="center"/>
            <w:hideMark/>
          </w:tcPr>
          <w:p w14:paraId="0E05AF93" w14:textId="77777777" w:rsidR="008F158E" w:rsidRPr="008F158E" w:rsidRDefault="008F158E" w:rsidP="008F158E">
            <w:pPr>
              <w:spacing w:after="0" w:line="240" w:lineRule="auto"/>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II</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B2D5E37"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770.661,99</w:t>
            </w:r>
          </w:p>
        </w:tc>
        <w:tc>
          <w:tcPr>
            <w:tcW w:w="1134" w:type="dxa"/>
            <w:tcBorders>
              <w:top w:val="nil"/>
              <w:left w:val="nil"/>
              <w:bottom w:val="single" w:sz="4" w:space="0" w:color="auto"/>
              <w:right w:val="single" w:sz="4" w:space="0" w:color="auto"/>
            </w:tcBorders>
            <w:shd w:val="clear" w:color="auto" w:fill="auto"/>
            <w:noWrap/>
            <w:vAlign w:val="center"/>
            <w:hideMark/>
          </w:tcPr>
          <w:p w14:paraId="66842637"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403.686,60</w:t>
            </w:r>
          </w:p>
        </w:tc>
        <w:tc>
          <w:tcPr>
            <w:tcW w:w="1417" w:type="dxa"/>
            <w:tcBorders>
              <w:top w:val="nil"/>
              <w:left w:val="nil"/>
              <w:bottom w:val="single" w:sz="4" w:space="0" w:color="auto"/>
              <w:right w:val="single" w:sz="4" w:space="0" w:color="auto"/>
            </w:tcBorders>
            <w:shd w:val="clear" w:color="auto" w:fill="auto"/>
            <w:noWrap/>
            <w:vAlign w:val="center"/>
            <w:hideMark/>
          </w:tcPr>
          <w:p w14:paraId="76BAFBB2"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340.806,56</w:t>
            </w:r>
          </w:p>
        </w:tc>
        <w:tc>
          <w:tcPr>
            <w:tcW w:w="1134" w:type="dxa"/>
            <w:tcBorders>
              <w:top w:val="nil"/>
              <w:left w:val="nil"/>
              <w:bottom w:val="single" w:sz="4" w:space="0" w:color="auto"/>
              <w:right w:val="single" w:sz="4" w:space="0" w:color="auto"/>
            </w:tcBorders>
            <w:shd w:val="clear" w:color="auto" w:fill="auto"/>
            <w:noWrap/>
            <w:vAlign w:val="center"/>
            <w:hideMark/>
          </w:tcPr>
          <w:p w14:paraId="7E56D532"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313.901,48</w:t>
            </w:r>
          </w:p>
        </w:tc>
        <w:tc>
          <w:tcPr>
            <w:tcW w:w="1276" w:type="dxa"/>
            <w:tcBorders>
              <w:top w:val="nil"/>
              <w:left w:val="nil"/>
              <w:bottom w:val="single" w:sz="4" w:space="0" w:color="000000"/>
              <w:right w:val="single" w:sz="4" w:space="0" w:color="000000"/>
            </w:tcBorders>
            <w:shd w:val="clear" w:color="auto" w:fill="auto"/>
            <w:noWrap/>
            <w:vAlign w:val="center"/>
            <w:hideMark/>
          </w:tcPr>
          <w:p w14:paraId="643DD0FA"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704.970,00</w:t>
            </w:r>
          </w:p>
        </w:tc>
        <w:tc>
          <w:tcPr>
            <w:tcW w:w="1276" w:type="dxa"/>
            <w:tcBorders>
              <w:top w:val="nil"/>
              <w:left w:val="nil"/>
              <w:bottom w:val="single" w:sz="4" w:space="0" w:color="000000"/>
              <w:right w:val="single" w:sz="4" w:space="0" w:color="000000"/>
            </w:tcBorders>
            <w:shd w:val="clear" w:color="auto" w:fill="auto"/>
            <w:noWrap/>
            <w:vAlign w:val="center"/>
            <w:hideMark/>
          </w:tcPr>
          <w:p w14:paraId="328703BA"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410.479,86</w:t>
            </w:r>
          </w:p>
        </w:tc>
        <w:tc>
          <w:tcPr>
            <w:tcW w:w="1417" w:type="dxa"/>
            <w:tcBorders>
              <w:top w:val="nil"/>
              <w:left w:val="nil"/>
              <w:bottom w:val="single" w:sz="4" w:space="0" w:color="000000"/>
              <w:right w:val="single" w:sz="4" w:space="0" w:color="000000"/>
            </w:tcBorders>
            <w:shd w:val="clear" w:color="auto" w:fill="auto"/>
            <w:noWrap/>
            <w:vAlign w:val="center"/>
            <w:hideMark/>
          </w:tcPr>
          <w:p w14:paraId="00A6C88C"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363.647,56</w:t>
            </w:r>
          </w:p>
        </w:tc>
        <w:tc>
          <w:tcPr>
            <w:tcW w:w="1701" w:type="dxa"/>
            <w:tcBorders>
              <w:top w:val="nil"/>
              <w:left w:val="nil"/>
              <w:bottom w:val="single" w:sz="4" w:space="0" w:color="000000"/>
              <w:right w:val="single" w:sz="4" w:space="0" w:color="000000"/>
            </w:tcBorders>
            <w:shd w:val="clear" w:color="auto" w:fill="auto"/>
            <w:noWrap/>
            <w:vAlign w:val="center"/>
            <w:hideMark/>
          </w:tcPr>
          <w:p w14:paraId="19684B66"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346.573,03</w:t>
            </w:r>
          </w:p>
        </w:tc>
        <w:tc>
          <w:tcPr>
            <w:tcW w:w="851" w:type="dxa"/>
            <w:tcBorders>
              <w:top w:val="nil"/>
              <w:left w:val="single" w:sz="4" w:space="0" w:color="000000"/>
              <w:bottom w:val="single" w:sz="4" w:space="0" w:color="000000"/>
              <w:right w:val="single" w:sz="4" w:space="0" w:color="000000"/>
            </w:tcBorders>
            <w:shd w:val="clear" w:color="auto" w:fill="auto"/>
            <w:noWrap/>
            <w:vAlign w:val="center"/>
          </w:tcPr>
          <w:p w14:paraId="512145CC"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44%</w:t>
            </w:r>
          </w:p>
        </w:tc>
        <w:tc>
          <w:tcPr>
            <w:tcW w:w="567" w:type="dxa"/>
            <w:tcBorders>
              <w:top w:val="nil"/>
              <w:left w:val="nil"/>
              <w:bottom w:val="single" w:sz="4" w:space="0" w:color="000000"/>
              <w:right w:val="single" w:sz="4" w:space="0" w:color="000000"/>
            </w:tcBorders>
            <w:shd w:val="clear" w:color="auto" w:fill="auto"/>
            <w:noWrap/>
            <w:vAlign w:val="center"/>
            <w:hideMark/>
          </w:tcPr>
          <w:p w14:paraId="047F7BDE"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92%</w:t>
            </w:r>
          </w:p>
        </w:tc>
        <w:tc>
          <w:tcPr>
            <w:tcW w:w="709" w:type="dxa"/>
            <w:tcBorders>
              <w:top w:val="nil"/>
              <w:left w:val="nil"/>
              <w:bottom w:val="single" w:sz="4" w:space="0" w:color="000000"/>
              <w:right w:val="single" w:sz="4" w:space="0" w:color="000000"/>
            </w:tcBorders>
            <w:shd w:val="clear" w:color="auto" w:fill="auto"/>
            <w:noWrap/>
            <w:vAlign w:val="center"/>
          </w:tcPr>
          <w:p w14:paraId="29BF99DD"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52%</w:t>
            </w:r>
          </w:p>
        </w:tc>
        <w:tc>
          <w:tcPr>
            <w:tcW w:w="708" w:type="dxa"/>
            <w:tcBorders>
              <w:top w:val="nil"/>
              <w:left w:val="nil"/>
              <w:bottom w:val="single" w:sz="4" w:space="0" w:color="000000"/>
              <w:right w:val="single" w:sz="4" w:space="0" w:color="000000"/>
            </w:tcBorders>
            <w:shd w:val="clear" w:color="auto" w:fill="auto"/>
            <w:noWrap/>
            <w:vAlign w:val="center"/>
            <w:hideMark/>
          </w:tcPr>
          <w:p w14:paraId="367E7F30"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95%</w:t>
            </w:r>
          </w:p>
        </w:tc>
        <w:tc>
          <w:tcPr>
            <w:tcW w:w="709" w:type="dxa"/>
            <w:tcBorders>
              <w:top w:val="nil"/>
              <w:left w:val="single" w:sz="4" w:space="0" w:color="000000"/>
              <w:bottom w:val="single" w:sz="4" w:space="0" w:color="000000"/>
              <w:right w:val="single" w:sz="4" w:space="0" w:color="000000"/>
            </w:tcBorders>
            <w:shd w:val="clear" w:color="000000" w:fill="E7E6E6"/>
            <w:noWrap/>
            <w:vAlign w:val="center"/>
            <w:hideMark/>
          </w:tcPr>
          <w:p w14:paraId="2DE22E5A"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-8,52</w:t>
            </w:r>
          </w:p>
        </w:tc>
        <w:tc>
          <w:tcPr>
            <w:tcW w:w="709" w:type="dxa"/>
            <w:tcBorders>
              <w:top w:val="nil"/>
              <w:left w:val="nil"/>
              <w:bottom w:val="single" w:sz="4" w:space="0" w:color="000000"/>
              <w:right w:val="single" w:sz="4" w:space="0" w:color="000000"/>
            </w:tcBorders>
            <w:shd w:val="clear" w:color="000000" w:fill="E7E6E6"/>
            <w:noWrap/>
            <w:vAlign w:val="center"/>
            <w:hideMark/>
          </w:tcPr>
          <w:p w14:paraId="59190B56"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6,70</w:t>
            </w:r>
          </w:p>
        </w:tc>
        <w:tc>
          <w:tcPr>
            <w:tcW w:w="709" w:type="dxa"/>
            <w:tcBorders>
              <w:top w:val="nil"/>
              <w:left w:val="nil"/>
              <w:bottom w:val="single" w:sz="4" w:space="0" w:color="000000"/>
              <w:right w:val="single" w:sz="4" w:space="0" w:color="000000"/>
            </w:tcBorders>
            <w:shd w:val="clear" w:color="000000" w:fill="E7E6E6"/>
            <w:noWrap/>
            <w:vAlign w:val="center"/>
            <w:hideMark/>
          </w:tcPr>
          <w:p w14:paraId="30D4B783"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10,41</w:t>
            </w:r>
          </w:p>
        </w:tc>
      </w:tr>
      <w:tr w:rsidR="008F158E" w:rsidRPr="008F158E" w14:paraId="44961B9E" w14:textId="77777777" w:rsidTr="00271465">
        <w:trPr>
          <w:trHeight w:val="315"/>
          <w:jc w:val="center"/>
        </w:trPr>
        <w:tc>
          <w:tcPr>
            <w:tcW w:w="704" w:type="dxa"/>
            <w:tcBorders>
              <w:top w:val="nil"/>
              <w:left w:val="single" w:sz="4" w:space="0" w:color="000000"/>
              <w:bottom w:val="single" w:sz="4" w:space="0" w:color="000000"/>
              <w:right w:val="nil"/>
            </w:tcBorders>
            <w:shd w:val="clear" w:color="auto" w:fill="auto"/>
            <w:noWrap/>
            <w:vAlign w:val="center"/>
            <w:hideMark/>
          </w:tcPr>
          <w:p w14:paraId="319B7F08" w14:textId="77777777" w:rsidR="008F158E" w:rsidRPr="008F158E" w:rsidRDefault="008F158E" w:rsidP="008F158E">
            <w:pPr>
              <w:spacing w:after="0" w:line="240" w:lineRule="auto"/>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III</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56533A4"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067AFD56"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37558F27"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6861ACDF"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0,00</w:t>
            </w:r>
          </w:p>
        </w:tc>
        <w:tc>
          <w:tcPr>
            <w:tcW w:w="1276" w:type="dxa"/>
            <w:tcBorders>
              <w:top w:val="nil"/>
              <w:left w:val="nil"/>
              <w:bottom w:val="single" w:sz="4" w:space="0" w:color="000000"/>
              <w:right w:val="single" w:sz="4" w:space="0" w:color="000000"/>
            </w:tcBorders>
            <w:shd w:val="clear" w:color="auto" w:fill="auto"/>
            <w:noWrap/>
            <w:vAlign w:val="center"/>
            <w:hideMark/>
          </w:tcPr>
          <w:p w14:paraId="0631E1D3"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3.801.793,15</w:t>
            </w:r>
          </w:p>
        </w:tc>
        <w:tc>
          <w:tcPr>
            <w:tcW w:w="1276" w:type="dxa"/>
            <w:tcBorders>
              <w:top w:val="nil"/>
              <w:left w:val="nil"/>
              <w:bottom w:val="single" w:sz="4" w:space="0" w:color="000000"/>
              <w:right w:val="single" w:sz="4" w:space="0" w:color="000000"/>
            </w:tcBorders>
            <w:shd w:val="clear" w:color="auto" w:fill="auto"/>
            <w:noWrap/>
            <w:vAlign w:val="center"/>
            <w:hideMark/>
          </w:tcPr>
          <w:p w14:paraId="42B103F7"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3.787.793,15</w:t>
            </w:r>
          </w:p>
        </w:tc>
        <w:tc>
          <w:tcPr>
            <w:tcW w:w="1417" w:type="dxa"/>
            <w:tcBorders>
              <w:top w:val="nil"/>
              <w:left w:val="nil"/>
              <w:bottom w:val="single" w:sz="4" w:space="0" w:color="000000"/>
              <w:right w:val="single" w:sz="4" w:space="0" w:color="000000"/>
            </w:tcBorders>
            <w:shd w:val="clear" w:color="auto" w:fill="auto"/>
            <w:noWrap/>
            <w:vAlign w:val="center"/>
            <w:hideMark/>
          </w:tcPr>
          <w:p w14:paraId="1BF1E9EF"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3.787.793,15</w:t>
            </w:r>
          </w:p>
        </w:tc>
        <w:tc>
          <w:tcPr>
            <w:tcW w:w="1701" w:type="dxa"/>
            <w:tcBorders>
              <w:top w:val="nil"/>
              <w:left w:val="nil"/>
              <w:bottom w:val="single" w:sz="4" w:space="0" w:color="000000"/>
              <w:right w:val="single" w:sz="4" w:space="0" w:color="000000"/>
            </w:tcBorders>
            <w:shd w:val="clear" w:color="auto" w:fill="auto"/>
            <w:noWrap/>
            <w:vAlign w:val="center"/>
            <w:hideMark/>
          </w:tcPr>
          <w:p w14:paraId="2AA82914"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3.787.793,15</w:t>
            </w:r>
          </w:p>
        </w:tc>
        <w:tc>
          <w:tcPr>
            <w:tcW w:w="851" w:type="dxa"/>
            <w:tcBorders>
              <w:top w:val="nil"/>
              <w:left w:val="single" w:sz="4" w:space="0" w:color="000000"/>
              <w:bottom w:val="single" w:sz="4" w:space="0" w:color="000000"/>
              <w:right w:val="single" w:sz="4" w:space="0" w:color="000000"/>
            </w:tcBorders>
            <w:shd w:val="clear" w:color="auto" w:fill="auto"/>
            <w:noWrap/>
            <w:vAlign w:val="center"/>
            <w:hideMark/>
          </w:tcPr>
          <w:p w14:paraId="103CA109"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p>
        </w:tc>
        <w:tc>
          <w:tcPr>
            <w:tcW w:w="567" w:type="dxa"/>
            <w:tcBorders>
              <w:top w:val="nil"/>
              <w:left w:val="nil"/>
              <w:bottom w:val="single" w:sz="4" w:space="0" w:color="000000"/>
              <w:right w:val="single" w:sz="4" w:space="0" w:color="000000"/>
            </w:tcBorders>
            <w:shd w:val="clear" w:color="auto" w:fill="auto"/>
            <w:noWrap/>
            <w:vAlign w:val="center"/>
            <w:hideMark/>
          </w:tcPr>
          <w:p w14:paraId="00FA95AA"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p>
        </w:tc>
        <w:tc>
          <w:tcPr>
            <w:tcW w:w="709" w:type="dxa"/>
            <w:tcBorders>
              <w:top w:val="nil"/>
              <w:left w:val="nil"/>
              <w:bottom w:val="single" w:sz="4" w:space="0" w:color="000000"/>
              <w:right w:val="single" w:sz="4" w:space="0" w:color="000000"/>
            </w:tcBorders>
            <w:shd w:val="clear" w:color="auto" w:fill="auto"/>
            <w:noWrap/>
            <w:vAlign w:val="center"/>
          </w:tcPr>
          <w:p w14:paraId="284C417F"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100%</w:t>
            </w:r>
          </w:p>
        </w:tc>
        <w:tc>
          <w:tcPr>
            <w:tcW w:w="708" w:type="dxa"/>
            <w:tcBorders>
              <w:top w:val="nil"/>
              <w:left w:val="nil"/>
              <w:bottom w:val="single" w:sz="4" w:space="0" w:color="000000"/>
              <w:right w:val="single" w:sz="4" w:space="0" w:color="000000"/>
            </w:tcBorders>
            <w:shd w:val="clear" w:color="auto" w:fill="auto"/>
            <w:noWrap/>
            <w:vAlign w:val="center"/>
            <w:hideMark/>
          </w:tcPr>
          <w:p w14:paraId="10797B75"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100%</w:t>
            </w:r>
          </w:p>
        </w:tc>
        <w:tc>
          <w:tcPr>
            <w:tcW w:w="709" w:type="dxa"/>
            <w:tcBorders>
              <w:top w:val="nil"/>
              <w:left w:val="single" w:sz="4" w:space="0" w:color="000000"/>
              <w:bottom w:val="single" w:sz="4" w:space="0" w:color="000000"/>
              <w:right w:val="single" w:sz="4" w:space="0" w:color="000000"/>
            </w:tcBorders>
            <w:shd w:val="clear" w:color="000000" w:fill="E7E6E6"/>
            <w:noWrap/>
            <w:vAlign w:val="center"/>
            <w:hideMark/>
          </w:tcPr>
          <w:p w14:paraId="1F820013"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p>
        </w:tc>
        <w:tc>
          <w:tcPr>
            <w:tcW w:w="709" w:type="dxa"/>
            <w:tcBorders>
              <w:top w:val="nil"/>
              <w:left w:val="nil"/>
              <w:bottom w:val="single" w:sz="4" w:space="0" w:color="000000"/>
              <w:right w:val="single" w:sz="4" w:space="0" w:color="000000"/>
            </w:tcBorders>
            <w:shd w:val="clear" w:color="000000" w:fill="E7E6E6"/>
            <w:noWrap/>
            <w:vAlign w:val="center"/>
            <w:hideMark/>
          </w:tcPr>
          <w:p w14:paraId="59499C73"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p>
        </w:tc>
        <w:tc>
          <w:tcPr>
            <w:tcW w:w="709" w:type="dxa"/>
            <w:tcBorders>
              <w:top w:val="nil"/>
              <w:left w:val="nil"/>
              <w:bottom w:val="single" w:sz="4" w:space="0" w:color="000000"/>
              <w:right w:val="single" w:sz="4" w:space="0" w:color="000000"/>
            </w:tcBorders>
            <w:shd w:val="clear" w:color="000000" w:fill="E7E6E6"/>
            <w:noWrap/>
            <w:vAlign w:val="center"/>
            <w:hideMark/>
          </w:tcPr>
          <w:p w14:paraId="7803CB2B"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p>
        </w:tc>
      </w:tr>
      <w:tr w:rsidR="008F158E" w:rsidRPr="008F158E" w14:paraId="61BE9073" w14:textId="77777777" w:rsidTr="00271465">
        <w:trPr>
          <w:trHeight w:val="315"/>
          <w:jc w:val="center"/>
        </w:trPr>
        <w:tc>
          <w:tcPr>
            <w:tcW w:w="704" w:type="dxa"/>
            <w:tcBorders>
              <w:top w:val="nil"/>
              <w:left w:val="single" w:sz="4" w:space="0" w:color="000000"/>
              <w:bottom w:val="single" w:sz="4" w:space="0" w:color="000000"/>
              <w:right w:val="nil"/>
            </w:tcBorders>
            <w:shd w:val="clear" w:color="auto" w:fill="auto"/>
            <w:noWrap/>
            <w:vAlign w:val="center"/>
            <w:hideMark/>
          </w:tcPr>
          <w:p w14:paraId="4DAE64EC" w14:textId="77777777" w:rsidR="008F158E" w:rsidRPr="008F158E" w:rsidRDefault="008F158E" w:rsidP="008F158E">
            <w:pPr>
              <w:spacing w:after="0" w:line="240" w:lineRule="auto"/>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VI</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6629A7C"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242.445,95</w:t>
            </w:r>
          </w:p>
        </w:tc>
        <w:tc>
          <w:tcPr>
            <w:tcW w:w="1134" w:type="dxa"/>
            <w:tcBorders>
              <w:top w:val="nil"/>
              <w:left w:val="nil"/>
              <w:bottom w:val="single" w:sz="4" w:space="0" w:color="auto"/>
              <w:right w:val="single" w:sz="4" w:space="0" w:color="auto"/>
            </w:tcBorders>
            <w:shd w:val="clear" w:color="auto" w:fill="auto"/>
            <w:noWrap/>
            <w:vAlign w:val="center"/>
            <w:hideMark/>
          </w:tcPr>
          <w:p w14:paraId="7FCD5E56"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73.452,26</w:t>
            </w:r>
          </w:p>
        </w:tc>
        <w:tc>
          <w:tcPr>
            <w:tcW w:w="1417" w:type="dxa"/>
            <w:tcBorders>
              <w:top w:val="nil"/>
              <w:left w:val="nil"/>
              <w:bottom w:val="single" w:sz="4" w:space="0" w:color="auto"/>
              <w:right w:val="single" w:sz="4" w:space="0" w:color="auto"/>
            </w:tcBorders>
            <w:shd w:val="clear" w:color="auto" w:fill="auto"/>
            <w:noWrap/>
            <w:vAlign w:val="center"/>
            <w:hideMark/>
          </w:tcPr>
          <w:p w14:paraId="04A8FA8A"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56.696,72</w:t>
            </w:r>
          </w:p>
        </w:tc>
        <w:tc>
          <w:tcPr>
            <w:tcW w:w="1134" w:type="dxa"/>
            <w:tcBorders>
              <w:top w:val="nil"/>
              <w:left w:val="nil"/>
              <w:bottom w:val="single" w:sz="4" w:space="0" w:color="auto"/>
              <w:right w:val="single" w:sz="4" w:space="0" w:color="auto"/>
            </w:tcBorders>
            <w:shd w:val="clear" w:color="auto" w:fill="auto"/>
            <w:noWrap/>
            <w:vAlign w:val="center"/>
            <w:hideMark/>
          </w:tcPr>
          <w:p w14:paraId="61A025D2"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28.022,45</w:t>
            </w:r>
          </w:p>
        </w:tc>
        <w:tc>
          <w:tcPr>
            <w:tcW w:w="1276" w:type="dxa"/>
            <w:tcBorders>
              <w:top w:val="nil"/>
              <w:left w:val="nil"/>
              <w:bottom w:val="single" w:sz="4" w:space="0" w:color="000000"/>
              <w:right w:val="single" w:sz="4" w:space="0" w:color="000000"/>
            </w:tcBorders>
            <w:shd w:val="clear" w:color="auto" w:fill="auto"/>
            <w:noWrap/>
            <w:vAlign w:val="center"/>
            <w:hideMark/>
          </w:tcPr>
          <w:p w14:paraId="57D7D123"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199.890,00</w:t>
            </w:r>
          </w:p>
        </w:tc>
        <w:tc>
          <w:tcPr>
            <w:tcW w:w="1276" w:type="dxa"/>
            <w:tcBorders>
              <w:top w:val="nil"/>
              <w:left w:val="nil"/>
              <w:bottom w:val="single" w:sz="4" w:space="0" w:color="000000"/>
              <w:right w:val="single" w:sz="4" w:space="0" w:color="000000"/>
            </w:tcBorders>
            <w:shd w:val="clear" w:color="auto" w:fill="auto"/>
            <w:noWrap/>
            <w:vAlign w:val="center"/>
            <w:hideMark/>
          </w:tcPr>
          <w:p w14:paraId="0D7F227B"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41.253,66</w:t>
            </w:r>
          </w:p>
        </w:tc>
        <w:tc>
          <w:tcPr>
            <w:tcW w:w="1417" w:type="dxa"/>
            <w:tcBorders>
              <w:top w:val="nil"/>
              <w:left w:val="nil"/>
              <w:bottom w:val="single" w:sz="4" w:space="0" w:color="000000"/>
              <w:right w:val="single" w:sz="4" w:space="0" w:color="000000"/>
            </w:tcBorders>
            <w:shd w:val="clear" w:color="auto" w:fill="auto"/>
            <w:noWrap/>
            <w:vAlign w:val="center"/>
            <w:hideMark/>
          </w:tcPr>
          <w:p w14:paraId="615A7856"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22.398,27</w:t>
            </w:r>
          </w:p>
        </w:tc>
        <w:tc>
          <w:tcPr>
            <w:tcW w:w="1701" w:type="dxa"/>
            <w:tcBorders>
              <w:top w:val="nil"/>
              <w:left w:val="nil"/>
              <w:bottom w:val="single" w:sz="4" w:space="0" w:color="000000"/>
              <w:right w:val="single" w:sz="4" w:space="0" w:color="000000"/>
            </w:tcBorders>
            <w:shd w:val="clear" w:color="auto" w:fill="auto"/>
            <w:noWrap/>
            <w:vAlign w:val="center"/>
            <w:hideMark/>
          </w:tcPr>
          <w:p w14:paraId="66C76929" w14:textId="77777777" w:rsidR="008F158E" w:rsidRPr="008F158E" w:rsidRDefault="008F158E" w:rsidP="008F158E">
            <w:pPr>
              <w:spacing w:after="0" w:line="240" w:lineRule="auto"/>
              <w:jc w:val="right"/>
              <w:rPr>
                <w:rFonts w:ascii="Arial" w:eastAsia="Times New Roman" w:hAnsi="Arial" w:cs="Arial"/>
                <w:color w:val="000000"/>
                <w:sz w:val="16"/>
                <w:szCs w:val="16"/>
                <w:lang w:eastAsia="es-ES"/>
              </w:rPr>
            </w:pPr>
            <w:r w:rsidRPr="008F158E">
              <w:rPr>
                <w:rFonts w:ascii="Arial" w:eastAsia="Times New Roman" w:hAnsi="Arial" w:cs="Arial"/>
                <w:color w:val="000000"/>
                <w:sz w:val="16"/>
                <w:szCs w:val="16"/>
                <w:lang w:eastAsia="es-ES"/>
              </w:rPr>
              <w:t>22.398,27</w:t>
            </w:r>
          </w:p>
        </w:tc>
        <w:tc>
          <w:tcPr>
            <w:tcW w:w="851" w:type="dxa"/>
            <w:tcBorders>
              <w:top w:val="nil"/>
              <w:left w:val="single" w:sz="4" w:space="0" w:color="000000"/>
              <w:bottom w:val="single" w:sz="4" w:space="0" w:color="000000"/>
              <w:right w:val="single" w:sz="4" w:space="0" w:color="000000"/>
            </w:tcBorders>
            <w:shd w:val="clear" w:color="auto" w:fill="auto"/>
            <w:noWrap/>
            <w:vAlign w:val="center"/>
            <w:hideMark/>
          </w:tcPr>
          <w:p w14:paraId="0B1A35A5"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23%</w:t>
            </w:r>
          </w:p>
        </w:tc>
        <w:tc>
          <w:tcPr>
            <w:tcW w:w="567" w:type="dxa"/>
            <w:tcBorders>
              <w:top w:val="nil"/>
              <w:left w:val="nil"/>
              <w:bottom w:val="single" w:sz="4" w:space="0" w:color="000000"/>
              <w:right w:val="single" w:sz="4" w:space="0" w:color="000000"/>
            </w:tcBorders>
            <w:shd w:val="clear" w:color="auto" w:fill="auto"/>
            <w:noWrap/>
            <w:vAlign w:val="center"/>
            <w:hideMark/>
          </w:tcPr>
          <w:p w14:paraId="0788B610"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49%</w:t>
            </w:r>
          </w:p>
        </w:tc>
        <w:tc>
          <w:tcPr>
            <w:tcW w:w="709" w:type="dxa"/>
            <w:tcBorders>
              <w:top w:val="nil"/>
              <w:left w:val="nil"/>
              <w:bottom w:val="single" w:sz="4" w:space="0" w:color="000000"/>
              <w:right w:val="single" w:sz="4" w:space="0" w:color="000000"/>
            </w:tcBorders>
            <w:shd w:val="clear" w:color="auto" w:fill="auto"/>
            <w:noWrap/>
            <w:vAlign w:val="center"/>
          </w:tcPr>
          <w:p w14:paraId="22BD435B"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11%</w:t>
            </w:r>
          </w:p>
        </w:tc>
        <w:tc>
          <w:tcPr>
            <w:tcW w:w="708" w:type="dxa"/>
            <w:tcBorders>
              <w:top w:val="nil"/>
              <w:left w:val="nil"/>
              <w:bottom w:val="single" w:sz="4" w:space="0" w:color="000000"/>
              <w:right w:val="single" w:sz="4" w:space="0" w:color="000000"/>
            </w:tcBorders>
            <w:shd w:val="clear" w:color="auto" w:fill="auto"/>
            <w:noWrap/>
            <w:vAlign w:val="center"/>
            <w:hideMark/>
          </w:tcPr>
          <w:p w14:paraId="51CDAEBC"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100%</w:t>
            </w:r>
          </w:p>
        </w:tc>
        <w:tc>
          <w:tcPr>
            <w:tcW w:w="709" w:type="dxa"/>
            <w:tcBorders>
              <w:top w:val="nil"/>
              <w:left w:val="single" w:sz="4" w:space="0" w:color="000000"/>
              <w:bottom w:val="single" w:sz="4" w:space="0" w:color="000000"/>
              <w:right w:val="single" w:sz="4" w:space="0" w:color="000000"/>
            </w:tcBorders>
            <w:shd w:val="clear" w:color="000000" w:fill="E7E6E6"/>
            <w:noWrap/>
            <w:vAlign w:val="center"/>
            <w:hideMark/>
          </w:tcPr>
          <w:p w14:paraId="5AB5305F"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-17,55</w:t>
            </w:r>
          </w:p>
        </w:tc>
        <w:tc>
          <w:tcPr>
            <w:tcW w:w="709" w:type="dxa"/>
            <w:tcBorders>
              <w:top w:val="nil"/>
              <w:left w:val="nil"/>
              <w:bottom w:val="single" w:sz="4" w:space="0" w:color="000000"/>
              <w:right w:val="single" w:sz="4" w:space="0" w:color="000000"/>
            </w:tcBorders>
            <w:shd w:val="clear" w:color="000000" w:fill="E7E6E6"/>
            <w:noWrap/>
            <w:vAlign w:val="center"/>
            <w:hideMark/>
          </w:tcPr>
          <w:p w14:paraId="740D90B0"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-60,49</w:t>
            </w:r>
          </w:p>
        </w:tc>
        <w:tc>
          <w:tcPr>
            <w:tcW w:w="709" w:type="dxa"/>
            <w:tcBorders>
              <w:top w:val="nil"/>
              <w:left w:val="nil"/>
              <w:bottom w:val="single" w:sz="4" w:space="0" w:color="000000"/>
              <w:right w:val="single" w:sz="4" w:space="0" w:color="000000"/>
            </w:tcBorders>
            <w:shd w:val="clear" w:color="000000" w:fill="E7E6E6"/>
            <w:noWrap/>
            <w:vAlign w:val="center"/>
            <w:hideMark/>
          </w:tcPr>
          <w:p w14:paraId="4774AA85" w14:textId="77777777" w:rsidR="008F158E" w:rsidRPr="008F158E" w:rsidRDefault="008F158E" w:rsidP="008F158E">
            <w:pPr>
              <w:spacing w:after="0" w:line="240" w:lineRule="auto"/>
              <w:jc w:val="center"/>
              <w:rPr>
                <w:rFonts w:ascii="Arial" w:eastAsia="Times New Roman" w:hAnsi="Arial" w:cs="Arial"/>
                <w:color w:val="000000"/>
                <w:sz w:val="16"/>
                <w:szCs w:val="16"/>
                <w:lang w:eastAsia="es-ES"/>
              </w:rPr>
            </w:pPr>
            <w:r w:rsidRPr="008F158E">
              <w:rPr>
                <w:rFonts w:ascii="Arial" w:eastAsia="Times New Roman" w:hAnsi="Arial" w:cs="Arial"/>
                <w:color w:val="000000"/>
                <w:sz w:val="16"/>
                <w:szCs w:val="16"/>
              </w:rPr>
              <w:t>-20,07</w:t>
            </w:r>
          </w:p>
        </w:tc>
      </w:tr>
      <w:tr w:rsidR="008F158E" w:rsidRPr="008F158E" w14:paraId="387F4B81" w14:textId="77777777" w:rsidTr="00271465">
        <w:trPr>
          <w:trHeight w:val="315"/>
          <w:jc w:val="center"/>
        </w:trPr>
        <w:tc>
          <w:tcPr>
            <w:tcW w:w="704" w:type="dxa"/>
            <w:tcBorders>
              <w:top w:val="nil"/>
              <w:left w:val="single" w:sz="4" w:space="0" w:color="000000"/>
              <w:bottom w:val="single" w:sz="4" w:space="0" w:color="000000"/>
              <w:right w:val="nil"/>
            </w:tcBorders>
            <w:shd w:val="clear" w:color="auto" w:fill="auto"/>
            <w:noWrap/>
            <w:vAlign w:val="center"/>
            <w:hideMark/>
          </w:tcPr>
          <w:p w14:paraId="66B86756" w14:textId="77777777" w:rsidR="008F158E" w:rsidRPr="008F158E" w:rsidRDefault="008F158E" w:rsidP="008F158E">
            <w:pPr>
              <w:spacing w:after="0" w:line="240" w:lineRule="auto"/>
              <w:jc w:val="right"/>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lang w:eastAsia="es-ES"/>
              </w:rPr>
              <w:t xml:space="preserve">Suma total </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B614D18" w14:textId="77777777" w:rsidR="008F158E" w:rsidRPr="008F158E" w:rsidRDefault="008F158E" w:rsidP="008F158E">
            <w:pPr>
              <w:spacing w:after="0" w:line="240" w:lineRule="auto"/>
              <w:jc w:val="right"/>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lang w:eastAsia="es-ES"/>
              </w:rPr>
              <w:t>4.469.875,74</w:t>
            </w:r>
          </w:p>
        </w:tc>
        <w:tc>
          <w:tcPr>
            <w:tcW w:w="1134" w:type="dxa"/>
            <w:tcBorders>
              <w:top w:val="nil"/>
              <w:left w:val="nil"/>
              <w:bottom w:val="single" w:sz="4" w:space="0" w:color="auto"/>
              <w:right w:val="single" w:sz="4" w:space="0" w:color="auto"/>
            </w:tcBorders>
            <w:shd w:val="clear" w:color="auto" w:fill="auto"/>
            <w:noWrap/>
            <w:vAlign w:val="center"/>
            <w:hideMark/>
          </w:tcPr>
          <w:p w14:paraId="6ED77F69" w14:textId="77777777" w:rsidR="008F158E" w:rsidRPr="008F158E" w:rsidRDefault="008F158E" w:rsidP="008F158E">
            <w:pPr>
              <w:spacing w:after="0" w:line="240" w:lineRule="auto"/>
              <w:jc w:val="right"/>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lang w:eastAsia="es-ES"/>
              </w:rPr>
              <w:t>3.232.181,36</w:t>
            </w:r>
          </w:p>
        </w:tc>
        <w:tc>
          <w:tcPr>
            <w:tcW w:w="1417" w:type="dxa"/>
            <w:tcBorders>
              <w:top w:val="nil"/>
              <w:left w:val="nil"/>
              <w:bottom w:val="single" w:sz="4" w:space="0" w:color="auto"/>
              <w:right w:val="single" w:sz="4" w:space="0" w:color="auto"/>
            </w:tcBorders>
            <w:shd w:val="clear" w:color="auto" w:fill="auto"/>
            <w:noWrap/>
            <w:vAlign w:val="center"/>
            <w:hideMark/>
          </w:tcPr>
          <w:p w14:paraId="5C3FDC59" w14:textId="77777777" w:rsidR="008F158E" w:rsidRPr="008F158E" w:rsidRDefault="008F158E" w:rsidP="008F158E">
            <w:pPr>
              <w:spacing w:after="0" w:line="240" w:lineRule="auto"/>
              <w:jc w:val="right"/>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lang w:eastAsia="es-ES"/>
              </w:rPr>
              <w:t>2.736.021,95</w:t>
            </w:r>
          </w:p>
        </w:tc>
        <w:tc>
          <w:tcPr>
            <w:tcW w:w="1134" w:type="dxa"/>
            <w:tcBorders>
              <w:top w:val="nil"/>
              <w:left w:val="nil"/>
              <w:bottom w:val="single" w:sz="4" w:space="0" w:color="auto"/>
              <w:right w:val="single" w:sz="4" w:space="0" w:color="auto"/>
            </w:tcBorders>
            <w:shd w:val="clear" w:color="auto" w:fill="auto"/>
            <w:noWrap/>
            <w:vAlign w:val="center"/>
            <w:hideMark/>
          </w:tcPr>
          <w:p w14:paraId="18F53041" w14:textId="77777777" w:rsidR="008F158E" w:rsidRPr="008F158E" w:rsidRDefault="008F158E" w:rsidP="008F158E">
            <w:pPr>
              <w:spacing w:after="0" w:line="240" w:lineRule="auto"/>
              <w:jc w:val="right"/>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lang w:eastAsia="es-ES"/>
              </w:rPr>
              <w:t>2.676.702,60</w:t>
            </w:r>
          </w:p>
        </w:tc>
        <w:tc>
          <w:tcPr>
            <w:tcW w:w="1276" w:type="dxa"/>
            <w:tcBorders>
              <w:top w:val="nil"/>
              <w:left w:val="nil"/>
              <w:bottom w:val="single" w:sz="4" w:space="0" w:color="000000"/>
              <w:right w:val="single" w:sz="4" w:space="0" w:color="000000"/>
            </w:tcBorders>
            <w:shd w:val="clear" w:color="auto" w:fill="auto"/>
            <w:noWrap/>
            <w:vAlign w:val="center"/>
            <w:hideMark/>
          </w:tcPr>
          <w:p w14:paraId="1148F300" w14:textId="77777777" w:rsidR="008F158E" w:rsidRPr="008F158E" w:rsidRDefault="008F158E" w:rsidP="008F158E">
            <w:pPr>
              <w:spacing w:after="0" w:line="240" w:lineRule="auto"/>
              <w:jc w:val="right"/>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lang w:eastAsia="es-ES"/>
              </w:rPr>
              <w:t>8.212.133,15</w:t>
            </w:r>
          </w:p>
        </w:tc>
        <w:tc>
          <w:tcPr>
            <w:tcW w:w="1276" w:type="dxa"/>
            <w:tcBorders>
              <w:top w:val="nil"/>
              <w:left w:val="nil"/>
              <w:bottom w:val="single" w:sz="4" w:space="0" w:color="000000"/>
              <w:right w:val="single" w:sz="4" w:space="0" w:color="000000"/>
            </w:tcBorders>
            <w:shd w:val="clear" w:color="auto" w:fill="auto"/>
            <w:noWrap/>
            <w:vAlign w:val="center"/>
            <w:hideMark/>
          </w:tcPr>
          <w:p w14:paraId="369F021F" w14:textId="77777777" w:rsidR="008F158E" w:rsidRPr="008F158E" w:rsidRDefault="008F158E" w:rsidP="008F158E">
            <w:pPr>
              <w:spacing w:after="0" w:line="240" w:lineRule="auto"/>
              <w:jc w:val="right"/>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lang w:eastAsia="es-ES"/>
              </w:rPr>
              <w:t>6.917.325,66</w:t>
            </w:r>
          </w:p>
        </w:tc>
        <w:tc>
          <w:tcPr>
            <w:tcW w:w="1417" w:type="dxa"/>
            <w:tcBorders>
              <w:top w:val="nil"/>
              <w:left w:val="nil"/>
              <w:bottom w:val="single" w:sz="4" w:space="0" w:color="000000"/>
              <w:right w:val="single" w:sz="4" w:space="0" w:color="000000"/>
            </w:tcBorders>
            <w:shd w:val="clear" w:color="auto" w:fill="auto"/>
            <w:noWrap/>
            <w:vAlign w:val="center"/>
            <w:hideMark/>
          </w:tcPr>
          <w:p w14:paraId="0D211ECE" w14:textId="77777777" w:rsidR="008F158E" w:rsidRPr="008F158E" w:rsidRDefault="008F158E" w:rsidP="008F158E">
            <w:pPr>
              <w:spacing w:after="0" w:line="240" w:lineRule="auto"/>
              <w:jc w:val="right"/>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lang w:eastAsia="es-ES"/>
              </w:rPr>
              <w:t>6.817.335,76</w:t>
            </w:r>
          </w:p>
        </w:tc>
        <w:tc>
          <w:tcPr>
            <w:tcW w:w="1701" w:type="dxa"/>
            <w:tcBorders>
              <w:top w:val="nil"/>
              <w:left w:val="nil"/>
              <w:bottom w:val="single" w:sz="4" w:space="0" w:color="000000"/>
              <w:right w:val="single" w:sz="4" w:space="0" w:color="000000"/>
            </w:tcBorders>
            <w:shd w:val="clear" w:color="auto" w:fill="auto"/>
            <w:noWrap/>
            <w:vAlign w:val="center"/>
            <w:hideMark/>
          </w:tcPr>
          <w:p w14:paraId="4AA77983" w14:textId="77777777" w:rsidR="008F158E" w:rsidRPr="008F158E" w:rsidRDefault="008F158E" w:rsidP="008F158E">
            <w:pPr>
              <w:spacing w:after="0" w:line="240" w:lineRule="auto"/>
              <w:jc w:val="right"/>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lang w:eastAsia="es-ES"/>
              </w:rPr>
              <w:t>6.780.788,68</w:t>
            </w:r>
          </w:p>
        </w:tc>
        <w:tc>
          <w:tcPr>
            <w:tcW w:w="851" w:type="dxa"/>
            <w:tcBorders>
              <w:top w:val="nil"/>
              <w:left w:val="single" w:sz="4" w:space="0" w:color="000000"/>
              <w:bottom w:val="single" w:sz="4" w:space="0" w:color="000000"/>
              <w:right w:val="single" w:sz="4" w:space="0" w:color="000000"/>
            </w:tcBorders>
            <w:shd w:val="clear" w:color="auto" w:fill="auto"/>
            <w:noWrap/>
            <w:vAlign w:val="center"/>
            <w:hideMark/>
          </w:tcPr>
          <w:p w14:paraId="15ED64AB" w14:textId="77777777" w:rsidR="008F158E" w:rsidRPr="008F158E" w:rsidRDefault="008F158E" w:rsidP="008F158E">
            <w:pPr>
              <w:spacing w:after="0" w:line="240" w:lineRule="auto"/>
              <w:jc w:val="center"/>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rPr>
              <w:t>61%</w:t>
            </w:r>
          </w:p>
        </w:tc>
        <w:tc>
          <w:tcPr>
            <w:tcW w:w="567" w:type="dxa"/>
            <w:tcBorders>
              <w:top w:val="nil"/>
              <w:left w:val="nil"/>
              <w:bottom w:val="single" w:sz="4" w:space="0" w:color="000000"/>
              <w:right w:val="single" w:sz="4" w:space="0" w:color="000000"/>
            </w:tcBorders>
            <w:shd w:val="clear" w:color="auto" w:fill="auto"/>
            <w:noWrap/>
            <w:vAlign w:val="center"/>
            <w:hideMark/>
          </w:tcPr>
          <w:p w14:paraId="4F3BB1F0" w14:textId="77777777" w:rsidR="008F158E" w:rsidRPr="008F158E" w:rsidRDefault="008F158E" w:rsidP="008F158E">
            <w:pPr>
              <w:spacing w:after="0" w:line="240" w:lineRule="auto"/>
              <w:jc w:val="center"/>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rPr>
              <w:t>98%</w:t>
            </w:r>
          </w:p>
        </w:tc>
        <w:tc>
          <w:tcPr>
            <w:tcW w:w="709" w:type="dxa"/>
            <w:tcBorders>
              <w:top w:val="nil"/>
              <w:left w:val="nil"/>
              <w:bottom w:val="single" w:sz="4" w:space="0" w:color="000000"/>
              <w:right w:val="single" w:sz="4" w:space="0" w:color="000000"/>
            </w:tcBorders>
            <w:shd w:val="clear" w:color="auto" w:fill="auto"/>
            <w:noWrap/>
            <w:vAlign w:val="center"/>
          </w:tcPr>
          <w:p w14:paraId="40261868" w14:textId="77777777" w:rsidR="008F158E" w:rsidRPr="008F158E" w:rsidRDefault="008F158E" w:rsidP="008F158E">
            <w:pPr>
              <w:spacing w:after="0" w:line="240" w:lineRule="auto"/>
              <w:jc w:val="center"/>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rPr>
              <w:t>83%</w:t>
            </w:r>
          </w:p>
        </w:tc>
        <w:tc>
          <w:tcPr>
            <w:tcW w:w="708" w:type="dxa"/>
            <w:tcBorders>
              <w:top w:val="nil"/>
              <w:left w:val="nil"/>
              <w:bottom w:val="single" w:sz="4" w:space="0" w:color="000000"/>
              <w:right w:val="single" w:sz="4" w:space="0" w:color="000000"/>
            </w:tcBorders>
            <w:shd w:val="clear" w:color="auto" w:fill="auto"/>
            <w:noWrap/>
            <w:vAlign w:val="center"/>
            <w:hideMark/>
          </w:tcPr>
          <w:p w14:paraId="10832DEB" w14:textId="77777777" w:rsidR="008F158E" w:rsidRPr="008F158E" w:rsidRDefault="008F158E" w:rsidP="008F158E">
            <w:pPr>
              <w:spacing w:after="0" w:line="240" w:lineRule="auto"/>
              <w:jc w:val="center"/>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rPr>
              <w:t>99%</w:t>
            </w:r>
          </w:p>
        </w:tc>
        <w:tc>
          <w:tcPr>
            <w:tcW w:w="709" w:type="dxa"/>
            <w:tcBorders>
              <w:top w:val="nil"/>
              <w:left w:val="single" w:sz="4" w:space="0" w:color="000000"/>
              <w:bottom w:val="single" w:sz="4" w:space="0" w:color="000000"/>
              <w:right w:val="single" w:sz="4" w:space="0" w:color="000000"/>
            </w:tcBorders>
            <w:shd w:val="clear" w:color="000000" w:fill="E7E6E6"/>
            <w:noWrap/>
            <w:vAlign w:val="center"/>
            <w:hideMark/>
          </w:tcPr>
          <w:p w14:paraId="13854593" w14:textId="77777777" w:rsidR="008F158E" w:rsidRPr="008F158E" w:rsidRDefault="008F158E" w:rsidP="008F158E">
            <w:pPr>
              <w:spacing w:after="0" w:line="240" w:lineRule="auto"/>
              <w:jc w:val="center"/>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rPr>
              <w:t>83,72</w:t>
            </w:r>
          </w:p>
        </w:tc>
        <w:tc>
          <w:tcPr>
            <w:tcW w:w="709" w:type="dxa"/>
            <w:tcBorders>
              <w:top w:val="nil"/>
              <w:left w:val="nil"/>
              <w:bottom w:val="single" w:sz="4" w:space="0" w:color="000000"/>
              <w:right w:val="single" w:sz="4" w:space="0" w:color="000000"/>
            </w:tcBorders>
            <w:shd w:val="clear" w:color="000000" w:fill="E7E6E6"/>
            <w:noWrap/>
            <w:vAlign w:val="center"/>
            <w:hideMark/>
          </w:tcPr>
          <w:p w14:paraId="7ACACA87" w14:textId="77777777" w:rsidR="008F158E" w:rsidRPr="008F158E" w:rsidRDefault="008F158E" w:rsidP="008F158E">
            <w:pPr>
              <w:spacing w:after="0" w:line="240" w:lineRule="auto"/>
              <w:jc w:val="center"/>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rPr>
              <w:t>149,17</w:t>
            </w:r>
          </w:p>
        </w:tc>
        <w:tc>
          <w:tcPr>
            <w:tcW w:w="709" w:type="dxa"/>
            <w:tcBorders>
              <w:top w:val="nil"/>
              <w:left w:val="nil"/>
              <w:bottom w:val="single" w:sz="4" w:space="0" w:color="000000"/>
              <w:right w:val="single" w:sz="4" w:space="0" w:color="000000"/>
            </w:tcBorders>
            <w:shd w:val="clear" w:color="000000" w:fill="E7E6E6"/>
            <w:noWrap/>
            <w:vAlign w:val="center"/>
            <w:hideMark/>
          </w:tcPr>
          <w:p w14:paraId="50C88ABD" w14:textId="77777777" w:rsidR="008F158E" w:rsidRPr="008F158E" w:rsidRDefault="008F158E" w:rsidP="008F158E">
            <w:pPr>
              <w:spacing w:after="0" w:line="240" w:lineRule="auto"/>
              <w:jc w:val="center"/>
              <w:rPr>
                <w:rFonts w:ascii="Arial" w:eastAsia="Times New Roman" w:hAnsi="Arial" w:cs="Arial"/>
                <w:b/>
                <w:bCs/>
                <w:color w:val="000000"/>
                <w:sz w:val="16"/>
                <w:szCs w:val="16"/>
                <w:lang w:eastAsia="es-ES"/>
              </w:rPr>
            </w:pPr>
            <w:r w:rsidRPr="008F158E">
              <w:rPr>
                <w:rFonts w:ascii="Arial" w:eastAsia="Times New Roman" w:hAnsi="Arial" w:cs="Arial"/>
                <w:b/>
                <w:bCs/>
                <w:color w:val="000000"/>
                <w:sz w:val="16"/>
                <w:szCs w:val="16"/>
              </w:rPr>
              <w:t>153,33</w:t>
            </w:r>
          </w:p>
        </w:tc>
      </w:tr>
      <w:bookmarkEnd w:id="566"/>
    </w:tbl>
    <w:p w14:paraId="3C582087" w14:textId="1BE4B722" w:rsidR="00F84E97" w:rsidRDefault="00F84E97" w:rsidP="00A54EF9">
      <w:pPr>
        <w:spacing w:after="240" w:line="276" w:lineRule="auto"/>
        <w:jc w:val="both"/>
        <w:rPr>
          <w:rFonts w:ascii="Arial" w:eastAsia="Droid Sans Fallback" w:hAnsi="Arial" w:cs="Arial"/>
          <w:kern w:val="3"/>
          <w:sz w:val="21"/>
          <w:szCs w:val="21"/>
          <w:lang w:eastAsia="zh-CN" w:bidi="hi-IN"/>
        </w:rPr>
      </w:pPr>
    </w:p>
    <w:p w14:paraId="30524FE5" w14:textId="60CFD50A" w:rsidR="00F84E97" w:rsidRDefault="00F84E97" w:rsidP="00A54EF9">
      <w:pPr>
        <w:spacing w:after="240" w:line="276" w:lineRule="auto"/>
        <w:jc w:val="both"/>
        <w:rPr>
          <w:rFonts w:ascii="Arial" w:eastAsia="Droid Sans Fallback" w:hAnsi="Arial" w:cs="Arial"/>
          <w:kern w:val="3"/>
          <w:sz w:val="21"/>
          <w:szCs w:val="21"/>
          <w:lang w:eastAsia="zh-CN" w:bidi="hi-IN"/>
        </w:rPr>
      </w:pPr>
    </w:p>
    <w:p w14:paraId="202CBA19" w14:textId="6EEC2646" w:rsidR="00F84E97" w:rsidRDefault="00F84E97" w:rsidP="00A54EF9">
      <w:pPr>
        <w:spacing w:after="240" w:line="276" w:lineRule="auto"/>
        <w:jc w:val="both"/>
        <w:rPr>
          <w:rFonts w:ascii="Arial" w:eastAsia="Droid Sans Fallback" w:hAnsi="Arial" w:cs="Arial"/>
          <w:kern w:val="3"/>
          <w:sz w:val="21"/>
          <w:szCs w:val="21"/>
          <w:lang w:eastAsia="zh-CN" w:bidi="hi-IN"/>
        </w:rPr>
      </w:pPr>
    </w:p>
    <w:p w14:paraId="7485396C" w14:textId="35F8D6F3" w:rsidR="00F84E97" w:rsidRDefault="00F84E97" w:rsidP="00A54EF9">
      <w:pPr>
        <w:spacing w:after="240" w:line="276" w:lineRule="auto"/>
        <w:jc w:val="both"/>
        <w:rPr>
          <w:rFonts w:ascii="Arial" w:eastAsia="Droid Sans Fallback" w:hAnsi="Arial" w:cs="Arial"/>
          <w:kern w:val="3"/>
          <w:sz w:val="21"/>
          <w:szCs w:val="21"/>
          <w:lang w:eastAsia="zh-CN" w:bidi="hi-IN"/>
        </w:rPr>
      </w:pPr>
    </w:p>
    <w:p w14:paraId="79E48648" w14:textId="77777777" w:rsidR="003F06BB" w:rsidRDefault="003F06BB" w:rsidP="00A54EF9">
      <w:pPr>
        <w:spacing w:after="240" w:line="276" w:lineRule="auto"/>
        <w:jc w:val="both"/>
        <w:rPr>
          <w:rFonts w:ascii="Arial" w:eastAsia="Droid Sans Fallback" w:hAnsi="Arial" w:cs="Arial"/>
          <w:kern w:val="3"/>
          <w:sz w:val="21"/>
          <w:szCs w:val="21"/>
          <w:lang w:eastAsia="zh-CN" w:bidi="hi-IN"/>
        </w:rPr>
        <w:sectPr w:rsidR="003F06BB" w:rsidSect="00EA4E12">
          <w:pgSz w:w="16838" w:h="11906" w:orient="landscape" w:code="9"/>
          <w:pgMar w:top="1701" w:right="1134" w:bottom="1701" w:left="1134" w:header="567" w:footer="567" w:gutter="0"/>
          <w:cols w:space="708"/>
          <w:titlePg/>
          <w:docGrid w:linePitch="360"/>
        </w:sectPr>
      </w:pPr>
    </w:p>
    <w:p w14:paraId="265B05B7" w14:textId="025929B6" w:rsidR="00F84E97" w:rsidRDefault="009E2AB6" w:rsidP="00A54EF9">
      <w:pPr>
        <w:spacing w:after="240" w:line="276" w:lineRule="auto"/>
        <w:jc w:val="both"/>
        <w:rPr>
          <w:rFonts w:ascii="Arial" w:eastAsia="Droid Sans Fallback" w:hAnsi="Arial" w:cs="Arial"/>
          <w:kern w:val="3"/>
          <w:sz w:val="21"/>
          <w:szCs w:val="21"/>
          <w:lang w:eastAsia="zh-CN" w:bidi="hi-IN"/>
        </w:rPr>
      </w:pPr>
      <w:r w:rsidRPr="009E2AB6">
        <w:rPr>
          <w:rFonts w:ascii="Arial" w:eastAsia="Droid Sans Fallback" w:hAnsi="Arial" w:cs="Arial"/>
          <w:kern w:val="3"/>
          <w:sz w:val="21"/>
          <w:szCs w:val="21"/>
          <w:lang w:eastAsia="zh-CN" w:bidi="hi-IN"/>
        </w:rPr>
        <w:t xml:space="preserve">El </w:t>
      </w:r>
      <w:r w:rsidRPr="009E2AB6">
        <w:rPr>
          <w:rFonts w:ascii="Arial" w:eastAsia="Droid Sans Fallback" w:hAnsi="Arial" w:cs="Arial"/>
          <w:b/>
          <w:bCs/>
          <w:kern w:val="3"/>
          <w:sz w:val="21"/>
          <w:szCs w:val="21"/>
          <w:lang w:eastAsia="zh-CN" w:bidi="hi-IN"/>
        </w:rPr>
        <w:t>resultado presupuestario</w:t>
      </w:r>
      <w:r w:rsidRPr="009E2AB6">
        <w:rPr>
          <w:rFonts w:ascii="Arial" w:eastAsia="Droid Sans Fallback" w:hAnsi="Arial" w:cs="Arial"/>
          <w:kern w:val="3"/>
          <w:sz w:val="21"/>
          <w:szCs w:val="21"/>
          <w:lang w:eastAsia="zh-CN" w:bidi="hi-IN"/>
        </w:rPr>
        <w:t xml:space="preserve"> del ejercicio 2021 asciende a -2.392.319,20 euros. Sobre este resultado debe realizarse el correspondiente ajuste como consecuencia del pago realizado a la Generalitat Valenciana para la devolución de los remanentes de ejercicios anteriores. De este modo, se obtiene un </w:t>
      </w:r>
      <w:r w:rsidRPr="009E2AB6">
        <w:rPr>
          <w:rFonts w:ascii="Arial" w:eastAsia="Droid Sans Fallback" w:hAnsi="Arial" w:cs="Arial"/>
          <w:b/>
          <w:kern w:val="3"/>
          <w:sz w:val="21"/>
          <w:szCs w:val="21"/>
          <w:lang w:eastAsia="zh-CN" w:bidi="hi-IN"/>
        </w:rPr>
        <w:t>resultado presupuestario ajustado</w:t>
      </w:r>
      <w:r w:rsidRPr="009E2AB6">
        <w:rPr>
          <w:rFonts w:ascii="Arial" w:eastAsia="Droid Sans Fallback" w:hAnsi="Arial" w:cs="Arial"/>
          <w:kern w:val="3"/>
          <w:sz w:val="21"/>
          <w:szCs w:val="21"/>
          <w:lang w:eastAsia="zh-CN" w:bidi="hi-IN"/>
        </w:rPr>
        <w:t xml:space="preserve"> positivo de 1.395.473,95 euros, de acuerdo con el detalle que se ofrece a continuación.</w:t>
      </w:r>
    </w:p>
    <w:p w14:paraId="76CECBE7" w14:textId="60065F60" w:rsidR="009E2AB6" w:rsidRPr="009E2AB6" w:rsidRDefault="009E2AB6" w:rsidP="009E2AB6">
      <w:pPr>
        <w:pStyle w:val="Descripcin"/>
        <w:keepNext/>
        <w:rPr>
          <w:rFonts w:ascii="Arial" w:hAnsi="Arial" w:cs="Arial"/>
          <w:smallCaps w:val="0"/>
          <w:sz w:val="18"/>
          <w:szCs w:val="18"/>
        </w:rPr>
      </w:pPr>
      <w:bookmarkStart w:id="567" w:name="_Toc99107177"/>
      <w:r w:rsidRPr="009E2AB6">
        <w:rPr>
          <w:rFonts w:ascii="Arial" w:hAnsi="Arial" w:cs="Arial"/>
          <w:smallCaps w:val="0"/>
          <w:color w:val="9D2235" w:themeColor="accent1"/>
          <w:sz w:val="18"/>
          <w:szCs w:val="18"/>
        </w:rPr>
        <w:t xml:space="preserve">Tabla </w:t>
      </w:r>
      <w:r w:rsidRPr="009E2AB6">
        <w:rPr>
          <w:rFonts w:ascii="Arial" w:hAnsi="Arial" w:cs="Arial"/>
          <w:smallCaps w:val="0"/>
          <w:color w:val="9D2235" w:themeColor="accent1"/>
          <w:sz w:val="18"/>
          <w:szCs w:val="18"/>
        </w:rPr>
        <w:fldChar w:fldCharType="begin" w:fldLock="1"/>
      </w:r>
      <w:r w:rsidRPr="009E2AB6">
        <w:rPr>
          <w:rFonts w:ascii="Arial" w:hAnsi="Arial" w:cs="Arial"/>
          <w:smallCaps w:val="0"/>
          <w:color w:val="9D2235" w:themeColor="accent1"/>
          <w:sz w:val="18"/>
          <w:szCs w:val="18"/>
        </w:rPr>
        <w:instrText xml:space="preserve"> SEQ Tabla \* ARABIC </w:instrText>
      </w:r>
      <w:r w:rsidRPr="009E2AB6">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39</w:t>
      </w:r>
      <w:r w:rsidRPr="009E2AB6">
        <w:rPr>
          <w:rFonts w:ascii="Arial" w:hAnsi="Arial" w:cs="Arial"/>
          <w:smallCaps w:val="0"/>
          <w:color w:val="9D2235" w:themeColor="accent1"/>
          <w:sz w:val="18"/>
          <w:szCs w:val="18"/>
        </w:rPr>
        <w:fldChar w:fldCharType="end"/>
      </w:r>
      <w:r w:rsidRPr="009E2AB6">
        <w:rPr>
          <w:rFonts w:ascii="Arial" w:hAnsi="Arial" w:cs="Arial"/>
          <w:smallCaps w:val="0"/>
          <w:color w:val="9D2235" w:themeColor="accent1"/>
          <w:sz w:val="18"/>
          <w:szCs w:val="18"/>
        </w:rPr>
        <w:t xml:space="preserve">. </w:t>
      </w:r>
      <w:r w:rsidRPr="009E2AB6">
        <w:rPr>
          <w:rFonts w:ascii="Arial" w:hAnsi="Arial" w:cs="Arial"/>
          <w:smallCaps w:val="0"/>
          <w:sz w:val="18"/>
          <w:szCs w:val="18"/>
        </w:rPr>
        <w:t>Resultado presupuestario 2021</w:t>
      </w:r>
      <w:bookmarkEnd w:id="567"/>
    </w:p>
    <w:tbl>
      <w:tblPr>
        <w:tblW w:w="8505" w:type="dxa"/>
        <w:jc w:val="center"/>
        <w:tblBorders>
          <w:bottom w:val="single" w:sz="4" w:space="0" w:color="auto"/>
        </w:tblBorders>
        <w:tblCellMar>
          <w:top w:w="28" w:type="dxa"/>
          <w:left w:w="28" w:type="dxa"/>
          <w:bottom w:w="28" w:type="dxa"/>
          <w:right w:w="28" w:type="dxa"/>
        </w:tblCellMar>
        <w:tblLook w:val="0000" w:firstRow="0" w:lastRow="0" w:firstColumn="0" w:lastColumn="0" w:noHBand="0" w:noVBand="0"/>
      </w:tblPr>
      <w:tblGrid>
        <w:gridCol w:w="6722"/>
        <w:gridCol w:w="1783"/>
      </w:tblGrid>
      <w:tr w:rsidR="009E2AB6" w:rsidRPr="00C052D8" w14:paraId="30C627DC" w14:textId="77777777" w:rsidTr="00271465">
        <w:trPr>
          <w:jc w:val="center"/>
        </w:trPr>
        <w:tc>
          <w:tcPr>
            <w:tcW w:w="6722" w:type="dxa"/>
            <w:tcBorders>
              <w:bottom w:val="single" w:sz="4" w:space="0" w:color="auto"/>
            </w:tcBorders>
            <w:shd w:val="clear" w:color="auto" w:fill="9D2235"/>
          </w:tcPr>
          <w:p w14:paraId="411C0924" w14:textId="77777777" w:rsidR="009E2AB6" w:rsidRPr="00C052D8" w:rsidRDefault="009E2AB6" w:rsidP="009E2AB6">
            <w:pPr>
              <w:widowControl w:val="0"/>
              <w:suppressAutoHyphens/>
              <w:spacing w:after="0" w:line="276" w:lineRule="auto"/>
              <w:jc w:val="both"/>
              <w:textAlignment w:val="baseline"/>
              <w:rPr>
                <w:rFonts w:ascii="Arial" w:eastAsia="NSimSun" w:hAnsi="Arial" w:cs="HelveticaNeue-Bold"/>
                <w:b/>
                <w:bCs/>
                <w:color w:val="FFFFFF"/>
                <w:kern w:val="2"/>
                <w:sz w:val="19"/>
                <w:szCs w:val="19"/>
                <w:highlight w:val="yellow"/>
                <w:lang w:eastAsia="zh-CN" w:bidi="hi-IN"/>
              </w:rPr>
            </w:pPr>
            <w:r w:rsidRPr="00C052D8">
              <w:rPr>
                <w:rFonts w:ascii="Arial" w:eastAsia="NSimSun" w:hAnsi="Arial" w:cs="HelveticaNeue-Bold"/>
                <w:b/>
                <w:bCs/>
                <w:color w:val="FFFFFF"/>
                <w:kern w:val="2"/>
                <w:sz w:val="19"/>
                <w:szCs w:val="19"/>
                <w:lang w:eastAsia="zh-CN" w:bidi="hi-IN"/>
              </w:rPr>
              <w:t>Operaciones corrientes</w:t>
            </w:r>
          </w:p>
        </w:tc>
        <w:tc>
          <w:tcPr>
            <w:tcW w:w="1783" w:type="dxa"/>
            <w:tcBorders>
              <w:bottom w:val="single" w:sz="4" w:space="0" w:color="auto"/>
            </w:tcBorders>
            <w:shd w:val="clear" w:color="auto" w:fill="9D2235"/>
          </w:tcPr>
          <w:p w14:paraId="6B9791ED" w14:textId="77777777" w:rsidR="009E2AB6" w:rsidRPr="00C052D8" w:rsidRDefault="009E2AB6" w:rsidP="009E2AB6">
            <w:pPr>
              <w:widowControl w:val="0"/>
              <w:suppressAutoHyphens/>
              <w:spacing w:after="0" w:line="276" w:lineRule="auto"/>
              <w:jc w:val="both"/>
              <w:textAlignment w:val="baseline"/>
              <w:rPr>
                <w:rFonts w:ascii="Arial" w:eastAsia="NSimSun" w:hAnsi="Arial" w:cs="Arial"/>
                <w:kern w:val="2"/>
                <w:sz w:val="19"/>
                <w:szCs w:val="19"/>
                <w:highlight w:val="yellow"/>
                <w:lang w:eastAsia="zh-CN" w:bidi="hi-IN"/>
              </w:rPr>
            </w:pPr>
          </w:p>
        </w:tc>
      </w:tr>
      <w:tr w:rsidR="009E2AB6" w:rsidRPr="00C052D8" w14:paraId="2DBE4A73" w14:textId="77777777" w:rsidTr="00271465">
        <w:trPr>
          <w:jc w:val="center"/>
        </w:trPr>
        <w:tc>
          <w:tcPr>
            <w:tcW w:w="6722" w:type="dxa"/>
            <w:tcBorders>
              <w:top w:val="single" w:sz="4" w:space="0" w:color="auto"/>
              <w:bottom w:val="single" w:sz="4" w:space="0" w:color="auto"/>
            </w:tcBorders>
            <w:shd w:val="clear" w:color="auto" w:fill="auto"/>
          </w:tcPr>
          <w:p w14:paraId="3CF3F904" w14:textId="77777777" w:rsidR="009E2AB6" w:rsidRPr="00C052D8" w:rsidRDefault="009E2AB6" w:rsidP="009E2AB6">
            <w:pPr>
              <w:widowControl w:val="0"/>
              <w:tabs>
                <w:tab w:val="right" w:pos="7941"/>
              </w:tabs>
              <w:suppressAutoHyphens/>
              <w:spacing w:after="0" w:line="276" w:lineRule="auto"/>
              <w:jc w:val="both"/>
              <w:textAlignment w:val="baseline"/>
              <w:rPr>
                <w:rFonts w:ascii="Liberation Serif" w:eastAsia="NSimSun" w:hAnsi="Liberation Serif" w:cs="Arial"/>
                <w:kern w:val="2"/>
                <w:sz w:val="19"/>
                <w:szCs w:val="19"/>
                <w:lang w:eastAsia="zh-CN" w:bidi="hi-IN"/>
              </w:rPr>
            </w:pPr>
            <w:r w:rsidRPr="00C052D8">
              <w:rPr>
                <w:rFonts w:ascii="Arial" w:eastAsia="NSimSun" w:hAnsi="Arial" w:cs="Helvetica"/>
                <w:color w:val="000000"/>
                <w:kern w:val="2"/>
                <w:sz w:val="19"/>
                <w:szCs w:val="19"/>
                <w:lang w:eastAsia="zh-CN" w:bidi="hi-IN"/>
              </w:rPr>
              <w:t>Derechos liquidados</w:t>
            </w:r>
          </w:p>
        </w:tc>
        <w:tc>
          <w:tcPr>
            <w:tcW w:w="1783" w:type="dxa"/>
            <w:tcBorders>
              <w:top w:val="single" w:sz="4" w:space="0" w:color="auto"/>
              <w:bottom w:val="single" w:sz="4" w:space="0" w:color="auto"/>
            </w:tcBorders>
            <w:shd w:val="clear" w:color="auto" w:fill="auto"/>
          </w:tcPr>
          <w:p w14:paraId="76A4DCFA" w14:textId="77777777" w:rsidR="009E2AB6" w:rsidRPr="00C052D8" w:rsidRDefault="009E2AB6" w:rsidP="009E2AB6">
            <w:pPr>
              <w:widowControl w:val="0"/>
              <w:tabs>
                <w:tab w:val="right" w:pos="7941"/>
              </w:tabs>
              <w:suppressAutoHyphens/>
              <w:spacing w:after="0" w:line="276" w:lineRule="auto"/>
              <w:jc w:val="right"/>
              <w:textAlignment w:val="baseline"/>
              <w:rPr>
                <w:rFonts w:ascii="Arial" w:eastAsia="NSimSun" w:hAnsi="Arial" w:cs="Arial"/>
                <w:kern w:val="2"/>
                <w:sz w:val="19"/>
                <w:szCs w:val="19"/>
                <w:lang w:eastAsia="zh-CN" w:bidi="hi-IN"/>
              </w:rPr>
            </w:pPr>
            <w:r w:rsidRPr="00C052D8">
              <w:rPr>
                <w:rFonts w:ascii="Arial" w:eastAsia="NSimSun" w:hAnsi="Arial" w:cs="Arial"/>
                <w:kern w:val="2"/>
                <w:sz w:val="19"/>
                <w:szCs w:val="19"/>
                <w:lang w:eastAsia="zh-CN" w:bidi="hi-IN"/>
              </w:rPr>
              <w:t>4.224.617,77 €</w:t>
            </w:r>
          </w:p>
        </w:tc>
      </w:tr>
      <w:tr w:rsidR="009E2AB6" w:rsidRPr="00C052D8" w14:paraId="12B38241" w14:textId="77777777" w:rsidTr="00271465">
        <w:trPr>
          <w:jc w:val="center"/>
        </w:trPr>
        <w:tc>
          <w:tcPr>
            <w:tcW w:w="6722" w:type="dxa"/>
            <w:tcBorders>
              <w:top w:val="single" w:sz="4" w:space="0" w:color="auto"/>
              <w:bottom w:val="single" w:sz="4" w:space="0" w:color="auto"/>
            </w:tcBorders>
            <w:shd w:val="clear" w:color="auto" w:fill="auto"/>
          </w:tcPr>
          <w:p w14:paraId="783AD958" w14:textId="77777777" w:rsidR="009E2AB6" w:rsidRPr="00C052D8" w:rsidRDefault="009E2AB6" w:rsidP="009E2AB6">
            <w:pPr>
              <w:widowControl w:val="0"/>
              <w:tabs>
                <w:tab w:val="right" w:pos="7953"/>
              </w:tabs>
              <w:suppressAutoHyphens/>
              <w:spacing w:after="0" w:line="276" w:lineRule="auto"/>
              <w:jc w:val="both"/>
              <w:textAlignment w:val="baseline"/>
              <w:rPr>
                <w:rFonts w:ascii="Arial" w:eastAsia="NSimSun" w:hAnsi="Arial" w:cs="Arial"/>
                <w:kern w:val="2"/>
                <w:sz w:val="19"/>
                <w:szCs w:val="19"/>
                <w:lang w:eastAsia="zh-CN" w:bidi="hi-IN"/>
              </w:rPr>
            </w:pPr>
            <w:r w:rsidRPr="00C052D8">
              <w:rPr>
                <w:rFonts w:ascii="Arial" w:eastAsia="NSimSun" w:hAnsi="Arial" w:cs="Arial"/>
                <w:kern w:val="2"/>
                <w:sz w:val="19"/>
                <w:szCs w:val="19"/>
                <w:lang w:eastAsia="zh-CN" w:bidi="hi-IN"/>
              </w:rPr>
              <w:t>Obligaciones reconocidas</w:t>
            </w:r>
          </w:p>
        </w:tc>
        <w:tc>
          <w:tcPr>
            <w:tcW w:w="1783" w:type="dxa"/>
            <w:tcBorders>
              <w:top w:val="single" w:sz="4" w:space="0" w:color="auto"/>
              <w:bottom w:val="single" w:sz="4" w:space="0" w:color="auto"/>
            </w:tcBorders>
            <w:shd w:val="clear" w:color="auto" w:fill="auto"/>
          </w:tcPr>
          <w:p w14:paraId="04B0EE52" w14:textId="77777777" w:rsidR="009E2AB6" w:rsidRPr="00C052D8" w:rsidRDefault="009E2AB6" w:rsidP="009E2AB6">
            <w:pPr>
              <w:widowControl w:val="0"/>
              <w:tabs>
                <w:tab w:val="right" w:pos="7953"/>
              </w:tabs>
              <w:suppressAutoHyphens/>
              <w:spacing w:after="0" w:line="276" w:lineRule="auto"/>
              <w:jc w:val="right"/>
              <w:textAlignment w:val="baseline"/>
              <w:rPr>
                <w:rFonts w:ascii="Arial" w:eastAsia="NSimSun" w:hAnsi="Arial" w:cs="Arial"/>
                <w:kern w:val="2"/>
                <w:sz w:val="19"/>
                <w:szCs w:val="19"/>
                <w:lang w:eastAsia="zh-CN" w:bidi="hi-IN"/>
              </w:rPr>
            </w:pPr>
            <w:r w:rsidRPr="00C052D8">
              <w:rPr>
                <w:rFonts w:ascii="Arial" w:eastAsia="NSimSun" w:hAnsi="Arial" w:cs="Arial"/>
                <w:kern w:val="2"/>
                <w:sz w:val="19"/>
                <w:szCs w:val="19"/>
                <w:lang w:eastAsia="zh-CN" w:bidi="hi-IN"/>
              </w:rPr>
              <w:t>6.794.428,70 €</w:t>
            </w:r>
          </w:p>
        </w:tc>
      </w:tr>
      <w:tr w:rsidR="009E2AB6" w:rsidRPr="00C052D8" w14:paraId="2A66447C" w14:textId="77777777" w:rsidTr="00271465">
        <w:trPr>
          <w:jc w:val="center"/>
        </w:trPr>
        <w:tc>
          <w:tcPr>
            <w:tcW w:w="6722" w:type="dxa"/>
            <w:tcBorders>
              <w:bottom w:val="single" w:sz="4" w:space="0" w:color="auto"/>
            </w:tcBorders>
            <w:shd w:val="clear" w:color="auto" w:fill="9D2235"/>
          </w:tcPr>
          <w:p w14:paraId="0B98AF83" w14:textId="77777777" w:rsidR="009E2AB6" w:rsidRPr="00C052D8" w:rsidRDefault="009E2AB6" w:rsidP="009E2AB6">
            <w:pPr>
              <w:widowControl w:val="0"/>
              <w:suppressAutoHyphens/>
              <w:spacing w:after="0" w:line="276" w:lineRule="auto"/>
              <w:jc w:val="both"/>
              <w:textAlignment w:val="baseline"/>
              <w:rPr>
                <w:rFonts w:ascii="Arial" w:eastAsia="NSimSun" w:hAnsi="Arial" w:cs="HelveticaNeue-Bold"/>
                <w:b/>
                <w:bCs/>
                <w:color w:val="FFFFFF"/>
                <w:kern w:val="2"/>
                <w:sz w:val="19"/>
                <w:szCs w:val="19"/>
                <w:lang w:eastAsia="zh-CN" w:bidi="hi-IN"/>
              </w:rPr>
            </w:pPr>
            <w:r w:rsidRPr="00C052D8">
              <w:rPr>
                <w:rFonts w:ascii="Arial" w:eastAsia="NSimSun" w:hAnsi="Arial" w:cs="HelveticaNeue-Bold"/>
                <w:b/>
                <w:bCs/>
                <w:color w:val="FFFFFF"/>
                <w:kern w:val="2"/>
                <w:sz w:val="19"/>
                <w:szCs w:val="19"/>
                <w:lang w:eastAsia="zh-CN" w:bidi="hi-IN"/>
              </w:rPr>
              <w:t>Operaciones de capital</w:t>
            </w:r>
          </w:p>
        </w:tc>
        <w:tc>
          <w:tcPr>
            <w:tcW w:w="1783" w:type="dxa"/>
            <w:tcBorders>
              <w:bottom w:val="single" w:sz="4" w:space="0" w:color="auto"/>
            </w:tcBorders>
            <w:shd w:val="clear" w:color="auto" w:fill="9D2235"/>
          </w:tcPr>
          <w:p w14:paraId="7B91FB65" w14:textId="77777777" w:rsidR="009E2AB6" w:rsidRPr="00C052D8" w:rsidRDefault="009E2AB6" w:rsidP="009E2AB6">
            <w:pPr>
              <w:widowControl w:val="0"/>
              <w:suppressAutoHyphens/>
              <w:spacing w:after="0" w:line="276" w:lineRule="auto"/>
              <w:jc w:val="right"/>
              <w:textAlignment w:val="baseline"/>
              <w:rPr>
                <w:rFonts w:ascii="Arial" w:eastAsia="NSimSun" w:hAnsi="Arial" w:cs="Arial"/>
                <w:kern w:val="2"/>
                <w:sz w:val="19"/>
                <w:szCs w:val="19"/>
                <w:lang w:eastAsia="zh-CN" w:bidi="hi-IN"/>
              </w:rPr>
            </w:pPr>
          </w:p>
        </w:tc>
      </w:tr>
      <w:tr w:rsidR="009E2AB6" w:rsidRPr="00C052D8" w14:paraId="078AA8C8" w14:textId="77777777" w:rsidTr="00271465">
        <w:trPr>
          <w:jc w:val="center"/>
        </w:trPr>
        <w:tc>
          <w:tcPr>
            <w:tcW w:w="6722" w:type="dxa"/>
            <w:tcBorders>
              <w:top w:val="single" w:sz="4" w:space="0" w:color="auto"/>
              <w:bottom w:val="single" w:sz="4" w:space="0" w:color="auto"/>
            </w:tcBorders>
            <w:shd w:val="clear" w:color="auto" w:fill="auto"/>
          </w:tcPr>
          <w:p w14:paraId="305E0704" w14:textId="77777777" w:rsidR="009E2AB6" w:rsidRPr="00C052D8" w:rsidRDefault="009E2AB6" w:rsidP="009E2AB6">
            <w:pPr>
              <w:widowControl w:val="0"/>
              <w:tabs>
                <w:tab w:val="right" w:pos="7941"/>
              </w:tabs>
              <w:suppressAutoHyphens/>
              <w:spacing w:after="0" w:line="276" w:lineRule="auto"/>
              <w:jc w:val="both"/>
              <w:textAlignment w:val="baseline"/>
              <w:rPr>
                <w:rFonts w:ascii="Arial" w:eastAsia="NSimSun" w:hAnsi="Arial" w:cs="Helvetica"/>
                <w:color w:val="000000"/>
                <w:kern w:val="2"/>
                <w:sz w:val="19"/>
                <w:szCs w:val="19"/>
                <w:lang w:eastAsia="zh-CN" w:bidi="hi-IN"/>
              </w:rPr>
            </w:pPr>
            <w:r w:rsidRPr="00C052D8">
              <w:rPr>
                <w:rFonts w:ascii="Arial" w:eastAsia="NSimSun" w:hAnsi="Arial" w:cs="Helvetica"/>
                <w:color w:val="000000"/>
                <w:kern w:val="2"/>
                <w:sz w:val="19"/>
                <w:szCs w:val="19"/>
                <w:lang w:eastAsia="zh-CN" w:bidi="hi-IN"/>
              </w:rPr>
              <w:t>Derechos liquidados</w:t>
            </w:r>
          </w:p>
        </w:tc>
        <w:tc>
          <w:tcPr>
            <w:tcW w:w="1783" w:type="dxa"/>
            <w:tcBorders>
              <w:top w:val="single" w:sz="4" w:space="0" w:color="auto"/>
              <w:bottom w:val="single" w:sz="4" w:space="0" w:color="auto"/>
            </w:tcBorders>
            <w:shd w:val="clear" w:color="auto" w:fill="auto"/>
          </w:tcPr>
          <w:p w14:paraId="223FE040" w14:textId="77777777" w:rsidR="009E2AB6" w:rsidRPr="00C052D8" w:rsidRDefault="009E2AB6" w:rsidP="009E2AB6">
            <w:pPr>
              <w:widowControl w:val="0"/>
              <w:tabs>
                <w:tab w:val="right" w:pos="7941"/>
              </w:tabs>
              <w:suppressAutoHyphens/>
              <w:spacing w:after="0" w:line="276" w:lineRule="auto"/>
              <w:jc w:val="right"/>
              <w:textAlignment w:val="baseline"/>
              <w:rPr>
                <w:rFonts w:ascii="Arial" w:eastAsia="NSimSun" w:hAnsi="Arial" w:cs="Helvetica"/>
                <w:color w:val="000000"/>
                <w:kern w:val="2"/>
                <w:sz w:val="19"/>
                <w:szCs w:val="19"/>
                <w:lang w:eastAsia="zh-CN" w:bidi="hi-IN"/>
              </w:rPr>
            </w:pPr>
            <w:r w:rsidRPr="00C052D8">
              <w:rPr>
                <w:rFonts w:ascii="Arial" w:eastAsia="NSimSun" w:hAnsi="Arial" w:cs="Helvetica"/>
                <w:color w:val="000000"/>
                <w:kern w:val="2"/>
                <w:sz w:val="19"/>
                <w:szCs w:val="19"/>
                <w:lang w:eastAsia="zh-CN" w:bidi="hi-IN"/>
              </w:rPr>
              <w:t>199.890,00 €</w:t>
            </w:r>
          </w:p>
        </w:tc>
      </w:tr>
      <w:tr w:rsidR="009E2AB6" w:rsidRPr="00C052D8" w14:paraId="6AD1BC09" w14:textId="77777777" w:rsidTr="00271465">
        <w:trPr>
          <w:jc w:val="center"/>
        </w:trPr>
        <w:tc>
          <w:tcPr>
            <w:tcW w:w="6722" w:type="dxa"/>
            <w:tcBorders>
              <w:top w:val="single" w:sz="4" w:space="0" w:color="auto"/>
              <w:bottom w:val="single" w:sz="4" w:space="0" w:color="auto"/>
            </w:tcBorders>
            <w:shd w:val="clear" w:color="auto" w:fill="auto"/>
          </w:tcPr>
          <w:p w14:paraId="6D79B69A" w14:textId="77777777" w:rsidR="009E2AB6" w:rsidRPr="00C052D8" w:rsidRDefault="009E2AB6" w:rsidP="009E2AB6">
            <w:pPr>
              <w:widowControl w:val="0"/>
              <w:tabs>
                <w:tab w:val="right" w:pos="7953"/>
              </w:tabs>
              <w:suppressAutoHyphens/>
              <w:spacing w:after="0" w:line="276" w:lineRule="auto"/>
              <w:jc w:val="both"/>
              <w:textAlignment w:val="baseline"/>
              <w:rPr>
                <w:rFonts w:ascii="Liberation Serif" w:eastAsia="NSimSun" w:hAnsi="Liberation Serif" w:cs="Arial"/>
                <w:kern w:val="2"/>
                <w:sz w:val="19"/>
                <w:szCs w:val="19"/>
                <w:lang w:eastAsia="zh-CN" w:bidi="hi-IN"/>
              </w:rPr>
            </w:pPr>
            <w:r w:rsidRPr="00C052D8">
              <w:rPr>
                <w:rFonts w:ascii="Arial" w:eastAsia="NSimSun" w:hAnsi="Arial" w:cs="Arial"/>
                <w:color w:val="000000"/>
                <w:kern w:val="2"/>
                <w:sz w:val="19"/>
                <w:szCs w:val="19"/>
                <w:lang w:eastAsia="zh-CN" w:bidi="hi-IN"/>
              </w:rPr>
              <w:t>Obligaciones reconocidas</w:t>
            </w:r>
          </w:p>
        </w:tc>
        <w:tc>
          <w:tcPr>
            <w:tcW w:w="1783" w:type="dxa"/>
            <w:tcBorders>
              <w:top w:val="single" w:sz="4" w:space="0" w:color="auto"/>
              <w:bottom w:val="single" w:sz="4" w:space="0" w:color="auto"/>
            </w:tcBorders>
            <w:shd w:val="clear" w:color="auto" w:fill="auto"/>
          </w:tcPr>
          <w:p w14:paraId="715F29C1" w14:textId="77777777" w:rsidR="009E2AB6" w:rsidRPr="00C052D8" w:rsidRDefault="009E2AB6" w:rsidP="009E2AB6">
            <w:pPr>
              <w:widowControl w:val="0"/>
              <w:tabs>
                <w:tab w:val="right" w:pos="7953"/>
              </w:tabs>
              <w:suppressAutoHyphens/>
              <w:spacing w:after="0" w:line="276" w:lineRule="auto"/>
              <w:jc w:val="right"/>
              <w:textAlignment w:val="baseline"/>
              <w:rPr>
                <w:rFonts w:ascii="Liberation Serif" w:eastAsia="NSimSun" w:hAnsi="Liberation Serif" w:cs="Arial"/>
                <w:kern w:val="2"/>
                <w:sz w:val="19"/>
                <w:szCs w:val="19"/>
                <w:lang w:eastAsia="zh-CN" w:bidi="hi-IN"/>
              </w:rPr>
            </w:pPr>
            <w:r w:rsidRPr="00C052D8">
              <w:rPr>
                <w:rFonts w:ascii="Arial" w:eastAsia="NSimSun" w:hAnsi="Arial" w:cs="Arial"/>
                <w:color w:val="000000"/>
                <w:kern w:val="2"/>
                <w:sz w:val="19"/>
                <w:szCs w:val="19"/>
                <w:lang w:eastAsia="zh-CN" w:bidi="hi-IN"/>
              </w:rPr>
              <w:t>22.398,27 €</w:t>
            </w:r>
          </w:p>
        </w:tc>
      </w:tr>
      <w:tr w:rsidR="009E2AB6" w:rsidRPr="00C052D8" w14:paraId="6F30EA5B" w14:textId="77777777" w:rsidTr="00271465">
        <w:trPr>
          <w:jc w:val="center"/>
        </w:trPr>
        <w:tc>
          <w:tcPr>
            <w:tcW w:w="6722" w:type="dxa"/>
            <w:tcBorders>
              <w:top w:val="single" w:sz="4" w:space="0" w:color="auto"/>
              <w:bottom w:val="single" w:sz="4" w:space="0" w:color="auto"/>
            </w:tcBorders>
            <w:shd w:val="clear" w:color="auto" w:fill="auto"/>
          </w:tcPr>
          <w:p w14:paraId="0B2786E8" w14:textId="77777777" w:rsidR="009E2AB6" w:rsidRPr="00C052D8" w:rsidRDefault="009E2AB6" w:rsidP="009E2AB6">
            <w:pPr>
              <w:widowControl w:val="0"/>
              <w:tabs>
                <w:tab w:val="right" w:pos="7953"/>
              </w:tabs>
              <w:suppressAutoHyphens/>
              <w:spacing w:after="0" w:line="276" w:lineRule="auto"/>
              <w:jc w:val="right"/>
              <w:textAlignment w:val="baseline"/>
              <w:rPr>
                <w:rFonts w:ascii="Liberation Serif" w:eastAsia="NSimSun" w:hAnsi="Liberation Serif" w:cs="Arial"/>
                <w:kern w:val="2"/>
                <w:sz w:val="19"/>
                <w:szCs w:val="19"/>
                <w:lang w:eastAsia="zh-CN" w:bidi="hi-IN"/>
              </w:rPr>
            </w:pPr>
            <w:r w:rsidRPr="00C052D8">
              <w:rPr>
                <w:rFonts w:ascii="Arial" w:eastAsia="NSimSun" w:hAnsi="Arial" w:cs="Arial"/>
                <w:color w:val="9D2235"/>
                <w:kern w:val="2"/>
                <w:sz w:val="19"/>
                <w:szCs w:val="19"/>
                <w:lang w:eastAsia="zh-CN" w:bidi="hi-IN"/>
              </w:rPr>
              <w:t>Total derechos liquidados</w:t>
            </w:r>
          </w:p>
        </w:tc>
        <w:tc>
          <w:tcPr>
            <w:tcW w:w="1783" w:type="dxa"/>
            <w:tcBorders>
              <w:top w:val="single" w:sz="4" w:space="0" w:color="auto"/>
              <w:bottom w:val="single" w:sz="4" w:space="0" w:color="auto"/>
            </w:tcBorders>
            <w:shd w:val="clear" w:color="auto" w:fill="auto"/>
          </w:tcPr>
          <w:p w14:paraId="066F1979" w14:textId="77777777" w:rsidR="009E2AB6" w:rsidRPr="00C052D8" w:rsidRDefault="009E2AB6" w:rsidP="009E2AB6">
            <w:pPr>
              <w:widowControl w:val="0"/>
              <w:tabs>
                <w:tab w:val="right" w:pos="7953"/>
              </w:tabs>
              <w:suppressAutoHyphens/>
              <w:spacing w:after="0" w:line="276" w:lineRule="auto"/>
              <w:jc w:val="right"/>
              <w:textAlignment w:val="baseline"/>
              <w:rPr>
                <w:rFonts w:ascii="Liberation Serif" w:eastAsia="NSimSun" w:hAnsi="Liberation Serif" w:cs="Arial"/>
                <w:kern w:val="2"/>
                <w:sz w:val="19"/>
                <w:szCs w:val="19"/>
                <w:lang w:eastAsia="zh-CN" w:bidi="hi-IN"/>
              </w:rPr>
            </w:pPr>
            <w:r w:rsidRPr="00C052D8">
              <w:rPr>
                <w:rFonts w:ascii="Arial" w:eastAsia="NSimSun" w:hAnsi="Arial" w:cs="Arial"/>
                <w:kern w:val="2"/>
                <w:sz w:val="19"/>
                <w:szCs w:val="19"/>
                <w:lang w:eastAsia="zh-CN" w:bidi="hi-IN"/>
              </w:rPr>
              <w:t>4.424.507,77 €</w:t>
            </w:r>
          </w:p>
        </w:tc>
      </w:tr>
      <w:tr w:rsidR="009E2AB6" w:rsidRPr="00C052D8" w14:paraId="237C1770" w14:textId="77777777" w:rsidTr="00271465">
        <w:trPr>
          <w:jc w:val="center"/>
        </w:trPr>
        <w:tc>
          <w:tcPr>
            <w:tcW w:w="6722" w:type="dxa"/>
            <w:tcBorders>
              <w:top w:val="single" w:sz="4" w:space="0" w:color="auto"/>
              <w:bottom w:val="single" w:sz="4" w:space="0" w:color="auto"/>
            </w:tcBorders>
            <w:shd w:val="clear" w:color="auto" w:fill="auto"/>
          </w:tcPr>
          <w:p w14:paraId="429B9620" w14:textId="77777777" w:rsidR="009E2AB6" w:rsidRPr="00C052D8" w:rsidRDefault="009E2AB6" w:rsidP="009E2AB6">
            <w:pPr>
              <w:widowControl w:val="0"/>
              <w:tabs>
                <w:tab w:val="right" w:pos="7941"/>
              </w:tabs>
              <w:suppressAutoHyphens/>
              <w:spacing w:after="0" w:line="276" w:lineRule="auto"/>
              <w:jc w:val="right"/>
              <w:textAlignment w:val="baseline"/>
              <w:rPr>
                <w:rFonts w:ascii="Liberation Serif" w:eastAsia="NSimSun" w:hAnsi="Liberation Serif" w:cs="Arial"/>
                <w:kern w:val="2"/>
                <w:sz w:val="19"/>
                <w:szCs w:val="19"/>
                <w:lang w:eastAsia="zh-CN" w:bidi="hi-IN"/>
              </w:rPr>
            </w:pPr>
            <w:r w:rsidRPr="00C052D8">
              <w:rPr>
                <w:rFonts w:ascii="Arial" w:eastAsia="NSimSun" w:hAnsi="Arial" w:cs="Arial"/>
                <w:color w:val="9D2235"/>
                <w:kern w:val="2"/>
                <w:sz w:val="19"/>
                <w:szCs w:val="19"/>
                <w:lang w:eastAsia="zh-CN" w:bidi="hi-IN"/>
              </w:rPr>
              <w:t>Total obligaciones reconocidas</w:t>
            </w:r>
          </w:p>
        </w:tc>
        <w:tc>
          <w:tcPr>
            <w:tcW w:w="1783" w:type="dxa"/>
            <w:tcBorders>
              <w:top w:val="single" w:sz="4" w:space="0" w:color="auto"/>
              <w:bottom w:val="single" w:sz="4" w:space="0" w:color="auto"/>
            </w:tcBorders>
            <w:shd w:val="clear" w:color="auto" w:fill="auto"/>
          </w:tcPr>
          <w:p w14:paraId="65DB2735" w14:textId="77777777" w:rsidR="009E2AB6" w:rsidRPr="00C052D8" w:rsidRDefault="009E2AB6" w:rsidP="009E2AB6">
            <w:pPr>
              <w:widowControl w:val="0"/>
              <w:tabs>
                <w:tab w:val="right" w:pos="7941"/>
              </w:tabs>
              <w:suppressAutoHyphens/>
              <w:spacing w:after="0" w:line="276" w:lineRule="auto"/>
              <w:jc w:val="right"/>
              <w:textAlignment w:val="baseline"/>
              <w:rPr>
                <w:rFonts w:ascii="Liberation Serif" w:eastAsia="NSimSun" w:hAnsi="Liberation Serif" w:cs="Arial"/>
                <w:kern w:val="2"/>
                <w:sz w:val="19"/>
                <w:szCs w:val="19"/>
                <w:lang w:eastAsia="zh-CN" w:bidi="hi-IN"/>
              </w:rPr>
            </w:pPr>
            <w:r w:rsidRPr="00C052D8">
              <w:rPr>
                <w:rFonts w:ascii="Arial" w:eastAsia="NSimSun" w:hAnsi="Arial" w:cs="Arial"/>
                <w:kern w:val="2"/>
                <w:sz w:val="19"/>
                <w:szCs w:val="19"/>
                <w:lang w:eastAsia="zh-CN" w:bidi="hi-IN"/>
              </w:rPr>
              <w:t>6.816.826,97 €</w:t>
            </w:r>
          </w:p>
        </w:tc>
      </w:tr>
      <w:tr w:rsidR="009E2AB6" w:rsidRPr="00C052D8" w14:paraId="114B344E" w14:textId="77777777" w:rsidTr="00271465">
        <w:trPr>
          <w:trHeight w:val="434"/>
          <w:jc w:val="center"/>
        </w:trPr>
        <w:tc>
          <w:tcPr>
            <w:tcW w:w="6722" w:type="dxa"/>
            <w:tcBorders>
              <w:top w:val="single" w:sz="4" w:space="0" w:color="auto"/>
              <w:bottom w:val="single" w:sz="4" w:space="0" w:color="auto"/>
            </w:tcBorders>
            <w:shd w:val="clear" w:color="auto" w:fill="9D2235"/>
          </w:tcPr>
          <w:p w14:paraId="6A9BEED7" w14:textId="77777777" w:rsidR="009E2AB6" w:rsidRPr="00C052D8" w:rsidRDefault="009E2AB6" w:rsidP="009E2AB6">
            <w:pPr>
              <w:widowControl w:val="0"/>
              <w:tabs>
                <w:tab w:val="right" w:pos="7965"/>
              </w:tabs>
              <w:suppressAutoHyphens/>
              <w:spacing w:after="0" w:line="276" w:lineRule="auto"/>
              <w:jc w:val="both"/>
              <w:textAlignment w:val="baseline"/>
              <w:rPr>
                <w:rFonts w:ascii="Liberation Serif" w:eastAsia="NSimSun" w:hAnsi="Liberation Serif" w:cs="Arial"/>
                <w:kern w:val="2"/>
                <w:sz w:val="19"/>
                <w:szCs w:val="19"/>
                <w:lang w:eastAsia="zh-CN" w:bidi="hi-IN"/>
              </w:rPr>
            </w:pPr>
            <w:r w:rsidRPr="00C052D8">
              <w:rPr>
                <w:rFonts w:ascii="Arial" w:eastAsia="NSimSun" w:hAnsi="Arial" w:cs="MillerText-Roman"/>
                <w:color w:val="FFFFFF"/>
                <w:kern w:val="2"/>
                <w:sz w:val="19"/>
                <w:szCs w:val="19"/>
                <w:lang w:eastAsia="zh-CN" w:bidi="hi-IN"/>
              </w:rPr>
              <w:t xml:space="preserve"> </w:t>
            </w:r>
            <w:r w:rsidRPr="00C052D8">
              <w:rPr>
                <w:rFonts w:ascii="Arial" w:eastAsia="NSimSun" w:hAnsi="Arial" w:cs="MillerText-Roman"/>
                <w:b/>
                <w:bCs/>
                <w:color w:val="FFFFFF"/>
                <w:kern w:val="2"/>
                <w:sz w:val="19"/>
                <w:szCs w:val="19"/>
                <w:lang w:eastAsia="zh-CN" w:bidi="hi-IN"/>
              </w:rPr>
              <w:t>Resultado presupuestario</w:t>
            </w:r>
          </w:p>
        </w:tc>
        <w:tc>
          <w:tcPr>
            <w:tcW w:w="1783" w:type="dxa"/>
            <w:tcBorders>
              <w:top w:val="single" w:sz="4" w:space="0" w:color="auto"/>
              <w:bottom w:val="single" w:sz="4" w:space="0" w:color="auto"/>
            </w:tcBorders>
            <w:shd w:val="clear" w:color="auto" w:fill="9D2235"/>
          </w:tcPr>
          <w:p w14:paraId="7B268F0F" w14:textId="77777777" w:rsidR="009E2AB6" w:rsidRPr="00C052D8" w:rsidRDefault="009E2AB6" w:rsidP="009E2AB6">
            <w:pPr>
              <w:widowControl w:val="0"/>
              <w:tabs>
                <w:tab w:val="right" w:pos="7965"/>
              </w:tabs>
              <w:suppressAutoHyphens/>
              <w:spacing w:after="0" w:line="276" w:lineRule="auto"/>
              <w:jc w:val="right"/>
              <w:textAlignment w:val="baseline"/>
              <w:rPr>
                <w:rFonts w:ascii="Arial" w:eastAsia="NSimSun" w:hAnsi="Arial" w:cs="MillerText-Roman"/>
                <w:b/>
                <w:bCs/>
                <w:color w:val="FFFFFF"/>
                <w:kern w:val="2"/>
                <w:sz w:val="19"/>
                <w:szCs w:val="19"/>
                <w:highlight w:val="yellow"/>
                <w:lang w:eastAsia="zh-CN" w:bidi="hi-IN"/>
              </w:rPr>
            </w:pPr>
            <w:r w:rsidRPr="00C052D8">
              <w:rPr>
                <w:rFonts w:ascii="Arial" w:eastAsia="NSimSun" w:hAnsi="Arial" w:cs="MillerText-Roman"/>
                <w:b/>
                <w:bCs/>
                <w:color w:val="FFFFFF"/>
                <w:kern w:val="2"/>
                <w:sz w:val="19"/>
                <w:szCs w:val="19"/>
                <w:lang w:eastAsia="zh-CN" w:bidi="hi-IN"/>
              </w:rPr>
              <w:t>-2.392.319,20 €</w:t>
            </w:r>
          </w:p>
        </w:tc>
      </w:tr>
      <w:tr w:rsidR="009E2AB6" w:rsidRPr="00C052D8" w14:paraId="36B1FF37" w14:textId="77777777" w:rsidTr="00271465">
        <w:trPr>
          <w:jc w:val="center"/>
        </w:trPr>
        <w:tc>
          <w:tcPr>
            <w:tcW w:w="6722" w:type="dxa"/>
            <w:tcBorders>
              <w:top w:val="single" w:sz="4" w:space="0" w:color="auto"/>
              <w:bottom w:val="single" w:sz="4" w:space="0" w:color="auto"/>
            </w:tcBorders>
            <w:shd w:val="clear" w:color="auto" w:fill="auto"/>
          </w:tcPr>
          <w:p w14:paraId="0D223F93" w14:textId="77777777" w:rsidR="009E2AB6" w:rsidRPr="00C052D8" w:rsidRDefault="009E2AB6" w:rsidP="009E2AB6">
            <w:pPr>
              <w:widowControl w:val="0"/>
              <w:suppressAutoHyphens/>
              <w:spacing w:after="0" w:line="276" w:lineRule="auto"/>
              <w:jc w:val="both"/>
              <w:textAlignment w:val="baseline"/>
              <w:rPr>
                <w:rFonts w:ascii="Arial" w:eastAsia="NSimSun" w:hAnsi="Arial" w:cs="Arial"/>
                <w:b/>
                <w:bCs/>
                <w:color w:val="000000"/>
                <w:kern w:val="2"/>
                <w:sz w:val="19"/>
                <w:szCs w:val="19"/>
                <w:lang w:eastAsia="zh-CN" w:bidi="hi-IN"/>
              </w:rPr>
            </w:pPr>
            <w:r w:rsidRPr="00C052D8">
              <w:rPr>
                <w:rFonts w:ascii="Arial" w:eastAsia="NSimSun" w:hAnsi="Arial" w:cs="Arial"/>
                <w:b/>
                <w:bCs/>
                <w:color w:val="000000"/>
                <w:kern w:val="2"/>
                <w:sz w:val="19"/>
                <w:szCs w:val="19"/>
                <w:lang w:eastAsia="zh-CN" w:bidi="hi-IN"/>
              </w:rPr>
              <w:t>AJUSTES</w:t>
            </w:r>
          </w:p>
        </w:tc>
        <w:tc>
          <w:tcPr>
            <w:tcW w:w="1783" w:type="dxa"/>
            <w:tcBorders>
              <w:top w:val="single" w:sz="4" w:space="0" w:color="auto"/>
              <w:bottom w:val="single" w:sz="4" w:space="0" w:color="auto"/>
            </w:tcBorders>
            <w:shd w:val="clear" w:color="auto" w:fill="auto"/>
          </w:tcPr>
          <w:p w14:paraId="75ED9675" w14:textId="77777777" w:rsidR="009E2AB6" w:rsidRPr="00C052D8" w:rsidRDefault="009E2AB6" w:rsidP="009E2AB6">
            <w:pPr>
              <w:widowControl w:val="0"/>
              <w:suppressAutoHyphens/>
              <w:spacing w:after="0" w:line="276" w:lineRule="auto"/>
              <w:jc w:val="right"/>
              <w:textAlignment w:val="baseline"/>
              <w:rPr>
                <w:rFonts w:ascii="Arial" w:eastAsia="NSimSun" w:hAnsi="Arial" w:cs="Arial"/>
                <w:color w:val="000000"/>
                <w:kern w:val="2"/>
                <w:sz w:val="19"/>
                <w:szCs w:val="19"/>
                <w:lang w:eastAsia="zh-CN" w:bidi="hi-IN"/>
              </w:rPr>
            </w:pPr>
          </w:p>
        </w:tc>
      </w:tr>
      <w:tr w:rsidR="009E2AB6" w:rsidRPr="00C052D8" w14:paraId="248ADAC0" w14:textId="77777777" w:rsidTr="00271465">
        <w:trPr>
          <w:jc w:val="center"/>
        </w:trPr>
        <w:tc>
          <w:tcPr>
            <w:tcW w:w="6722" w:type="dxa"/>
            <w:tcBorders>
              <w:top w:val="single" w:sz="4" w:space="0" w:color="auto"/>
              <w:bottom w:val="single" w:sz="4" w:space="0" w:color="auto"/>
            </w:tcBorders>
            <w:shd w:val="clear" w:color="auto" w:fill="auto"/>
          </w:tcPr>
          <w:p w14:paraId="6598AC6E" w14:textId="77777777" w:rsidR="009E2AB6" w:rsidRPr="00C052D8" w:rsidRDefault="009E2AB6" w:rsidP="009E2AB6">
            <w:pPr>
              <w:widowControl w:val="0"/>
              <w:suppressAutoHyphens/>
              <w:spacing w:after="0" w:line="276" w:lineRule="auto"/>
              <w:jc w:val="both"/>
              <w:textAlignment w:val="baseline"/>
              <w:rPr>
                <w:rFonts w:ascii="Arial" w:eastAsia="NSimSun" w:hAnsi="Arial" w:cs="Arial"/>
                <w:color w:val="000000"/>
                <w:kern w:val="2"/>
                <w:sz w:val="19"/>
                <w:szCs w:val="19"/>
                <w:lang w:eastAsia="zh-CN" w:bidi="hi-IN"/>
              </w:rPr>
            </w:pPr>
            <w:r w:rsidRPr="00C052D8">
              <w:rPr>
                <w:rFonts w:ascii="Arial" w:eastAsia="NSimSun" w:hAnsi="Arial" w:cs="Arial"/>
                <w:color w:val="000000"/>
                <w:kern w:val="2"/>
                <w:sz w:val="19"/>
                <w:szCs w:val="19"/>
                <w:lang w:eastAsia="zh-CN" w:bidi="hi-IN"/>
              </w:rPr>
              <w:t>Créditos gastados financiados con remanente de tesorería para gastos generales</w:t>
            </w:r>
          </w:p>
        </w:tc>
        <w:tc>
          <w:tcPr>
            <w:tcW w:w="1783" w:type="dxa"/>
            <w:tcBorders>
              <w:top w:val="single" w:sz="4" w:space="0" w:color="auto"/>
              <w:bottom w:val="single" w:sz="4" w:space="0" w:color="auto"/>
            </w:tcBorders>
            <w:shd w:val="clear" w:color="auto" w:fill="auto"/>
          </w:tcPr>
          <w:p w14:paraId="2D1BF4CB" w14:textId="77777777" w:rsidR="009E2AB6" w:rsidRPr="00C052D8" w:rsidRDefault="009E2AB6" w:rsidP="009E2AB6">
            <w:pPr>
              <w:widowControl w:val="0"/>
              <w:suppressAutoHyphens/>
              <w:spacing w:after="0" w:line="276" w:lineRule="auto"/>
              <w:jc w:val="right"/>
              <w:textAlignment w:val="baseline"/>
              <w:rPr>
                <w:rFonts w:ascii="Arial" w:eastAsia="NSimSun" w:hAnsi="Arial" w:cs="Arial"/>
                <w:color w:val="000000"/>
                <w:kern w:val="2"/>
                <w:sz w:val="19"/>
                <w:szCs w:val="19"/>
                <w:lang w:eastAsia="zh-CN" w:bidi="hi-IN"/>
              </w:rPr>
            </w:pPr>
            <w:r w:rsidRPr="00C052D8">
              <w:rPr>
                <w:rFonts w:ascii="Arial" w:eastAsia="NSimSun" w:hAnsi="Arial" w:cs="Arial"/>
                <w:color w:val="000000"/>
                <w:kern w:val="2"/>
                <w:sz w:val="19"/>
                <w:szCs w:val="19"/>
                <w:lang w:eastAsia="zh-CN" w:bidi="hi-IN"/>
              </w:rPr>
              <w:t>3.787.793,15 €</w:t>
            </w:r>
          </w:p>
        </w:tc>
      </w:tr>
      <w:tr w:rsidR="009E2AB6" w:rsidRPr="00C052D8" w14:paraId="14FCF376" w14:textId="77777777" w:rsidTr="00271465">
        <w:trPr>
          <w:jc w:val="center"/>
        </w:trPr>
        <w:tc>
          <w:tcPr>
            <w:tcW w:w="6722" w:type="dxa"/>
            <w:tcBorders>
              <w:top w:val="single" w:sz="4" w:space="0" w:color="auto"/>
              <w:bottom w:val="single" w:sz="4" w:space="0" w:color="auto"/>
            </w:tcBorders>
            <w:shd w:val="clear" w:color="auto" w:fill="auto"/>
          </w:tcPr>
          <w:p w14:paraId="7DF6CAC4" w14:textId="77777777" w:rsidR="009E2AB6" w:rsidRPr="00C052D8" w:rsidRDefault="009E2AB6" w:rsidP="009E2AB6">
            <w:pPr>
              <w:widowControl w:val="0"/>
              <w:suppressAutoHyphens/>
              <w:spacing w:after="0" w:line="276" w:lineRule="auto"/>
              <w:jc w:val="both"/>
              <w:textAlignment w:val="baseline"/>
              <w:rPr>
                <w:rFonts w:ascii="Arial" w:eastAsia="NSimSun" w:hAnsi="Arial" w:cs="Arial"/>
                <w:color w:val="000000"/>
                <w:kern w:val="2"/>
                <w:sz w:val="19"/>
                <w:szCs w:val="19"/>
                <w:lang w:eastAsia="zh-CN" w:bidi="hi-IN"/>
              </w:rPr>
            </w:pPr>
            <w:r w:rsidRPr="00C052D8">
              <w:rPr>
                <w:rFonts w:ascii="Arial" w:eastAsia="NSimSun" w:hAnsi="Arial" w:cs="Arial"/>
                <w:color w:val="000000"/>
                <w:kern w:val="2"/>
                <w:sz w:val="19"/>
                <w:szCs w:val="19"/>
                <w:lang w:eastAsia="zh-CN" w:bidi="hi-IN"/>
              </w:rPr>
              <w:t>Desviaciones de financiación positivas del ejercicio</w:t>
            </w:r>
          </w:p>
        </w:tc>
        <w:tc>
          <w:tcPr>
            <w:tcW w:w="1783" w:type="dxa"/>
            <w:tcBorders>
              <w:top w:val="single" w:sz="4" w:space="0" w:color="auto"/>
              <w:bottom w:val="single" w:sz="4" w:space="0" w:color="auto"/>
            </w:tcBorders>
            <w:shd w:val="clear" w:color="auto" w:fill="auto"/>
          </w:tcPr>
          <w:p w14:paraId="7FCDCB4B" w14:textId="77777777" w:rsidR="009E2AB6" w:rsidRPr="00C052D8" w:rsidRDefault="009E2AB6" w:rsidP="009E2AB6">
            <w:pPr>
              <w:widowControl w:val="0"/>
              <w:suppressAutoHyphens/>
              <w:spacing w:after="0" w:line="276" w:lineRule="auto"/>
              <w:jc w:val="right"/>
              <w:textAlignment w:val="baseline"/>
              <w:rPr>
                <w:rFonts w:ascii="Arial" w:eastAsia="NSimSun" w:hAnsi="Arial" w:cs="Arial"/>
                <w:color w:val="000000"/>
                <w:kern w:val="2"/>
                <w:sz w:val="19"/>
                <w:szCs w:val="19"/>
                <w:lang w:eastAsia="zh-CN" w:bidi="hi-IN"/>
              </w:rPr>
            </w:pPr>
          </w:p>
        </w:tc>
      </w:tr>
      <w:tr w:rsidR="009E2AB6" w:rsidRPr="00C052D8" w14:paraId="3DA1D368" w14:textId="77777777" w:rsidTr="00271465">
        <w:trPr>
          <w:jc w:val="center"/>
        </w:trPr>
        <w:tc>
          <w:tcPr>
            <w:tcW w:w="6722" w:type="dxa"/>
            <w:tcBorders>
              <w:top w:val="single" w:sz="4" w:space="0" w:color="auto"/>
              <w:bottom w:val="single" w:sz="4" w:space="0" w:color="auto"/>
            </w:tcBorders>
            <w:shd w:val="clear" w:color="auto" w:fill="auto"/>
          </w:tcPr>
          <w:p w14:paraId="4714A90B" w14:textId="77777777" w:rsidR="009E2AB6" w:rsidRPr="00C052D8" w:rsidRDefault="009E2AB6" w:rsidP="009E2AB6">
            <w:pPr>
              <w:widowControl w:val="0"/>
              <w:suppressAutoHyphens/>
              <w:spacing w:after="0" w:line="276" w:lineRule="auto"/>
              <w:jc w:val="both"/>
              <w:textAlignment w:val="baseline"/>
              <w:rPr>
                <w:rFonts w:ascii="Arial" w:eastAsia="NSimSun" w:hAnsi="Arial" w:cs="Arial"/>
                <w:color w:val="000000"/>
                <w:kern w:val="2"/>
                <w:sz w:val="19"/>
                <w:szCs w:val="19"/>
                <w:lang w:eastAsia="zh-CN" w:bidi="hi-IN"/>
              </w:rPr>
            </w:pPr>
            <w:r w:rsidRPr="00C052D8">
              <w:rPr>
                <w:rFonts w:ascii="Arial" w:eastAsia="NSimSun" w:hAnsi="Arial" w:cs="Arial"/>
                <w:color w:val="000000"/>
                <w:kern w:val="2"/>
                <w:sz w:val="19"/>
                <w:szCs w:val="19"/>
                <w:lang w:eastAsia="zh-CN" w:bidi="hi-IN"/>
              </w:rPr>
              <w:t>Desviaciones de financiación negativas del ejercicio</w:t>
            </w:r>
          </w:p>
        </w:tc>
        <w:tc>
          <w:tcPr>
            <w:tcW w:w="1783" w:type="dxa"/>
            <w:tcBorders>
              <w:top w:val="single" w:sz="4" w:space="0" w:color="auto"/>
              <w:bottom w:val="single" w:sz="4" w:space="0" w:color="auto"/>
            </w:tcBorders>
            <w:shd w:val="clear" w:color="auto" w:fill="auto"/>
          </w:tcPr>
          <w:p w14:paraId="7EA5E728" w14:textId="77777777" w:rsidR="009E2AB6" w:rsidRPr="00C052D8" w:rsidRDefault="009E2AB6" w:rsidP="009E2AB6">
            <w:pPr>
              <w:widowControl w:val="0"/>
              <w:suppressAutoHyphens/>
              <w:spacing w:after="0" w:line="276" w:lineRule="auto"/>
              <w:jc w:val="right"/>
              <w:textAlignment w:val="baseline"/>
              <w:rPr>
                <w:rFonts w:ascii="Arial" w:eastAsia="NSimSun" w:hAnsi="Arial" w:cs="Arial"/>
                <w:color w:val="000000"/>
                <w:kern w:val="2"/>
                <w:sz w:val="19"/>
                <w:szCs w:val="19"/>
                <w:lang w:eastAsia="zh-CN" w:bidi="hi-IN"/>
              </w:rPr>
            </w:pPr>
          </w:p>
        </w:tc>
      </w:tr>
      <w:tr w:rsidR="009E2AB6" w:rsidRPr="00C052D8" w14:paraId="1656B9BE" w14:textId="77777777" w:rsidTr="00271465">
        <w:trPr>
          <w:jc w:val="center"/>
        </w:trPr>
        <w:tc>
          <w:tcPr>
            <w:tcW w:w="6722" w:type="dxa"/>
            <w:tcBorders>
              <w:top w:val="single" w:sz="4" w:space="0" w:color="auto"/>
              <w:bottom w:val="single" w:sz="4" w:space="0" w:color="auto"/>
            </w:tcBorders>
            <w:shd w:val="clear" w:color="auto" w:fill="9D2235"/>
          </w:tcPr>
          <w:p w14:paraId="04380996" w14:textId="77777777" w:rsidR="009E2AB6" w:rsidRPr="00C052D8" w:rsidRDefault="009E2AB6" w:rsidP="009E2AB6">
            <w:pPr>
              <w:widowControl w:val="0"/>
              <w:tabs>
                <w:tab w:val="right" w:pos="7965"/>
              </w:tabs>
              <w:suppressAutoHyphens/>
              <w:spacing w:after="0" w:line="276" w:lineRule="auto"/>
              <w:jc w:val="both"/>
              <w:textAlignment w:val="baseline"/>
              <w:rPr>
                <w:rFonts w:ascii="Arial" w:eastAsia="NSimSun" w:hAnsi="Arial" w:cs="MillerText-Roman"/>
                <w:b/>
                <w:bCs/>
                <w:color w:val="FFFFFF"/>
                <w:kern w:val="2"/>
                <w:sz w:val="19"/>
                <w:szCs w:val="19"/>
                <w:lang w:eastAsia="zh-CN" w:bidi="hi-IN"/>
              </w:rPr>
            </w:pPr>
            <w:r w:rsidRPr="00C052D8">
              <w:rPr>
                <w:rFonts w:ascii="Arial" w:eastAsia="NSimSun" w:hAnsi="Arial" w:cs="MillerText-Roman"/>
                <w:b/>
                <w:bCs/>
                <w:color w:val="FFFFFF"/>
                <w:kern w:val="2"/>
                <w:sz w:val="19"/>
                <w:szCs w:val="19"/>
                <w:lang w:eastAsia="zh-CN" w:bidi="hi-IN"/>
              </w:rPr>
              <w:t xml:space="preserve">RESULTADO PRESUPUESTARIO AJUSTADO </w:t>
            </w:r>
          </w:p>
        </w:tc>
        <w:tc>
          <w:tcPr>
            <w:tcW w:w="1783" w:type="dxa"/>
            <w:tcBorders>
              <w:top w:val="single" w:sz="4" w:space="0" w:color="auto"/>
              <w:bottom w:val="single" w:sz="4" w:space="0" w:color="auto"/>
            </w:tcBorders>
            <w:shd w:val="clear" w:color="auto" w:fill="9D2235"/>
          </w:tcPr>
          <w:p w14:paraId="74D479EF" w14:textId="77777777" w:rsidR="009E2AB6" w:rsidRPr="00C052D8" w:rsidRDefault="009E2AB6" w:rsidP="009E2AB6">
            <w:pPr>
              <w:widowControl w:val="0"/>
              <w:tabs>
                <w:tab w:val="right" w:pos="7965"/>
              </w:tabs>
              <w:suppressAutoHyphens/>
              <w:spacing w:after="0" w:line="276" w:lineRule="auto"/>
              <w:jc w:val="right"/>
              <w:textAlignment w:val="baseline"/>
              <w:rPr>
                <w:rFonts w:ascii="Arial" w:eastAsia="NSimSun" w:hAnsi="Arial" w:cs="MillerText-Roman"/>
                <w:b/>
                <w:bCs/>
                <w:color w:val="FFFFFF"/>
                <w:kern w:val="2"/>
                <w:sz w:val="19"/>
                <w:szCs w:val="19"/>
                <w:lang w:eastAsia="zh-CN" w:bidi="hi-IN"/>
              </w:rPr>
            </w:pPr>
            <w:r w:rsidRPr="00C052D8">
              <w:rPr>
                <w:rFonts w:ascii="Arial" w:eastAsia="NSimSun" w:hAnsi="Arial" w:cs="MillerText-Roman"/>
                <w:b/>
                <w:bCs/>
                <w:color w:val="FFFFFF"/>
                <w:kern w:val="2"/>
                <w:sz w:val="19"/>
                <w:szCs w:val="19"/>
                <w:lang w:eastAsia="zh-CN" w:bidi="hi-IN"/>
              </w:rPr>
              <w:t>1.395.473,95 €</w:t>
            </w:r>
          </w:p>
        </w:tc>
      </w:tr>
    </w:tbl>
    <w:p w14:paraId="6BA031AA" w14:textId="7B9E2816" w:rsidR="00531FF5" w:rsidRDefault="00531FF5" w:rsidP="00AD6163">
      <w:pPr>
        <w:spacing w:after="240" w:line="276" w:lineRule="auto"/>
        <w:jc w:val="both"/>
        <w:rPr>
          <w:rFonts w:ascii="Arial" w:eastAsia="Droid Sans Fallback" w:hAnsi="Arial" w:cs="Arial"/>
          <w:kern w:val="3"/>
          <w:sz w:val="21"/>
          <w:szCs w:val="21"/>
          <w:lang w:eastAsia="zh-CN" w:bidi="hi-IN"/>
        </w:rPr>
      </w:pPr>
    </w:p>
    <w:p w14:paraId="37A4A22B" w14:textId="77777777" w:rsidR="009E2AB6" w:rsidRPr="009E2AB6" w:rsidRDefault="009E2AB6" w:rsidP="009E2AB6">
      <w:pPr>
        <w:spacing w:after="240" w:line="276" w:lineRule="auto"/>
        <w:jc w:val="both"/>
        <w:rPr>
          <w:rFonts w:ascii="Arial" w:eastAsia="Droid Sans Fallback" w:hAnsi="Arial" w:cs="Arial"/>
          <w:kern w:val="3"/>
          <w:sz w:val="21"/>
          <w:szCs w:val="21"/>
          <w:lang w:eastAsia="zh-CN" w:bidi="hi-IN"/>
        </w:rPr>
      </w:pPr>
      <w:r w:rsidRPr="009E2AB6">
        <w:rPr>
          <w:rFonts w:ascii="Arial" w:eastAsia="Droid Sans Fallback" w:hAnsi="Arial" w:cs="Arial"/>
          <w:kern w:val="3"/>
          <w:sz w:val="21"/>
          <w:szCs w:val="21"/>
          <w:lang w:eastAsia="zh-CN" w:bidi="hi-IN"/>
        </w:rPr>
        <w:t xml:space="preserve">Los </w:t>
      </w:r>
      <w:r w:rsidRPr="009E2AB6">
        <w:rPr>
          <w:rFonts w:ascii="Arial" w:eastAsia="Droid Sans Fallback" w:hAnsi="Arial" w:cs="Arial"/>
          <w:b/>
          <w:bCs/>
          <w:kern w:val="3"/>
          <w:sz w:val="21"/>
          <w:szCs w:val="21"/>
          <w:lang w:eastAsia="zh-CN" w:bidi="hi-IN"/>
        </w:rPr>
        <w:t xml:space="preserve">fondos de la Agencia </w:t>
      </w:r>
      <w:r w:rsidRPr="009E2AB6">
        <w:rPr>
          <w:rFonts w:ascii="Arial" w:eastAsia="Droid Sans Fallback" w:hAnsi="Arial" w:cs="Arial"/>
          <w:kern w:val="3"/>
          <w:sz w:val="21"/>
          <w:szCs w:val="21"/>
          <w:lang w:eastAsia="zh-CN" w:bidi="hi-IN"/>
        </w:rPr>
        <w:t xml:space="preserve">se encuentran depositados en una única entidad bancaria: Caixabank, SA (CIF: A08663619) y su disposición se rige por el sistema de firma mancomunada del director y de las personas que ocupan los puestos de trabajo de jefe/a del área de Administración, Recursos Humanos y Gestión Económica y de jefe/a de la Unidad de Gestión Económica. </w:t>
      </w:r>
    </w:p>
    <w:p w14:paraId="7D74D265" w14:textId="6779390A" w:rsidR="00531FF5" w:rsidRDefault="009E2AB6" w:rsidP="009E2AB6">
      <w:pPr>
        <w:spacing w:after="240" w:line="276" w:lineRule="auto"/>
        <w:jc w:val="both"/>
        <w:rPr>
          <w:rFonts w:ascii="Arial" w:eastAsia="Droid Sans Fallback" w:hAnsi="Arial" w:cs="Arial"/>
          <w:kern w:val="3"/>
          <w:sz w:val="21"/>
          <w:szCs w:val="21"/>
          <w:lang w:eastAsia="zh-CN" w:bidi="hi-IN"/>
        </w:rPr>
      </w:pPr>
      <w:r w:rsidRPr="009E2AB6">
        <w:rPr>
          <w:rFonts w:ascii="Arial" w:eastAsia="Droid Sans Fallback" w:hAnsi="Arial" w:cs="Arial"/>
          <w:kern w:val="3"/>
          <w:sz w:val="21"/>
          <w:szCs w:val="21"/>
          <w:lang w:eastAsia="zh-CN" w:bidi="hi-IN"/>
        </w:rPr>
        <w:t>Desde el inicio del funcionamiento de esta Agencia, las órdenes de disposición de fondos requieren la concurrencia de dos de las tres firmas mancomunadas, una de las cuales es siempre la del director de la Agencia.</w:t>
      </w:r>
    </w:p>
    <w:p w14:paraId="5C292534" w14:textId="562EAA3C" w:rsidR="009E2AB6" w:rsidRPr="009E2AB6" w:rsidRDefault="009E2AB6" w:rsidP="009E2AB6">
      <w:pPr>
        <w:pStyle w:val="Descripcin"/>
        <w:keepNext/>
        <w:jc w:val="center"/>
        <w:rPr>
          <w:rFonts w:ascii="Arial" w:hAnsi="Arial" w:cs="Arial"/>
          <w:smallCaps w:val="0"/>
          <w:sz w:val="18"/>
          <w:szCs w:val="18"/>
        </w:rPr>
      </w:pPr>
      <w:bookmarkStart w:id="568" w:name="_Toc99107178"/>
      <w:r w:rsidRPr="009E2AB6">
        <w:rPr>
          <w:rFonts w:ascii="Arial" w:hAnsi="Arial" w:cs="Arial"/>
          <w:smallCaps w:val="0"/>
          <w:color w:val="9D2235" w:themeColor="accent1"/>
          <w:sz w:val="18"/>
          <w:szCs w:val="18"/>
        </w:rPr>
        <w:t xml:space="preserve">Tabla </w:t>
      </w:r>
      <w:r w:rsidRPr="009E2AB6">
        <w:rPr>
          <w:rFonts w:ascii="Arial" w:hAnsi="Arial" w:cs="Arial"/>
          <w:smallCaps w:val="0"/>
          <w:color w:val="9D2235" w:themeColor="accent1"/>
          <w:sz w:val="18"/>
          <w:szCs w:val="18"/>
        </w:rPr>
        <w:fldChar w:fldCharType="begin" w:fldLock="1"/>
      </w:r>
      <w:r w:rsidRPr="009E2AB6">
        <w:rPr>
          <w:rFonts w:ascii="Arial" w:hAnsi="Arial" w:cs="Arial"/>
          <w:smallCaps w:val="0"/>
          <w:color w:val="9D2235" w:themeColor="accent1"/>
          <w:sz w:val="18"/>
          <w:szCs w:val="18"/>
        </w:rPr>
        <w:instrText xml:space="preserve"> SEQ Tabla \* ARABIC </w:instrText>
      </w:r>
      <w:r w:rsidRPr="009E2AB6">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40</w:t>
      </w:r>
      <w:r w:rsidRPr="009E2AB6">
        <w:rPr>
          <w:rFonts w:ascii="Arial" w:hAnsi="Arial" w:cs="Arial"/>
          <w:smallCaps w:val="0"/>
          <w:color w:val="9D2235" w:themeColor="accent1"/>
          <w:sz w:val="18"/>
          <w:szCs w:val="18"/>
        </w:rPr>
        <w:fldChar w:fldCharType="end"/>
      </w:r>
      <w:r w:rsidRPr="009E2AB6">
        <w:rPr>
          <w:rFonts w:ascii="Arial" w:hAnsi="Arial" w:cs="Arial"/>
          <w:smallCaps w:val="0"/>
          <w:color w:val="9D2235" w:themeColor="accent1"/>
          <w:sz w:val="18"/>
          <w:szCs w:val="18"/>
        </w:rPr>
        <w:t xml:space="preserve">. </w:t>
      </w:r>
      <w:r w:rsidRPr="009E2AB6">
        <w:rPr>
          <w:rFonts w:ascii="Arial" w:hAnsi="Arial" w:cs="Arial"/>
          <w:smallCaps w:val="0"/>
          <w:sz w:val="18"/>
          <w:szCs w:val="18"/>
        </w:rPr>
        <w:t>Situación y evolución de los fondos de la cuenta corriente</w:t>
      </w:r>
      <w:bookmarkEnd w:id="568"/>
    </w:p>
    <w:tbl>
      <w:tblPr>
        <w:tblW w:w="7427" w:type="dxa"/>
        <w:jc w:val="center"/>
        <w:tblCellMar>
          <w:top w:w="55" w:type="dxa"/>
          <w:left w:w="55" w:type="dxa"/>
          <w:bottom w:w="55" w:type="dxa"/>
          <w:right w:w="55" w:type="dxa"/>
        </w:tblCellMar>
        <w:tblLook w:val="0000" w:firstRow="0" w:lastRow="0" w:firstColumn="0" w:lastColumn="0" w:noHBand="0" w:noVBand="0"/>
      </w:tblPr>
      <w:tblGrid>
        <w:gridCol w:w="1857"/>
        <w:gridCol w:w="1857"/>
        <w:gridCol w:w="1856"/>
        <w:gridCol w:w="1857"/>
      </w:tblGrid>
      <w:tr w:rsidR="009E2AB6" w:rsidRPr="00C052D8" w14:paraId="1CDCC33F" w14:textId="77777777" w:rsidTr="00271465">
        <w:trPr>
          <w:tblHeader/>
          <w:jc w:val="center"/>
        </w:trPr>
        <w:tc>
          <w:tcPr>
            <w:tcW w:w="1857" w:type="dxa"/>
            <w:tcBorders>
              <w:top w:val="single" w:sz="2" w:space="0" w:color="000000"/>
              <w:left w:val="single" w:sz="2" w:space="0" w:color="000000"/>
              <w:bottom w:val="single" w:sz="2" w:space="0" w:color="000000"/>
            </w:tcBorders>
            <w:shd w:val="clear" w:color="auto" w:fill="9D2235"/>
            <w:vAlign w:val="center"/>
          </w:tcPr>
          <w:p w14:paraId="2C2F3FC8" w14:textId="77777777" w:rsidR="009E2AB6" w:rsidRPr="00C052D8" w:rsidRDefault="009E2AB6" w:rsidP="009E2AB6">
            <w:pPr>
              <w:widowControl w:val="0"/>
              <w:suppressAutoHyphens/>
              <w:spacing w:after="0" w:line="276" w:lineRule="auto"/>
              <w:jc w:val="center"/>
              <w:textAlignment w:val="baseline"/>
              <w:rPr>
                <w:rFonts w:ascii="Arial" w:eastAsia="NSimSun" w:hAnsi="Arial" w:cs="Arial"/>
                <w:b/>
                <w:bCs/>
                <w:color w:val="FFFFFF"/>
                <w:kern w:val="2"/>
                <w:sz w:val="19"/>
                <w:szCs w:val="19"/>
                <w:lang w:eastAsia="zh-CN" w:bidi="hi-IN"/>
              </w:rPr>
            </w:pPr>
            <w:r w:rsidRPr="00C052D8">
              <w:rPr>
                <w:rFonts w:ascii="Arial" w:eastAsia="NSimSun" w:hAnsi="Arial" w:cs="Arial"/>
                <w:b/>
                <w:bCs/>
                <w:color w:val="FFFFFF"/>
                <w:kern w:val="2"/>
                <w:sz w:val="19"/>
                <w:szCs w:val="19"/>
                <w:lang w:eastAsia="zh-CN" w:bidi="hi-IN"/>
              </w:rPr>
              <w:t>Saldo inicial</w:t>
            </w:r>
          </w:p>
          <w:p w14:paraId="2BAEA024" w14:textId="77777777" w:rsidR="009E2AB6" w:rsidRPr="00C052D8" w:rsidRDefault="009E2AB6" w:rsidP="009E2AB6">
            <w:pPr>
              <w:widowControl w:val="0"/>
              <w:suppressAutoHyphens/>
              <w:spacing w:after="0" w:line="276" w:lineRule="auto"/>
              <w:jc w:val="center"/>
              <w:textAlignment w:val="baseline"/>
              <w:rPr>
                <w:rFonts w:ascii="Arial" w:eastAsia="NSimSun" w:hAnsi="Arial" w:cs="Arial"/>
                <w:b/>
                <w:bCs/>
                <w:color w:val="FFFFFF"/>
                <w:kern w:val="2"/>
                <w:sz w:val="19"/>
                <w:szCs w:val="19"/>
                <w:lang w:eastAsia="zh-CN" w:bidi="hi-IN"/>
              </w:rPr>
            </w:pPr>
            <w:r w:rsidRPr="00C052D8">
              <w:rPr>
                <w:rFonts w:ascii="Arial" w:eastAsia="NSimSun" w:hAnsi="Arial" w:cs="Arial"/>
                <w:b/>
                <w:bCs/>
                <w:color w:val="FFFFFF"/>
                <w:kern w:val="2"/>
                <w:sz w:val="19"/>
                <w:szCs w:val="19"/>
                <w:lang w:eastAsia="zh-CN" w:bidi="hi-IN"/>
              </w:rPr>
              <w:t>01/01/2021</w:t>
            </w:r>
          </w:p>
        </w:tc>
        <w:tc>
          <w:tcPr>
            <w:tcW w:w="1857" w:type="dxa"/>
            <w:tcBorders>
              <w:top w:val="single" w:sz="2" w:space="0" w:color="000000"/>
              <w:left w:val="single" w:sz="2" w:space="0" w:color="000000"/>
              <w:bottom w:val="single" w:sz="2" w:space="0" w:color="000000"/>
            </w:tcBorders>
            <w:shd w:val="clear" w:color="auto" w:fill="9D2235"/>
            <w:vAlign w:val="center"/>
          </w:tcPr>
          <w:p w14:paraId="65425FAA" w14:textId="77777777" w:rsidR="009E2AB6" w:rsidRPr="00C052D8" w:rsidRDefault="009E2AB6" w:rsidP="009E2AB6">
            <w:pPr>
              <w:widowControl w:val="0"/>
              <w:suppressAutoHyphens/>
              <w:spacing w:after="0" w:line="276" w:lineRule="auto"/>
              <w:jc w:val="center"/>
              <w:textAlignment w:val="baseline"/>
              <w:rPr>
                <w:rFonts w:ascii="Arial" w:eastAsia="NSimSun" w:hAnsi="Arial" w:cs="Arial"/>
                <w:b/>
                <w:bCs/>
                <w:color w:val="FFFFFF"/>
                <w:kern w:val="2"/>
                <w:sz w:val="19"/>
                <w:szCs w:val="19"/>
                <w:lang w:eastAsia="zh-CN" w:bidi="hi-IN"/>
              </w:rPr>
            </w:pPr>
            <w:r w:rsidRPr="00C052D8">
              <w:rPr>
                <w:rFonts w:ascii="Arial" w:eastAsia="NSimSun" w:hAnsi="Arial" w:cs="Arial"/>
                <w:b/>
                <w:bCs/>
                <w:color w:val="FFFFFF"/>
                <w:kern w:val="2"/>
                <w:sz w:val="19"/>
                <w:szCs w:val="19"/>
                <w:lang w:eastAsia="zh-CN" w:bidi="hi-IN"/>
              </w:rPr>
              <w:t>Ingresos</w:t>
            </w:r>
          </w:p>
        </w:tc>
        <w:tc>
          <w:tcPr>
            <w:tcW w:w="1856" w:type="dxa"/>
            <w:tcBorders>
              <w:top w:val="single" w:sz="2" w:space="0" w:color="000000"/>
              <w:left w:val="single" w:sz="2" w:space="0" w:color="000000"/>
              <w:bottom w:val="single" w:sz="2" w:space="0" w:color="000000"/>
            </w:tcBorders>
            <w:shd w:val="clear" w:color="auto" w:fill="9D2235"/>
            <w:vAlign w:val="center"/>
          </w:tcPr>
          <w:p w14:paraId="3E5CEDC0" w14:textId="77777777" w:rsidR="009E2AB6" w:rsidRPr="00C052D8" w:rsidRDefault="009E2AB6" w:rsidP="009E2AB6">
            <w:pPr>
              <w:widowControl w:val="0"/>
              <w:suppressAutoHyphens/>
              <w:spacing w:after="0" w:line="276" w:lineRule="auto"/>
              <w:jc w:val="center"/>
              <w:textAlignment w:val="baseline"/>
              <w:rPr>
                <w:rFonts w:ascii="Arial" w:eastAsia="NSimSun" w:hAnsi="Arial" w:cs="Arial"/>
                <w:b/>
                <w:bCs/>
                <w:color w:val="FFFFFF"/>
                <w:kern w:val="2"/>
                <w:sz w:val="19"/>
                <w:szCs w:val="19"/>
                <w:lang w:eastAsia="zh-CN" w:bidi="hi-IN"/>
              </w:rPr>
            </w:pPr>
            <w:r w:rsidRPr="00C052D8">
              <w:rPr>
                <w:rFonts w:ascii="Arial" w:eastAsia="NSimSun" w:hAnsi="Arial" w:cs="Arial"/>
                <w:b/>
                <w:bCs/>
                <w:color w:val="FFFFFF"/>
                <w:kern w:val="2"/>
                <w:sz w:val="19"/>
                <w:szCs w:val="19"/>
                <w:lang w:eastAsia="zh-CN" w:bidi="hi-IN"/>
              </w:rPr>
              <w:t>Pagos</w:t>
            </w:r>
          </w:p>
        </w:tc>
        <w:tc>
          <w:tcPr>
            <w:tcW w:w="1857" w:type="dxa"/>
            <w:tcBorders>
              <w:top w:val="single" w:sz="2" w:space="0" w:color="000000"/>
              <w:left w:val="single" w:sz="2" w:space="0" w:color="000000"/>
              <w:bottom w:val="single" w:sz="2" w:space="0" w:color="000000"/>
              <w:right w:val="single" w:sz="2" w:space="0" w:color="000000"/>
            </w:tcBorders>
            <w:shd w:val="clear" w:color="auto" w:fill="9D2235"/>
            <w:vAlign w:val="center"/>
          </w:tcPr>
          <w:p w14:paraId="0E19B54C" w14:textId="77777777" w:rsidR="009E2AB6" w:rsidRPr="00C052D8" w:rsidRDefault="009E2AB6" w:rsidP="009E2AB6">
            <w:pPr>
              <w:widowControl w:val="0"/>
              <w:suppressAutoHyphens/>
              <w:spacing w:after="0" w:line="276" w:lineRule="auto"/>
              <w:jc w:val="center"/>
              <w:textAlignment w:val="baseline"/>
              <w:rPr>
                <w:rFonts w:ascii="Arial" w:eastAsia="NSimSun" w:hAnsi="Arial" w:cs="Arial"/>
                <w:b/>
                <w:bCs/>
                <w:color w:val="FFFFFF"/>
                <w:kern w:val="2"/>
                <w:sz w:val="19"/>
                <w:szCs w:val="19"/>
                <w:lang w:eastAsia="zh-CN" w:bidi="hi-IN"/>
              </w:rPr>
            </w:pPr>
            <w:r w:rsidRPr="00C052D8">
              <w:rPr>
                <w:rFonts w:ascii="Arial" w:eastAsia="NSimSun" w:hAnsi="Arial" w:cs="Arial"/>
                <w:b/>
                <w:bCs/>
                <w:color w:val="FFFFFF"/>
                <w:kern w:val="2"/>
                <w:sz w:val="19"/>
                <w:szCs w:val="19"/>
                <w:lang w:eastAsia="zh-CN" w:bidi="hi-IN"/>
              </w:rPr>
              <w:t>Saldo final</w:t>
            </w:r>
          </w:p>
          <w:p w14:paraId="0B4CD039" w14:textId="77777777" w:rsidR="009E2AB6" w:rsidRPr="00C052D8" w:rsidRDefault="009E2AB6" w:rsidP="009E2AB6">
            <w:pPr>
              <w:widowControl w:val="0"/>
              <w:suppressAutoHyphens/>
              <w:spacing w:after="0" w:line="276" w:lineRule="auto"/>
              <w:jc w:val="center"/>
              <w:textAlignment w:val="baseline"/>
              <w:rPr>
                <w:rFonts w:ascii="Arial" w:eastAsia="NSimSun" w:hAnsi="Arial" w:cs="Arial"/>
                <w:b/>
                <w:bCs/>
                <w:color w:val="FFFFFF"/>
                <w:kern w:val="2"/>
                <w:sz w:val="19"/>
                <w:szCs w:val="19"/>
                <w:lang w:eastAsia="zh-CN" w:bidi="hi-IN"/>
              </w:rPr>
            </w:pPr>
            <w:r w:rsidRPr="00C052D8">
              <w:rPr>
                <w:rFonts w:ascii="Arial" w:eastAsia="NSimSun" w:hAnsi="Arial" w:cs="Arial"/>
                <w:b/>
                <w:bCs/>
                <w:color w:val="FFFFFF"/>
                <w:kern w:val="2"/>
                <w:sz w:val="19"/>
                <w:szCs w:val="19"/>
                <w:lang w:eastAsia="zh-CN" w:bidi="hi-IN"/>
              </w:rPr>
              <w:t>31/12/2021</w:t>
            </w:r>
          </w:p>
        </w:tc>
      </w:tr>
      <w:tr w:rsidR="009E2AB6" w:rsidRPr="00C052D8" w14:paraId="05D1322E" w14:textId="77777777" w:rsidTr="00271465">
        <w:trPr>
          <w:jc w:val="center"/>
        </w:trPr>
        <w:tc>
          <w:tcPr>
            <w:tcW w:w="1857" w:type="dxa"/>
            <w:tcBorders>
              <w:top w:val="single" w:sz="2" w:space="0" w:color="000000"/>
              <w:bottom w:val="single" w:sz="4" w:space="0" w:color="993333"/>
            </w:tcBorders>
            <w:shd w:val="clear" w:color="auto" w:fill="auto"/>
          </w:tcPr>
          <w:p w14:paraId="5C3B05A0" w14:textId="77777777" w:rsidR="009E2AB6" w:rsidRPr="00C052D8" w:rsidRDefault="009E2AB6" w:rsidP="009E2AB6">
            <w:pPr>
              <w:widowControl w:val="0"/>
              <w:suppressAutoHyphens/>
              <w:spacing w:after="0" w:line="276" w:lineRule="auto"/>
              <w:jc w:val="center"/>
              <w:textAlignment w:val="baseline"/>
              <w:rPr>
                <w:rFonts w:ascii="Arial" w:eastAsia="NSimSun" w:hAnsi="Arial" w:cs="Arial"/>
                <w:b/>
                <w:bCs/>
                <w:color w:val="000000"/>
                <w:kern w:val="2"/>
                <w:sz w:val="19"/>
                <w:szCs w:val="19"/>
                <w:lang w:eastAsia="zh-CN" w:bidi="hi-IN"/>
              </w:rPr>
            </w:pPr>
            <w:r w:rsidRPr="00C052D8">
              <w:rPr>
                <w:rFonts w:ascii="Arial" w:eastAsia="NSimSun" w:hAnsi="Arial" w:cs="Arial"/>
                <w:b/>
                <w:bCs/>
                <w:color w:val="000000"/>
                <w:kern w:val="2"/>
                <w:sz w:val="19"/>
                <w:szCs w:val="19"/>
                <w:lang w:eastAsia="zh-CN" w:bidi="hi-IN"/>
              </w:rPr>
              <w:t>1.237.529,58</w:t>
            </w:r>
          </w:p>
        </w:tc>
        <w:tc>
          <w:tcPr>
            <w:tcW w:w="1857" w:type="dxa"/>
            <w:tcBorders>
              <w:top w:val="single" w:sz="2" w:space="0" w:color="000000"/>
              <w:bottom w:val="single" w:sz="4" w:space="0" w:color="993333"/>
            </w:tcBorders>
            <w:shd w:val="clear" w:color="auto" w:fill="auto"/>
          </w:tcPr>
          <w:p w14:paraId="5F53BEBD" w14:textId="77777777" w:rsidR="009E2AB6" w:rsidRPr="00C052D8" w:rsidRDefault="009E2AB6" w:rsidP="009E2AB6">
            <w:pPr>
              <w:widowControl w:val="0"/>
              <w:suppressAutoHyphens/>
              <w:spacing w:after="0" w:line="276" w:lineRule="auto"/>
              <w:jc w:val="right"/>
              <w:textAlignment w:val="baseline"/>
              <w:rPr>
                <w:rFonts w:ascii="Arial" w:eastAsia="NSimSun" w:hAnsi="Arial" w:cs="Arial"/>
                <w:b/>
                <w:bCs/>
                <w:color w:val="000000"/>
                <w:kern w:val="2"/>
                <w:sz w:val="19"/>
                <w:szCs w:val="19"/>
                <w:lang w:eastAsia="zh-CN" w:bidi="hi-IN"/>
              </w:rPr>
            </w:pPr>
            <w:r w:rsidRPr="00C052D8">
              <w:rPr>
                <w:rFonts w:ascii="Arial" w:eastAsia="NSimSun" w:hAnsi="Arial" w:cs="Arial"/>
                <w:b/>
                <w:bCs/>
                <w:color w:val="000000"/>
                <w:kern w:val="2"/>
                <w:sz w:val="19"/>
                <w:szCs w:val="19"/>
                <w:lang w:eastAsia="zh-CN" w:bidi="hi-IN"/>
              </w:rPr>
              <w:t xml:space="preserve">7.249.486,33  </w:t>
            </w:r>
          </w:p>
        </w:tc>
        <w:tc>
          <w:tcPr>
            <w:tcW w:w="1856" w:type="dxa"/>
            <w:tcBorders>
              <w:top w:val="single" w:sz="2" w:space="0" w:color="000000"/>
              <w:bottom w:val="single" w:sz="4" w:space="0" w:color="993333"/>
            </w:tcBorders>
            <w:shd w:val="clear" w:color="auto" w:fill="auto"/>
          </w:tcPr>
          <w:p w14:paraId="2AC93CEA" w14:textId="77777777" w:rsidR="009E2AB6" w:rsidRPr="00C052D8" w:rsidRDefault="009E2AB6" w:rsidP="009E2AB6">
            <w:pPr>
              <w:widowControl w:val="0"/>
              <w:suppressAutoHyphens/>
              <w:spacing w:after="0" w:line="276" w:lineRule="auto"/>
              <w:jc w:val="right"/>
              <w:textAlignment w:val="baseline"/>
              <w:rPr>
                <w:rFonts w:ascii="Arial" w:eastAsia="NSimSun" w:hAnsi="Arial" w:cs="Arial"/>
                <w:b/>
                <w:bCs/>
                <w:color w:val="000000"/>
                <w:kern w:val="2"/>
                <w:sz w:val="19"/>
                <w:szCs w:val="19"/>
                <w:lang w:eastAsia="zh-CN" w:bidi="hi-IN"/>
              </w:rPr>
            </w:pPr>
            <w:r w:rsidRPr="00C052D8">
              <w:rPr>
                <w:rFonts w:ascii="Arial" w:eastAsia="NSimSun" w:hAnsi="Arial" w:cs="Arial"/>
                <w:b/>
                <w:bCs/>
                <w:color w:val="000000"/>
                <w:kern w:val="2"/>
                <w:sz w:val="19"/>
                <w:szCs w:val="19"/>
                <w:lang w:eastAsia="zh-CN" w:bidi="hi-IN"/>
              </w:rPr>
              <w:t xml:space="preserve">6.876.287,79  </w:t>
            </w:r>
          </w:p>
        </w:tc>
        <w:tc>
          <w:tcPr>
            <w:tcW w:w="1857" w:type="dxa"/>
            <w:tcBorders>
              <w:top w:val="single" w:sz="2" w:space="0" w:color="000000"/>
              <w:bottom w:val="single" w:sz="4" w:space="0" w:color="993333"/>
            </w:tcBorders>
            <w:shd w:val="clear" w:color="auto" w:fill="auto"/>
          </w:tcPr>
          <w:p w14:paraId="0532B833" w14:textId="77777777" w:rsidR="009E2AB6" w:rsidRPr="00C052D8" w:rsidRDefault="009E2AB6" w:rsidP="009E2AB6">
            <w:pPr>
              <w:widowControl w:val="0"/>
              <w:suppressAutoHyphens/>
              <w:spacing w:after="0" w:line="276" w:lineRule="auto"/>
              <w:jc w:val="right"/>
              <w:textAlignment w:val="baseline"/>
              <w:rPr>
                <w:rFonts w:ascii="Arial" w:eastAsia="NSimSun" w:hAnsi="Arial" w:cs="Arial"/>
                <w:b/>
                <w:bCs/>
                <w:kern w:val="2"/>
                <w:sz w:val="19"/>
                <w:szCs w:val="19"/>
                <w:lang w:eastAsia="zh-CN" w:bidi="hi-IN"/>
              </w:rPr>
            </w:pPr>
            <w:r w:rsidRPr="00C052D8">
              <w:rPr>
                <w:rFonts w:ascii="Arial" w:eastAsia="NSimSun" w:hAnsi="Arial" w:cs="Arial"/>
                <w:b/>
                <w:bCs/>
                <w:kern w:val="2"/>
                <w:sz w:val="19"/>
                <w:szCs w:val="19"/>
                <w:lang w:eastAsia="zh-CN" w:bidi="hi-IN"/>
              </w:rPr>
              <w:t>1.610.728,12</w:t>
            </w:r>
          </w:p>
        </w:tc>
      </w:tr>
    </w:tbl>
    <w:p w14:paraId="288DD68D" w14:textId="74A4BFEA" w:rsidR="00C440A7" w:rsidRDefault="00C440A7" w:rsidP="00AD6163">
      <w:pPr>
        <w:spacing w:after="240" w:line="276" w:lineRule="auto"/>
        <w:jc w:val="both"/>
        <w:rPr>
          <w:rFonts w:ascii="Arial" w:eastAsia="Droid Sans Fallback" w:hAnsi="Arial" w:cs="Arial"/>
          <w:kern w:val="3"/>
          <w:sz w:val="21"/>
          <w:szCs w:val="21"/>
          <w:lang w:eastAsia="zh-CN" w:bidi="hi-IN"/>
        </w:rPr>
      </w:pPr>
    </w:p>
    <w:p w14:paraId="6F637CE6" w14:textId="56BB7E5C" w:rsidR="00F84E97" w:rsidRDefault="00F84E97" w:rsidP="00AD6163">
      <w:pPr>
        <w:spacing w:after="240" w:line="276" w:lineRule="auto"/>
        <w:jc w:val="both"/>
        <w:rPr>
          <w:rFonts w:ascii="Arial" w:eastAsia="Droid Sans Fallback" w:hAnsi="Arial" w:cs="Arial"/>
          <w:kern w:val="3"/>
          <w:sz w:val="21"/>
          <w:szCs w:val="21"/>
          <w:lang w:eastAsia="zh-CN" w:bidi="hi-IN"/>
        </w:rPr>
      </w:pPr>
    </w:p>
    <w:p w14:paraId="71EB8488" w14:textId="734851EF" w:rsidR="00F84E97" w:rsidRDefault="00F84E97" w:rsidP="00AD6163">
      <w:pPr>
        <w:spacing w:after="240" w:line="276" w:lineRule="auto"/>
        <w:jc w:val="both"/>
        <w:rPr>
          <w:rFonts w:ascii="Arial" w:eastAsia="Droid Sans Fallback" w:hAnsi="Arial" w:cs="Arial"/>
          <w:kern w:val="3"/>
          <w:sz w:val="21"/>
          <w:szCs w:val="21"/>
          <w:lang w:eastAsia="zh-CN" w:bidi="hi-IN"/>
        </w:rPr>
      </w:pPr>
    </w:p>
    <w:p w14:paraId="387C39D5" w14:textId="111F4F1D" w:rsidR="00F84E97" w:rsidRDefault="009E2AB6" w:rsidP="00AD6163">
      <w:pPr>
        <w:spacing w:after="240" w:line="276" w:lineRule="auto"/>
        <w:jc w:val="both"/>
        <w:rPr>
          <w:rFonts w:ascii="Arial" w:eastAsia="Droid Sans Fallback" w:hAnsi="Arial" w:cs="Arial"/>
          <w:kern w:val="3"/>
          <w:sz w:val="21"/>
          <w:szCs w:val="21"/>
          <w:lang w:eastAsia="zh-CN" w:bidi="hi-IN"/>
        </w:rPr>
      </w:pPr>
      <w:r w:rsidRPr="009E2AB6">
        <w:rPr>
          <w:rFonts w:ascii="Arial" w:eastAsia="Droid Sans Fallback" w:hAnsi="Arial" w:cs="Arial"/>
          <w:kern w:val="3"/>
          <w:sz w:val="21"/>
          <w:szCs w:val="21"/>
          <w:lang w:eastAsia="zh-CN" w:bidi="hi-IN"/>
        </w:rPr>
        <w:t xml:space="preserve">El </w:t>
      </w:r>
      <w:r w:rsidRPr="009E2AB6">
        <w:rPr>
          <w:rFonts w:ascii="Arial" w:eastAsia="Droid Sans Fallback" w:hAnsi="Arial" w:cs="Arial"/>
          <w:b/>
          <w:bCs/>
          <w:kern w:val="3"/>
          <w:sz w:val="21"/>
          <w:szCs w:val="21"/>
          <w:lang w:eastAsia="zh-CN" w:bidi="hi-IN"/>
        </w:rPr>
        <w:t>remanente de tesorería</w:t>
      </w:r>
      <w:r w:rsidRPr="009E2AB6">
        <w:rPr>
          <w:rFonts w:ascii="Arial" w:eastAsia="Droid Sans Fallback" w:hAnsi="Arial" w:cs="Arial"/>
          <w:kern w:val="3"/>
          <w:sz w:val="21"/>
          <w:szCs w:val="21"/>
          <w:lang w:eastAsia="zh-CN" w:bidi="hi-IN"/>
        </w:rPr>
        <w:t xml:space="preserve"> de la Agencia presenta la situación que se muestra a continuación</w:t>
      </w:r>
      <w:bookmarkStart w:id="569" w:name="Marcador_49"/>
      <w:bookmarkEnd w:id="569"/>
      <w:r w:rsidRPr="009E2AB6">
        <w:rPr>
          <w:rFonts w:ascii="Arial" w:eastAsia="Droid Sans Fallback" w:hAnsi="Arial" w:cs="Arial"/>
          <w:kern w:val="3"/>
          <w:sz w:val="21"/>
          <w:szCs w:val="21"/>
          <w:lang w:eastAsia="zh-CN" w:bidi="hi-IN"/>
        </w:rPr>
        <w:t xml:space="preserve"> a 31 de diciembre de 2021.</w:t>
      </w:r>
    </w:p>
    <w:p w14:paraId="792AD5C9" w14:textId="77777777" w:rsidR="009E2AB6" w:rsidRDefault="009E2AB6" w:rsidP="00AD6163">
      <w:pPr>
        <w:spacing w:after="240" w:line="276" w:lineRule="auto"/>
        <w:jc w:val="both"/>
        <w:rPr>
          <w:rFonts w:ascii="Arial" w:eastAsia="Droid Sans Fallback" w:hAnsi="Arial" w:cs="Arial"/>
          <w:kern w:val="3"/>
          <w:sz w:val="21"/>
          <w:szCs w:val="21"/>
          <w:lang w:eastAsia="zh-CN" w:bidi="hi-IN"/>
        </w:rPr>
      </w:pPr>
    </w:p>
    <w:p w14:paraId="2891D276" w14:textId="7821E6D3" w:rsidR="009E2AB6" w:rsidRPr="009E2AB6" w:rsidRDefault="009E2AB6" w:rsidP="009E2AB6">
      <w:pPr>
        <w:pStyle w:val="Descripcin"/>
        <w:keepNext/>
        <w:jc w:val="center"/>
        <w:rPr>
          <w:rFonts w:ascii="Arial" w:hAnsi="Arial" w:cs="Arial"/>
          <w:smallCaps w:val="0"/>
          <w:sz w:val="18"/>
          <w:szCs w:val="18"/>
        </w:rPr>
      </w:pPr>
      <w:bookmarkStart w:id="570" w:name="_Toc99107179"/>
      <w:r w:rsidRPr="009E2AB6">
        <w:rPr>
          <w:rFonts w:ascii="Arial" w:hAnsi="Arial" w:cs="Arial"/>
          <w:smallCaps w:val="0"/>
          <w:color w:val="9D2235" w:themeColor="accent1"/>
          <w:sz w:val="18"/>
          <w:szCs w:val="18"/>
        </w:rPr>
        <w:t xml:space="preserve">Tabla </w:t>
      </w:r>
      <w:r w:rsidRPr="009E2AB6">
        <w:rPr>
          <w:rFonts w:ascii="Arial" w:hAnsi="Arial" w:cs="Arial"/>
          <w:smallCaps w:val="0"/>
          <w:color w:val="9D2235" w:themeColor="accent1"/>
          <w:sz w:val="18"/>
          <w:szCs w:val="18"/>
        </w:rPr>
        <w:fldChar w:fldCharType="begin" w:fldLock="1"/>
      </w:r>
      <w:r w:rsidRPr="009E2AB6">
        <w:rPr>
          <w:rFonts w:ascii="Arial" w:hAnsi="Arial" w:cs="Arial"/>
          <w:smallCaps w:val="0"/>
          <w:color w:val="9D2235" w:themeColor="accent1"/>
          <w:sz w:val="18"/>
          <w:szCs w:val="18"/>
        </w:rPr>
        <w:instrText xml:space="preserve"> SEQ Tabla \* ARABIC </w:instrText>
      </w:r>
      <w:r w:rsidRPr="009E2AB6">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41</w:t>
      </w:r>
      <w:r w:rsidRPr="009E2AB6">
        <w:rPr>
          <w:rFonts w:ascii="Arial" w:hAnsi="Arial" w:cs="Arial"/>
          <w:smallCaps w:val="0"/>
          <w:color w:val="9D2235" w:themeColor="accent1"/>
          <w:sz w:val="18"/>
          <w:szCs w:val="18"/>
        </w:rPr>
        <w:fldChar w:fldCharType="end"/>
      </w:r>
      <w:r w:rsidRPr="009E2AB6">
        <w:rPr>
          <w:rFonts w:ascii="Arial" w:hAnsi="Arial" w:cs="Arial"/>
          <w:smallCaps w:val="0"/>
          <w:color w:val="9D2235" w:themeColor="accent1"/>
          <w:sz w:val="18"/>
          <w:szCs w:val="18"/>
        </w:rPr>
        <w:t xml:space="preserve">. </w:t>
      </w:r>
      <w:r w:rsidRPr="009E2AB6">
        <w:rPr>
          <w:rFonts w:ascii="Arial" w:hAnsi="Arial" w:cs="Arial"/>
          <w:smallCaps w:val="0"/>
          <w:sz w:val="18"/>
          <w:szCs w:val="18"/>
        </w:rPr>
        <w:t>Estado del remanente de tesorería</w:t>
      </w:r>
      <w:bookmarkEnd w:id="570"/>
    </w:p>
    <w:tbl>
      <w:tblPr>
        <w:tblW w:w="8503" w:type="dxa"/>
        <w:jc w:val="center"/>
        <w:tblCellMar>
          <w:top w:w="55" w:type="dxa"/>
          <w:left w:w="55" w:type="dxa"/>
          <w:bottom w:w="55" w:type="dxa"/>
          <w:right w:w="55" w:type="dxa"/>
        </w:tblCellMar>
        <w:tblLook w:val="0000" w:firstRow="0" w:lastRow="0" w:firstColumn="0" w:lastColumn="0" w:noHBand="0" w:noVBand="0"/>
      </w:tblPr>
      <w:tblGrid>
        <w:gridCol w:w="3827"/>
        <w:gridCol w:w="1139"/>
        <w:gridCol w:w="1161"/>
        <w:gridCol w:w="1186"/>
        <w:gridCol w:w="1190"/>
      </w:tblGrid>
      <w:tr w:rsidR="009E2AB6" w:rsidRPr="009E2AB6" w14:paraId="4540DC17" w14:textId="77777777" w:rsidTr="009E2AB6">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9D2235"/>
            <w:vAlign w:val="center"/>
          </w:tcPr>
          <w:p w14:paraId="278D6125" w14:textId="77777777" w:rsidR="009E2AB6" w:rsidRPr="009E2AB6" w:rsidRDefault="009E2AB6" w:rsidP="009E2AB6">
            <w:pPr>
              <w:spacing w:line="276" w:lineRule="auto"/>
              <w:jc w:val="center"/>
              <w:rPr>
                <w:rFonts w:ascii="Arial" w:eastAsia="Times New Roman" w:hAnsi="Arial" w:cs="Arial"/>
                <w:b/>
                <w:bCs/>
                <w:color w:val="FFFFFF"/>
                <w:sz w:val="18"/>
                <w:szCs w:val="18"/>
              </w:rPr>
            </w:pPr>
            <w:r w:rsidRPr="009E2AB6">
              <w:rPr>
                <w:rFonts w:ascii="Arial" w:eastAsia="Times New Roman" w:hAnsi="Arial" w:cs="Arial"/>
                <w:b/>
                <w:bCs/>
                <w:color w:val="FFFFFF"/>
                <w:sz w:val="18"/>
                <w:szCs w:val="18"/>
              </w:rPr>
              <w:t>CONCEPTOS</w:t>
            </w:r>
          </w:p>
        </w:tc>
        <w:tc>
          <w:tcPr>
            <w:tcW w:w="2300" w:type="dxa"/>
            <w:gridSpan w:val="2"/>
            <w:tcBorders>
              <w:top w:val="single" w:sz="4" w:space="0" w:color="000000"/>
              <w:left w:val="single" w:sz="4" w:space="0" w:color="000000"/>
              <w:bottom w:val="single" w:sz="4" w:space="0" w:color="000000"/>
              <w:right w:val="single" w:sz="4" w:space="0" w:color="000000"/>
            </w:tcBorders>
            <w:shd w:val="clear" w:color="auto" w:fill="9D2235"/>
            <w:vAlign w:val="center"/>
          </w:tcPr>
          <w:p w14:paraId="75D4964A" w14:textId="77777777" w:rsidR="009E2AB6" w:rsidRPr="009E2AB6" w:rsidRDefault="009E2AB6" w:rsidP="009E2AB6">
            <w:pPr>
              <w:spacing w:line="276" w:lineRule="auto"/>
              <w:jc w:val="center"/>
              <w:rPr>
                <w:rFonts w:ascii="Arial" w:eastAsia="Times New Roman" w:hAnsi="Arial" w:cs="Arial"/>
                <w:b/>
                <w:bCs/>
                <w:color w:val="FFFFFF"/>
                <w:sz w:val="18"/>
                <w:szCs w:val="18"/>
              </w:rPr>
            </w:pPr>
            <w:r w:rsidRPr="009E2AB6">
              <w:rPr>
                <w:rFonts w:ascii="Arial" w:eastAsia="Times New Roman" w:hAnsi="Arial" w:cs="Arial"/>
                <w:b/>
                <w:bCs/>
                <w:color w:val="FFFFFF"/>
                <w:sz w:val="18"/>
                <w:szCs w:val="18"/>
              </w:rPr>
              <w:t>IMPORTES</w:t>
            </w:r>
          </w:p>
          <w:p w14:paraId="77968A84" w14:textId="77777777" w:rsidR="009E2AB6" w:rsidRPr="009E2AB6" w:rsidRDefault="009E2AB6" w:rsidP="009E2AB6">
            <w:pPr>
              <w:spacing w:line="276" w:lineRule="auto"/>
              <w:jc w:val="center"/>
              <w:rPr>
                <w:rFonts w:ascii="Arial" w:eastAsia="Times New Roman" w:hAnsi="Arial" w:cs="Arial"/>
                <w:b/>
                <w:bCs/>
                <w:color w:val="FFFFFF"/>
                <w:sz w:val="18"/>
                <w:szCs w:val="18"/>
              </w:rPr>
            </w:pPr>
            <w:r w:rsidRPr="009E2AB6">
              <w:rPr>
                <w:rFonts w:ascii="Arial" w:eastAsia="Times New Roman" w:hAnsi="Arial" w:cs="Arial"/>
                <w:b/>
                <w:bCs/>
                <w:color w:val="FFFFFF"/>
                <w:sz w:val="18"/>
                <w:szCs w:val="18"/>
              </w:rPr>
              <w:t>2021</w:t>
            </w:r>
          </w:p>
        </w:tc>
        <w:tc>
          <w:tcPr>
            <w:tcW w:w="2376" w:type="dxa"/>
            <w:gridSpan w:val="2"/>
            <w:tcBorders>
              <w:top w:val="single" w:sz="4" w:space="0" w:color="000000"/>
              <w:left w:val="single" w:sz="4" w:space="0" w:color="000000"/>
              <w:bottom w:val="single" w:sz="4" w:space="0" w:color="000000"/>
              <w:right w:val="single" w:sz="4" w:space="0" w:color="000000"/>
            </w:tcBorders>
            <w:shd w:val="clear" w:color="auto" w:fill="9D2235"/>
            <w:vAlign w:val="center"/>
          </w:tcPr>
          <w:p w14:paraId="654CF10C" w14:textId="77777777" w:rsidR="009E2AB6" w:rsidRPr="009E2AB6" w:rsidRDefault="009E2AB6" w:rsidP="009E2AB6">
            <w:pPr>
              <w:spacing w:line="276" w:lineRule="auto"/>
              <w:jc w:val="center"/>
              <w:rPr>
                <w:rFonts w:ascii="Arial" w:eastAsia="Times New Roman" w:hAnsi="Arial" w:cs="Arial"/>
                <w:b/>
                <w:bCs/>
                <w:color w:val="FFFFFF"/>
                <w:sz w:val="18"/>
                <w:szCs w:val="18"/>
              </w:rPr>
            </w:pPr>
            <w:r w:rsidRPr="009E2AB6">
              <w:rPr>
                <w:rFonts w:ascii="Arial" w:eastAsia="Times New Roman" w:hAnsi="Arial" w:cs="Arial"/>
                <w:b/>
                <w:bCs/>
                <w:color w:val="FFFFFF"/>
                <w:sz w:val="18"/>
                <w:szCs w:val="18"/>
              </w:rPr>
              <w:t>IMPORTES</w:t>
            </w:r>
          </w:p>
          <w:p w14:paraId="53C84661" w14:textId="77777777" w:rsidR="009E2AB6" w:rsidRPr="009E2AB6" w:rsidRDefault="009E2AB6" w:rsidP="009E2AB6">
            <w:pPr>
              <w:spacing w:line="276" w:lineRule="auto"/>
              <w:jc w:val="center"/>
              <w:rPr>
                <w:rFonts w:ascii="Arial" w:eastAsia="Times New Roman" w:hAnsi="Arial" w:cs="Arial"/>
                <w:b/>
                <w:bCs/>
                <w:color w:val="FFFFFF"/>
                <w:sz w:val="18"/>
                <w:szCs w:val="18"/>
              </w:rPr>
            </w:pPr>
            <w:r w:rsidRPr="009E2AB6">
              <w:rPr>
                <w:rFonts w:ascii="Arial" w:eastAsia="Times New Roman" w:hAnsi="Arial" w:cs="Arial"/>
                <w:b/>
                <w:bCs/>
                <w:color w:val="FFFFFF"/>
                <w:sz w:val="18"/>
                <w:szCs w:val="18"/>
              </w:rPr>
              <w:t>AÑO ANTERIOR (2020)</w:t>
            </w:r>
          </w:p>
        </w:tc>
      </w:tr>
      <w:tr w:rsidR="009E2AB6" w:rsidRPr="009E2AB6" w14:paraId="555BC9A5" w14:textId="77777777" w:rsidTr="009E2AB6">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DDDDDD"/>
          </w:tcPr>
          <w:p w14:paraId="64484AED" w14:textId="77777777" w:rsidR="009E2AB6" w:rsidRPr="009E2AB6" w:rsidRDefault="009E2AB6" w:rsidP="009E2AB6">
            <w:pPr>
              <w:spacing w:line="276" w:lineRule="auto"/>
              <w:jc w:val="both"/>
              <w:rPr>
                <w:rFonts w:ascii="Arial" w:eastAsia="Times New Roman" w:hAnsi="Arial" w:cs="Arial"/>
                <w:sz w:val="18"/>
                <w:szCs w:val="18"/>
              </w:rPr>
            </w:pPr>
            <w:r w:rsidRPr="009E2AB6">
              <w:rPr>
                <w:rFonts w:ascii="Arial" w:eastAsia="Times New Roman" w:hAnsi="Arial" w:cs="Arial"/>
                <w:b/>
                <w:bCs/>
                <w:sz w:val="18"/>
                <w:szCs w:val="18"/>
              </w:rPr>
              <w:t>1.- (+) FONDOS LÍQUIDOS A LA TESORERÍA</w:t>
            </w:r>
            <w:r w:rsidRPr="009E2AB6">
              <w:rPr>
                <w:rFonts w:ascii="Arial" w:eastAsia="Times New Roman" w:hAnsi="Arial" w:cs="Arial"/>
                <w:sz w:val="18"/>
                <w:szCs w:val="18"/>
              </w:rPr>
              <w:t xml:space="preserve">                                </w:t>
            </w:r>
          </w:p>
        </w:tc>
        <w:tc>
          <w:tcPr>
            <w:tcW w:w="1139"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446F4781" w14:textId="77777777" w:rsidR="009E2AB6" w:rsidRPr="009E2AB6" w:rsidRDefault="009E2AB6" w:rsidP="009E2AB6">
            <w:pPr>
              <w:spacing w:line="276" w:lineRule="auto"/>
              <w:jc w:val="right"/>
              <w:rPr>
                <w:rFonts w:ascii="Arial" w:eastAsia="Times New Roman" w:hAnsi="Arial" w:cs="Arial"/>
                <w:sz w:val="18"/>
                <w:szCs w:val="18"/>
              </w:rPr>
            </w:pPr>
          </w:p>
        </w:tc>
        <w:tc>
          <w:tcPr>
            <w:tcW w:w="1161"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7C16FECB" w14:textId="77777777" w:rsidR="009E2AB6" w:rsidRPr="009E2AB6" w:rsidRDefault="009E2AB6" w:rsidP="009E2AB6">
            <w:pPr>
              <w:spacing w:line="276" w:lineRule="auto"/>
              <w:jc w:val="center"/>
              <w:rPr>
                <w:rFonts w:ascii="Arial" w:eastAsia="Times New Roman" w:hAnsi="Arial" w:cs="Arial"/>
                <w:b/>
                <w:bCs/>
                <w:sz w:val="18"/>
                <w:szCs w:val="18"/>
              </w:rPr>
            </w:pPr>
            <w:r w:rsidRPr="009E2AB6">
              <w:rPr>
                <w:rFonts w:ascii="Arial" w:eastAsia="Times New Roman" w:hAnsi="Arial" w:cs="Arial"/>
                <w:b/>
                <w:bCs/>
                <w:sz w:val="18"/>
                <w:szCs w:val="18"/>
              </w:rPr>
              <w:t>1.610.728,12</w:t>
            </w:r>
          </w:p>
        </w:tc>
        <w:tc>
          <w:tcPr>
            <w:tcW w:w="1186"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1939B745" w14:textId="77777777" w:rsidR="009E2AB6" w:rsidRPr="009E2AB6" w:rsidRDefault="009E2AB6" w:rsidP="009E2AB6">
            <w:pPr>
              <w:spacing w:line="276" w:lineRule="auto"/>
              <w:jc w:val="right"/>
              <w:rPr>
                <w:rFonts w:ascii="Arial" w:eastAsia="Times New Roman" w:hAnsi="Arial" w:cs="Arial"/>
                <w:sz w:val="18"/>
                <w:szCs w:val="18"/>
              </w:rPr>
            </w:pPr>
          </w:p>
        </w:tc>
        <w:tc>
          <w:tcPr>
            <w:tcW w:w="1190"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56389FEA" w14:textId="77777777" w:rsidR="009E2AB6" w:rsidRPr="009E2AB6" w:rsidRDefault="009E2AB6" w:rsidP="009E2AB6">
            <w:pPr>
              <w:spacing w:line="276" w:lineRule="auto"/>
              <w:jc w:val="right"/>
              <w:rPr>
                <w:rFonts w:ascii="Arial" w:eastAsia="Times New Roman" w:hAnsi="Arial" w:cs="Arial"/>
                <w:sz w:val="18"/>
                <w:szCs w:val="18"/>
              </w:rPr>
            </w:pPr>
            <w:r w:rsidRPr="009E2AB6">
              <w:rPr>
                <w:rFonts w:ascii="Arial" w:eastAsia="Times New Roman" w:hAnsi="Arial" w:cs="Arial"/>
                <w:b/>
                <w:bCs/>
                <w:sz w:val="18"/>
                <w:szCs w:val="18"/>
              </w:rPr>
              <w:t>1.237.529,58</w:t>
            </w:r>
          </w:p>
        </w:tc>
      </w:tr>
      <w:tr w:rsidR="009E2AB6" w:rsidRPr="009E2AB6" w14:paraId="1BD6CBBE" w14:textId="77777777" w:rsidTr="009E2AB6">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DDDDDD"/>
          </w:tcPr>
          <w:p w14:paraId="3D539F86" w14:textId="77777777" w:rsidR="009E2AB6" w:rsidRPr="009E2AB6" w:rsidRDefault="009E2AB6" w:rsidP="009E2AB6">
            <w:pPr>
              <w:spacing w:line="276" w:lineRule="auto"/>
              <w:jc w:val="both"/>
              <w:rPr>
                <w:rFonts w:ascii="Arial" w:eastAsia="Times New Roman" w:hAnsi="Arial" w:cs="Arial"/>
                <w:sz w:val="18"/>
                <w:szCs w:val="18"/>
              </w:rPr>
            </w:pPr>
            <w:r w:rsidRPr="009E2AB6">
              <w:rPr>
                <w:rFonts w:ascii="Arial" w:eastAsia="Times New Roman" w:hAnsi="Arial" w:cs="Arial"/>
                <w:b/>
                <w:bCs/>
                <w:sz w:val="18"/>
                <w:szCs w:val="18"/>
              </w:rPr>
              <w:t xml:space="preserve">2.- (+) DEUDORES PENDIENTES DE COBRO  </w:t>
            </w:r>
            <w:r w:rsidRPr="009E2AB6">
              <w:rPr>
                <w:rFonts w:ascii="Arial" w:eastAsia="Times New Roman" w:hAnsi="Arial" w:cs="Arial"/>
                <w:sz w:val="18"/>
                <w:szCs w:val="18"/>
              </w:rPr>
              <w:t xml:space="preserve">                                </w:t>
            </w:r>
          </w:p>
        </w:tc>
        <w:tc>
          <w:tcPr>
            <w:tcW w:w="1139"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4C1BB6B0" w14:textId="77777777" w:rsidR="009E2AB6" w:rsidRPr="009E2AB6" w:rsidRDefault="009E2AB6" w:rsidP="009E2AB6">
            <w:pPr>
              <w:spacing w:line="276" w:lineRule="auto"/>
              <w:jc w:val="right"/>
              <w:rPr>
                <w:rFonts w:ascii="Arial" w:eastAsia="Times New Roman" w:hAnsi="Arial" w:cs="Arial"/>
                <w:sz w:val="18"/>
                <w:szCs w:val="18"/>
              </w:rPr>
            </w:pPr>
          </w:p>
        </w:tc>
        <w:tc>
          <w:tcPr>
            <w:tcW w:w="1161"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5E3C6410" w14:textId="77777777" w:rsidR="009E2AB6" w:rsidRPr="009E2AB6" w:rsidRDefault="009E2AB6" w:rsidP="009E2AB6">
            <w:pPr>
              <w:spacing w:line="276" w:lineRule="auto"/>
              <w:jc w:val="right"/>
              <w:rPr>
                <w:rFonts w:ascii="Arial" w:eastAsia="Times New Roman" w:hAnsi="Arial" w:cs="Arial"/>
                <w:b/>
                <w:bCs/>
                <w:sz w:val="18"/>
                <w:szCs w:val="18"/>
              </w:rPr>
            </w:pPr>
          </w:p>
        </w:tc>
        <w:tc>
          <w:tcPr>
            <w:tcW w:w="1186"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4DD7A9C1" w14:textId="77777777" w:rsidR="009E2AB6" w:rsidRPr="009E2AB6" w:rsidRDefault="009E2AB6" w:rsidP="009E2AB6">
            <w:pPr>
              <w:spacing w:line="276" w:lineRule="auto"/>
              <w:jc w:val="right"/>
              <w:rPr>
                <w:rFonts w:ascii="Arial" w:eastAsia="Times New Roman" w:hAnsi="Arial" w:cs="Arial"/>
                <w:sz w:val="18"/>
                <w:szCs w:val="18"/>
              </w:rPr>
            </w:pPr>
          </w:p>
        </w:tc>
        <w:tc>
          <w:tcPr>
            <w:tcW w:w="1190"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65983930" w14:textId="77777777" w:rsidR="009E2AB6" w:rsidRPr="009E2AB6" w:rsidRDefault="009E2AB6" w:rsidP="009E2AB6">
            <w:pPr>
              <w:spacing w:line="276" w:lineRule="auto"/>
              <w:jc w:val="right"/>
              <w:rPr>
                <w:rFonts w:ascii="Arial" w:eastAsia="Times New Roman" w:hAnsi="Arial" w:cs="Arial"/>
                <w:b/>
                <w:bCs/>
                <w:sz w:val="18"/>
                <w:szCs w:val="18"/>
              </w:rPr>
            </w:pPr>
            <w:r w:rsidRPr="009E2AB6">
              <w:rPr>
                <w:rFonts w:ascii="Arial" w:eastAsia="Times New Roman" w:hAnsi="Arial" w:cs="Arial"/>
                <w:b/>
                <w:bCs/>
                <w:sz w:val="18"/>
                <w:szCs w:val="18"/>
              </w:rPr>
              <w:t>2.818.288,68</w:t>
            </w:r>
          </w:p>
        </w:tc>
      </w:tr>
      <w:tr w:rsidR="009E2AB6" w:rsidRPr="009E2AB6" w14:paraId="5698A092" w14:textId="77777777" w:rsidTr="009E2AB6">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FFFFFF"/>
          </w:tcPr>
          <w:p w14:paraId="1A5301AE" w14:textId="77777777" w:rsidR="009E2AB6" w:rsidRPr="009E2AB6" w:rsidRDefault="009E2AB6" w:rsidP="009E2AB6">
            <w:pPr>
              <w:spacing w:line="276" w:lineRule="auto"/>
              <w:jc w:val="both"/>
              <w:rPr>
                <w:rFonts w:ascii="Arial" w:eastAsia="Times New Roman" w:hAnsi="Arial" w:cs="Arial"/>
                <w:sz w:val="18"/>
                <w:szCs w:val="18"/>
              </w:rPr>
            </w:pPr>
            <w:r w:rsidRPr="009E2AB6">
              <w:rPr>
                <w:rFonts w:ascii="Arial" w:eastAsia="Times New Roman" w:hAnsi="Arial" w:cs="Arial"/>
                <w:sz w:val="18"/>
                <w:szCs w:val="18"/>
              </w:rPr>
              <w:t xml:space="preserve">      (+) De Presupuesto de ingresos. Corrientes            </w:t>
            </w:r>
          </w:p>
        </w:tc>
        <w:tc>
          <w:tcPr>
            <w:tcW w:w="11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7438E3" w14:textId="77777777" w:rsidR="009E2AB6" w:rsidRPr="009E2AB6" w:rsidRDefault="009E2AB6" w:rsidP="009E2AB6">
            <w:pPr>
              <w:spacing w:line="276" w:lineRule="auto"/>
              <w:jc w:val="right"/>
              <w:rPr>
                <w:rFonts w:ascii="Arial" w:eastAsia="Times New Roman" w:hAnsi="Arial" w:cs="Arial"/>
                <w:sz w:val="18"/>
                <w:szCs w:val="18"/>
              </w:rPr>
            </w:pPr>
          </w:p>
        </w:tc>
        <w:tc>
          <w:tcPr>
            <w:tcW w:w="11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B76402" w14:textId="77777777" w:rsidR="009E2AB6" w:rsidRPr="009E2AB6" w:rsidRDefault="009E2AB6" w:rsidP="009E2AB6">
            <w:pPr>
              <w:spacing w:line="276" w:lineRule="auto"/>
              <w:jc w:val="right"/>
              <w:rPr>
                <w:rFonts w:ascii="Arial" w:eastAsia="Times New Roman" w:hAnsi="Arial" w:cs="Arial"/>
                <w:sz w:val="18"/>
                <w:szCs w:val="18"/>
              </w:rPr>
            </w:pPr>
          </w:p>
        </w:tc>
        <w:tc>
          <w:tcPr>
            <w:tcW w:w="11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849133" w14:textId="77777777" w:rsidR="009E2AB6" w:rsidRPr="009E2AB6" w:rsidRDefault="009E2AB6" w:rsidP="009E2AB6">
            <w:pPr>
              <w:spacing w:line="276" w:lineRule="auto"/>
              <w:jc w:val="right"/>
              <w:rPr>
                <w:rFonts w:ascii="Arial" w:eastAsia="Times New Roman" w:hAnsi="Arial" w:cs="Arial"/>
                <w:sz w:val="18"/>
                <w:szCs w:val="18"/>
              </w:rPr>
            </w:pPr>
            <w:r w:rsidRPr="009E2AB6">
              <w:rPr>
                <w:rFonts w:ascii="Arial" w:eastAsia="Times New Roman" w:hAnsi="Arial" w:cs="Arial"/>
                <w:sz w:val="18"/>
                <w:szCs w:val="18"/>
              </w:rPr>
              <w:t>2.818.288,68</w:t>
            </w:r>
          </w:p>
        </w:tc>
        <w:tc>
          <w:tcPr>
            <w:tcW w:w="11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C2F75D" w14:textId="77777777" w:rsidR="009E2AB6" w:rsidRPr="009E2AB6" w:rsidRDefault="009E2AB6" w:rsidP="009E2AB6">
            <w:pPr>
              <w:spacing w:line="276" w:lineRule="auto"/>
              <w:jc w:val="right"/>
              <w:rPr>
                <w:rFonts w:ascii="Arial" w:eastAsia="Times New Roman" w:hAnsi="Arial" w:cs="Arial"/>
                <w:sz w:val="18"/>
                <w:szCs w:val="18"/>
              </w:rPr>
            </w:pPr>
          </w:p>
        </w:tc>
      </w:tr>
      <w:tr w:rsidR="009E2AB6" w:rsidRPr="009E2AB6" w14:paraId="48D5F57C" w14:textId="77777777" w:rsidTr="009E2AB6">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EEEEEE"/>
          </w:tcPr>
          <w:p w14:paraId="3854EF8F" w14:textId="77777777" w:rsidR="009E2AB6" w:rsidRPr="009E2AB6" w:rsidRDefault="009E2AB6" w:rsidP="009E2AB6">
            <w:pPr>
              <w:spacing w:line="276" w:lineRule="auto"/>
              <w:jc w:val="both"/>
              <w:rPr>
                <w:rFonts w:ascii="Arial" w:eastAsia="Times New Roman" w:hAnsi="Arial" w:cs="Arial"/>
                <w:sz w:val="18"/>
                <w:szCs w:val="18"/>
              </w:rPr>
            </w:pPr>
            <w:r w:rsidRPr="009E2AB6">
              <w:rPr>
                <w:rFonts w:ascii="Arial" w:eastAsia="Times New Roman" w:hAnsi="Arial" w:cs="Arial"/>
                <w:sz w:val="18"/>
                <w:szCs w:val="18"/>
              </w:rPr>
              <w:t xml:space="preserve">      (+) De Presupuesto de ingresos. Cerrados          </w:t>
            </w:r>
          </w:p>
        </w:tc>
        <w:tc>
          <w:tcPr>
            <w:tcW w:w="1139"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2D7717B8" w14:textId="77777777" w:rsidR="009E2AB6" w:rsidRPr="009E2AB6" w:rsidRDefault="009E2AB6" w:rsidP="009E2AB6">
            <w:pPr>
              <w:spacing w:line="276" w:lineRule="auto"/>
              <w:jc w:val="right"/>
              <w:rPr>
                <w:rFonts w:ascii="Arial" w:eastAsia="Times New Roman" w:hAnsi="Arial" w:cs="Arial"/>
                <w:sz w:val="18"/>
                <w:szCs w:val="18"/>
              </w:rPr>
            </w:pPr>
          </w:p>
        </w:tc>
        <w:tc>
          <w:tcPr>
            <w:tcW w:w="1161"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4CD5AE5B" w14:textId="77777777" w:rsidR="009E2AB6" w:rsidRPr="009E2AB6" w:rsidRDefault="009E2AB6" w:rsidP="009E2AB6">
            <w:pPr>
              <w:spacing w:line="276" w:lineRule="auto"/>
              <w:jc w:val="right"/>
              <w:rPr>
                <w:rFonts w:ascii="Arial" w:eastAsia="Times New Roman" w:hAnsi="Arial" w:cs="Arial"/>
                <w:sz w:val="18"/>
                <w:szCs w:val="18"/>
              </w:rPr>
            </w:pPr>
          </w:p>
        </w:tc>
        <w:tc>
          <w:tcPr>
            <w:tcW w:w="1186"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3C8EC1F5" w14:textId="77777777" w:rsidR="009E2AB6" w:rsidRPr="009E2AB6" w:rsidRDefault="009E2AB6" w:rsidP="009E2AB6">
            <w:pPr>
              <w:spacing w:line="276" w:lineRule="auto"/>
              <w:jc w:val="right"/>
              <w:rPr>
                <w:rFonts w:ascii="Arial" w:eastAsia="Times New Roman" w:hAnsi="Arial" w:cs="Arial"/>
                <w:sz w:val="18"/>
                <w:szCs w:val="18"/>
              </w:rPr>
            </w:pPr>
            <w:r w:rsidRPr="009E2AB6">
              <w:rPr>
                <w:rFonts w:ascii="Arial" w:eastAsia="Times New Roman" w:hAnsi="Arial" w:cs="Arial"/>
                <w:sz w:val="18"/>
                <w:szCs w:val="18"/>
              </w:rPr>
              <w:t>0,00</w:t>
            </w:r>
          </w:p>
        </w:tc>
        <w:tc>
          <w:tcPr>
            <w:tcW w:w="1190"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4BB3B93B" w14:textId="77777777" w:rsidR="009E2AB6" w:rsidRPr="009E2AB6" w:rsidRDefault="009E2AB6" w:rsidP="009E2AB6">
            <w:pPr>
              <w:spacing w:line="276" w:lineRule="auto"/>
              <w:jc w:val="right"/>
              <w:rPr>
                <w:rFonts w:ascii="Arial" w:eastAsia="Times New Roman" w:hAnsi="Arial" w:cs="Arial"/>
                <w:sz w:val="18"/>
                <w:szCs w:val="18"/>
              </w:rPr>
            </w:pPr>
          </w:p>
        </w:tc>
      </w:tr>
      <w:tr w:rsidR="009E2AB6" w:rsidRPr="009E2AB6" w14:paraId="17A1C470" w14:textId="77777777" w:rsidTr="009E2AB6">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FFFFFF"/>
          </w:tcPr>
          <w:p w14:paraId="533762D9" w14:textId="77777777" w:rsidR="009E2AB6" w:rsidRPr="009E2AB6" w:rsidRDefault="009E2AB6" w:rsidP="009E2AB6">
            <w:pPr>
              <w:spacing w:line="276" w:lineRule="auto"/>
              <w:jc w:val="both"/>
              <w:rPr>
                <w:rFonts w:ascii="Arial" w:eastAsia="Times New Roman" w:hAnsi="Arial" w:cs="Arial"/>
                <w:sz w:val="18"/>
                <w:szCs w:val="18"/>
              </w:rPr>
            </w:pPr>
            <w:r w:rsidRPr="009E2AB6">
              <w:rPr>
                <w:rFonts w:ascii="Arial" w:eastAsia="Times New Roman" w:hAnsi="Arial" w:cs="Arial"/>
                <w:sz w:val="18"/>
                <w:szCs w:val="18"/>
              </w:rPr>
              <w:t xml:space="preserve">      (+) De Operaciones no presupuestarias               </w:t>
            </w:r>
          </w:p>
        </w:tc>
        <w:tc>
          <w:tcPr>
            <w:tcW w:w="11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D7FFA5" w14:textId="77777777" w:rsidR="009E2AB6" w:rsidRPr="009E2AB6" w:rsidRDefault="009E2AB6" w:rsidP="009E2AB6">
            <w:pPr>
              <w:spacing w:line="276" w:lineRule="auto"/>
              <w:jc w:val="right"/>
              <w:rPr>
                <w:rFonts w:ascii="Arial" w:eastAsia="Times New Roman" w:hAnsi="Arial" w:cs="Arial"/>
                <w:sz w:val="18"/>
                <w:szCs w:val="18"/>
              </w:rPr>
            </w:pPr>
          </w:p>
        </w:tc>
        <w:tc>
          <w:tcPr>
            <w:tcW w:w="11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770422" w14:textId="77777777" w:rsidR="009E2AB6" w:rsidRPr="009E2AB6" w:rsidRDefault="009E2AB6" w:rsidP="009E2AB6">
            <w:pPr>
              <w:spacing w:line="276" w:lineRule="auto"/>
              <w:jc w:val="right"/>
              <w:rPr>
                <w:rFonts w:ascii="Arial" w:eastAsia="Times New Roman" w:hAnsi="Arial" w:cs="Arial"/>
                <w:sz w:val="18"/>
                <w:szCs w:val="18"/>
              </w:rPr>
            </w:pPr>
          </w:p>
        </w:tc>
        <w:tc>
          <w:tcPr>
            <w:tcW w:w="11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E63FC0" w14:textId="77777777" w:rsidR="009E2AB6" w:rsidRPr="009E2AB6" w:rsidRDefault="009E2AB6" w:rsidP="009E2AB6">
            <w:pPr>
              <w:spacing w:line="276" w:lineRule="auto"/>
              <w:jc w:val="right"/>
              <w:rPr>
                <w:rFonts w:ascii="Arial" w:eastAsia="Times New Roman" w:hAnsi="Arial" w:cs="Arial"/>
                <w:sz w:val="18"/>
                <w:szCs w:val="18"/>
              </w:rPr>
            </w:pPr>
            <w:r w:rsidRPr="009E2AB6">
              <w:rPr>
                <w:rFonts w:ascii="Arial" w:eastAsia="Times New Roman" w:hAnsi="Arial" w:cs="Arial"/>
                <w:sz w:val="18"/>
                <w:szCs w:val="18"/>
              </w:rPr>
              <w:t>0,00</w:t>
            </w:r>
          </w:p>
        </w:tc>
        <w:tc>
          <w:tcPr>
            <w:tcW w:w="11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2899D2" w14:textId="77777777" w:rsidR="009E2AB6" w:rsidRPr="009E2AB6" w:rsidRDefault="009E2AB6" w:rsidP="009E2AB6">
            <w:pPr>
              <w:spacing w:line="276" w:lineRule="auto"/>
              <w:jc w:val="right"/>
              <w:rPr>
                <w:rFonts w:ascii="Arial" w:eastAsia="Times New Roman" w:hAnsi="Arial" w:cs="Arial"/>
                <w:sz w:val="18"/>
                <w:szCs w:val="18"/>
              </w:rPr>
            </w:pPr>
          </w:p>
        </w:tc>
      </w:tr>
      <w:tr w:rsidR="009E2AB6" w:rsidRPr="009E2AB6" w14:paraId="4C0AE2F4" w14:textId="77777777" w:rsidTr="009E2AB6">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DDDDDD"/>
          </w:tcPr>
          <w:p w14:paraId="33F9CA8A" w14:textId="77777777" w:rsidR="009E2AB6" w:rsidRPr="009E2AB6" w:rsidRDefault="009E2AB6" w:rsidP="009E2AB6">
            <w:pPr>
              <w:spacing w:line="276" w:lineRule="auto"/>
              <w:jc w:val="both"/>
              <w:rPr>
                <w:rFonts w:ascii="Arial" w:eastAsia="Times New Roman" w:hAnsi="Arial" w:cs="Arial"/>
                <w:b/>
                <w:bCs/>
                <w:sz w:val="18"/>
                <w:szCs w:val="18"/>
              </w:rPr>
            </w:pPr>
            <w:r w:rsidRPr="009E2AB6">
              <w:rPr>
                <w:rFonts w:ascii="Arial" w:eastAsia="Times New Roman" w:hAnsi="Arial" w:cs="Arial"/>
                <w:b/>
                <w:bCs/>
                <w:sz w:val="18"/>
                <w:szCs w:val="18"/>
              </w:rPr>
              <w:t xml:space="preserve">3.- (-) OBLIGACIONES PENDIENTES DE PAGO                                 </w:t>
            </w:r>
          </w:p>
        </w:tc>
        <w:tc>
          <w:tcPr>
            <w:tcW w:w="1139"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10DBDF69" w14:textId="77777777" w:rsidR="009E2AB6" w:rsidRPr="009E2AB6" w:rsidRDefault="009E2AB6" w:rsidP="009E2AB6">
            <w:pPr>
              <w:spacing w:line="276" w:lineRule="auto"/>
              <w:jc w:val="right"/>
              <w:rPr>
                <w:rFonts w:ascii="Arial" w:eastAsia="Times New Roman" w:hAnsi="Arial" w:cs="Arial"/>
                <w:sz w:val="18"/>
                <w:szCs w:val="18"/>
              </w:rPr>
            </w:pPr>
          </w:p>
        </w:tc>
        <w:tc>
          <w:tcPr>
            <w:tcW w:w="1161"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5E16795D" w14:textId="77777777" w:rsidR="009E2AB6" w:rsidRPr="009E2AB6" w:rsidRDefault="009E2AB6" w:rsidP="009E2AB6">
            <w:pPr>
              <w:spacing w:line="276" w:lineRule="auto"/>
              <w:jc w:val="center"/>
              <w:rPr>
                <w:rFonts w:ascii="Arial" w:eastAsia="Times New Roman" w:hAnsi="Arial" w:cs="Arial"/>
                <w:b/>
                <w:bCs/>
                <w:sz w:val="18"/>
                <w:szCs w:val="18"/>
              </w:rPr>
            </w:pPr>
            <w:r w:rsidRPr="009E2AB6">
              <w:rPr>
                <w:rFonts w:ascii="Arial" w:eastAsia="Times New Roman" w:hAnsi="Arial" w:cs="Arial"/>
                <w:b/>
                <w:bCs/>
                <w:sz w:val="18"/>
                <w:szCs w:val="18"/>
              </w:rPr>
              <w:t>214.694,06</w:t>
            </w:r>
          </w:p>
        </w:tc>
        <w:tc>
          <w:tcPr>
            <w:tcW w:w="1186"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1F3AC3CC" w14:textId="77777777" w:rsidR="009E2AB6" w:rsidRPr="009E2AB6" w:rsidRDefault="009E2AB6" w:rsidP="009E2AB6">
            <w:pPr>
              <w:spacing w:line="276" w:lineRule="auto"/>
              <w:jc w:val="right"/>
              <w:rPr>
                <w:rFonts w:ascii="Arial" w:eastAsia="Times New Roman" w:hAnsi="Arial" w:cs="Arial"/>
                <w:sz w:val="18"/>
                <w:szCs w:val="18"/>
              </w:rPr>
            </w:pPr>
          </w:p>
        </w:tc>
        <w:tc>
          <w:tcPr>
            <w:tcW w:w="1190"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2C7628E0" w14:textId="77777777" w:rsidR="009E2AB6" w:rsidRPr="009E2AB6" w:rsidRDefault="009E2AB6" w:rsidP="009E2AB6">
            <w:pPr>
              <w:spacing w:line="276" w:lineRule="auto"/>
              <w:jc w:val="right"/>
              <w:rPr>
                <w:rFonts w:ascii="Arial" w:eastAsia="Times New Roman" w:hAnsi="Arial" w:cs="Arial"/>
                <w:sz w:val="18"/>
                <w:szCs w:val="18"/>
              </w:rPr>
            </w:pPr>
            <w:bookmarkStart w:id="571" w:name="_Hlk65501111"/>
            <w:r w:rsidRPr="009E2AB6">
              <w:rPr>
                <w:rFonts w:ascii="Arial" w:eastAsia="Times New Roman" w:hAnsi="Arial" w:cs="Arial"/>
                <w:b/>
                <w:bCs/>
                <w:sz w:val="18"/>
                <w:szCs w:val="18"/>
              </w:rPr>
              <w:t>267.465,00</w:t>
            </w:r>
            <w:bookmarkEnd w:id="571"/>
          </w:p>
        </w:tc>
      </w:tr>
      <w:tr w:rsidR="009E2AB6" w:rsidRPr="009E2AB6" w14:paraId="597D9719" w14:textId="77777777" w:rsidTr="009E2AB6">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FFFFFF"/>
          </w:tcPr>
          <w:p w14:paraId="58B192B7" w14:textId="77777777" w:rsidR="009E2AB6" w:rsidRPr="009E2AB6" w:rsidRDefault="009E2AB6" w:rsidP="009E2AB6">
            <w:pPr>
              <w:spacing w:line="276" w:lineRule="auto"/>
              <w:jc w:val="both"/>
              <w:rPr>
                <w:rFonts w:ascii="Arial" w:eastAsia="Times New Roman" w:hAnsi="Arial" w:cs="Arial"/>
                <w:sz w:val="18"/>
                <w:szCs w:val="18"/>
              </w:rPr>
            </w:pPr>
            <w:r w:rsidRPr="009E2AB6">
              <w:rPr>
                <w:rFonts w:ascii="Arial" w:eastAsia="Times New Roman" w:hAnsi="Arial" w:cs="Arial"/>
                <w:sz w:val="18"/>
                <w:szCs w:val="18"/>
              </w:rPr>
              <w:t xml:space="preserve">      De Presupuestos de gastos. Corrientes             </w:t>
            </w:r>
          </w:p>
        </w:tc>
        <w:tc>
          <w:tcPr>
            <w:tcW w:w="11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565BC9" w14:textId="77777777" w:rsidR="009E2AB6" w:rsidRPr="009E2AB6" w:rsidRDefault="009E2AB6" w:rsidP="009E2AB6">
            <w:pPr>
              <w:spacing w:line="276" w:lineRule="auto"/>
              <w:jc w:val="right"/>
              <w:rPr>
                <w:rFonts w:ascii="Arial" w:eastAsia="Times New Roman" w:hAnsi="Arial" w:cs="Arial"/>
                <w:sz w:val="18"/>
                <w:szCs w:val="18"/>
              </w:rPr>
            </w:pPr>
            <w:r w:rsidRPr="009E2AB6">
              <w:rPr>
                <w:rFonts w:ascii="Arial" w:eastAsia="Times New Roman" w:hAnsi="Arial" w:cs="Arial"/>
                <w:sz w:val="18"/>
                <w:szCs w:val="18"/>
              </w:rPr>
              <w:t>17.539,53</w:t>
            </w:r>
          </w:p>
        </w:tc>
        <w:tc>
          <w:tcPr>
            <w:tcW w:w="11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0BF7AD" w14:textId="77777777" w:rsidR="009E2AB6" w:rsidRPr="009E2AB6" w:rsidRDefault="009E2AB6" w:rsidP="009E2AB6">
            <w:pPr>
              <w:spacing w:line="276" w:lineRule="auto"/>
              <w:jc w:val="right"/>
              <w:rPr>
                <w:rFonts w:ascii="Arial" w:eastAsia="Times New Roman" w:hAnsi="Arial" w:cs="Arial"/>
                <w:sz w:val="18"/>
                <w:szCs w:val="18"/>
              </w:rPr>
            </w:pPr>
          </w:p>
        </w:tc>
        <w:tc>
          <w:tcPr>
            <w:tcW w:w="11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297088" w14:textId="77777777" w:rsidR="009E2AB6" w:rsidRPr="009E2AB6" w:rsidRDefault="009E2AB6" w:rsidP="009E2AB6">
            <w:pPr>
              <w:spacing w:line="276" w:lineRule="auto"/>
              <w:jc w:val="right"/>
              <w:rPr>
                <w:rFonts w:ascii="Arial" w:eastAsia="Times New Roman" w:hAnsi="Arial" w:cs="Arial"/>
                <w:sz w:val="18"/>
                <w:szCs w:val="18"/>
              </w:rPr>
            </w:pPr>
            <w:r w:rsidRPr="009E2AB6">
              <w:rPr>
                <w:rFonts w:ascii="Arial" w:eastAsia="Times New Roman" w:hAnsi="Arial" w:cs="Arial"/>
                <w:sz w:val="18"/>
                <w:szCs w:val="18"/>
              </w:rPr>
              <w:t>59.319,35</w:t>
            </w:r>
          </w:p>
        </w:tc>
        <w:tc>
          <w:tcPr>
            <w:tcW w:w="11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CECC3A" w14:textId="77777777" w:rsidR="009E2AB6" w:rsidRPr="009E2AB6" w:rsidRDefault="009E2AB6" w:rsidP="009E2AB6">
            <w:pPr>
              <w:spacing w:line="276" w:lineRule="auto"/>
              <w:jc w:val="right"/>
              <w:rPr>
                <w:rFonts w:ascii="Arial" w:eastAsia="Times New Roman" w:hAnsi="Arial" w:cs="Arial"/>
                <w:sz w:val="18"/>
                <w:szCs w:val="18"/>
              </w:rPr>
            </w:pPr>
          </w:p>
        </w:tc>
      </w:tr>
      <w:tr w:rsidR="009E2AB6" w:rsidRPr="009E2AB6" w14:paraId="71A8447B" w14:textId="77777777" w:rsidTr="009E2AB6">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EEEEEE"/>
          </w:tcPr>
          <w:p w14:paraId="421A859B" w14:textId="77777777" w:rsidR="009E2AB6" w:rsidRPr="009E2AB6" w:rsidRDefault="009E2AB6" w:rsidP="009E2AB6">
            <w:pPr>
              <w:spacing w:line="276" w:lineRule="auto"/>
              <w:jc w:val="both"/>
              <w:rPr>
                <w:rFonts w:ascii="Arial" w:eastAsia="Times New Roman" w:hAnsi="Arial" w:cs="Arial"/>
                <w:sz w:val="18"/>
                <w:szCs w:val="18"/>
              </w:rPr>
            </w:pPr>
            <w:r w:rsidRPr="009E2AB6">
              <w:rPr>
                <w:rFonts w:ascii="Arial" w:eastAsia="Times New Roman" w:hAnsi="Arial" w:cs="Arial"/>
                <w:sz w:val="18"/>
                <w:szCs w:val="18"/>
              </w:rPr>
              <w:t xml:space="preserve">      De Presupuestos de gastos. Cerrados                      </w:t>
            </w:r>
          </w:p>
        </w:tc>
        <w:tc>
          <w:tcPr>
            <w:tcW w:w="1139"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0E8457E3" w14:textId="77777777" w:rsidR="009E2AB6" w:rsidRPr="009E2AB6" w:rsidRDefault="009E2AB6" w:rsidP="009E2AB6">
            <w:pPr>
              <w:spacing w:line="276" w:lineRule="auto"/>
              <w:jc w:val="right"/>
              <w:rPr>
                <w:rFonts w:ascii="Arial" w:eastAsia="Times New Roman" w:hAnsi="Arial" w:cs="Arial"/>
                <w:sz w:val="18"/>
                <w:szCs w:val="18"/>
              </w:rPr>
            </w:pPr>
          </w:p>
        </w:tc>
        <w:tc>
          <w:tcPr>
            <w:tcW w:w="1161"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062C6B5F" w14:textId="77777777" w:rsidR="009E2AB6" w:rsidRPr="009E2AB6" w:rsidRDefault="009E2AB6" w:rsidP="009E2AB6">
            <w:pPr>
              <w:spacing w:line="276" w:lineRule="auto"/>
              <w:jc w:val="right"/>
              <w:rPr>
                <w:rFonts w:ascii="Arial" w:eastAsia="Times New Roman" w:hAnsi="Arial" w:cs="Arial"/>
                <w:sz w:val="18"/>
                <w:szCs w:val="18"/>
              </w:rPr>
            </w:pPr>
          </w:p>
        </w:tc>
        <w:tc>
          <w:tcPr>
            <w:tcW w:w="1186"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711FCF0F" w14:textId="77777777" w:rsidR="009E2AB6" w:rsidRPr="009E2AB6" w:rsidRDefault="009E2AB6" w:rsidP="009E2AB6">
            <w:pPr>
              <w:spacing w:line="276" w:lineRule="auto"/>
              <w:jc w:val="right"/>
              <w:rPr>
                <w:rFonts w:ascii="Arial" w:eastAsia="Times New Roman" w:hAnsi="Arial" w:cs="Arial"/>
                <w:sz w:val="18"/>
                <w:szCs w:val="18"/>
              </w:rPr>
            </w:pPr>
          </w:p>
        </w:tc>
        <w:tc>
          <w:tcPr>
            <w:tcW w:w="1190"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6C577173" w14:textId="77777777" w:rsidR="009E2AB6" w:rsidRPr="009E2AB6" w:rsidRDefault="009E2AB6" w:rsidP="009E2AB6">
            <w:pPr>
              <w:spacing w:line="276" w:lineRule="auto"/>
              <w:jc w:val="right"/>
              <w:rPr>
                <w:rFonts w:ascii="Arial" w:eastAsia="Times New Roman" w:hAnsi="Arial" w:cs="Arial"/>
                <w:sz w:val="18"/>
                <w:szCs w:val="18"/>
              </w:rPr>
            </w:pPr>
          </w:p>
        </w:tc>
      </w:tr>
      <w:tr w:rsidR="009E2AB6" w:rsidRPr="009E2AB6" w14:paraId="651F29C3" w14:textId="77777777" w:rsidTr="009E2AB6">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FFFFFF"/>
          </w:tcPr>
          <w:p w14:paraId="5F581EB0" w14:textId="77777777" w:rsidR="009E2AB6" w:rsidRPr="009E2AB6" w:rsidRDefault="009E2AB6" w:rsidP="009E2AB6">
            <w:pPr>
              <w:spacing w:line="276" w:lineRule="auto"/>
              <w:jc w:val="both"/>
              <w:rPr>
                <w:rFonts w:ascii="Arial" w:eastAsia="Times New Roman" w:hAnsi="Arial" w:cs="Arial"/>
                <w:sz w:val="18"/>
                <w:szCs w:val="18"/>
              </w:rPr>
            </w:pPr>
            <w:r w:rsidRPr="009E2AB6">
              <w:rPr>
                <w:rFonts w:ascii="Arial" w:eastAsia="Times New Roman" w:hAnsi="Arial" w:cs="Arial"/>
                <w:sz w:val="18"/>
                <w:szCs w:val="18"/>
              </w:rPr>
              <w:t xml:space="preserve">      De Operaciones no presupuestarias                </w:t>
            </w:r>
          </w:p>
        </w:tc>
        <w:tc>
          <w:tcPr>
            <w:tcW w:w="11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9E3774" w14:textId="77777777" w:rsidR="009E2AB6" w:rsidRPr="009E2AB6" w:rsidRDefault="009E2AB6" w:rsidP="009E2AB6">
            <w:pPr>
              <w:spacing w:line="276" w:lineRule="auto"/>
              <w:jc w:val="right"/>
              <w:rPr>
                <w:rFonts w:ascii="Arial" w:eastAsia="Times New Roman" w:hAnsi="Arial" w:cs="Arial"/>
                <w:sz w:val="18"/>
                <w:szCs w:val="18"/>
              </w:rPr>
            </w:pPr>
            <w:r w:rsidRPr="009E2AB6">
              <w:rPr>
                <w:rFonts w:ascii="Arial" w:eastAsia="Calibri" w:hAnsi="Arial" w:cs="Arial"/>
                <w:sz w:val="18"/>
                <w:szCs w:val="18"/>
              </w:rPr>
              <w:t>197.154,53</w:t>
            </w:r>
          </w:p>
        </w:tc>
        <w:tc>
          <w:tcPr>
            <w:tcW w:w="11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C23E1A" w14:textId="77777777" w:rsidR="009E2AB6" w:rsidRPr="009E2AB6" w:rsidRDefault="009E2AB6" w:rsidP="009E2AB6">
            <w:pPr>
              <w:spacing w:line="276" w:lineRule="auto"/>
              <w:jc w:val="right"/>
              <w:rPr>
                <w:rFonts w:ascii="Arial" w:eastAsia="Times New Roman" w:hAnsi="Arial" w:cs="Arial"/>
                <w:sz w:val="18"/>
                <w:szCs w:val="18"/>
              </w:rPr>
            </w:pPr>
          </w:p>
        </w:tc>
        <w:tc>
          <w:tcPr>
            <w:tcW w:w="11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D52092" w14:textId="77777777" w:rsidR="009E2AB6" w:rsidRPr="009E2AB6" w:rsidRDefault="009E2AB6" w:rsidP="009E2AB6">
            <w:pPr>
              <w:spacing w:line="276" w:lineRule="auto"/>
              <w:jc w:val="right"/>
              <w:rPr>
                <w:rFonts w:ascii="Arial" w:eastAsia="Times New Roman" w:hAnsi="Arial" w:cs="Arial"/>
                <w:sz w:val="18"/>
                <w:szCs w:val="18"/>
              </w:rPr>
            </w:pPr>
            <w:bookmarkStart w:id="572" w:name="_Hlk65501173"/>
            <w:r w:rsidRPr="009E2AB6">
              <w:rPr>
                <w:rFonts w:ascii="Arial" w:eastAsia="Times New Roman" w:hAnsi="Arial" w:cs="Arial"/>
                <w:sz w:val="18"/>
                <w:szCs w:val="18"/>
              </w:rPr>
              <w:t>208.145,65</w:t>
            </w:r>
            <w:bookmarkEnd w:id="572"/>
          </w:p>
        </w:tc>
        <w:tc>
          <w:tcPr>
            <w:tcW w:w="11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4F5290" w14:textId="77777777" w:rsidR="009E2AB6" w:rsidRPr="009E2AB6" w:rsidRDefault="009E2AB6" w:rsidP="009E2AB6">
            <w:pPr>
              <w:spacing w:line="276" w:lineRule="auto"/>
              <w:jc w:val="right"/>
              <w:rPr>
                <w:rFonts w:ascii="Arial" w:eastAsia="Times New Roman" w:hAnsi="Arial" w:cs="Arial"/>
                <w:sz w:val="18"/>
                <w:szCs w:val="18"/>
              </w:rPr>
            </w:pPr>
          </w:p>
        </w:tc>
      </w:tr>
      <w:tr w:rsidR="009E2AB6" w:rsidRPr="009E2AB6" w14:paraId="5D7E669A" w14:textId="77777777" w:rsidTr="009E2AB6">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DDDDDD"/>
          </w:tcPr>
          <w:p w14:paraId="77921AAB" w14:textId="77777777" w:rsidR="009E2AB6" w:rsidRPr="009E2AB6" w:rsidRDefault="009E2AB6" w:rsidP="009E2AB6">
            <w:pPr>
              <w:spacing w:line="276" w:lineRule="auto"/>
              <w:jc w:val="both"/>
              <w:rPr>
                <w:rFonts w:ascii="Arial" w:eastAsia="Times New Roman" w:hAnsi="Arial" w:cs="Arial"/>
                <w:sz w:val="18"/>
                <w:szCs w:val="18"/>
              </w:rPr>
            </w:pPr>
            <w:r w:rsidRPr="009E2AB6">
              <w:rPr>
                <w:rFonts w:ascii="Arial" w:eastAsia="Times New Roman" w:hAnsi="Arial" w:cs="Arial"/>
                <w:b/>
                <w:bCs/>
                <w:sz w:val="18"/>
                <w:szCs w:val="18"/>
              </w:rPr>
              <w:t xml:space="preserve">4.- PARTIDAS PENDIENTES DE APLICACIÓN </w:t>
            </w:r>
            <w:r w:rsidRPr="009E2AB6">
              <w:rPr>
                <w:rFonts w:ascii="Arial" w:eastAsia="Times New Roman" w:hAnsi="Arial" w:cs="Arial"/>
                <w:sz w:val="18"/>
                <w:szCs w:val="18"/>
              </w:rPr>
              <w:t xml:space="preserve">                                </w:t>
            </w:r>
          </w:p>
        </w:tc>
        <w:tc>
          <w:tcPr>
            <w:tcW w:w="1139"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3B16037D" w14:textId="77777777" w:rsidR="009E2AB6" w:rsidRPr="009E2AB6" w:rsidRDefault="009E2AB6" w:rsidP="009E2AB6">
            <w:pPr>
              <w:spacing w:line="276" w:lineRule="auto"/>
              <w:jc w:val="right"/>
              <w:rPr>
                <w:rFonts w:ascii="Arial" w:eastAsia="Times New Roman" w:hAnsi="Arial" w:cs="Arial"/>
                <w:sz w:val="18"/>
                <w:szCs w:val="18"/>
              </w:rPr>
            </w:pPr>
          </w:p>
        </w:tc>
        <w:tc>
          <w:tcPr>
            <w:tcW w:w="1161"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5690A581" w14:textId="77777777" w:rsidR="009E2AB6" w:rsidRPr="009E2AB6" w:rsidRDefault="009E2AB6" w:rsidP="009E2AB6">
            <w:pPr>
              <w:spacing w:line="276" w:lineRule="auto"/>
              <w:jc w:val="right"/>
              <w:rPr>
                <w:rFonts w:ascii="Arial" w:eastAsia="Times New Roman" w:hAnsi="Arial" w:cs="Arial"/>
                <w:b/>
                <w:bCs/>
                <w:sz w:val="18"/>
                <w:szCs w:val="18"/>
              </w:rPr>
            </w:pPr>
          </w:p>
        </w:tc>
        <w:tc>
          <w:tcPr>
            <w:tcW w:w="1186"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062A3091" w14:textId="77777777" w:rsidR="009E2AB6" w:rsidRPr="009E2AB6" w:rsidRDefault="009E2AB6" w:rsidP="009E2AB6">
            <w:pPr>
              <w:spacing w:line="276" w:lineRule="auto"/>
              <w:jc w:val="right"/>
              <w:rPr>
                <w:rFonts w:ascii="Arial" w:eastAsia="Times New Roman" w:hAnsi="Arial" w:cs="Arial"/>
                <w:sz w:val="18"/>
                <w:szCs w:val="18"/>
              </w:rPr>
            </w:pPr>
          </w:p>
        </w:tc>
        <w:tc>
          <w:tcPr>
            <w:tcW w:w="1190"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1B95D0F7" w14:textId="77777777" w:rsidR="009E2AB6" w:rsidRPr="009E2AB6" w:rsidRDefault="009E2AB6" w:rsidP="009E2AB6">
            <w:pPr>
              <w:spacing w:line="276" w:lineRule="auto"/>
              <w:jc w:val="right"/>
              <w:rPr>
                <w:rFonts w:ascii="Arial" w:eastAsia="Times New Roman" w:hAnsi="Arial" w:cs="Arial"/>
                <w:b/>
                <w:bCs/>
                <w:sz w:val="18"/>
                <w:szCs w:val="18"/>
              </w:rPr>
            </w:pPr>
            <w:r w:rsidRPr="009E2AB6">
              <w:rPr>
                <w:rFonts w:ascii="Arial" w:eastAsia="Times New Roman" w:hAnsi="Arial" w:cs="Arial"/>
                <w:b/>
                <w:bCs/>
                <w:sz w:val="18"/>
                <w:szCs w:val="18"/>
              </w:rPr>
              <w:t>0,00</w:t>
            </w:r>
          </w:p>
        </w:tc>
      </w:tr>
      <w:tr w:rsidR="009E2AB6" w:rsidRPr="009E2AB6" w14:paraId="14828D24" w14:textId="77777777" w:rsidTr="009E2AB6">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FFFFFF"/>
          </w:tcPr>
          <w:p w14:paraId="5532F7BD" w14:textId="77777777" w:rsidR="009E2AB6" w:rsidRPr="009E2AB6" w:rsidRDefault="009E2AB6" w:rsidP="009E2AB6">
            <w:pPr>
              <w:spacing w:line="276" w:lineRule="auto"/>
              <w:jc w:val="both"/>
              <w:rPr>
                <w:rFonts w:ascii="Arial" w:eastAsia="Times New Roman" w:hAnsi="Arial" w:cs="Arial"/>
                <w:sz w:val="18"/>
                <w:szCs w:val="18"/>
              </w:rPr>
            </w:pPr>
            <w:r w:rsidRPr="009E2AB6">
              <w:rPr>
                <w:rFonts w:ascii="Arial" w:eastAsia="Times New Roman" w:hAnsi="Arial" w:cs="Arial"/>
                <w:sz w:val="18"/>
                <w:szCs w:val="18"/>
              </w:rPr>
              <w:t xml:space="preserve">      (-) Cobros realizados pendientes de aplicación definitiva</w:t>
            </w:r>
          </w:p>
        </w:tc>
        <w:tc>
          <w:tcPr>
            <w:tcW w:w="11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56E6AD" w14:textId="77777777" w:rsidR="009E2AB6" w:rsidRPr="009E2AB6" w:rsidRDefault="009E2AB6" w:rsidP="009E2AB6">
            <w:pPr>
              <w:spacing w:line="276" w:lineRule="auto"/>
              <w:jc w:val="right"/>
              <w:rPr>
                <w:rFonts w:ascii="Arial" w:eastAsia="Times New Roman" w:hAnsi="Arial" w:cs="Arial"/>
                <w:sz w:val="18"/>
                <w:szCs w:val="18"/>
              </w:rPr>
            </w:pPr>
          </w:p>
        </w:tc>
        <w:tc>
          <w:tcPr>
            <w:tcW w:w="11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DC4C98" w14:textId="77777777" w:rsidR="009E2AB6" w:rsidRPr="009E2AB6" w:rsidRDefault="009E2AB6" w:rsidP="009E2AB6">
            <w:pPr>
              <w:spacing w:line="276" w:lineRule="auto"/>
              <w:jc w:val="right"/>
              <w:rPr>
                <w:rFonts w:ascii="Arial" w:eastAsia="Times New Roman" w:hAnsi="Arial" w:cs="Arial"/>
                <w:sz w:val="18"/>
                <w:szCs w:val="18"/>
              </w:rPr>
            </w:pPr>
          </w:p>
        </w:tc>
        <w:tc>
          <w:tcPr>
            <w:tcW w:w="11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734394" w14:textId="77777777" w:rsidR="009E2AB6" w:rsidRPr="009E2AB6" w:rsidRDefault="009E2AB6" w:rsidP="009E2AB6">
            <w:pPr>
              <w:spacing w:line="276" w:lineRule="auto"/>
              <w:jc w:val="right"/>
              <w:rPr>
                <w:rFonts w:ascii="Arial" w:eastAsia="Times New Roman" w:hAnsi="Arial" w:cs="Arial"/>
                <w:sz w:val="18"/>
                <w:szCs w:val="18"/>
              </w:rPr>
            </w:pPr>
            <w:r w:rsidRPr="009E2AB6">
              <w:rPr>
                <w:rFonts w:ascii="Arial" w:eastAsia="Times New Roman" w:hAnsi="Arial" w:cs="Arial"/>
                <w:sz w:val="18"/>
                <w:szCs w:val="18"/>
              </w:rPr>
              <w:t>0,00</w:t>
            </w:r>
          </w:p>
        </w:tc>
        <w:tc>
          <w:tcPr>
            <w:tcW w:w="11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F44EE0" w14:textId="77777777" w:rsidR="009E2AB6" w:rsidRPr="009E2AB6" w:rsidRDefault="009E2AB6" w:rsidP="009E2AB6">
            <w:pPr>
              <w:spacing w:line="276" w:lineRule="auto"/>
              <w:jc w:val="right"/>
              <w:rPr>
                <w:rFonts w:ascii="Arial" w:eastAsia="Times New Roman" w:hAnsi="Arial" w:cs="Arial"/>
                <w:sz w:val="18"/>
                <w:szCs w:val="18"/>
              </w:rPr>
            </w:pPr>
          </w:p>
        </w:tc>
      </w:tr>
      <w:tr w:rsidR="009E2AB6" w:rsidRPr="009E2AB6" w14:paraId="700081C0" w14:textId="77777777" w:rsidTr="009E2AB6">
        <w:trPr>
          <w:trHeight w:val="20"/>
          <w:jc w:val="center"/>
        </w:trPr>
        <w:tc>
          <w:tcPr>
            <w:tcW w:w="3827" w:type="dxa"/>
            <w:tcBorders>
              <w:top w:val="single" w:sz="4" w:space="0" w:color="000000"/>
              <w:left w:val="single" w:sz="4" w:space="0" w:color="000000"/>
              <w:bottom w:val="single" w:sz="4" w:space="0" w:color="000000"/>
              <w:right w:val="single" w:sz="4" w:space="0" w:color="000000"/>
            </w:tcBorders>
            <w:shd w:val="clear" w:color="auto" w:fill="EEEEEE"/>
          </w:tcPr>
          <w:p w14:paraId="6F6D6689" w14:textId="77777777" w:rsidR="009E2AB6" w:rsidRPr="009E2AB6" w:rsidRDefault="009E2AB6" w:rsidP="009E2AB6">
            <w:pPr>
              <w:spacing w:line="276" w:lineRule="auto"/>
              <w:jc w:val="both"/>
              <w:rPr>
                <w:rFonts w:ascii="Arial" w:eastAsia="Times New Roman" w:hAnsi="Arial" w:cs="Arial"/>
                <w:sz w:val="18"/>
                <w:szCs w:val="18"/>
              </w:rPr>
            </w:pPr>
            <w:r w:rsidRPr="009E2AB6">
              <w:rPr>
                <w:rFonts w:ascii="Arial" w:eastAsia="Times New Roman" w:hAnsi="Arial" w:cs="Arial"/>
                <w:sz w:val="18"/>
                <w:szCs w:val="18"/>
              </w:rPr>
              <w:t xml:space="preserve">      (+) Pagos realizados pendientes de aplicación definitiva</w:t>
            </w:r>
          </w:p>
        </w:tc>
        <w:tc>
          <w:tcPr>
            <w:tcW w:w="1139"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5303790C" w14:textId="77777777" w:rsidR="009E2AB6" w:rsidRPr="009E2AB6" w:rsidRDefault="009E2AB6" w:rsidP="009E2AB6">
            <w:pPr>
              <w:spacing w:line="276" w:lineRule="auto"/>
              <w:jc w:val="right"/>
              <w:rPr>
                <w:rFonts w:ascii="Arial" w:eastAsia="Times New Roman" w:hAnsi="Arial" w:cs="Arial"/>
                <w:sz w:val="18"/>
                <w:szCs w:val="18"/>
              </w:rPr>
            </w:pPr>
          </w:p>
        </w:tc>
        <w:tc>
          <w:tcPr>
            <w:tcW w:w="1161"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4747B520" w14:textId="77777777" w:rsidR="009E2AB6" w:rsidRPr="009E2AB6" w:rsidRDefault="009E2AB6" w:rsidP="009E2AB6">
            <w:pPr>
              <w:spacing w:line="276" w:lineRule="auto"/>
              <w:jc w:val="right"/>
              <w:rPr>
                <w:rFonts w:ascii="Arial" w:eastAsia="Times New Roman" w:hAnsi="Arial" w:cs="Arial"/>
                <w:sz w:val="18"/>
                <w:szCs w:val="18"/>
              </w:rPr>
            </w:pPr>
          </w:p>
        </w:tc>
        <w:tc>
          <w:tcPr>
            <w:tcW w:w="1186"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24FC5874" w14:textId="77777777" w:rsidR="009E2AB6" w:rsidRPr="009E2AB6" w:rsidRDefault="009E2AB6" w:rsidP="009E2AB6">
            <w:pPr>
              <w:spacing w:line="276" w:lineRule="auto"/>
              <w:jc w:val="right"/>
              <w:rPr>
                <w:rFonts w:ascii="Arial" w:eastAsia="Times New Roman" w:hAnsi="Arial" w:cs="Arial"/>
                <w:sz w:val="18"/>
                <w:szCs w:val="18"/>
              </w:rPr>
            </w:pPr>
          </w:p>
        </w:tc>
        <w:tc>
          <w:tcPr>
            <w:tcW w:w="1190" w:type="dxa"/>
            <w:tcBorders>
              <w:top w:val="single" w:sz="4" w:space="0" w:color="000000"/>
              <w:left w:val="single" w:sz="4" w:space="0" w:color="000000"/>
              <w:bottom w:val="single" w:sz="4" w:space="0" w:color="000000"/>
              <w:right w:val="single" w:sz="4" w:space="0" w:color="000000"/>
            </w:tcBorders>
            <w:shd w:val="clear" w:color="auto" w:fill="EEEEEE"/>
            <w:vAlign w:val="center"/>
          </w:tcPr>
          <w:p w14:paraId="7FDA2D15" w14:textId="77777777" w:rsidR="009E2AB6" w:rsidRPr="009E2AB6" w:rsidRDefault="009E2AB6" w:rsidP="009E2AB6">
            <w:pPr>
              <w:spacing w:line="276" w:lineRule="auto"/>
              <w:jc w:val="right"/>
              <w:rPr>
                <w:rFonts w:ascii="Arial" w:eastAsia="Times New Roman" w:hAnsi="Arial" w:cs="Arial"/>
                <w:sz w:val="18"/>
                <w:szCs w:val="18"/>
              </w:rPr>
            </w:pPr>
          </w:p>
        </w:tc>
      </w:tr>
      <w:tr w:rsidR="009E2AB6" w:rsidRPr="009E2AB6" w14:paraId="4CDDFC7D" w14:textId="77777777" w:rsidTr="009E2AB6">
        <w:trPr>
          <w:trHeight w:val="20"/>
          <w:jc w:val="center"/>
        </w:trPr>
        <w:tc>
          <w:tcPr>
            <w:tcW w:w="4966" w:type="dxa"/>
            <w:gridSpan w:val="2"/>
            <w:tcBorders>
              <w:top w:val="single" w:sz="4" w:space="0" w:color="000000"/>
              <w:left w:val="single" w:sz="4" w:space="0" w:color="000000"/>
              <w:bottom w:val="single" w:sz="4" w:space="0" w:color="000000"/>
              <w:right w:val="single" w:sz="4" w:space="0" w:color="000000"/>
            </w:tcBorders>
            <w:shd w:val="clear" w:color="auto" w:fill="FFFFFF"/>
          </w:tcPr>
          <w:p w14:paraId="5E7E9E28" w14:textId="77777777" w:rsidR="009E2AB6" w:rsidRPr="009E2AB6" w:rsidRDefault="009E2AB6" w:rsidP="009E2AB6">
            <w:pPr>
              <w:spacing w:line="276" w:lineRule="auto"/>
              <w:jc w:val="both"/>
              <w:rPr>
                <w:rFonts w:ascii="Arial" w:eastAsia="Times New Roman" w:hAnsi="Arial" w:cs="Arial"/>
                <w:b/>
                <w:bCs/>
                <w:sz w:val="18"/>
                <w:szCs w:val="18"/>
              </w:rPr>
            </w:pPr>
            <w:r w:rsidRPr="009E2AB6">
              <w:rPr>
                <w:rFonts w:ascii="Arial" w:eastAsia="Times New Roman" w:hAnsi="Arial" w:cs="Arial"/>
                <w:b/>
                <w:bCs/>
                <w:sz w:val="18"/>
                <w:szCs w:val="18"/>
              </w:rPr>
              <w:t>I. REMANENTE DE TESORERÍA TOTAL (1+2+3+4)</w:t>
            </w:r>
          </w:p>
        </w:tc>
        <w:tc>
          <w:tcPr>
            <w:tcW w:w="11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8644AA" w14:textId="77777777" w:rsidR="009E2AB6" w:rsidRPr="009E2AB6" w:rsidRDefault="009E2AB6" w:rsidP="009E2AB6">
            <w:pPr>
              <w:spacing w:line="276" w:lineRule="auto"/>
              <w:jc w:val="right"/>
              <w:rPr>
                <w:rFonts w:ascii="Arial" w:eastAsia="Times New Roman" w:hAnsi="Arial" w:cs="Arial"/>
                <w:b/>
                <w:bCs/>
                <w:sz w:val="18"/>
                <w:szCs w:val="18"/>
              </w:rPr>
            </w:pPr>
            <w:r w:rsidRPr="009E2AB6">
              <w:rPr>
                <w:rFonts w:ascii="Arial" w:eastAsia="Times New Roman" w:hAnsi="Arial" w:cs="Arial"/>
                <w:b/>
                <w:bCs/>
                <w:sz w:val="18"/>
                <w:szCs w:val="18"/>
              </w:rPr>
              <w:t>1.396.034,06</w:t>
            </w:r>
          </w:p>
        </w:tc>
        <w:tc>
          <w:tcPr>
            <w:tcW w:w="11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050952" w14:textId="77777777" w:rsidR="009E2AB6" w:rsidRPr="009E2AB6" w:rsidRDefault="009E2AB6" w:rsidP="009E2AB6">
            <w:pPr>
              <w:spacing w:line="276" w:lineRule="auto"/>
              <w:jc w:val="right"/>
              <w:rPr>
                <w:rFonts w:ascii="Arial" w:eastAsia="Times New Roman" w:hAnsi="Arial" w:cs="Arial"/>
                <w:b/>
                <w:bCs/>
                <w:sz w:val="18"/>
                <w:szCs w:val="18"/>
              </w:rPr>
            </w:pPr>
          </w:p>
        </w:tc>
        <w:tc>
          <w:tcPr>
            <w:tcW w:w="11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436747" w14:textId="77777777" w:rsidR="009E2AB6" w:rsidRPr="009E2AB6" w:rsidRDefault="009E2AB6" w:rsidP="009E2AB6">
            <w:pPr>
              <w:spacing w:line="276" w:lineRule="auto"/>
              <w:jc w:val="right"/>
              <w:rPr>
                <w:rFonts w:ascii="Arial" w:eastAsia="Times New Roman" w:hAnsi="Arial" w:cs="Arial"/>
                <w:b/>
                <w:bCs/>
                <w:sz w:val="18"/>
                <w:szCs w:val="18"/>
              </w:rPr>
            </w:pPr>
            <w:r w:rsidRPr="009E2AB6">
              <w:rPr>
                <w:rFonts w:ascii="Arial" w:eastAsia="Times New Roman" w:hAnsi="Arial" w:cs="Arial"/>
                <w:b/>
                <w:bCs/>
                <w:sz w:val="18"/>
                <w:szCs w:val="18"/>
              </w:rPr>
              <w:t>3.788.353,26</w:t>
            </w:r>
          </w:p>
        </w:tc>
      </w:tr>
      <w:tr w:rsidR="009E2AB6" w:rsidRPr="009E2AB6" w14:paraId="0C27611F" w14:textId="77777777" w:rsidTr="009E2AB6">
        <w:trPr>
          <w:trHeight w:val="20"/>
          <w:jc w:val="center"/>
        </w:trPr>
        <w:tc>
          <w:tcPr>
            <w:tcW w:w="4966" w:type="dxa"/>
            <w:gridSpan w:val="2"/>
            <w:tcBorders>
              <w:top w:val="single" w:sz="4" w:space="0" w:color="000000"/>
              <w:left w:val="single" w:sz="4" w:space="0" w:color="000000"/>
              <w:bottom w:val="single" w:sz="4" w:space="0" w:color="000000"/>
              <w:right w:val="single" w:sz="4" w:space="0" w:color="000000"/>
            </w:tcBorders>
            <w:shd w:val="clear" w:color="auto" w:fill="DDDDDD"/>
          </w:tcPr>
          <w:p w14:paraId="7B2C1E40" w14:textId="77777777" w:rsidR="009E2AB6" w:rsidRPr="009E2AB6" w:rsidRDefault="009E2AB6" w:rsidP="009E2AB6">
            <w:pPr>
              <w:spacing w:line="276" w:lineRule="auto"/>
              <w:jc w:val="both"/>
              <w:rPr>
                <w:rFonts w:ascii="Arial" w:eastAsia="Times New Roman" w:hAnsi="Arial" w:cs="Arial"/>
                <w:sz w:val="18"/>
                <w:szCs w:val="18"/>
              </w:rPr>
            </w:pPr>
            <w:r w:rsidRPr="009E2AB6">
              <w:rPr>
                <w:rFonts w:ascii="Arial" w:eastAsia="Times New Roman" w:hAnsi="Arial" w:cs="Arial"/>
                <w:b/>
                <w:bCs/>
                <w:sz w:val="18"/>
                <w:szCs w:val="18"/>
              </w:rPr>
              <w:t xml:space="preserve">II. SALDOS DE DUDOSO COBRO </w:t>
            </w:r>
            <w:r w:rsidRPr="009E2AB6">
              <w:rPr>
                <w:rFonts w:ascii="Arial" w:eastAsia="Times New Roman" w:hAnsi="Arial" w:cs="Arial"/>
                <w:sz w:val="18"/>
                <w:szCs w:val="18"/>
              </w:rPr>
              <w:t xml:space="preserve">                                                </w:t>
            </w:r>
          </w:p>
        </w:tc>
        <w:tc>
          <w:tcPr>
            <w:tcW w:w="1161"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66916B18" w14:textId="77777777" w:rsidR="009E2AB6" w:rsidRPr="009E2AB6" w:rsidRDefault="009E2AB6" w:rsidP="009E2AB6">
            <w:pPr>
              <w:spacing w:line="276" w:lineRule="auto"/>
              <w:jc w:val="right"/>
              <w:rPr>
                <w:rFonts w:ascii="Arial" w:eastAsia="Times New Roman" w:hAnsi="Arial" w:cs="Arial"/>
                <w:sz w:val="18"/>
                <w:szCs w:val="18"/>
              </w:rPr>
            </w:pPr>
          </w:p>
        </w:tc>
        <w:tc>
          <w:tcPr>
            <w:tcW w:w="1186"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73C65CA5" w14:textId="77777777" w:rsidR="009E2AB6" w:rsidRPr="009E2AB6" w:rsidRDefault="009E2AB6" w:rsidP="009E2AB6">
            <w:pPr>
              <w:spacing w:line="276" w:lineRule="auto"/>
              <w:jc w:val="right"/>
              <w:rPr>
                <w:rFonts w:ascii="Arial" w:eastAsia="Times New Roman" w:hAnsi="Arial" w:cs="Arial"/>
                <w:sz w:val="18"/>
                <w:szCs w:val="18"/>
              </w:rPr>
            </w:pPr>
          </w:p>
        </w:tc>
        <w:tc>
          <w:tcPr>
            <w:tcW w:w="1190"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1BDD197C" w14:textId="77777777" w:rsidR="009E2AB6" w:rsidRPr="009E2AB6" w:rsidRDefault="009E2AB6" w:rsidP="009E2AB6">
            <w:pPr>
              <w:spacing w:line="276" w:lineRule="auto"/>
              <w:jc w:val="right"/>
              <w:rPr>
                <w:rFonts w:ascii="Arial" w:eastAsia="Times New Roman" w:hAnsi="Arial" w:cs="Arial"/>
                <w:b/>
                <w:bCs/>
                <w:sz w:val="18"/>
                <w:szCs w:val="18"/>
              </w:rPr>
            </w:pPr>
          </w:p>
        </w:tc>
      </w:tr>
      <w:tr w:rsidR="009E2AB6" w:rsidRPr="009E2AB6" w14:paraId="30BC9493" w14:textId="77777777" w:rsidTr="009E2AB6">
        <w:trPr>
          <w:trHeight w:val="20"/>
          <w:jc w:val="center"/>
        </w:trPr>
        <w:tc>
          <w:tcPr>
            <w:tcW w:w="4966" w:type="dxa"/>
            <w:gridSpan w:val="2"/>
            <w:tcBorders>
              <w:top w:val="single" w:sz="4" w:space="0" w:color="000000"/>
              <w:left w:val="single" w:sz="4" w:space="0" w:color="000000"/>
              <w:bottom w:val="single" w:sz="4" w:space="0" w:color="000000"/>
              <w:right w:val="single" w:sz="4" w:space="0" w:color="000000"/>
            </w:tcBorders>
            <w:shd w:val="clear" w:color="auto" w:fill="FFFFFF"/>
          </w:tcPr>
          <w:p w14:paraId="5DC5A924" w14:textId="77777777" w:rsidR="009E2AB6" w:rsidRPr="009E2AB6" w:rsidRDefault="009E2AB6" w:rsidP="009E2AB6">
            <w:pPr>
              <w:spacing w:line="276" w:lineRule="auto"/>
              <w:jc w:val="both"/>
              <w:rPr>
                <w:rFonts w:ascii="Arial" w:eastAsia="Times New Roman" w:hAnsi="Arial" w:cs="Arial"/>
                <w:sz w:val="18"/>
                <w:szCs w:val="18"/>
              </w:rPr>
            </w:pPr>
            <w:r w:rsidRPr="009E2AB6">
              <w:rPr>
                <w:rFonts w:ascii="Arial" w:eastAsia="Times New Roman" w:hAnsi="Arial" w:cs="Arial"/>
                <w:b/>
                <w:bCs/>
                <w:sz w:val="18"/>
                <w:szCs w:val="18"/>
              </w:rPr>
              <w:t xml:space="preserve">III. EXCESO DE FINANCIACIÓN AFECTADA  </w:t>
            </w:r>
            <w:r w:rsidRPr="009E2AB6">
              <w:rPr>
                <w:rFonts w:ascii="Arial" w:eastAsia="Times New Roman" w:hAnsi="Arial" w:cs="Arial"/>
                <w:sz w:val="18"/>
                <w:szCs w:val="18"/>
              </w:rPr>
              <w:t xml:space="preserve">                             </w:t>
            </w:r>
          </w:p>
        </w:tc>
        <w:tc>
          <w:tcPr>
            <w:tcW w:w="11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F6C3D7" w14:textId="77777777" w:rsidR="009E2AB6" w:rsidRPr="009E2AB6" w:rsidRDefault="009E2AB6" w:rsidP="009E2AB6">
            <w:pPr>
              <w:spacing w:line="276" w:lineRule="auto"/>
              <w:jc w:val="right"/>
              <w:rPr>
                <w:rFonts w:ascii="Arial" w:eastAsia="Times New Roman" w:hAnsi="Arial" w:cs="Arial"/>
                <w:sz w:val="18"/>
                <w:szCs w:val="18"/>
              </w:rPr>
            </w:pPr>
          </w:p>
        </w:tc>
        <w:tc>
          <w:tcPr>
            <w:tcW w:w="11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C3C8F3" w14:textId="77777777" w:rsidR="009E2AB6" w:rsidRPr="009E2AB6" w:rsidRDefault="009E2AB6" w:rsidP="009E2AB6">
            <w:pPr>
              <w:spacing w:line="276" w:lineRule="auto"/>
              <w:jc w:val="right"/>
              <w:rPr>
                <w:rFonts w:ascii="Arial" w:eastAsia="Times New Roman" w:hAnsi="Arial" w:cs="Arial"/>
                <w:sz w:val="18"/>
                <w:szCs w:val="18"/>
              </w:rPr>
            </w:pPr>
          </w:p>
        </w:tc>
        <w:tc>
          <w:tcPr>
            <w:tcW w:w="11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00F4D0" w14:textId="77777777" w:rsidR="009E2AB6" w:rsidRPr="009E2AB6" w:rsidRDefault="009E2AB6" w:rsidP="009E2AB6">
            <w:pPr>
              <w:spacing w:line="276" w:lineRule="auto"/>
              <w:jc w:val="right"/>
              <w:rPr>
                <w:rFonts w:ascii="Arial" w:eastAsia="Times New Roman" w:hAnsi="Arial" w:cs="Arial"/>
                <w:b/>
                <w:bCs/>
                <w:sz w:val="18"/>
                <w:szCs w:val="18"/>
              </w:rPr>
            </w:pPr>
          </w:p>
        </w:tc>
      </w:tr>
      <w:tr w:rsidR="009E2AB6" w:rsidRPr="009E2AB6" w14:paraId="3461C55F" w14:textId="77777777" w:rsidTr="009E2AB6">
        <w:trPr>
          <w:trHeight w:val="20"/>
          <w:jc w:val="center"/>
        </w:trPr>
        <w:tc>
          <w:tcPr>
            <w:tcW w:w="4966" w:type="dxa"/>
            <w:gridSpan w:val="2"/>
            <w:tcBorders>
              <w:top w:val="single" w:sz="4" w:space="0" w:color="000000"/>
              <w:left w:val="single" w:sz="4" w:space="0" w:color="000000"/>
              <w:bottom w:val="single" w:sz="4" w:space="0" w:color="000000"/>
              <w:right w:val="single" w:sz="4" w:space="0" w:color="000000"/>
            </w:tcBorders>
            <w:shd w:val="clear" w:color="auto" w:fill="DDDDDD"/>
          </w:tcPr>
          <w:p w14:paraId="4D9C8A0B" w14:textId="77777777" w:rsidR="009E2AB6" w:rsidRPr="009E2AB6" w:rsidRDefault="009E2AB6" w:rsidP="009E2AB6">
            <w:pPr>
              <w:spacing w:line="276" w:lineRule="auto"/>
              <w:jc w:val="both"/>
              <w:rPr>
                <w:rFonts w:ascii="Arial" w:eastAsia="Times New Roman" w:hAnsi="Arial" w:cs="Arial"/>
                <w:sz w:val="18"/>
                <w:szCs w:val="18"/>
              </w:rPr>
            </w:pPr>
            <w:r w:rsidRPr="009E2AB6">
              <w:rPr>
                <w:rFonts w:ascii="Arial" w:eastAsia="Times New Roman" w:hAnsi="Arial" w:cs="Arial"/>
                <w:b/>
                <w:bCs/>
                <w:sz w:val="18"/>
                <w:szCs w:val="18"/>
              </w:rPr>
              <w:t xml:space="preserve">IV. </w:t>
            </w:r>
            <w:r w:rsidRPr="009E2AB6">
              <w:rPr>
                <w:rFonts w:ascii="Arial" w:eastAsia="Times New Roman" w:hAnsi="Arial" w:cs="Arial"/>
                <w:b/>
                <w:bCs/>
                <w:spacing w:val="-4"/>
                <w:sz w:val="18"/>
                <w:szCs w:val="18"/>
              </w:rPr>
              <w:t xml:space="preserve">REMANENTE DE TESORERÍA PARA GASTOS GENERALES (I- II -III) </w:t>
            </w:r>
            <w:r w:rsidRPr="009E2AB6">
              <w:rPr>
                <w:rFonts w:ascii="Arial" w:eastAsia="Times New Roman" w:hAnsi="Arial" w:cs="Arial"/>
                <w:spacing w:val="-4"/>
                <w:sz w:val="18"/>
                <w:szCs w:val="18"/>
              </w:rPr>
              <w:t xml:space="preserve">    </w:t>
            </w:r>
            <w:r w:rsidRPr="009E2AB6">
              <w:rPr>
                <w:rFonts w:ascii="Arial" w:eastAsia="Times New Roman" w:hAnsi="Arial" w:cs="Arial"/>
                <w:sz w:val="18"/>
                <w:szCs w:val="18"/>
              </w:rPr>
              <w:t xml:space="preserve">                      </w:t>
            </w:r>
          </w:p>
        </w:tc>
        <w:tc>
          <w:tcPr>
            <w:tcW w:w="1161"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09689C25" w14:textId="77777777" w:rsidR="009E2AB6" w:rsidRPr="009E2AB6" w:rsidRDefault="009E2AB6" w:rsidP="009E2AB6">
            <w:pPr>
              <w:spacing w:line="276" w:lineRule="auto"/>
              <w:jc w:val="right"/>
              <w:rPr>
                <w:rFonts w:ascii="Arial" w:eastAsia="Times New Roman" w:hAnsi="Arial" w:cs="Arial"/>
                <w:b/>
                <w:bCs/>
                <w:sz w:val="18"/>
                <w:szCs w:val="18"/>
              </w:rPr>
            </w:pPr>
            <w:r w:rsidRPr="009E2AB6">
              <w:rPr>
                <w:rFonts w:ascii="Arial" w:eastAsia="Times New Roman" w:hAnsi="Arial" w:cs="Arial"/>
                <w:b/>
                <w:bCs/>
                <w:sz w:val="18"/>
                <w:szCs w:val="18"/>
              </w:rPr>
              <w:t>1.396.034,06</w:t>
            </w:r>
          </w:p>
        </w:tc>
        <w:tc>
          <w:tcPr>
            <w:tcW w:w="1186"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0D3AEA3F" w14:textId="77777777" w:rsidR="009E2AB6" w:rsidRPr="009E2AB6" w:rsidRDefault="009E2AB6" w:rsidP="009E2AB6">
            <w:pPr>
              <w:spacing w:line="276" w:lineRule="auto"/>
              <w:jc w:val="right"/>
              <w:rPr>
                <w:rFonts w:ascii="Arial" w:eastAsia="Times New Roman" w:hAnsi="Arial" w:cs="Arial"/>
                <w:b/>
                <w:bCs/>
                <w:sz w:val="18"/>
                <w:szCs w:val="18"/>
              </w:rPr>
            </w:pPr>
          </w:p>
        </w:tc>
        <w:tc>
          <w:tcPr>
            <w:tcW w:w="1190" w:type="dxa"/>
            <w:tcBorders>
              <w:top w:val="single" w:sz="4" w:space="0" w:color="000000"/>
              <w:left w:val="single" w:sz="4" w:space="0" w:color="000000"/>
              <w:bottom w:val="single" w:sz="4" w:space="0" w:color="000000"/>
              <w:right w:val="single" w:sz="4" w:space="0" w:color="000000"/>
            </w:tcBorders>
            <w:shd w:val="clear" w:color="auto" w:fill="DDDDDD"/>
            <w:vAlign w:val="center"/>
          </w:tcPr>
          <w:p w14:paraId="28392C35" w14:textId="77777777" w:rsidR="009E2AB6" w:rsidRPr="009E2AB6" w:rsidRDefault="009E2AB6" w:rsidP="009E2AB6">
            <w:pPr>
              <w:spacing w:line="276" w:lineRule="auto"/>
              <w:jc w:val="right"/>
              <w:rPr>
                <w:rFonts w:ascii="Arial" w:eastAsia="Times New Roman" w:hAnsi="Arial" w:cs="Arial"/>
                <w:b/>
                <w:bCs/>
                <w:sz w:val="18"/>
                <w:szCs w:val="18"/>
              </w:rPr>
            </w:pPr>
            <w:r w:rsidRPr="009E2AB6">
              <w:rPr>
                <w:rFonts w:ascii="Arial" w:eastAsia="Times New Roman" w:hAnsi="Arial" w:cs="Arial"/>
                <w:b/>
                <w:bCs/>
                <w:sz w:val="18"/>
                <w:szCs w:val="18"/>
              </w:rPr>
              <w:t>3.788.353,26</w:t>
            </w:r>
          </w:p>
        </w:tc>
      </w:tr>
    </w:tbl>
    <w:p w14:paraId="3734F6F4" w14:textId="05F2BA19" w:rsidR="00F84E97" w:rsidRDefault="00F84E97" w:rsidP="00AD6163">
      <w:pPr>
        <w:spacing w:after="240" w:line="276" w:lineRule="auto"/>
        <w:jc w:val="both"/>
        <w:rPr>
          <w:rFonts w:ascii="Arial" w:eastAsia="Droid Sans Fallback" w:hAnsi="Arial" w:cs="Arial"/>
          <w:kern w:val="3"/>
          <w:sz w:val="21"/>
          <w:szCs w:val="21"/>
          <w:lang w:eastAsia="zh-CN" w:bidi="hi-IN"/>
        </w:rPr>
      </w:pPr>
    </w:p>
    <w:p w14:paraId="4BDA0130" w14:textId="01E6003A" w:rsidR="00F84E97" w:rsidRDefault="00F84E97" w:rsidP="00AD6163">
      <w:pPr>
        <w:spacing w:after="240" w:line="276" w:lineRule="auto"/>
        <w:jc w:val="both"/>
        <w:rPr>
          <w:rFonts w:ascii="Arial" w:eastAsia="Droid Sans Fallback" w:hAnsi="Arial" w:cs="Arial"/>
          <w:kern w:val="3"/>
          <w:sz w:val="21"/>
          <w:szCs w:val="21"/>
          <w:lang w:eastAsia="zh-CN" w:bidi="hi-IN"/>
        </w:rPr>
      </w:pPr>
    </w:p>
    <w:p w14:paraId="43435008" w14:textId="77777777" w:rsidR="009E2AB6" w:rsidRPr="009E2AB6" w:rsidRDefault="009E2AB6" w:rsidP="009E2AB6">
      <w:pPr>
        <w:spacing w:after="240" w:line="276" w:lineRule="auto"/>
        <w:jc w:val="both"/>
        <w:rPr>
          <w:rFonts w:ascii="Arial" w:eastAsia="Droid Sans Fallback" w:hAnsi="Arial" w:cs="Arial"/>
          <w:b/>
          <w:bCs/>
          <w:kern w:val="3"/>
          <w:sz w:val="21"/>
          <w:szCs w:val="21"/>
          <w:lang w:eastAsia="zh-CN" w:bidi="hi-IN"/>
        </w:rPr>
      </w:pPr>
      <w:r w:rsidRPr="009E2AB6">
        <w:rPr>
          <w:rFonts w:ascii="Arial" w:eastAsia="Droid Sans Fallback" w:hAnsi="Arial" w:cs="Arial"/>
          <w:b/>
          <w:bCs/>
          <w:kern w:val="3"/>
          <w:sz w:val="21"/>
          <w:szCs w:val="21"/>
          <w:lang w:eastAsia="zh-CN" w:bidi="hi-IN"/>
        </w:rPr>
        <w:t>Periodo medio de pago:</w:t>
      </w:r>
    </w:p>
    <w:p w14:paraId="6FA36A8A" w14:textId="10C599BB" w:rsidR="009E2AB6" w:rsidRDefault="009E2AB6" w:rsidP="009E2AB6">
      <w:pPr>
        <w:spacing w:after="240" w:line="276" w:lineRule="auto"/>
        <w:jc w:val="both"/>
        <w:rPr>
          <w:rFonts w:ascii="Arial" w:eastAsia="Droid Sans Fallback" w:hAnsi="Arial" w:cs="Arial"/>
          <w:kern w:val="3"/>
          <w:sz w:val="21"/>
          <w:szCs w:val="21"/>
          <w:lang w:eastAsia="zh-CN" w:bidi="hi-IN"/>
        </w:rPr>
      </w:pPr>
      <w:r w:rsidRPr="009E2AB6">
        <w:rPr>
          <w:rFonts w:ascii="Arial" w:eastAsia="Droid Sans Fallback" w:hAnsi="Arial" w:cs="Arial"/>
          <w:kern w:val="3"/>
          <w:sz w:val="21"/>
          <w:szCs w:val="21"/>
          <w:lang w:eastAsia="zh-CN" w:bidi="hi-IN"/>
        </w:rPr>
        <w:t>La Agencia ha cumplido con los periodos legales de pago a acreedores con ratios que cumplen ampliamente con las exigencias mínimas establecidas. El periodo medio de pago se ha determinado con sujeción a la metodología contemplada por el Real Decreto 1040/2017, de 22 de diciembre (BOE núm. 311, de 23 de diciembre de 2017).</w:t>
      </w:r>
    </w:p>
    <w:p w14:paraId="07A74C64" w14:textId="77777777" w:rsidR="00B22A68" w:rsidRDefault="00B22A68" w:rsidP="009E2AB6">
      <w:pPr>
        <w:spacing w:after="240" w:line="276" w:lineRule="auto"/>
        <w:jc w:val="both"/>
        <w:rPr>
          <w:rFonts w:ascii="Arial" w:eastAsia="Droid Sans Fallback" w:hAnsi="Arial" w:cs="Arial"/>
          <w:kern w:val="3"/>
          <w:sz w:val="21"/>
          <w:szCs w:val="21"/>
          <w:lang w:eastAsia="zh-CN" w:bidi="hi-IN"/>
        </w:rPr>
      </w:pPr>
    </w:p>
    <w:p w14:paraId="485C21CA" w14:textId="6A9E0056" w:rsidR="00DC77CB" w:rsidRPr="00DC77CB" w:rsidRDefault="00DC77CB" w:rsidP="00DC77CB">
      <w:pPr>
        <w:pStyle w:val="Descripcin"/>
        <w:keepNext/>
        <w:rPr>
          <w:rFonts w:ascii="Arial" w:hAnsi="Arial" w:cs="Arial"/>
          <w:smallCaps w:val="0"/>
          <w:sz w:val="18"/>
          <w:szCs w:val="18"/>
        </w:rPr>
      </w:pPr>
      <w:bookmarkStart w:id="573" w:name="_Toc99107180"/>
      <w:r w:rsidRPr="00DC77CB">
        <w:rPr>
          <w:rFonts w:ascii="Arial" w:hAnsi="Arial" w:cs="Arial"/>
          <w:smallCaps w:val="0"/>
          <w:color w:val="9D2235" w:themeColor="accent1"/>
          <w:sz w:val="18"/>
          <w:szCs w:val="18"/>
        </w:rPr>
        <w:t xml:space="preserve">Tabla </w:t>
      </w:r>
      <w:r w:rsidRPr="00DC77CB">
        <w:rPr>
          <w:rFonts w:ascii="Arial" w:hAnsi="Arial" w:cs="Arial"/>
          <w:smallCaps w:val="0"/>
          <w:color w:val="9D2235" w:themeColor="accent1"/>
          <w:sz w:val="18"/>
          <w:szCs w:val="18"/>
        </w:rPr>
        <w:fldChar w:fldCharType="begin" w:fldLock="1"/>
      </w:r>
      <w:r w:rsidRPr="00DC77CB">
        <w:rPr>
          <w:rFonts w:ascii="Arial" w:hAnsi="Arial" w:cs="Arial"/>
          <w:smallCaps w:val="0"/>
          <w:color w:val="9D2235" w:themeColor="accent1"/>
          <w:sz w:val="18"/>
          <w:szCs w:val="18"/>
        </w:rPr>
        <w:instrText xml:space="preserve"> SEQ Tabla \* ARABIC </w:instrText>
      </w:r>
      <w:r w:rsidRPr="00DC77CB">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42</w:t>
      </w:r>
      <w:r w:rsidRPr="00DC77CB">
        <w:rPr>
          <w:rFonts w:ascii="Arial" w:hAnsi="Arial" w:cs="Arial"/>
          <w:smallCaps w:val="0"/>
          <w:color w:val="9D2235" w:themeColor="accent1"/>
          <w:sz w:val="18"/>
          <w:szCs w:val="18"/>
        </w:rPr>
        <w:fldChar w:fldCharType="end"/>
      </w:r>
      <w:r w:rsidRPr="00DC77CB">
        <w:rPr>
          <w:rFonts w:ascii="Arial" w:hAnsi="Arial" w:cs="Arial"/>
          <w:smallCaps w:val="0"/>
          <w:color w:val="9D2235" w:themeColor="accent1"/>
          <w:sz w:val="18"/>
          <w:szCs w:val="18"/>
        </w:rPr>
        <w:t xml:space="preserve">. </w:t>
      </w:r>
      <w:r w:rsidRPr="00DC77CB">
        <w:rPr>
          <w:rFonts w:ascii="Arial" w:hAnsi="Arial" w:cs="Arial"/>
          <w:smallCaps w:val="0"/>
          <w:sz w:val="18"/>
          <w:szCs w:val="18"/>
        </w:rPr>
        <w:t>Periodo medio de pago 2021</w:t>
      </w:r>
      <w:bookmarkEnd w:id="573"/>
    </w:p>
    <w:tbl>
      <w:tblPr>
        <w:tblW w:w="9142" w:type="dxa"/>
        <w:tblCellMar>
          <w:top w:w="55" w:type="dxa"/>
          <w:left w:w="55" w:type="dxa"/>
          <w:bottom w:w="55" w:type="dxa"/>
          <w:right w:w="55" w:type="dxa"/>
        </w:tblCellMar>
        <w:tblLook w:val="0000" w:firstRow="0" w:lastRow="0" w:firstColumn="0" w:lastColumn="0" w:noHBand="0" w:noVBand="0"/>
      </w:tblPr>
      <w:tblGrid>
        <w:gridCol w:w="1254"/>
        <w:gridCol w:w="1082"/>
        <w:gridCol w:w="1300"/>
        <w:gridCol w:w="1367"/>
        <w:gridCol w:w="1382"/>
        <w:gridCol w:w="1383"/>
        <w:gridCol w:w="1374"/>
      </w:tblGrid>
      <w:tr w:rsidR="00DC77CB" w:rsidRPr="00370DEE" w14:paraId="2507DA1E" w14:textId="77777777" w:rsidTr="00DC77CB">
        <w:tc>
          <w:tcPr>
            <w:tcW w:w="9142" w:type="dxa"/>
            <w:gridSpan w:val="7"/>
            <w:tcBorders>
              <w:top w:val="single" w:sz="2" w:space="0" w:color="000000"/>
              <w:left w:val="single" w:sz="2" w:space="0" w:color="000000"/>
              <w:bottom w:val="single" w:sz="2" w:space="0" w:color="FFFFFF"/>
              <w:right w:val="single" w:sz="2" w:space="0" w:color="000000"/>
            </w:tcBorders>
            <w:shd w:val="clear" w:color="auto" w:fill="9D2235"/>
          </w:tcPr>
          <w:p w14:paraId="4BF8DB74"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b/>
                <w:bCs/>
                <w:color w:val="FFFFFF"/>
                <w:kern w:val="2"/>
                <w:sz w:val="19"/>
                <w:szCs w:val="19"/>
                <w:lang w:eastAsia="zh-CN" w:bidi="hi-IN"/>
              </w:rPr>
            </w:pPr>
            <w:r w:rsidRPr="00370DEE">
              <w:rPr>
                <w:rFonts w:ascii="Arial" w:eastAsia="NSimSun" w:hAnsi="Arial" w:cs="Arial"/>
                <w:b/>
                <w:bCs/>
                <w:color w:val="FFFFFF"/>
                <w:kern w:val="2"/>
                <w:sz w:val="19"/>
                <w:szCs w:val="19"/>
                <w:lang w:eastAsia="zh-CN" w:bidi="hi-IN"/>
              </w:rPr>
              <w:t>PERIODO MEDIO DE PAGO A PROVEEDORES</w:t>
            </w:r>
          </w:p>
        </w:tc>
      </w:tr>
      <w:tr w:rsidR="00DC77CB" w:rsidRPr="00370DEE" w14:paraId="7AC58770" w14:textId="77777777" w:rsidTr="00DC77CB">
        <w:trPr>
          <w:trHeight w:val="1001"/>
        </w:trPr>
        <w:tc>
          <w:tcPr>
            <w:tcW w:w="1254" w:type="dxa"/>
            <w:tcBorders>
              <w:left w:val="single" w:sz="2" w:space="0" w:color="000000"/>
              <w:bottom w:val="single" w:sz="4" w:space="0" w:color="auto"/>
            </w:tcBorders>
            <w:shd w:val="clear" w:color="auto" w:fill="9D2235"/>
            <w:vAlign w:val="center"/>
          </w:tcPr>
          <w:p w14:paraId="394776BB"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b/>
                <w:bCs/>
                <w:color w:val="FFFFFF"/>
                <w:kern w:val="2"/>
                <w:sz w:val="19"/>
                <w:szCs w:val="19"/>
                <w:lang w:eastAsia="zh-CN" w:bidi="hi-IN"/>
              </w:rPr>
            </w:pPr>
            <w:r w:rsidRPr="00370DEE">
              <w:rPr>
                <w:rFonts w:ascii="Arial" w:eastAsia="NSimSun" w:hAnsi="Arial" w:cs="Arial"/>
                <w:b/>
                <w:bCs/>
                <w:color w:val="FFFFFF"/>
                <w:kern w:val="2"/>
                <w:sz w:val="19"/>
                <w:szCs w:val="19"/>
                <w:lang w:eastAsia="zh-CN" w:bidi="hi-IN"/>
              </w:rPr>
              <w:t>Ejercicio</w:t>
            </w:r>
          </w:p>
        </w:tc>
        <w:tc>
          <w:tcPr>
            <w:tcW w:w="1082" w:type="dxa"/>
            <w:tcBorders>
              <w:left w:val="single" w:sz="2" w:space="0" w:color="000000"/>
              <w:bottom w:val="single" w:sz="4" w:space="0" w:color="auto"/>
            </w:tcBorders>
            <w:shd w:val="clear" w:color="auto" w:fill="9D2235"/>
            <w:vAlign w:val="center"/>
          </w:tcPr>
          <w:p w14:paraId="05A2C8DE"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b/>
                <w:bCs/>
                <w:color w:val="FFFFFF"/>
                <w:kern w:val="2"/>
                <w:sz w:val="19"/>
                <w:szCs w:val="19"/>
                <w:lang w:eastAsia="zh-CN" w:bidi="hi-IN"/>
              </w:rPr>
            </w:pPr>
            <w:r w:rsidRPr="00370DEE">
              <w:rPr>
                <w:rFonts w:ascii="Arial" w:eastAsia="NSimSun" w:hAnsi="Arial" w:cs="Arial"/>
                <w:b/>
                <w:bCs/>
                <w:color w:val="FFFFFF"/>
                <w:kern w:val="2"/>
                <w:sz w:val="19"/>
                <w:szCs w:val="19"/>
                <w:lang w:eastAsia="zh-CN" w:bidi="hi-IN"/>
              </w:rPr>
              <w:t>Trimestre</w:t>
            </w:r>
          </w:p>
        </w:tc>
        <w:tc>
          <w:tcPr>
            <w:tcW w:w="1300" w:type="dxa"/>
            <w:tcBorders>
              <w:left w:val="single" w:sz="2" w:space="0" w:color="000000"/>
              <w:bottom w:val="single" w:sz="4" w:space="0" w:color="auto"/>
            </w:tcBorders>
            <w:shd w:val="clear" w:color="auto" w:fill="9D2235"/>
            <w:vAlign w:val="center"/>
          </w:tcPr>
          <w:p w14:paraId="51009376"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b/>
                <w:bCs/>
                <w:color w:val="FFFFFF"/>
                <w:kern w:val="2"/>
                <w:sz w:val="19"/>
                <w:szCs w:val="19"/>
                <w:lang w:eastAsia="zh-CN" w:bidi="hi-IN"/>
              </w:rPr>
            </w:pPr>
            <w:r w:rsidRPr="00370DEE">
              <w:rPr>
                <w:rFonts w:ascii="Arial" w:eastAsia="NSimSun" w:hAnsi="Arial" w:cs="Arial"/>
                <w:b/>
                <w:bCs/>
                <w:color w:val="FFFFFF"/>
                <w:kern w:val="2"/>
                <w:sz w:val="19"/>
                <w:szCs w:val="19"/>
                <w:lang w:eastAsia="zh-CN" w:bidi="hi-IN"/>
              </w:rPr>
              <w:t>Ratio de operaciones pagadas</w:t>
            </w:r>
          </w:p>
        </w:tc>
        <w:tc>
          <w:tcPr>
            <w:tcW w:w="1367" w:type="dxa"/>
            <w:tcBorders>
              <w:left w:val="single" w:sz="2" w:space="0" w:color="000000"/>
              <w:bottom w:val="single" w:sz="4" w:space="0" w:color="auto"/>
            </w:tcBorders>
            <w:shd w:val="clear" w:color="auto" w:fill="9D2235"/>
            <w:vAlign w:val="center"/>
          </w:tcPr>
          <w:p w14:paraId="1E25F328"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b/>
                <w:bCs/>
                <w:color w:val="FFFFFF"/>
                <w:kern w:val="2"/>
                <w:sz w:val="19"/>
                <w:szCs w:val="19"/>
                <w:lang w:eastAsia="zh-CN" w:bidi="hi-IN"/>
              </w:rPr>
            </w:pPr>
            <w:r w:rsidRPr="00370DEE">
              <w:rPr>
                <w:rFonts w:ascii="Arial" w:eastAsia="NSimSun" w:hAnsi="Arial" w:cs="Arial"/>
                <w:b/>
                <w:bCs/>
                <w:color w:val="FFFFFF"/>
                <w:kern w:val="2"/>
                <w:sz w:val="19"/>
                <w:szCs w:val="19"/>
                <w:lang w:eastAsia="zh-CN" w:bidi="hi-IN"/>
              </w:rPr>
              <w:t>Ratio de operaciones pendientes de pago</w:t>
            </w:r>
          </w:p>
        </w:tc>
        <w:tc>
          <w:tcPr>
            <w:tcW w:w="1382" w:type="dxa"/>
            <w:tcBorders>
              <w:left w:val="single" w:sz="2" w:space="0" w:color="000000"/>
              <w:bottom w:val="single" w:sz="4" w:space="0" w:color="auto"/>
            </w:tcBorders>
            <w:shd w:val="clear" w:color="auto" w:fill="9D2235"/>
            <w:vAlign w:val="center"/>
          </w:tcPr>
          <w:p w14:paraId="30EDFE7A"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b/>
                <w:bCs/>
                <w:color w:val="FFFFFF"/>
                <w:kern w:val="2"/>
                <w:sz w:val="19"/>
                <w:szCs w:val="19"/>
                <w:lang w:eastAsia="zh-CN" w:bidi="hi-IN"/>
              </w:rPr>
            </w:pPr>
            <w:r w:rsidRPr="00370DEE">
              <w:rPr>
                <w:rFonts w:ascii="Arial" w:eastAsia="NSimSun" w:hAnsi="Arial" w:cs="Arial"/>
                <w:b/>
                <w:bCs/>
                <w:color w:val="FFFFFF"/>
                <w:kern w:val="2"/>
                <w:sz w:val="19"/>
                <w:szCs w:val="19"/>
                <w:lang w:eastAsia="zh-CN" w:bidi="hi-IN"/>
              </w:rPr>
              <w:t>Importe de operaciones pagadas</w:t>
            </w:r>
          </w:p>
        </w:tc>
        <w:tc>
          <w:tcPr>
            <w:tcW w:w="1383" w:type="dxa"/>
            <w:tcBorders>
              <w:left w:val="single" w:sz="2" w:space="0" w:color="000000"/>
              <w:bottom w:val="single" w:sz="4" w:space="0" w:color="auto"/>
            </w:tcBorders>
            <w:shd w:val="clear" w:color="auto" w:fill="9D2235"/>
            <w:vAlign w:val="center"/>
          </w:tcPr>
          <w:p w14:paraId="354869F5"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b/>
                <w:bCs/>
                <w:color w:val="FFFFFF"/>
                <w:kern w:val="2"/>
                <w:sz w:val="19"/>
                <w:szCs w:val="19"/>
                <w:lang w:eastAsia="zh-CN" w:bidi="hi-IN"/>
              </w:rPr>
            </w:pPr>
            <w:r w:rsidRPr="00370DEE">
              <w:rPr>
                <w:rFonts w:ascii="Arial" w:eastAsia="NSimSun" w:hAnsi="Arial" w:cs="Arial"/>
                <w:b/>
                <w:bCs/>
                <w:color w:val="FFFFFF"/>
                <w:kern w:val="2"/>
                <w:sz w:val="19"/>
                <w:szCs w:val="19"/>
                <w:lang w:eastAsia="zh-CN" w:bidi="hi-IN"/>
              </w:rPr>
              <w:t>Importe de operaciones pendientes de pago</w:t>
            </w:r>
          </w:p>
        </w:tc>
        <w:tc>
          <w:tcPr>
            <w:tcW w:w="1374" w:type="dxa"/>
            <w:tcBorders>
              <w:left w:val="single" w:sz="2" w:space="0" w:color="000000"/>
              <w:bottom w:val="single" w:sz="4" w:space="0" w:color="auto"/>
              <w:right w:val="single" w:sz="2" w:space="0" w:color="000000"/>
            </w:tcBorders>
            <w:shd w:val="clear" w:color="auto" w:fill="9D2235"/>
            <w:vAlign w:val="center"/>
          </w:tcPr>
          <w:p w14:paraId="3615BB77"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b/>
                <w:bCs/>
                <w:color w:val="FFFFFF"/>
                <w:kern w:val="2"/>
                <w:sz w:val="19"/>
                <w:szCs w:val="19"/>
                <w:lang w:eastAsia="zh-CN" w:bidi="hi-IN"/>
              </w:rPr>
            </w:pPr>
            <w:r w:rsidRPr="00370DEE">
              <w:rPr>
                <w:rFonts w:ascii="Arial" w:eastAsia="NSimSun" w:hAnsi="Arial" w:cs="Arial"/>
                <w:b/>
                <w:bCs/>
                <w:color w:val="FFFFFF"/>
                <w:kern w:val="2"/>
                <w:sz w:val="19"/>
                <w:szCs w:val="19"/>
                <w:lang w:eastAsia="zh-CN" w:bidi="hi-IN"/>
              </w:rPr>
              <w:t>Periodo medio de pago trimestral</w:t>
            </w:r>
          </w:p>
        </w:tc>
      </w:tr>
      <w:tr w:rsidR="00DC77CB" w:rsidRPr="00370DEE" w14:paraId="465D46F3" w14:textId="77777777" w:rsidTr="00DC77CB">
        <w:tc>
          <w:tcPr>
            <w:tcW w:w="1254" w:type="dxa"/>
            <w:tcBorders>
              <w:top w:val="single" w:sz="4" w:space="0" w:color="auto"/>
              <w:left w:val="single" w:sz="4" w:space="0" w:color="auto"/>
              <w:bottom w:val="single" w:sz="4" w:space="0" w:color="auto"/>
              <w:right w:val="single" w:sz="4" w:space="0" w:color="auto"/>
            </w:tcBorders>
            <w:shd w:val="clear" w:color="auto" w:fill="FFFAFA"/>
            <w:vAlign w:val="center"/>
          </w:tcPr>
          <w:p w14:paraId="06E9D145"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2021</w:t>
            </w:r>
          </w:p>
        </w:tc>
        <w:tc>
          <w:tcPr>
            <w:tcW w:w="1082" w:type="dxa"/>
            <w:tcBorders>
              <w:top w:val="single" w:sz="4" w:space="0" w:color="auto"/>
              <w:left w:val="single" w:sz="4" w:space="0" w:color="auto"/>
              <w:bottom w:val="single" w:sz="4" w:space="0" w:color="auto"/>
              <w:right w:val="single" w:sz="4" w:space="0" w:color="auto"/>
            </w:tcBorders>
            <w:shd w:val="clear" w:color="auto" w:fill="FFFAFA"/>
            <w:vAlign w:val="center"/>
          </w:tcPr>
          <w:p w14:paraId="530E0807"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4T</w:t>
            </w:r>
          </w:p>
        </w:tc>
        <w:tc>
          <w:tcPr>
            <w:tcW w:w="1300" w:type="dxa"/>
            <w:tcBorders>
              <w:top w:val="single" w:sz="4" w:space="0" w:color="auto"/>
              <w:left w:val="single" w:sz="4" w:space="0" w:color="auto"/>
              <w:bottom w:val="single" w:sz="4" w:space="0" w:color="auto"/>
              <w:right w:val="single" w:sz="4" w:space="0" w:color="auto"/>
            </w:tcBorders>
            <w:shd w:val="clear" w:color="auto" w:fill="FFFAFA"/>
            <w:vAlign w:val="center"/>
          </w:tcPr>
          <w:p w14:paraId="5C56C4B7"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23,31</w:t>
            </w:r>
          </w:p>
        </w:tc>
        <w:tc>
          <w:tcPr>
            <w:tcW w:w="1367" w:type="dxa"/>
            <w:tcBorders>
              <w:top w:val="single" w:sz="4" w:space="0" w:color="auto"/>
              <w:left w:val="single" w:sz="4" w:space="0" w:color="auto"/>
              <w:bottom w:val="single" w:sz="4" w:space="0" w:color="auto"/>
              <w:right w:val="single" w:sz="4" w:space="0" w:color="auto"/>
            </w:tcBorders>
            <w:shd w:val="clear" w:color="auto" w:fill="FFFAFA"/>
            <w:vAlign w:val="center"/>
          </w:tcPr>
          <w:p w14:paraId="07C587F6"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23,27</w:t>
            </w:r>
          </w:p>
        </w:tc>
        <w:tc>
          <w:tcPr>
            <w:tcW w:w="1382" w:type="dxa"/>
            <w:tcBorders>
              <w:top w:val="single" w:sz="4" w:space="0" w:color="auto"/>
              <w:left w:val="single" w:sz="4" w:space="0" w:color="auto"/>
              <w:bottom w:val="single" w:sz="4" w:space="0" w:color="auto"/>
              <w:right w:val="single" w:sz="4" w:space="0" w:color="auto"/>
            </w:tcBorders>
            <w:shd w:val="clear" w:color="auto" w:fill="FFFAFA"/>
            <w:vAlign w:val="center"/>
          </w:tcPr>
          <w:p w14:paraId="3FFD95ED"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107.218,94</w:t>
            </w:r>
          </w:p>
        </w:tc>
        <w:tc>
          <w:tcPr>
            <w:tcW w:w="1383" w:type="dxa"/>
            <w:tcBorders>
              <w:top w:val="single" w:sz="4" w:space="0" w:color="auto"/>
              <w:left w:val="single" w:sz="4" w:space="0" w:color="auto"/>
              <w:bottom w:val="single" w:sz="4" w:space="0" w:color="auto"/>
              <w:right w:val="single" w:sz="4" w:space="0" w:color="auto"/>
            </w:tcBorders>
            <w:shd w:val="clear" w:color="auto" w:fill="FFFAFA"/>
            <w:vAlign w:val="center"/>
          </w:tcPr>
          <w:p w14:paraId="7E6D695B"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31.344,01</w:t>
            </w:r>
          </w:p>
        </w:tc>
        <w:tc>
          <w:tcPr>
            <w:tcW w:w="1374" w:type="dxa"/>
            <w:tcBorders>
              <w:top w:val="single" w:sz="4" w:space="0" w:color="auto"/>
              <w:left w:val="single" w:sz="4" w:space="0" w:color="auto"/>
              <w:bottom w:val="single" w:sz="4" w:space="0" w:color="auto"/>
              <w:right w:val="single" w:sz="4" w:space="0" w:color="auto"/>
            </w:tcBorders>
            <w:shd w:val="clear" w:color="auto" w:fill="FFFAFA"/>
            <w:vAlign w:val="center"/>
          </w:tcPr>
          <w:p w14:paraId="466FB41B"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23,30</w:t>
            </w:r>
          </w:p>
        </w:tc>
      </w:tr>
      <w:tr w:rsidR="00DC77CB" w:rsidRPr="00370DEE" w14:paraId="2C7FD51A" w14:textId="77777777" w:rsidTr="00DC77CB">
        <w:tc>
          <w:tcPr>
            <w:tcW w:w="1254" w:type="dxa"/>
            <w:tcBorders>
              <w:top w:val="single" w:sz="4" w:space="0" w:color="auto"/>
              <w:left w:val="single" w:sz="4" w:space="0" w:color="auto"/>
              <w:bottom w:val="single" w:sz="4" w:space="0" w:color="auto"/>
              <w:right w:val="single" w:sz="4" w:space="0" w:color="auto"/>
            </w:tcBorders>
            <w:shd w:val="clear" w:color="auto" w:fill="FFFAFA"/>
          </w:tcPr>
          <w:p w14:paraId="0377BBA3"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kern w:val="2"/>
                <w:sz w:val="19"/>
                <w:szCs w:val="19"/>
                <w:lang w:eastAsia="zh-CN" w:bidi="hi-IN"/>
              </w:rPr>
              <w:t>2021</w:t>
            </w:r>
          </w:p>
        </w:tc>
        <w:tc>
          <w:tcPr>
            <w:tcW w:w="1082" w:type="dxa"/>
            <w:tcBorders>
              <w:top w:val="single" w:sz="4" w:space="0" w:color="auto"/>
              <w:left w:val="single" w:sz="4" w:space="0" w:color="auto"/>
              <w:bottom w:val="single" w:sz="4" w:space="0" w:color="auto"/>
              <w:right w:val="single" w:sz="4" w:space="0" w:color="auto"/>
            </w:tcBorders>
            <w:shd w:val="clear" w:color="auto" w:fill="FFFAFA"/>
            <w:vAlign w:val="center"/>
          </w:tcPr>
          <w:p w14:paraId="23660A26"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3T</w:t>
            </w:r>
          </w:p>
        </w:tc>
        <w:tc>
          <w:tcPr>
            <w:tcW w:w="1300" w:type="dxa"/>
            <w:tcBorders>
              <w:top w:val="single" w:sz="4" w:space="0" w:color="auto"/>
              <w:left w:val="single" w:sz="4" w:space="0" w:color="auto"/>
              <w:bottom w:val="single" w:sz="4" w:space="0" w:color="auto"/>
              <w:right w:val="single" w:sz="4" w:space="0" w:color="auto"/>
            </w:tcBorders>
            <w:shd w:val="clear" w:color="auto" w:fill="FFFAFA"/>
            <w:vAlign w:val="center"/>
          </w:tcPr>
          <w:p w14:paraId="1CA0148C"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25,20</w:t>
            </w:r>
          </w:p>
        </w:tc>
        <w:tc>
          <w:tcPr>
            <w:tcW w:w="1367" w:type="dxa"/>
            <w:tcBorders>
              <w:top w:val="single" w:sz="4" w:space="0" w:color="auto"/>
              <w:left w:val="single" w:sz="4" w:space="0" w:color="auto"/>
              <w:bottom w:val="single" w:sz="4" w:space="0" w:color="auto"/>
              <w:right w:val="single" w:sz="4" w:space="0" w:color="auto"/>
            </w:tcBorders>
            <w:shd w:val="clear" w:color="auto" w:fill="FFFAFA"/>
            <w:vAlign w:val="center"/>
          </w:tcPr>
          <w:p w14:paraId="4440EFF0"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30,69</w:t>
            </w:r>
          </w:p>
        </w:tc>
        <w:tc>
          <w:tcPr>
            <w:tcW w:w="1382" w:type="dxa"/>
            <w:tcBorders>
              <w:top w:val="single" w:sz="4" w:space="0" w:color="auto"/>
              <w:left w:val="single" w:sz="4" w:space="0" w:color="auto"/>
              <w:bottom w:val="single" w:sz="4" w:space="0" w:color="auto"/>
              <w:right w:val="single" w:sz="4" w:space="0" w:color="auto"/>
            </w:tcBorders>
            <w:shd w:val="clear" w:color="auto" w:fill="FFFAFA"/>
            <w:vAlign w:val="center"/>
          </w:tcPr>
          <w:p w14:paraId="0A41A30E"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107.057,27</w:t>
            </w:r>
          </w:p>
        </w:tc>
        <w:tc>
          <w:tcPr>
            <w:tcW w:w="1383" w:type="dxa"/>
            <w:tcBorders>
              <w:top w:val="single" w:sz="4" w:space="0" w:color="auto"/>
              <w:left w:val="single" w:sz="4" w:space="0" w:color="auto"/>
              <w:bottom w:val="single" w:sz="4" w:space="0" w:color="auto"/>
              <w:right w:val="single" w:sz="4" w:space="0" w:color="auto"/>
            </w:tcBorders>
            <w:shd w:val="clear" w:color="auto" w:fill="FFFAFA"/>
            <w:vAlign w:val="center"/>
          </w:tcPr>
          <w:p w14:paraId="131913E6"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13.791,10</w:t>
            </w:r>
          </w:p>
        </w:tc>
        <w:tc>
          <w:tcPr>
            <w:tcW w:w="1374" w:type="dxa"/>
            <w:tcBorders>
              <w:top w:val="single" w:sz="4" w:space="0" w:color="auto"/>
              <w:left w:val="single" w:sz="4" w:space="0" w:color="auto"/>
              <w:bottom w:val="single" w:sz="4" w:space="0" w:color="auto"/>
              <w:right w:val="single" w:sz="4" w:space="0" w:color="auto"/>
            </w:tcBorders>
            <w:shd w:val="clear" w:color="auto" w:fill="FFFAFA"/>
            <w:vAlign w:val="center"/>
          </w:tcPr>
          <w:p w14:paraId="441D20CB"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25,83</w:t>
            </w:r>
          </w:p>
        </w:tc>
      </w:tr>
      <w:tr w:rsidR="00DC77CB" w:rsidRPr="00370DEE" w14:paraId="5F813C3C" w14:textId="77777777" w:rsidTr="00DC77CB">
        <w:tc>
          <w:tcPr>
            <w:tcW w:w="1254" w:type="dxa"/>
            <w:tcBorders>
              <w:top w:val="single" w:sz="4" w:space="0" w:color="auto"/>
              <w:left w:val="single" w:sz="4" w:space="0" w:color="auto"/>
              <w:bottom w:val="single" w:sz="4" w:space="0" w:color="auto"/>
              <w:right w:val="single" w:sz="4" w:space="0" w:color="auto"/>
            </w:tcBorders>
            <w:shd w:val="clear" w:color="auto" w:fill="FFFAFA"/>
          </w:tcPr>
          <w:p w14:paraId="3F1F199E"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kern w:val="2"/>
                <w:sz w:val="19"/>
                <w:szCs w:val="19"/>
                <w:lang w:eastAsia="zh-CN" w:bidi="hi-IN"/>
              </w:rPr>
              <w:t>2021</w:t>
            </w:r>
          </w:p>
        </w:tc>
        <w:tc>
          <w:tcPr>
            <w:tcW w:w="1082" w:type="dxa"/>
            <w:tcBorders>
              <w:top w:val="single" w:sz="4" w:space="0" w:color="auto"/>
              <w:left w:val="single" w:sz="4" w:space="0" w:color="auto"/>
              <w:bottom w:val="single" w:sz="4" w:space="0" w:color="auto"/>
              <w:right w:val="single" w:sz="4" w:space="0" w:color="auto"/>
            </w:tcBorders>
            <w:shd w:val="clear" w:color="auto" w:fill="FFFAFA"/>
            <w:vAlign w:val="center"/>
          </w:tcPr>
          <w:p w14:paraId="27268DB4"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2T</w:t>
            </w:r>
          </w:p>
        </w:tc>
        <w:tc>
          <w:tcPr>
            <w:tcW w:w="1300" w:type="dxa"/>
            <w:tcBorders>
              <w:top w:val="single" w:sz="4" w:space="0" w:color="auto"/>
              <w:left w:val="single" w:sz="4" w:space="0" w:color="auto"/>
              <w:bottom w:val="single" w:sz="4" w:space="0" w:color="auto"/>
              <w:right w:val="single" w:sz="4" w:space="0" w:color="auto"/>
            </w:tcBorders>
            <w:shd w:val="clear" w:color="auto" w:fill="FFFAFA"/>
            <w:vAlign w:val="center"/>
          </w:tcPr>
          <w:p w14:paraId="0D16FAED"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19,46</w:t>
            </w:r>
          </w:p>
        </w:tc>
        <w:tc>
          <w:tcPr>
            <w:tcW w:w="1367" w:type="dxa"/>
            <w:tcBorders>
              <w:top w:val="single" w:sz="4" w:space="0" w:color="auto"/>
              <w:left w:val="single" w:sz="4" w:space="0" w:color="auto"/>
              <w:bottom w:val="single" w:sz="4" w:space="0" w:color="auto"/>
              <w:right w:val="single" w:sz="4" w:space="0" w:color="auto"/>
            </w:tcBorders>
            <w:shd w:val="clear" w:color="auto" w:fill="FFFAFA"/>
            <w:vAlign w:val="center"/>
          </w:tcPr>
          <w:p w14:paraId="45A502FB"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41,06</w:t>
            </w:r>
          </w:p>
        </w:tc>
        <w:tc>
          <w:tcPr>
            <w:tcW w:w="1382" w:type="dxa"/>
            <w:tcBorders>
              <w:top w:val="single" w:sz="4" w:space="0" w:color="auto"/>
              <w:left w:val="single" w:sz="4" w:space="0" w:color="auto"/>
              <w:bottom w:val="single" w:sz="4" w:space="0" w:color="auto"/>
              <w:right w:val="single" w:sz="4" w:space="0" w:color="auto"/>
            </w:tcBorders>
            <w:shd w:val="clear" w:color="auto" w:fill="FFFAFA"/>
            <w:vAlign w:val="center"/>
          </w:tcPr>
          <w:p w14:paraId="66702974"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68.247,69</w:t>
            </w:r>
          </w:p>
        </w:tc>
        <w:tc>
          <w:tcPr>
            <w:tcW w:w="1383" w:type="dxa"/>
            <w:tcBorders>
              <w:top w:val="single" w:sz="4" w:space="0" w:color="auto"/>
              <w:left w:val="single" w:sz="4" w:space="0" w:color="auto"/>
              <w:bottom w:val="single" w:sz="4" w:space="0" w:color="auto"/>
              <w:right w:val="single" w:sz="4" w:space="0" w:color="auto"/>
            </w:tcBorders>
            <w:shd w:val="clear" w:color="auto" w:fill="FFFAFA"/>
            <w:vAlign w:val="center"/>
          </w:tcPr>
          <w:p w14:paraId="77F331E9"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14.530,20</w:t>
            </w:r>
          </w:p>
        </w:tc>
        <w:tc>
          <w:tcPr>
            <w:tcW w:w="1374" w:type="dxa"/>
            <w:tcBorders>
              <w:top w:val="single" w:sz="4" w:space="0" w:color="auto"/>
              <w:left w:val="single" w:sz="4" w:space="0" w:color="auto"/>
              <w:bottom w:val="single" w:sz="4" w:space="0" w:color="auto"/>
              <w:right w:val="single" w:sz="4" w:space="0" w:color="auto"/>
            </w:tcBorders>
            <w:shd w:val="clear" w:color="auto" w:fill="FFFAFA"/>
            <w:vAlign w:val="center"/>
          </w:tcPr>
          <w:p w14:paraId="47CEB1A1"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23,25</w:t>
            </w:r>
          </w:p>
        </w:tc>
      </w:tr>
      <w:tr w:rsidR="00DC77CB" w:rsidRPr="00370DEE" w14:paraId="3D6CE915" w14:textId="77777777" w:rsidTr="00DC77CB">
        <w:tc>
          <w:tcPr>
            <w:tcW w:w="1254" w:type="dxa"/>
            <w:tcBorders>
              <w:top w:val="single" w:sz="4" w:space="0" w:color="auto"/>
              <w:left w:val="single" w:sz="4" w:space="0" w:color="auto"/>
              <w:bottom w:val="single" w:sz="4" w:space="0" w:color="auto"/>
              <w:right w:val="single" w:sz="4" w:space="0" w:color="auto"/>
            </w:tcBorders>
            <w:shd w:val="clear" w:color="auto" w:fill="FFFAFA"/>
          </w:tcPr>
          <w:p w14:paraId="7BF0C653"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kern w:val="2"/>
                <w:sz w:val="19"/>
                <w:szCs w:val="19"/>
                <w:lang w:eastAsia="zh-CN" w:bidi="hi-IN"/>
              </w:rPr>
              <w:t>2021</w:t>
            </w:r>
          </w:p>
        </w:tc>
        <w:tc>
          <w:tcPr>
            <w:tcW w:w="1082" w:type="dxa"/>
            <w:tcBorders>
              <w:top w:val="single" w:sz="4" w:space="0" w:color="auto"/>
              <w:left w:val="single" w:sz="4" w:space="0" w:color="auto"/>
              <w:bottom w:val="single" w:sz="4" w:space="0" w:color="auto"/>
              <w:right w:val="single" w:sz="4" w:space="0" w:color="auto"/>
            </w:tcBorders>
            <w:shd w:val="clear" w:color="auto" w:fill="FFFAFA"/>
            <w:vAlign w:val="center"/>
          </w:tcPr>
          <w:p w14:paraId="5EF55A02"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1T</w:t>
            </w:r>
          </w:p>
        </w:tc>
        <w:tc>
          <w:tcPr>
            <w:tcW w:w="1300" w:type="dxa"/>
            <w:tcBorders>
              <w:top w:val="single" w:sz="4" w:space="0" w:color="auto"/>
              <w:left w:val="single" w:sz="4" w:space="0" w:color="auto"/>
              <w:bottom w:val="single" w:sz="4" w:space="0" w:color="auto"/>
              <w:right w:val="single" w:sz="4" w:space="0" w:color="auto"/>
            </w:tcBorders>
            <w:shd w:val="clear" w:color="auto" w:fill="FFFAFA"/>
            <w:vAlign w:val="center"/>
          </w:tcPr>
          <w:p w14:paraId="058AE24F"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22,73</w:t>
            </w:r>
          </w:p>
        </w:tc>
        <w:tc>
          <w:tcPr>
            <w:tcW w:w="1367" w:type="dxa"/>
            <w:tcBorders>
              <w:top w:val="single" w:sz="4" w:space="0" w:color="auto"/>
              <w:left w:val="single" w:sz="4" w:space="0" w:color="auto"/>
              <w:bottom w:val="single" w:sz="4" w:space="0" w:color="auto"/>
              <w:right w:val="single" w:sz="4" w:space="0" w:color="auto"/>
            </w:tcBorders>
            <w:shd w:val="clear" w:color="auto" w:fill="FFFAFA"/>
            <w:vAlign w:val="center"/>
          </w:tcPr>
          <w:p w14:paraId="3C18B389"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5,38</w:t>
            </w:r>
          </w:p>
        </w:tc>
        <w:tc>
          <w:tcPr>
            <w:tcW w:w="1382" w:type="dxa"/>
            <w:tcBorders>
              <w:top w:val="single" w:sz="4" w:space="0" w:color="auto"/>
              <w:left w:val="single" w:sz="4" w:space="0" w:color="auto"/>
              <w:bottom w:val="single" w:sz="4" w:space="0" w:color="auto"/>
              <w:right w:val="single" w:sz="4" w:space="0" w:color="auto"/>
            </w:tcBorders>
            <w:shd w:val="clear" w:color="auto" w:fill="FFFAFA"/>
            <w:vAlign w:val="center"/>
          </w:tcPr>
          <w:p w14:paraId="1AAC6983"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139.148,65</w:t>
            </w:r>
          </w:p>
        </w:tc>
        <w:tc>
          <w:tcPr>
            <w:tcW w:w="1383" w:type="dxa"/>
            <w:tcBorders>
              <w:top w:val="single" w:sz="4" w:space="0" w:color="auto"/>
              <w:left w:val="single" w:sz="4" w:space="0" w:color="auto"/>
              <w:bottom w:val="single" w:sz="4" w:space="0" w:color="auto"/>
              <w:right w:val="single" w:sz="4" w:space="0" w:color="auto"/>
            </w:tcBorders>
            <w:shd w:val="clear" w:color="auto" w:fill="FFFAFA"/>
            <w:vAlign w:val="center"/>
          </w:tcPr>
          <w:p w14:paraId="635878CA"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kern w:val="2"/>
                <w:sz w:val="19"/>
                <w:szCs w:val="19"/>
                <w:lang w:eastAsia="zh-CN" w:bidi="hi-IN"/>
              </w:rPr>
              <w:t>7.252,04</w:t>
            </w:r>
          </w:p>
        </w:tc>
        <w:tc>
          <w:tcPr>
            <w:tcW w:w="1374" w:type="dxa"/>
            <w:tcBorders>
              <w:top w:val="single" w:sz="4" w:space="0" w:color="auto"/>
              <w:left w:val="single" w:sz="4" w:space="0" w:color="auto"/>
              <w:bottom w:val="single" w:sz="4" w:space="0" w:color="auto"/>
              <w:right w:val="single" w:sz="4" w:space="0" w:color="auto"/>
            </w:tcBorders>
            <w:shd w:val="clear" w:color="auto" w:fill="FFFAFA"/>
            <w:vAlign w:val="center"/>
          </w:tcPr>
          <w:p w14:paraId="541ED20C" w14:textId="77777777" w:rsidR="00DC77CB" w:rsidRPr="00370DEE" w:rsidRDefault="00DC77CB" w:rsidP="00DC77CB">
            <w:pPr>
              <w:widowControl w:val="0"/>
              <w:suppressAutoHyphens/>
              <w:spacing w:after="0" w:line="276" w:lineRule="auto"/>
              <w:jc w:val="center"/>
              <w:textAlignment w:val="baseline"/>
              <w:rPr>
                <w:rFonts w:ascii="Arial" w:eastAsia="NSimSun" w:hAnsi="Arial" w:cs="Arial"/>
                <w:kern w:val="2"/>
                <w:sz w:val="19"/>
                <w:szCs w:val="19"/>
                <w:lang w:eastAsia="zh-CN" w:bidi="hi-IN"/>
              </w:rPr>
            </w:pPr>
            <w:r w:rsidRPr="00370DEE">
              <w:rPr>
                <w:rFonts w:ascii="Arial" w:eastAsia="NSimSun" w:hAnsi="Arial" w:cs="Arial"/>
                <w:color w:val="0C0C0C"/>
                <w:kern w:val="2"/>
                <w:sz w:val="19"/>
                <w:szCs w:val="19"/>
                <w:lang w:eastAsia="zh-CN" w:bidi="hi-IN"/>
              </w:rPr>
              <w:t>21,87</w:t>
            </w:r>
          </w:p>
        </w:tc>
      </w:tr>
    </w:tbl>
    <w:p w14:paraId="38AB4CB6" w14:textId="382A474F" w:rsidR="009E2AB6" w:rsidRDefault="009E2AB6" w:rsidP="00AD6163">
      <w:pPr>
        <w:spacing w:after="240" w:line="276" w:lineRule="auto"/>
        <w:jc w:val="both"/>
        <w:rPr>
          <w:rFonts w:ascii="Arial" w:eastAsia="Droid Sans Fallback" w:hAnsi="Arial" w:cs="Arial"/>
          <w:kern w:val="3"/>
          <w:sz w:val="21"/>
          <w:szCs w:val="21"/>
          <w:lang w:eastAsia="zh-CN" w:bidi="hi-IN"/>
        </w:rPr>
      </w:pPr>
    </w:p>
    <w:p w14:paraId="48FE7744" w14:textId="77777777" w:rsidR="00B22A68" w:rsidRDefault="00B22A68" w:rsidP="00AD6163">
      <w:pPr>
        <w:spacing w:after="240" w:line="276" w:lineRule="auto"/>
        <w:jc w:val="both"/>
        <w:rPr>
          <w:rFonts w:ascii="Arial" w:eastAsia="Droid Sans Fallback" w:hAnsi="Arial" w:cs="Arial"/>
          <w:kern w:val="3"/>
          <w:sz w:val="21"/>
          <w:szCs w:val="21"/>
          <w:lang w:eastAsia="zh-CN" w:bidi="hi-IN"/>
        </w:rPr>
      </w:pPr>
    </w:p>
    <w:p w14:paraId="40869C99" w14:textId="02B27607" w:rsidR="00DC77CB" w:rsidRPr="00DC77CB" w:rsidRDefault="00DC77CB" w:rsidP="002F6080">
      <w:pPr>
        <w:pStyle w:val="Prrafodelista"/>
        <w:keepNext/>
        <w:numPr>
          <w:ilvl w:val="2"/>
          <w:numId w:val="190"/>
        </w:numPr>
        <w:spacing w:before="360" w:after="240" w:line="276" w:lineRule="auto"/>
        <w:ind w:left="851" w:hanging="851"/>
        <w:contextualSpacing w:val="0"/>
        <w:jc w:val="both"/>
        <w:outlineLvl w:val="2"/>
        <w:rPr>
          <w:rFonts w:ascii="Arial" w:eastAsia="Times New Roman" w:hAnsi="Arial" w:cs="Arial"/>
          <w:b/>
          <w:bCs/>
          <w:color w:val="9D2235" w:themeColor="accent1"/>
          <w:sz w:val="28"/>
          <w:szCs w:val="28"/>
          <w:lang w:eastAsia="es-ES"/>
        </w:rPr>
      </w:pPr>
      <w:bookmarkStart w:id="574" w:name="_Toc99107131"/>
      <w:r w:rsidRPr="00DC77CB">
        <w:rPr>
          <w:rFonts w:ascii="Arial" w:eastAsia="Times New Roman" w:hAnsi="Arial" w:cs="Arial"/>
          <w:b/>
          <w:bCs/>
          <w:color w:val="9D2235" w:themeColor="accent1"/>
          <w:sz w:val="28"/>
          <w:szCs w:val="28"/>
          <w:lang w:eastAsia="es-ES"/>
        </w:rPr>
        <w:t>Contratación</w:t>
      </w:r>
      <w:bookmarkEnd w:id="574"/>
    </w:p>
    <w:p w14:paraId="368B3C02" w14:textId="77777777" w:rsidR="00DC77CB" w:rsidRPr="00DC77CB" w:rsidRDefault="00DC77CB" w:rsidP="00DC77CB">
      <w:pPr>
        <w:spacing w:after="240" w:line="276" w:lineRule="auto"/>
        <w:jc w:val="both"/>
        <w:rPr>
          <w:rFonts w:ascii="Arial" w:eastAsia="Droid Sans Fallback" w:hAnsi="Arial" w:cs="Arial"/>
          <w:kern w:val="3"/>
          <w:sz w:val="21"/>
          <w:szCs w:val="21"/>
          <w:lang w:eastAsia="zh-CN" w:bidi="hi-IN"/>
        </w:rPr>
      </w:pPr>
      <w:r w:rsidRPr="00DC77CB">
        <w:rPr>
          <w:rFonts w:ascii="Arial" w:eastAsia="Droid Sans Fallback" w:hAnsi="Arial" w:cs="Arial"/>
          <w:kern w:val="3"/>
          <w:sz w:val="21"/>
          <w:szCs w:val="21"/>
          <w:lang w:eastAsia="zh-CN" w:bidi="hi-IN"/>
        </w:rPr>
        <w:t>La disposición adicional única de la Ley 11/2016 establece que la contratación de la AVAF debe ajustarse a la legislación sobre contratos del sector público.</w:t>
      </w:r>
    </w:p>
    <w:p w14:paraId="45C6AF5D" w14:textId="77777777" w:rsidR="00DC77CB" w:rsidRPr="00DC77CB" w:rsidRDefault="00DC77CB" w:rsidP="00DC77CB">
      <w:pPr>
        <w:spacing w:after="240" w:line="276" w:lineRule="auto"/>
        <w:jc w:val="both"/>
        <w:rPr>
          <w:rFonts w:ascii="Arial" w:eastAsia="Droid Sans Fallback" w:hAnsi="Arial" w:cs="Arial"/>
          <w:kern w:val="3"/>
          <w:sz w:val="21"/>
          <w:szCs w:val="21"/>
          <w:lang w:eastAsia="zh-CN" w:bidi="hi-IN"/>
        </w:rPr>
      </w:pPr>
      <w:r w:rsidRPr="00DC77CB">
        <w:rPr>
          <w:rFonts w:ascii="Arial" w:eastAsia="Droid Sans Fallback" w:hAnsi="Arial" w:cs="Arial"/>
          <w:kern w:val="3"/>
          <w:sz w:val="21"/>
          <w:szCs w:val="21"/>
          <w:lang w:eastAsia="zh-CN" w:bidi="hi-IN"/>
        </w:rPr>
        <w:t>Conforme a lo dispuesto en el artículo 80.2 del Reglamento de funcionamiento y régimen interior, la persona titular de la Dirección de la AVAF es el órgano de contratación de la misma. Con arreglo a lo prevenido en dicho precepto, la contratación de la Agencia se articula sobre la contratación centralizada, formalizando los correspondientes contratos derivados, y la contratación propia.</w:t>
      </w:r>
    </w:p>
    <w:p w14:paraId="77FC2B61" w14:textId="77777777" w:rsidR="00DC77CB" w:rsidRPr="00DC77CB" w:rsidRDefault="00DC77CB" w:rsidP="00DC77CB">
      <w:pPr>
        <w:spacing w:after="240" w:line="276" w:lineRule="auto"/>
        <w:jc w:val="both"/>
        <w:rPr>
          <w:rFonts w:ascii="Arial" w:eastAsia="Droid Sans Fallback" w:hAnsi="Arial" w:cs="Arial"/>
          <w:kern w:val="3"/>
          <w:sz w:val="21"/>
          <w:szCs w:val="21"/>
          <w:lang w:eastAsia="zh-CN" w:bidi="hi-IN"/>
        </w:rPr>
      </w:pPr>
      <w:r w:rsidRPr="00DC77CB">
        <w:rPr>
          <w:rFonts w:ascii="Arial" w:eastAsia="Droid Sans Fallback" w:hAnsi="Arial" w:cs="Arial"/>
          <w:kern w:val="3"/>
          <w:sz w:val="21"/>
          <w:szCs w:val="21"/>
          <w:lang w:eastAsia="zh-CN" w:bidi="hi-IN"/>
        </w:rPr>
        <w:t>En las siguientes tablas y gráficas se expone resumidamente la actividad contractual de la Agencia en el año 2021.</w:t>
      </w:r>
    </w:p>
    <w:p w14:paraId="5434916A" w14:textId="7E59DE01" w:rsidR="00DC77CB" w:rsidRDefault="00DC77CB" w:rsidP="00DC77CB">
      <w:pPr>
        <w:spacing w:after="240" w:line="276" w:lineRule="auto"/>
        <w:jc w:val="both"/>
        <w:rPr>
          <w:rFonts w:ascii="Arial" w:eastAsia="Droid Sans Fallback" w:hAnsi="Arial" w:cs="Arial"/>
          <w:kern w:val="3"/>
          <w:sz w:val="21"/>
          <w:szCs w:val="21"/>
          <w:lang w:eastAsia="zh-CN" w:bidi="hi-IN"/>
        </w:rPr>
      </w:pPr>
      <w:r w:rsidRPr="00DC77CB">
        <w:rPr>
          <w:rFonts w:ascii="Arial" w:eastAsia="Droid Sans Fallback" w:hAnsi="Arial" w:cs="Arial"/>
          <w:kern w:val="3"/>
          <w:sz w:val="21"/>
          <w:szCs w:val="21"/>
          <w:lang w:eastAsia="zh-CN" w:bidi="hi-IN"/>
        </w:rPr>
        <w:t xml:space="preserve">La relación completa de las contrataciones puede obtenerse en la página web de la Agencia, a través de su Portal de Transparencia </w:t>
      </w:r>
      <w:hyperlink r:id="rId543" w:history="1">
        <w:r w:rsidRPr="00DC77CB">
          <w:rPr>
            <w:rStyle w:val="Hipervnculo"/>
            <w:rFonts w:ascii="Arial" w:eastAsia="Droid Sans Fallback" w:hAnsi="Arial" w:cs="Arial"/>
            <w:kern w:val="3"/>
            <w:sz w:val="21"/>
            <w:szCs w:val="21"/>
            <w:lang w:eastAsia="zh-CN" w:bidi="hi-IN"/>
          </w:rPr>
          <w:t>https://www.antifraucv.es/contratacion/</w:t>
        </w:r>
      </w:hyperlink>
      <w:r w:rsidRPr="00DC77CB">
        <w:rPr>
          <w:rFonts w:ascii="Arial" w:eastAsia="Droid Sans Fallback" w:hAnsi="Arial" w:cs="Arial"/>
          <w:kern w:val="3"/>
          <w:sz w:val="21"/>
          <w:szCs w:val="21"/>
          <w:lang w:eastAsia="zh-CN" w:bidi="hi-IN"/>
        </w:rPr>
        <w:t>.</w:t>
      </w:r>
    </w:p>
    <w:p w14:paraId="546EE55F" w14:textId="6532562D" w:rsidR="00DC77CB" w:rsidRDefault="00DC77CB" w:rsidP="00AD6163">
      <w:pPr>
        <w:spacing w:after="240" w:line="276" w:lineRule="auto"/>
        <w:jc w:val="both"/>
        <w:rPr>
          <w:rFonts w:ascii="Arial" w:eastAsia="Droid Sans Fallback" w:hAnsi="Arial" w:cs="Arial"/>
          <w:kern w:val="3"/>
          <w:sz w:val="21"/>
          <w:szCs w:val="21"/>
          <w:lang w:eastAsia="zh-CN" w:bidi="hi-IN"/>
        </w:rPr>
      </w:pPr>
    </w:p>
    <w:p w14:paraId="5720DA75" w14:textId="77777777" w:rsidR="00B22A68" w:rsidRDefault="00B22A68" w:rsidP="00AD6163">
      <w:pPr>
        <w:spacing w:after="240" w:line="276" w:lineRule="auto"/>
        <w:jc w:val="both"/>
        <w:rPr>
          <w:rFonts w:ascii="Arial" w:eastAsia="Droid Sans Fallback" w:hAnsi="Arial" w:cs="Arial"/>
          <w:kern w:val="3"/>
          <w:sz w:val="21"/>
          <w:szCs w:val="21"/>
          <w:lang w:eastAsia="zh-CN" w:bidi="hi-IN"/>
        </w:rPr>
      </w:pPr>
    </w:p>
    <w:p w14:paraId="73722342" w14:textId="09A76906" w:rsidR="00B22A68" w:rsidRPr="00B22A68" w:rsidRDefault="00B22A68" w:rsidP="00B22A68">
      <w:pPr>
        <w:pStyle w:val="Descripcin"/>
        <w:keepNext/>
        <w:jc w:val="center"/>
        <w:rPr>
          <w:rFonts w:ascii="Arial" w:hAnsi="Arial" w:cs="Arial"/>
          <w:smallCaps w:val="0"/>
          <w:sz w:val="18"/>
          <w:szCs w:val="18"/>
        </w:rPr>
      </w:pPr>
      <w:bookmarkStart w:id="575" w:name="_Toc99107181"/>
      <w:r w:rsidRPr="00B22A68">
        <w:rPr>
          <w:rFonts w:ascii="Arial" w:hAnsi="Arial" w:cs="Arial"/>
          <w:smallCaps w:val="0"/>
          <w:color w:val="9D2235" w:themeColor="accent1"/>
          <w:sz w:val="18"/>
          <w:szCs w:val="18"/>
        </w:rPr>
        <w:t xml:space="preserve">Tabla </w:t>
      </w:r>
      <w:r w:rsidRPr="00B22A68">
        <w:rPr>
          <w:rFonts w:ascii="Arial" w:hAnsi="Arial" w:cs="Arial"/>
          <w:smallCaps w:val="0"/>
          <w:color w:val="9D2235" w:themeColor="accent1"/>
          <w:sz w:val="18"/>
          <w:szCs w:val="18"/>
        </w:rPr>
        <w:fldChar w:fldCharType="begin" w:fldLock="1"/>
      </w:r>
      <w:r w:rsidRPr="00B22A68">
        <w:rPr>
          <w:rFonts w:ascii="Arial" w:hAnsi="Arial" w:cs="Arial"/>
          <w:smallCaps w:val="0"/>
          <w:color w:val="9D2235" w:themeColor="accent1"/>
          <w:sz w:val="18"/>
          <w:szCs w:val="18"/>
        </w:rPr>
        <w:instrText xml:space="preserve"> SEQ Tabla \* ARABIC </w:instrText>
      </w:r>
      <w:r w:rsidRPr="00B22A68">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43</w:t>
      </w:r>
      <w:r w:rsidRPr="00B22A68">
        <w:rPr>
          <w:rFonts w:ascii="Arial" w:hAnsi="Arial" w:cs="Arial"/>
          <w:smallCaps w:val="0"/>
          <w:color w:val="9D2235" w:themeColor="accent1"/>
          <w:sz w:val="18"/>
          <w:szCs w:val="18"/>
        </w:rPr>
        <w:fldChar w:fldCharType="end"/>
      </w:r>
      <w:r w:rsidRPr="00B22A68">
        <w:rPr>
          <w:rFonts w:ascii="Arial" w:hAnsi="Arial" w:cs="Arial"/>
          <w:smallCaps w:val="0"/>
          <w:color w:val="9D2235" w:themeColor="accent1"/>
          <w:sz w:val="18"/>
          <w:szCs w:val="18"/>
        </w:rPr>
        <w:t xml:space="preserve">. </w:t>
      </w:r>
      <w:r w:rsidRPr="00B22A68">
        <w:rPr>
          <w:rFonts w:ascii="Arial" w:hAnsi="Arial" w:cs="Arial"/>
          <w:smallCaps w:val="0"/>
          <w:sz w:val="18"/>
          <w:szCs w:val="18"/>
        </w:rPr>
        <w:t>Resumen de la actividad contractual por tipo de contrato</w:t>
      </w:r>
      <w:bookmarkEnd w:id="575"/>
    </w:p>
    <w:tbl>
      <w:tblPr>
        <w:tblW w:w="6499" w:type="dxa"/>
        <w:jc w:val="center"/>
        <w:tblCellMar>
          <w:left w:w="70" w:type="dxa"/>
          <w:right w:w="70" w:type="dxa"/>
        </w:tblCellMar>
        <w:tblLook w:val="04A0" w:firstRow="1" w:lastRow="0" w:firstColumn="1" w:lastColumn="0" w:noHBand="0" w:noVBand="1"/>
      </w:tblPr>
      <w:tblGrid>
        <w:gridCol w:w="1417"/>
        <w:gridCol w:w="2289"/>
        <w:gridCol w:w="1520"/>
        <w:gridCol w:w="1273"/>
      </w:tblGrid>
      <w:tr w:rsidR="00DC77CB" w:rsidRPr="00DC77CB" w14:paraId="14612E93" w14:textId="77777777" w:rsidTr="00B22A68">
        <w:trPr>
          <w:jc w:val="center"/>
        </w:trPr>
        <w:tc>
          <w:tcPr>
            <w:tcW w:w="1417" w:type="dxa"/>
            <w:tcBorders>
              <w:top w:val="single" w:sz="4" w:space="0" w:color="666666"/>
              <w:left w:val="single" w:sz="4" w:space="0" w:color="666666"/>
              <w:bottom w:val="single" w:sz="4" w:space="0" w:color="666666"/>
              <w:right w:val="nil"/>
            </w:tcBorders>
            <w:shd w:val="clear" w:color="9D2235" w:fill="9D2235"/>
            <w:vAlign w:val="center"/>
            <w:hideMark/>
          </w:tcPr>
          <w:p w14:paraId="3B556F07" w14:textId="77777777" w:rsidR="00DC77CB" w:rsidRPr="00DC77CB" w:rsidRDefault="00DC77CB" w:rsidP="00DC77CB">
            <w:pPr>
              <w:jc w:val="center"/>
              <w:rPr>
                <w:rFonts w:ascii="Arial" w:eastAsia="Times New Roman" w:hAnsi="Arial" w:cs="Arial"/>
                <w:b/>
                <w:bCs/>
                <w:color w:val="FFFFFF"/>
                <w:sz w:val="18"/>
                <w:szCs w:val="18"/>
                <w:lang w:eastAsia="es-ES"/>
              </w:rPr>
            </w:pPr>
            <w:r w:rsidRPr="00DC77CB">
              <w:rPr>
                <w:rFonts w:ascii="Arial" w:eastAsia="Times New Roman" w:hAnsi="Arial" w:cs="Arial"/>
                <w:b/>
                <w:bCs/>
                <w:color w:val="FFFFFF"/>
                <w:sz w:val="18"/>
                <w:szCs w:val="18"/>
                <w:lang w:eastAsia="es-ES"/>
              </w:rPr>
              <w:t>Tipo de contrato</w:t>
            </w:r>
          </w:p>
        </w:tc>
        <w:tc>
          <w:tcPr>
            <w:tcW w:w="2289" w:type="dxa"/>
            <w:tcBorders>
              <w:top w:val="single" w:sz="4" w:space="0" w:color="666666"/>
              <w:left w:val="nil"/>
              <w:bottom w:val="single" w:sz="4" w:space="0" w:color="666666"/>
              <w:right w:val="nil"/>
            </w:tcBorders>
            <w:shd w:val="clear" w:color="9D2235" w:fill="9D2235"/>
            <w:vAlign w:val="center"/>
            <w:hideMark/>
          </w:tcPr>
          <w:p w14:paraId="57912334" w14:textId="77777777" w:rsidR="00DC77CB" w:rsidRPr="00DC77CB" w:rsidRDefault="00DC77CB" w:rsidP="00DC77CB">
            <w:pPr>
              <w:jc w:val="center"/>
              <w:rPr>
                <w:rFonts w:ascii="Arial" w:eastAsia="Times New Roman" w:hAnsi="Arial" w:cs="Arial"/>
                <w:b/>
                <w:bCs/>
                <w:color w:val="FFFFFF"/>
                <w:sz w:val="18"/>
                <w:szCs w:val="18"/>
                <w:lang w:eastAsia="es-ES"/>
              </w:rPr>
            </w:pPr>
            <w:r w:rsidRPr="00DC77CB">
              <w:rPr>
                <w:rFonts w:ascii="Arial" w:eastAsia="Times New Roman" w:hAnsi="Arial" w:cs="Arial"/>
                <w:b/>
                <w:bCs/>
                <w:color w:val="FFFFFF"/>
                <w:sz w:val="18"/>
                <w:szCs w:val="18"/>
                <w:lang w:eastAsia="es-ES"/>
              </w:rPr>
              <w:t>Procedimiento de adjudicación</w:t>
            </w:r>
          </w:p>
        </w:tc>
        <w:tc>
          <w:tcPr>
            <w:tcW w:w="1520" w:type="dxa"/>
            <w:tcBorders>
              <w:top w:val="single" w:sz="4" w:space="0" w:color="666666"/>
              <w:left w:val="nil"/>
              <w:bottom w:val="single" w:sz="4" w:space="0" w:color="666666"/>
              <w:right w:val="nil"/>
            </w:tcBorders>
            <w:shd w:val="clear" w:color="9D2235" w:fill="9D2235"/>
            <w:vAlign w:val="center"/>
            <w:hideMark/>
          </w:tcPr>
          <w:p w14:paraId="76005C8D" w14:textId="77777777" w:rsidR="00DC77CB" w:rsidRPr="00DC77CB" w:rsidRDefault="00DC77CB" w:rsidP="00DC77CB">
            <w:pPr>
              <w:jc w:val="center"/>
              <w:rPr>
                <w:rFonts w:ascii="Arial" w:eastAsia="Times New Roman" w:hAnsi="Arial" w:cs="Arial"/>
                <w:b/>
                <w:bCs/>
                <w:color w:val="FFFFFF"/>
                <w:sz w:val="18"/>
                <w:szCs w:val="18"/>
                <w:lang w:eastAsia="es-ES"/>
              </w:rPr>
            </w:pPr>
            <w:r w:rsidRPr="00DC77CB">
              <w:rPr>
                <w:rFonts w:ascii="Arial" w:eastAsia="Times New Roman" w:hAnsi="Arial" w:cs="Arial"/>
                <w:b/>
                <w:bCs/>
                <w:color w:val="FFFFFF"/>
                <w:sz w:val="18"/>
                <w:szCs w:val="18"/>
                <w:lang w:eastAsia="es-ES"/>
              </w:rPr>
              <w:t xml:space="preserve">Núm. Contratos </w:t>
            </w:r>
            <w:r w:rsidRPr="00DC77CB">
              <w:rPr>
                <w:rFonts w:ascii="Arial" w:eastAsia="Times New Roman" w:hAnsi="Arial" w:cs="Arial"/>
                <w:color w:val="000000"/>
                <w:sz w:val="18"/>
                <w:szCs w:val="18"/>
                <w:lang w:eastAsia="es-ES"/>
              </w:rPr>
              <w:t>(1)</w:t>
            </w:r>
          </w:p>
        </w:tc>
        <w:tc>
          <w:tcPr>
            <w:tcW w:w="1273" w:type="dxa"/>
            <w:tcBorders>
              <w:top w:val="single" w:sz="4" w:space="0" w:color="666666"/>
              <w:left w:val="nil"/>
              <w:bottom w:val="single" w:sz="4" w:space="0" w:color="666666"/>
              <w:right w:val="single" w:sz="4" w:space="0" w:color="666666"/>
            </w:tcBorders>
            <w:shd w:val="clear" w:color="9D2235" w:fill="9D2235"/>
            <w:vAlign w:val="center"/>
            <w:hideMark/>
          </w:tcPr>
          <w:p w14:paraId="06EB8530" w14:textId="77777777" w:rsidR="00DC77CB" w:rsidRPr="00DC77CB" w:rsidRDefault="00DC77CB" w:rsidP="00DC77CB">
            <w:pPr>
              <w:jc w:val="center"/>
              <w:rPr>
                <w:rFonts w:ascii="Arial" w:eastAsia="Times New Roman" w:hAnsi="Arial" w:cs="Arial"/>
                <w:b/>
                <w:bCs/>
                <w:color w:val="FFFFFF"/>
                <w:sz w:val="18"/>
                <w:szCs w:val="18"/>
                <w:lang w:eastAsia="es-ES"/>
              </w:rPr>
            </w:pPr>
            <w:r w:rsidRPr="00DC77CB">
              <w:rPr>
                <w:rFonts w:ascii="Arial" w:eastAsia="Times New Roman" w:hAnsi="Arial" w:cs="Arial"/>
                <w:b/>
                <w:bCs/>
                <w:color w:val="FFFFFF"/>
                <w:sz w:val="18"/>
                <w:szCs w:val="18"/>
                <w:lang w:eastAsia="es-ES"/>
              </w:rPr>
              <w:t>Importe adjudicación</w:t>
            </w:r>
            <w:r w:rsidRPr="00DC77CB">
              <w:rPr>
                <w:rFonts w:ascii="Arial" w:eastAsia="Times New Roman" w:hAnsi="Arial" w:cs="Arial"/>
                <w:b/>
                <w:bCs/>
                <w:color w:val="FFFFFF"/>
                <w:sz w:val="18"/>
                <w:szCs w:val="18"/>
                <w:lang w:eastAsia="es-ES"/>
              </w:rPr>
              <w:br/>
              <w:t>(sin IVA)</w:t>
            </w:r>
          </w:p>
        </w:tc>
      </w:tr>
      <w:tr w:rsidR="00DC77CB" w:rsidRPr="00DC77CB" w14:paraId="651F83B2" w14:textId="77777777" w:rsidTr="00B22A68">
        <w:trPr>
          <w:trHeight w:val="330"/>
          <w:jc w:val="center"/>
        </w:trPr>
        <w:tc>
          <w:tcPr>
            <w:tcW w:w="1417" w:type="dxa"/>
            <w:vMerge w:val="restart"/>
            <w:tcBorders>
              <w:top w:val="nil"/>
              <w:left w:val="single" w:sz="4" w:space="0" w:color="9D2235"/>
              <w:bottom w:val="single" w:sz="4" w:space="0" w:color="9D2235"/>
              <w:right w:val="nil"/>
            </w:tcBorders>
            <w:shd w:val="clear" w:color="FFFFFF" w:fill="FFFFFF"/>
            <w:noWrap/>
            <w:vAlign w:val="center"/>
            <w:hideMark/>
          </w:tcPr>
          <w:p w14:paraId="6F44705A"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Servicios</w:t>
            </w:r>
          </w:p>
        </w:tc>
        <w:tc>
          <w:tcPr>
            <w:tcW w:w="2289" w:type="dxa"/>
            <w:tcBorders>
              <w:top w:val="nil"/>
              <w:left w:val="nil"/>
              <w:bottom w:val="single" w:sz="4" w:space="0" w:color="9D2235"/>
              <w:right w:val="nil"/>
            </w:tcBorders>
            <w:shd w:val="clear" w:color="FFFFFF" w:fill="FFFFFF"/>
            <w:noWrap/>
            <w:vAlign w:val="center"/>
            <w:hideMark/>
          </w:tcPr>
          <w:p w14:paraId="2F971A51" w14:textId="77777777" w:rsidR="00DC77CB" w:rsidRPr="00DC77CB" w:rsidRDefault="00DC77CB" w:rsidP="00DC77CB">
            <w:pP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Menor</w:t>
            </w:r>
          </w:p>
        </w:tc>
        <w:tc>
          <w:tcPr>
            <w:tcW w:w="1520" w:type="dxa"/>
            <w:tcBorders>
              <w:top w:val="nil"/>
              <w:left w:val="nil"/>
              <w:bottom w:val="single" w:sz="4" w:space="0" w:color="9D2235"/>
              <w:right w:val="nil"/>
            </w:tcBorders>
            <w:shd w:val="clear" w:color="auto" w:fill="auto"/>
            <w:noWrap/>
            <w:vAlign w:val="bottom"/>
            <w:hideMark/>
          </w:tcPr>
          <w:p w14:paraId="52D96560"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32</w:t>
            </w:r>
          </w:p>
        </w:tc>
        <w:tc>
          <w:tcPr>
            <w:tcW w:w="1273" w:type="dxa"/>
            <w:tcBorders>
              <w:top w:val="nil"/>
              <w:left w:val="nil"/>
              <w:bottom w:val="single" w:sz="4" w:space="0" w:color="9D2235"/>
              <w:right w:val="single" w:sz="4" w:space="0" w:color="9D2235"/>
            </w:tcBorders>
            <w:shd w:val="clear" w:color="auto" w:fill="auto"/>
            <w:noWrap/>
            <w:vAlign w:val="center"/>
            <w:hideMark/>
          </w:tcPr>
          <w:p w14:paraId="7912E671"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68.516,38</w:t>
            </w:r>
          </w:p>
        </w:tc>
      </w:tr>
      <w:tr w:rsidR="00DC77CB" w:rsidRPr="00DC77CB" w14:paraId="17A7F782" w14:textId="77777777" w:rsidTr="00B22A68">
        <w:trPr>
          <w:trHeight w:val="330"/>
          <w:jc w:val="center"/>
        </w:trPr>
        <w:tc>
          <w:tcPr>
            <w:tcW w:w="1417" w:type="dxa"/>
            <w:vMerge/>
            <w:tcBorders>
              <w:top w:val="nil"/>
              <w:left w:val="single" w:sz="4" w:space="0" w:color="9D2235"/>
              <w:bottom w:val="single" w:sz="4" w:space="0" w:color="9D2235"/>
              <w:right w:val="nil"/>
            </w:tcBorders>
            <w:vAlign w:val="center"/>
            <w:hideMark/>
          </w:tcPr>
          <w:p w14:paraId="050C2D3E" w14:textId="77777777" w:rsidR="00DC77CB" w:rsidRPr="00DC77CB" w:rsidRDefault="00DC77CB" w:rsidP="00DC77CB">
            <w:pPr>
              <w:rPr>
                <w:rFonts w:ascii="Arial" w:eastAsia="Times New Roman" w:hAnsi="Arial" w:cs="Arial"/>
                <w:color w:val="000000"/>
                <w:sz w:val="18"/>
                <w:szCs w:val="18"/>
                <w:lang w:eastAsia="es-ES"/>
              </w:rPr>
            </w:pPr>
          </w:p>
        </w:tc>
        <w:tc>
          <w:tcPr>
            <w:tcW w:w="2289" w:type="dxa"/>
            <w:tcBorders>
              <w:top w:val="nil"/>
              <w:left w:val="nil"/>
              <w:bottom w:val="single" w:sz="4" w:space="0" w:color="9D2235"/>
              <w:right w:val="nil"/>
            </w:tcBorders>
            <w:shd w:val="clear" w:color="FFFFFF" w:fill="FFFFFF"/>
            <w:noWrap/>
            <w:vAlign w:val="center"/>
            <w:hideMark/>
          </w:tcPr>
          <w:p w14:paraId="3F305461" w14:textId="77777777" w:rsidR="00DC77CB" w:rsidRPr="00DC77CB" w:rsidRDefault="00DC77CB" w:rsidP="00DC77CB">
            <w:pP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Abierto</w:t>
            </w:r>
          </w:p>
        </w:tc>
        <w:tc>
          <w:tcPr>
            <w:tcW w:w="1520" w:type="dxa"/>
            <w:tcBorders>
              <w:top w:val="nil"/>
              <w:left w:val="nil"/>
              <w:bottom w:val="single" w:sz="4" w:space="0" w:color="9D2235"/>
              <w:right w:val="nil"/>
            </w:tcBorders>
            <w:shd w:val="clear" w:color="auto" w:fill="auto"/>
            <w:noWrap/>
            <w:vAlign w:val="bottom"/>
            <w:hideMark/>
          </w:tcPr>
          <w:p w14:paraId="3C21D133"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1</w:t>
            </w:r>
          </w:p>
        </w:tc>
        <w:tc>
          <w:tcPr>
            <w:tcW w:w="1273" w:type="dxa"/>
            <w:tcBorders>
              <w:top w:val="nil"/>
              <w:left w:val="nil"/>
              <w:bottom w:val="single" w:sz="4" w:space="0" w:color="9D2235"/>
              <w:right w:val="single" w:sz="4" w:space="0" w:color="9D2235"/>
            </w:tcBorders>
            <w:shd w:val="clear" w:color="auto" w:fill="auto"/>
            <w:noWrap/>
            <w:vAlign w:val="center"/>
            <w:hideMark/>
          </w:tcPr>
          <w:p w14:paraId="786361B3"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9.962,40</w:t>
            </w:r>
          </w:p>
        </w:tc>
      </w:tr>
      <w:tr w:rsidR="00DC77CB" w:rsidRPr="00DC77CB" w14:paraId="65C6E804" w14:textId="77777777" w:rsidTr="00B22A68">
        <w:trPr>
          <w:trHeight w:val="330"/>
          <w:jc w:val="center"/>
        </w:trPr>
        <w:tc>
          <w:tcPr>
            <w:tcW w:w="1417" w:type="dxa"/>
            <w:vMerge/>
            <w:tcBorders>
              <w:top w:val="nil"/>
              <w:left w:val="single" w:sz="4" w:space="0" w:color="9D2235"/>
              <w:bottom w:val="single" w:sz="4" w:space="0" w:color="9D2235"/>
              <w:right w:val="nil"/>
            </w:tcBorders>
            <w:vAlign w:val="center"/>
            <w:hideMark/>
          </w:tcPr>
          <w:p w14:paraId="21CEE3DC" w14:textId="77777777" w:rsidR="00DC77CB" w:rsidRPr="00DC77CB" w:rsidRDefault="00DC77CB" w:rsidP="00DC77CB">
            <w:pPr>
              <w:rPr>
                <w:rFonts w:ascii="Arial" w:eastAsia="Times New Roman" w:hAnsi="Arial" w:cs="Arial"/>
                <w:color w:val="000000"/>
                <w:sz w:val="18"/>
                <w:szCs w:val="18"/>
                <w:lang w:eastAsia="es-ES"/>
              </w:rPr>
            </w:pPr>
          </w:p>
        </w:tc>
        <w:tc>
          <w:tcPr>
            <w:tcW w:w="2289" w:type="dxa"/>
            <w:tcBorders>
              <w:top w:val="nil"/>
              <w:left w:val="nil"/>
              <w:bottom w:val="single" w:sz="4" w:space="0" w:color="9D2235"/>
              <w:right w:val="nil"/>
            </w:tcBorders>
            <w:shd w:val="clear" w:color="FFFFFF" w:fill="FFFFFF"/>
            <w:noWrap/>
            <w:vAlign w:val="center"/>
            <w:hideMark/>
          </w:tcPr>
          <w:p w14:paraId="19083A27" w14:textId="77777777" w:rsidR="00DC77CB" w:rsidRPr="00DC77CB" w:rsidRDefault="00DC77CB" w:rsidP="00DC77CB">
            <w:pP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Abierto/Modificaciones</w:t>
            </w:r>
          </w:p>
        </w:tc>
        <w:tc>
          <w:tcPr>
            <w:tcW w:w="1520" w:type="dxa"/>
            <w:tcBorders>
              <w:top w:val="nil"/>
              <w:left w:val="nil"/>
              <w:bottom w:val="single" w:sz="4" w:space="0" w:color="9D2235"/>
              <w:right w:val="nil"/>
            </w:tcBorders>
            <w:shd w:val="clear" w:color="auto" w:fill="auto"/>
            <w:noWrap/>
            <w:vAlign w:val="bottom"/>
            <w:hideMark/>
          </w:tcPr>
          <w:p w14:paraId="6BABABBA"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1</w:t>
            </w:r>
          </w:p>
        </w:tc>
        <w:tc>
          <w:tcPr>
            <w:tcW w:w="1273" w:type="dxa"/>
            <w:tcBorders>
              <w:top w:val="nil"/>
              <w:left w:val="nil"/>
              <w:bottom w:val="single" w:sz="4" w:space="0" w:color="9D2235"/>
              <w:right w:val="single" w:sz="4" w:space="0" w:color="9D2235"/>
            </w:tcBorders>
            <w:shd w:val="clear" w:color="auto" w:fill="auto"/>
            <w:noWrap/>
            <w:vAlign w:val="center"/>
            <w:hideMark/>
          </w:tcPr>
          <w:p w14:paraId="33E7FC4D"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1.796,77</w:t>
            </w:r>
          </w:p>
        </w:tc>
      </w:tr>
      <w:tr w:rsidR="00DC77CB" w:rsidRPr="00DC77CB" w14:paraId="14798A4D" w14:textId="77777777" w:rsidTr="00B22A68">
        <w:trPr>
          <w:trHeight w:val="330"/>
          <w:jc w:val="center"/>
        </w:trPr>
        <w:tc>
          <w:tcPr>
            <w:tcW w:w="1417" w:type="dxa"/>
            <w:vMerge/>
            <w:tcBorders>
              <w:top w:val="nil"/>
              <w:left w:val="single" w:sz="4" w:space="0" w:color="9D2235"/>
              <w:bottom w:val="single" w:sz="4" w:space="0" w:color="9D2235"/>
              <w:right w:val="nil"/>
            </w:tcBorders>
            <w:vAlign w:val="center"/>
            <w:hideMark/>
          </w:tcPr>
          <w:p w14:paraId="1ABFDDB0" w14:textId="77777777" w:rsidR="00DC77CB" w:rsidRPr="00DC77CB" w:rsidRDefault="00DC77CB" w:rsidP="00DC77CB">
            <w:pPr>
              <w:rPr>
                <w:rFonts w:ascii="Arial" w:eastAsia="Times New Roman" w:hAnsi="Arial" w:cs="Arial"/>
                <w:color w:val="000000"/>
                <w:sz w:val="18"/>
                <w:szCs w:val="18"/>
                <w:lang w:eastAsia="es-ES"/>
              </w:rPr>
            </w:pPr>
          </w:p>
        </w:tc>
        <w:tc>
          <w:tcPr>
            <w:tcW w:w="2289" w:type="dxa"/>
            <w:tcBorders>
              <w:top w:val="nil"/>
              <w:left w:val="nil"/>
              <w:bottom w:val="single" w:sz="4" w:space="0" w:color="9D2235"/>
              <w:right w:val="nil"/>
            </w:tcBorders>
            <w:shd w:val="clear" w:color="FFFFFF" w:fill="FFFFFF"/>
            <w:noWrap/>
            <w:vAlign w:val="center"/>
            <w:hideMark/>
          </w:tcPr>
          <w:p w14:paraId="4DA8628F" w14:textId="77777777" w:rsidR="00DC77CB" w:rsidRPr="00DC77CB" w:rsidRDefault="00DC77CB" w:rsidP="00DC77CB">
            <w:pP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Basado en Acuerdo Marco</w:t>
            </w:r>
          </w:p>
        </w:tc>
        <w:tc>
          <w:tcPr>
            <w:tcW w:w="1520" w:type="dxa"/>
            <w:tcBorders>
              <w:top w:val="nil"/>
              <w:left w:val="nil"/>
              <w:bottom w:val="single" w:sz="4" w:space="0" w:color="9D2235"/>
              <w:right w:val="nil"/>
            </w:tcBorders>
            <w:shd w:val="clear" w:color="auto" w:fill="auto"/>
            <w:noWrap/>
            <w:vAlign w:val="bottom"/>
            <w:hideMark/>
          </w:tcPr>
          <w:p w14:paraId="4FD9D593"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1</w:t>
            </w:r>
          </w:p>
        </w:tc>
        <w:tc>
          <w:tcPr>
            <w:tcW w:w="1273" w:type="dxa"/>
            <w:tcBorders>
              <w:top w:val="nil"/>
              <w:left w:val="nil"/>
              <w:bottom w:val="single" w:sz="4" w:space="0" w:color="9D2235"/>
              <w:right w:val="single" w:sz="4" w:space="0" w:color="9D2235"/>
            </w:tcBorders>
            <w:shd w:val="clear" w:color="auto" w:fill="auto"/>
            <w:noWrap/>
            <w:vAlign w:val="center"/>
            <w:hideMark/>
          </w:tcPr>
          <w:p w14:paraId="72E34922"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12.953,37</w:t>
            </w:r>
          </w:p>
        </w:tc>
      </w:tr>
      <w:tr w:rsidR="00DC77CB" w:rsidRPr="00DC77CB" w14:paraId="24C39D40" w14:textId="77777777" w:rsidTr="00B22A68">
        <w:trPr>
          <w:trHeight w:val="330"/>
          <w:jc w:val="center"/>
        </w:trPr>
        <w:tc>
          <w:tcPr>
            <w:tcW w:w="1417" w:type="dxa"/>
            <w:vMerge/>
            <w:tcBorders>
              <w:top w:val="nil"/>
              <w:left w:val="single" w:sz="4" w:space="0" w:color="9D2235"/>
              <w:bottom w:val="single" w:sz="4" w:space="0" w:color="9D2235"/>
              <w:right w:val="nil"/>
            </w:tcBorders>
            <w:vAlign w:val="center"/>
            <w:hideMark/>
          </w:tcPr>
          <w:p w14:paraId="15BB63A6" w14:textId="77777777" w:rsidR="00DC77CB" w:rsidRPr="00DC77CB" w:rsidRDefault="00DC77CB" w:rsidP="00DC77CB">
            <w:pPr>
              <w:rPr>
                <w:rFonts w:ascii="Arial" w:eastAsia="Times New Roman" w:hAnsi="Arial" w:cs="Arial"/>
                <w:color w:val="000000"/>
                <w:sz w:val="18"/>
                <w:szCs w:val="18"/>
                <w:lang w:eastAsia="es-ES"/>
              </w:rPr>
            </w:pPr>
          </w:p>
        </w:tc>
        <w:tc>
          <w:tcPr>
            <w:tcW w:w="2289" w:type="dxa"/>
            <w:tcBorders>
              <w:top w:val="nil"/>
              <w:left w:val="nil"/>
              <w:bottom w:val="single" w:sz="4" w:space="0" w:color="9D2235"/>
              <w:right w:val="nil"/>
            </w:tcBorders>
            <w:shd w:val="clear" w:color="FFFFFF" w:fill="FFFFFF"/>
            <w:noWrap/>
            <w:vAlign w:val="center"/>
            <w:hideMark/>
          </w:tcPr>
          <w:p w14:paraId="50EA8935"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Subtotal contratos de servicio</w:t>
            </w:r>
          </w:p>
        </w:tc>
        <w:tc>
          <w:tcPr>
            <w:tcW w:w="1520" w:type="dxa"/>
            <w:tcBorders>
              <w:top w:val="nil"/>
              <w:left w:val="nil"/>
              <w:bottom w:val="single" w:sz="4" w:space="0" w:color="9D2235"/>
              <w:right w:val="nil"/>
            </w:tcBorders>
            <w:shd w:val="clear" w:color="auto" w:fill="auto"/>
            <w:noWrap/>
            <w:vAlign w:val="bottom"/>
            <w:hideMark/>
          </w:tcPr>
          <w:p w14:paraId="509E8F0B" w14:textId="77777777" w:rsidR="00DC77CB" w:rsidRPr="00DC77CB" w:rsidRDefault="00DC77CB" w:rsidP="00DC77CB">
            <w:pPr>
              <w:jc w:val="center"/>
              <w:rPr>
                <w:rFonts w:ascii="Arial" w:eastAsia="Times New Roman" w:hAnsi="Arial" w:cs="Arial"/>
                <w:b/>
                <w:bCs/>
                <w:color w:val="000000"/>
                <w:sz w:val="18"/>
                <w:szCs w:val="18"/>
                <w:lang w:eastAsia="es-ES"/>
              </w:rPr>
            </w:pPr>
            <w:r w:rsidRPr="00DC77CB">
              <w:rPr>
                <w:rFonts w:ascii="Arial" w:eastAsia="Times New Roman" w:hAnsi="Arial" w:cs="Arial"/>
                <w:b/>
                <w:bCs/>
                <w:color w:val="000000"/>
                <w:sz w:val="18"/>
                <w:szCs w:val="18"/>
                <w:lang w:eastAsia="es-ES"/>
              </w:rPr>
              <w:t>35</w:t>
            </w:r>
          </w:p>
        </w:tc>
        <w:tc>
          <w:tcPr>
            <w:tcW w:w="1273" w:type="dxa"/>
            <w:tcBorders>
              <w:top w:val="nil"/>
              <w:left w:val="nil"/>
              <w:bottom w:val="single" w:sz="4" w:space="0" w:color="9D2235"/>
              <w:right w:val="single" w:sz="4" w:space="0" w:color="9D2235"/>
            </w:tcBorders>
            <w:shd w:val="clear" w:color="auto" w:fill="auto"/>
            <w:noWrap/>
            <w:vAlign w:val="center"/>
            <w:hideMark/>
          </w:tcPr>
          <w:p w14:paraId="6DE27C33" w14:textId="77777777" w:rsidR="00DC77CB" w:rsidRPr="00DC77CB" w:rsidRDefault="00DC77CB" w:rsidP="00DC77CB">
            <w:pPr>
              <w:jc w:val="right"/>
              <w:rPr>
                <w:rFonts w:ascii="Arial" w:eastAsia="Times New Roman" w:hAnsi="Arial" w:cs="Arial"/>
                <w:b/>
                <w:bCs/>
                <w:color w:val="000000"/>
                <w:sz w:val="18"/>
                <w:szCs w:val="18"/>
                <w:lang w:eastAsia="es-ES"/>
              </w:rPr>
            </w:pPr>
            <w:r w:rsidRPr="00DC77CB">
              <w:rPr>
                <w:rFonts w:ascii="Arial" w:eastAsia="Times New Roman" w:hAnsi="Arial" w:cs="Arial"/>
                <w:b/>
                <w:bCs/>
                <w:color w:val="000000"/>
                <w:sz w:val="18"/>
                <w:szCs w:val="18"/>
                <w:lang w:eastAsia="es-ES"/>
              </w:rPr>
              <w:t>93.228,92</w:t>
            </w:r>
          </w:p>
        </w:tc>
      </w:tr>
      <w:tr w:rsidR="00DC77CB" w:rsidRPr="00DC77CB" w14:paraId="11BB9DC1" w14:textId="77777777" w:rsidTr="00B22A68">
        <w:trPr>
          <w:trHeight w:val="330"/>
          <w:jc w:val="center"/>
        </w:trPr>
        <w:tc>
          <w:tcPr>
            <w:tcW w:w="1417" w:type="dxa"/>
            <w:vMerge w:val="restart"/>
            <w:tcBorders>
              <w:top w:val="nil"/>
              <w:left w:val="single" w:sz="4" w:space="0" w:color="9D2235"/>
              <w:bottom w:val="single" w:sz="4" w:space="0" w:color="9D2235"/>
              <w:right w:val="nil"/>
            </w:tcBorders>
            <w:shd w:val="clear" w:color="FFFFFF" w:fill="FFFFFF"/>
            <w:noWrap/>
            <w:vAlign w:val="center"/>
            <w:hideMark/>
          </w:tcPr>
          <w:p w14:paraId="7F74694D"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Suministros</w:t>
            </w:r>
          </w:p>
        </w:tc>
        <w:tc>
          <w:tcPr>
            <w:tcW w:w="2289" w:type="dxa"/>
            <w:tcBorders>
              <w:top w:val="nil"/>
              <w:left w:val="nil"/>
              <w:bottom w:val="single" w:sz="4" w:space="0" w:color="9D2235"/>
              <w:right w:val="nil"/>
            </w:tcBorders>
            <w:shd w:val="clear" w:color="FFFFFF" w:fill="FFFFFF"/>
            <w:noWrap/>
            <w:vAlign w:val="center"/>
            <w:hideMark/>
          </w:tcPr>
          <w:p w14:paraId="2FF8B2FF" w14:textId="77777777" w:rsidR="00DC77CB" w:rsidRPr="00DC77CB" w:rsidRDefault="00DC77CB" w:rsidP="00DC77CB">
            <w:pP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Menor</w:t>
            </w:r>
          </w:p>
        </w:tc>
        <w:tc>
          <w:tcPr>
            <w:tcW w:w="1520" w:type="dxa"/>
            <w:tcBorders>
              <w:top w:val="nil"/>
              <w:left w:val="nil"/>
              <w:bottom w:val="single" w:sz="4" w:space="0" w:color="9D2235"/>
              <w:right w:val="nil"/>
            </w:tcBorders>
            <w:shd w:val="clear" w:color="auto" w:fill="auto"/>
            <w:noWrap/>
            <w:vAlign w:val="bottom"/>
            <w:hideMark/>
          </w:tcPr>
          <w:p w14:paraId="72F7BC92"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19</w:t>
            </w:r>
          </w:p>
        </w:tc>
        <w:tc>
          <w:tcPr>
            <w:tcW w:w="1273" w:type="dxa"/>
            <w:tcBorders>
              <w:top w:val="nil"/>
              <w:left w:val="nil"/>
              <w:bottom w:val="single" w:sz="4" w:space="0" w:color="9D2235"/>
              <w:right w:val="single" w:sz="4" w:space="0" w:color="9D2235"/>
            </w:tcBorders>
            <w:shd w:val="clear" w:color="auto" w:fill="auto"/>
            <w:noWrap/>
            <w:vAlign w:val="center"/>
            <w:hideMark/>
          </w:tcPr>
          <w:p w14:paraId="250A285F"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31.148,73</w:t>
            </w:r>
          </w:p>
        </w:tc>
      </w:tr>
      <w:tr w:rsidR="00DC77CB" w:rsidRPr="00DC77CB" w14:paraId="48518F13" w14:textId="77777777" w:rsidTr="00B22A68">
        <w:trPr>
          <w:trHeight w:val="330"/>
          <w:jc w:val="center"/>
        </w:trPr>
        <w:tc>
          <w:tcPr>
            <w:tcW w:w="1417" w:type="dxa"/>
            <w:vMerge/>
            <w:tcBorders>
              <w:top w:val="nil"/>
              <w:left w:val="single" w:sz="4" w:space="0" w:color="9D2235"/>
              <w:bottom w:val="single" w:sz="4" w:space="0" w:color="9D2235"/>
              <w:right w:val="nil"/>
            </w:tcBorders>
            <w:vAlign w:val="center"/>
            <w:hideMark/>
          </w:tcPr>
          <w:p w14:paraId="659FB566" w14:textId="77777777" w:rsidR="00DC77CB" w:rsidRPr="00DC77CB" w:rsidRDefault="00DC77CB" w:rsidP="00DC77CB">
            <w:pPr>
              <w:rPr>
                <w:rFonts w:ascii="Arial" w:eastAsia="Times New Roman" w:hAnsi="Arial" w:cs="Arial"/>
                <w:color w:val="000000"/>
                <w:sz w:val="18"/>
                <w:szCs w:val="18"/>
                <w:lang w:eastAsia="es-ES"/>
              </w:rPr>
            </w:pPr>
          </w:p>
        </w:tc>
        <w:tc>
          <w:tcPr>
            <w:tcW w:w="2289" w:type="dxa"/>
            <w:tcBorders>
              <w:top w:val="nil"/>
              <w:left w:val="nil"/>
              <w:bottom w:val="single" w:sz="4" w:space="0" w:color="9D2235"/>
              <w:right w:val="nil"/>
            </w:tcBorders>
            <w:shd w:val="clear" w:color="FFFFFF" w:fill="FFFFFF"/>
            <w:noWrap/>
            <w:vAlign w:val="center"/>
            <w:hideMark/>
          </w:tcPr>
          <w:p w14:paraId="3AFF046A" w14:textId="77777777" w:rsidR="00DC77CB" w:rsidRPr="00DC77CB" w:rsidRDefault="00DC77CB" w:rsidP="00DC77CB">
            <w:pP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Abierto</w:t>
            </w:r>
          </w:p>
        </w:tc>
        <w:tc>
          <w:tcPr>
            <w:tcW w:w="1520" w:type="dxa"/>
            <w:tcBorders>
              <w:top w:val="nil"/>
              <w:left w:val="nil"/>
              <w:bottom w:val="single" w:sz="4" w:space="0" w:color="9D2235"/>
              <w:right w:val="nil"/>
            </w:tcBorders>
            <w:shd w:val="clear" w:color="auto" w:fill="auto"/>
            <w:noWrap/>
            <w:vAlign w:val="bottom"/>
            <w:hideMark/>
          </w:tcPr>
          <w:p w14:paraId="645921BC"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4</w:t>
            </w:r>
          </w:p>
        </w:tc>
        <w:tc>
          <w:tcPr>
            <w:tcW w:w="1273" w:type="dxa"/>
            <w:tcBorders>
              <w:top w:val="nil"/>
              <w:left w:val="nil"/>
              <w:bottom w:val="single" w:sz="4" w:space="0" w:color="9D2235"/>
              <w:right w:val="single" w:sz="4" w:space="0" w:color="9D2235"/>
            </w:tcBorders>
            <w:shd w:val="clear" w:color="auto" w:fill="auto"/>
            <w:noWrap/>
            <w:vAlign w:val="center"/>
            <w:hideMark/>
          </w:tcPr>
          <w:p w14:paraId="4A701139"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23.974,92</w:t>
            </w:r>
          </w:p>
        </w:tc>
      </w:tr>
      <w:tr w:rsidR="00DC77CB" w:rsidRPr="00DC77CB" w14:paraId="5BBEC392" w14:textId="77777777" w:rsidTr="00B22A68">
        <w:trPr>
          <w:trHeight w:val="330"/>
          <w:jc w:val="center"/>
        </w:trPr>
        <w:tc>
          <w:tcPr>
            <w:tcW w:w="1417" w:type="dxa"/>
            <w:vMerge/>
            <w:tcBorders>
              <w:top w:val="nil"/>
              <w:left w:val="single" w:sz="4" w:space="0" w:color="9D2235"/>
              <w:bottom w:val="single" w:sz="4" w:space="0" w:color="9D2235"/>
              <w:right w:val="nil"/>
            </w:tcBorders>
            <w:vAlign w:val="center"/>
            <w:hideMark/>
          </w:tcPr>
          <w:p w14:paraId="7BEA9DCC" w14:textId="77777777" w:rsidR="00DC77CB" w:rsidRPr="00DC77CB" w:rsidRDefault="00DC77CB" w:rsidP="00DC77CB">
            <w:pPr>
              <w:rPr>
                <w:rFonts w:ascii="Arial" w:eastAsia="Times New Roman" w:hAnsi="Arial" w:cs="Arial"/>
                <w:color w:val="000000"/>
                <w:sz w:val="18"/>
                <w:szCs w:val="18"/>
                <w:lang w:eastAsia="es-ES"/>
              </w:rPr>
            </w:pPr>
          </w:p>
        </w:tc>
        <w:tc>
          <w:tcPr>
            <w:tcW w:w="2289" w:type="dxa"/>
            <w:tcBorders>
              <w:top w:val="nil"/>
              <w:left w:val="nil"/>
              <w:bottom w:val="single" w:sz="4" w:space="0" w:color="9D2235"/>
              <w:right w:val="nil"/>
            </w:tcBorders>
            <w:shd w:val="clear" w:color="FFFFFF" w:fill="FFFFFF"/>
            <w:noWrap/>
            <w:vAlign w:val="center"/>
            <w:hideMark/>
          </w:tcPr>
          <w:p w14:paraId="72B48967" w14:textId="77777777" w:rsidR="00DC77CB" w:rsidRPr="00DC77CB" w:rsidRDefault="00DC77CB" w:rsidP="00DC77CB">
            <w:pP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Abierto/Modificaciones</w:t>
            </w:r>
          </w:p>
        </w:tc>
        <w:tc>
          <w:tcPr>
            <w:tcW w:w="1520" w:type="dxa"/>
            <w:tcBorders>
              <w:top w:val="nil"/>
              <w:left w:val="nil"/>
              <w:bottom w:val="single" w:sz="4" w:space="0" w:color="9D2235"/>
              <w:right w:val="nil"/>
            </w:tcBorders>
            <w:shd w:val="clear" w:color="auto" w:fill="auto"/>
            <w:noWrap/>
            <w:vAlign w:val="bottom"/>
            <w:hideMark/>
          </w:tcPr>
          <w:p w14:paraId="13081CA5"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0</w:t>
            </w:r>
          </w:p>
        </w:tc>
        <w:tc>
          <w:tcPr>
            <w:tcW w:w="1273" w:type="dxa"/>
            <w:tcBorders>
              <w:top w:val="nil"/>
              <w:left w:val="nil"/>
              <w:bottom w:val="single" w:sz="4" w:space="0" w:color="9D2235"/>
              <w:right w:val="single" w:sz="4" w:space="0" w:color="9D2235"/>
            </w:tcBorders>
            <w:shd w:val="clear" w:color="auto" w:fill="auto"/>
            <w:noWrap/>
            <w:vAlign w:val="center"/>
            <w:hideMark/>
          </w:tcPr>
          <w:p w14:paraId="393FB2E5"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0,00</w:t>
            </w:r>
          </w:p>
        </w:tc>
      </w:tr>
      <w:tr w:rsidR="00DC77CB" w:rsidRPr="00DC77CB" w14:paraId="5FD90814" w14:textId="77777777" w:rsidTr="00B22A68">
        <w:trPr>
          <w:trHeight w:val="330"/>
          <w:jc w:val="center"/>
        </w:trPr>
        <w:tc>
          <w:tcPr>
            <w:tcW w:w="1417" w:type="dxa"/>
            <w:vMerge/>
            <w:tcBorders>
              <w:top w:val="nil"/>
              <w:left w:val="single" w:sz="4" w:space="0" w:color="9D2235"/>
              <w:bottom w:val="single" w:sz="4" w:space="0" w:color="9D2235"/>
              <w:right w:val="nil"/>
            </w:tcBorders>
            <w:vAlign w:val="center"/>
            <w:hideMark/>
          </w:tcPr>
          <w:p w14:paraId="4061A3B6" w14:textId="77777777" w:rsidR="00DC77CB" w:rsidRPr="00DC77CB" w:rsidRDefault="00DC77CB" w:rsidP="00DC77CB">
            <w:pPr>
              <w:rPr>
                <w:rFonts w:ascii="Arial" w:eastAsia="Times New Roman" w:hAnsi="Arial" w:cs="Arial"/>
                <w:color w:val="000000"/>
                <w:sz w:val="18"/>
                <w:szCs w:val="18"/>
                <w:lang w:eastAsia="es-ES"/>
              </w:rPr>
            </w:pPr>
          </w:p>
        </w:tc>
        <w:tc>
          <w:tcPr>
            <w:tcW w:w="2289" w:type="dxa"/>
            <w:tcBorders>
              <w:top w:val="nil"/>
              <w:left w:val="nil"/>
              <w:bottom w:val="single" w:sz="4" w:space="0" w:color="9D2235"/>
              <w:right w:val="nil"/>
            </w:tcBorders>
            <w:shd w:val="clear" w:color="FFFFFF" w:fill="FFFFFF"/>
            <w:noWrap/>
            <w:vAlign w:val="center"/>
            <w:hideMark/>
          </w:tcPr>
          <w:p w14:paraId="7CD257A1" w14:textId="77777777" w:rsidR="00DC77CB" w:rsidRPr="00DC77CB" w:rsidRDefault="00DC77CB" w:rsidP="00DC77CB">
            <w:pP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Basado en Acuerdo Marco</w:t>
            </w:r>
          </w:p>
        </w:tc>
        <w:tc>
          <w:tcPr>
            <w:tcW w:w="1520" w:type="dxa"/>
            <w:tcBorders>
              <w:top w:val="nil"/>
              <w:left w:val="nil"/>
              <w:bottom w:val="single" w:sz="4" w:space="0" w:color="9D2235"/>
              <w:right w:val="nil"/>
            </w:tcBorders>
            <w:shd w:val="clear" w:color="auto" w:fill="auto"/>
            <w:noWrap/>
            <w:vAlign w:val="bottom"/>
            <w:hideMark/>
          </w:tcPr>
          <w:p w14:paraId="2C78A583"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0</w:t>
            </w:r>
          </w:p>
        </w:tc>
        <w:tc>
          <w:tcPr>
            <w:tcW w:w="1273" w:type="dxa"/>
            <w:tcBorders>
              <w:top w:val="nil"/>
              <w:left w:val="nil"/>
              <w:bottom w:val="single" w:sz="4" w:space="0" w:color="9D2235"/>
              <w:right w:val="single" w:sz="4" w:space="0" w:color="9D2235"/>
            </w:tcBorders>
            <w:shd w:val="clear" w:color="auto" w:fill="auto"/>
            <w:noWrap/>
            <w:vAlign w:val="center"/>
            <w:hideMark/>
          </w:tcPr>
          <w:p w14:paraId="2B726D54"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0,00</w:t>
            </w:r>
          </w:p>
        </w:tc>
      </w:tr>
      <w:tr w:rsidR="00DC77CB" w:rsidRPr="00DC77CB" w14:paraId="243800D8" w14:textId="77777777" w:rsidTr="00B22A68">
        <w:trPr>
          <w:trHeight w:val="330"/>
          <w:jc w:val="center"/>
        </w:trPr>
        <w:tc>
          <w:tcPr>
            <w:tcW w:w="1417" w:type="dxa"/>
            <w:vMerge/>
            <w:tcBorders>
              <w:top w:val="nil"/>
              <w:left w:val="single" w:sz="4" w:space="0" w:color="9D2235"/>
              <w:bottom w:val="single" w:sz="4" w:space="0" w:color="9D2235"/>
              <w:right w:val="nil"/>
            </w:tcBorders>
            <w:vAlign w:val="center"/>
            <w:hideMark/>
          </w:tcPr>
          <w:p w14:paraId="2417DBEE" w14:textId="77777777" w:rsidR="00DC77CB" w:rsidRPr="00DC77CB" w:rsidRDefault="00DC77CB" w:rsidP="00DC77CB">
            <w:pPr>
              <w:rPr>
                <w:rFonts w:ascii="Arial" w:eastAsia="Times New Roman" w:hAnsi="Arial" w:cs="Arial"/>
                <w:color w:val="000000"/>
                <w:sz w:val="18"/>
                <w:szCs w:val="18"/>
                <w:lang w:eastAsia="es-ES"/>
              </w:rPr>
            </w:pPr>
          </w:p>
        </w:tc>
        <w:tc>
          <w:tcPr>
            <w:tcW w:w="2289" w:type="dxa"/>
            <w:tcBorders>
              <w:top w:val="nil"/>
              <w:left w:val="nil"/>
              <w:bottom w:val="single" w:sz="4" w:space="0" w:color="9D2235"/>
              <w:right w:val="nil"/>
            </w:tcBorders>
            <w:shd w:val="clear" w:color="FFFFFF" w:fill="FFFFFF"/>
            <w:noWrap/>
            <w:vAlign w:val="center"/>
            <w:hideMark/>
          </w:tcPr>
          <w:p w14:paraId="425D0C2F"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Subtotal contratos de suministro</w:t>
            </w:r>
          </w:p>
        </w:tc>
        <w:tc>
          <w:tcPr>
            <w:tcW w:w="1520" w:type="dxa"/>
            <w:tcBorders>
              <w:top w:val="nil"/>
              <w:left w:val="nil"/>
              <w:bottom w:val="single" w:sz="4" w:space="0" w:color="9D2235"/>
              <w:right w:val="nil"/>
            </w:tcBorders>
            <w:shd w:val="clear" w:color="auto" w:fill="auto"/>
            <w:noWrap/>
            <w:vAlign w:val="bottom"/>
            <w:hideMark/>
          </w:tcPr>
          <w:p w14:paraId="06A92EEF" w14:textId="77777777" w:rsidR="00DC77CB" w:rsidRPr="00DC77CB" w:rsidRDefault="00DC77CB" w:rsidP="00DC77CB">
            <w:pPr>
              <w:jc w:val="center"/>
              <w:rPr>
                <w:rFonts w:ascii="Arial" w:eastAsia="Times New Roman" w:hAnsi="Arial" w:cs="Arial"/>
                <w:b/>
                <w:bCs/>
                <w:color w:val="000000"/>
                <w:sz w:val="18"/>
                <w:szCs w:val="18"/>
                <w:lang w:eastAsia="es-ES"/>
              </w:rPr>
            </w:pPr>
            <w:r w:rsidRPr="00DC77CB">
              <w:rPr>
                <w:rFonts w:ascii="Arial" w:eastAsia="Times New Roman" w:hAnsi="Arial" w:cs="Arial"/>
                <w:b/>
                <w:bCs/>
                <w:color w:val="000000"/>
                <w:sz w:val="18"/>
                <w:szCs w:val="18"/>
                <w:lang w:eastAsia="es-ES"/>
              </w:rPr>
              <w:t>23</w:t>
            </w:r>
          </w:p>
        </w:tc>
        <w:tc>
          <w:tcPr>
            <w:tcW w:w="1273" w:type="dxa"/>
            <w:tcBorders>
              <w:top w:val="nil"/>
              <w:left w:val="nil"/>
              <w:bottom w:val="single" w:sz="4" w:space="0" w:color="9D2235"/>
              <w:right w:val="single" w:sz="4" w:space="0" w:color="9D2235"/>
            </w:tcBorders>
            <w:shd w:val="clear" w:color="auto" w:fill="auto"/>
            <w:noWrap/>
            <w:vAlign w:val="center"/>
            <w:hideMark/>
          </w:tcPr>
          <w:p w14:paraId="237A41B8" w14:textId="77777777" w:rsidR="00DC77CB" w:rsidRPr="00DC77CB" w:rsidRDefault="00DC77CB" w:rsidP="00DC77CB">
            <w:pPr>
              <w:jc w:val="right"/>
              <w:rPr>
                <w:rFonts w:ascii="Arial" w:eastAsia="Times New Roman" w:hAnsi="Arial" w:cs="Arial"/>
                <w:b/>
                <w:bCs/>
                <w:color w:val="000000"/>
                <w:sz w:val="18"/>
                <w:szCs w:val="18"/>
                <w:lang w:eastAsia="es-ES"/>
              </w:rPr>
            </w:pPr>
            <w:r w:rsidRPr="00DC77CB">
              <w:rPr>
                <w:rFonts w:ascii="Arial" w:eastAsia="Times New Roman" w:hAnsi="Arial" w:cs="Arial"/>
                <w:b/>
                <w:bCs/>
                <w:color w:val="000000"/>
                <w:sz w:val="18"/>
                <w:szCs w:val="18"/>
                <w:lang w:eastAsia="es-ES"/>
              </w:rPr>
              <w:t>55.123,65</w:t>
            </w:r>
          </w:p>
        </w:tc>
      </w:tr>
      <w:tr w:rsidR="00DC77CB" w:rsidRPr="00DC77CB" w14:paraId="5A144BC3" w14:textId="77777777" w:rsidTr="00B22A68">
        <w:trPr>
          <w:trHeight w:val="330"/>
          <w:jc w:val="center"/>
        </w:trPr>
        <w:tc>
          <w:tcPr>
            <w:tcW w:w="1417" w:type="dxa"/>
            <w:vMerge w:val="restart"/>
            <w:tcBorders>
              <w:top w:val="nil"/>
              <w:left w:val="single" w:sz="4" w:space="0" w:color="9D2235"/>
              <w:bottom w:val="single" w:sz="4" w:space="0" w:color="9D2235"/>
              <w:right w:val="nil"/>
            </w:tcBorders>
            <w:shd w:val="clear" w:color="FFFFFF" w:fill="FFFFFF"/>
            <w:vAlign w:val="center"/>
            <w:hideMark/>
          </w:tcPr>
          <w:p w14:paraId="13851F82"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Mixtos:</w:t>
            </w:r>
          </w:p>
          <w:p w14:paraId="75168B2D"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servicio-suministro</w:t>
            </w:r>
          </w:p>
        </w:tc>
        <w:tc>
          <w:tcPr>
            <w:tcW w:w="2289" w:type="dxa"/>
            <w:tcBorders>
              <w:top w:val="nil"/>
              <w:left w:val="nil"/>
              <w:bottom w:val="single" w:sz="4" w:space="0" w:color="9D2235"/>
              <w:right w:val="nil"/>
            </w:tcBorders>
            <w:shd w:val="clear" w:color="FFFFFF" w:fill="FFFFFF"/>
            <w:noWrap/>
            <w:vAlign w:val="center"/>
            <w:hideMark/>
          </w:tcPr>
          <w:p w14:paraId="7CE62C17" w14:textId="77777777" w:rsidR="00DC77CB" w:rsidRPr="00DC77CB" w:rsidRDefault="00DC77CB" w:rsidP="00DC77CB">
            <w:pP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Menor</w:t>
            </w:r>
          </w:p>
        </w:tc>
        <w:tc>
          <w:tcPr>
            <w:tcW w:w="1520" w:type="dxa"/>
            <w:tcBorders>
              <w:top w:val="nil"/>
              <w:left w:val="nil"/>
              <w:bottom w:val="single" w:sz="4" w:space="0" w:color="9D2235"/>
              <w:right w:val="nil"/>
            </w:tcBorders>
            <w:shd w:val="clear" w:color="auto" w:fill="auto"/>
            <w:noWrap/>
            <w:vAlign w:val="bottom"/>
            <w:hideMark/>
          </w:tcPr>
          <w:p w14:paraId="25365A2E"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0</w:t>
            </w:r>
          </w:p>
        </w:tc>
        <w:tc>
          <w:tcPr>
            <w:tcW w:w="1273" w:type="dxa"/>
            <w:tcBorders>
              <w:top w:val="nil"/>
              <w:left w:val="nil"/>
              <w:bottom w:val="single" w:sz="4" w:space="0" w:color="9D2235"/>
              <w:right w:val="single" w:sz="4" w:space="0" w:color="9D2235"/>
            </w:tcBorders>
            <w:shd w:val="clear" w:color="auto" w:fill="auto"/>
            <w:noWrap/>
            <w:vAlign w:val="center"/>
            <w:hideMark/>
          </w:tcPr>
          <w:p w14:paraId="312E58E0"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0,00</w:t>
            </w:r>
          </w:p>
        </w:tc>
      </w:tr>
      <w:tr w:rsidR="00DC77CB" w:rsidRPr="00DC77CB" w14:paraId="1C726536" w14:textId="77777777" w:rsidTr="00B22A68">
        <w:trPr>
          <w:trHeight w:val="330"/>
          <w:jc w:val="center"/>
        </w:trPr>
        <w:tc>
          <w:tcPr>
            <w:tcW w:w="1417" w:type="dxa"/>
            <w:vMerge/>
            <w:tcBorders>
              <w:top w:val="nil"/>
              <w:left w:val="single" w:sz="4" w:space="0" w:color="9D2235"/>
              <w:bottom w:val="single" w:sz="4" w:space="0" w:color="9D2235"/>
              <w:right w:val="nil"/>
            </w:tcBorders>
            <w:vAlign w:val="center"/>
            <w:hideMark/>
          </w:tcPr>
          <w:p w14:paraId="57AB4F21" w14:textId="77777777" w:rsidR="00DC77CB" w:rsidRPr="00DC77CB" w:rsidRDefault="00DC77CB" w:rsidP="00DC77CB">
            <w:pPr>
              <w:rPr>
                <w:rFonts w:ascii="Arial" w:eastAsia="Times New Roman" w:hAnsi="Arial" w:cs="Arial"/>
                <w:color w:val="000000"/>
                <w:sz w:val="18"/>
                <w:szCs w:val="18"/>
                <w:lang w:eastAsia="es-ES"/>
              </w:rPr>
            </w:pPr>
          </w:p>
        </w:tc>
        <w:tc>
          <w:tcPr>
            <w:tcW w:w="2289" w:type="dxa"/>
            <w:tcBorders>
              <w:top w:val="nil"/>
              <w:left w:val="nil"/>
              <w:bottom w:val="single" w:sz="4" w:space="0" w:color="9D2235"/>
              <w:right w:val="nil"/>
            </w:tcBorders>
            <w:shd w:val="clear" w:color="FFFFFF" w:fill="FFFFFF"/>
            <w:noWrap/>
            <w:vAlign w:val="center"/>
            <w:hideMark/>
          </w:tcPr>
          <w:p w14:paraId="62079647" w14:textId="77777777" w:rsidR="00DC77CB" w:rsidRPr="00DC77CB" w:rsidRDefault="00DC77CB" w:rsidP="00DC77CB">
            <w:pP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Abierto</w:t>
            </w:r>
          </w:p>
        </w:tc>
        <w:tc>
          <w:tcPr>
            <w:tcW w:w="1520" w:type="dxa"/>
            <w:tcBorders>
              <w:top w:val="nil"/>
              <w:left w:val="nil"/>
              <w:bottom w:val="single" w:sz="4" w:space="0" w:color="9D2235"/>
              <w:right w:val="nil"/>
            </w:tcBorders>
            <w:shd w:val="clear" w:color="auto" w:fill="auto"/>
            <w:noWrap/>
            <w:vAlign w:val="bottom"/>
            <w:hideMark/>
          </w:tcPr>
          <w:p w14:paraId="581D1435"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1</w:t>
            </w:r>
          </w:p>
        </w:tc>
        <w:tc>
          <w:tcPr>
            <w:tcW w:w="1273" w:type="dxa"/>
            <w:tcBorders>
              <w:top w:val="nil"/>
              <w:left w:val="nil"/>
              <w:bottom w:val="single" w:sz="4" w:space="0" w:color="9D2235"/>
              <w:right w:val="single" w:sz="4" w:space="0" w:color="9D2235"/>
            </w:tcBorders>
            <w:shd w:val="clear" w:color="auto" w:fill="auto"/>
            <w:noWrap/>
            <w:vAlign w:val="center"/>
            <w:hideMark/>
          </w:tcPr>
          <w:p w14:paraId="6E9D1D1A"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22.762,45</w:t>
            </w:r>
          </w:p>
        </w:tc>
      </w:tr>
      <w:tr w:rsidR="00DC77CB" w:rsidRPr="00DC77CB" w14:paraId="7BAE35D7" w14:textId="77777777" w:rsidTr="00B22A68">
        <w:trPr>
          <w:trHeight w:val="330"/>
          <w:jc w:val="center"/>
        </w:trPr>
        <w:tc>
          <w:tcPr>
            <w:tcW w:w="1417" w:type="dxa"/>
            <w:vMerge/>
            <w:tcBorders>
              <w:top w:val="nil"/>
              <w:left w:val="single" w:sz="4" w:space="0" w:color="9D2235"/>
              <w:bottom w:val="single" w:sz="4" w:space="0" w:color="9D2235"/>
              <w:right w:val="nil"/>
            </w:tcBorders>
            <w:vAlign w:val="center"/>
            <w:hideMark/>
          </w:tcPr>
          <w:p w14:paraId="6BA17858" w14:textId="77777777" w:rsidR="00DC77CB" w:rsidRPr="00DC77CB" w:rsidRDefault="00DC77CB" w:rsidP="00DC77CB">
            <w:pPr>
              <w:rPr>
                <w:rFonts w:ascii="Arial" w:eastAsia="Times New Roman" w:hAnsi="Arial" w:cs="Arial"/>
                <w:color w:val="000000"/>
                <w:sz w:val="18"/>
                <w:szCs w:val="18"/>
                <w:lang w:eastAsia="es-ES"/>
              </w:rPr>
            </w:pPr>
          </w:p>
        </w:tc>
        <w:tc>
          <w:tcPr>
            <w:tcW w:w="2289" w:type="dxa"/>
            <w:tcBorders>
              <w:top w:val="nil"/>
              <w:left w:val="nil"/>
              <w:bottom w:val="single" w:sz="4" w:space="0" w:color="9D2235"/>
              <w:right w:val="nil"/>
            </w:tcBorders>
            <w:shd w:val="clear" w:color="FFFFFF" w:fill="FFFFFF"/>
            <w:noWrap/>
            <w:vAlign w:val="center"/>
            <w:hideMark/>
          </w:tcPr>
          <w:p w14:paraId="2C92BCDC" w14:textId="77777777" w:rsidR="00DC77CB" w:rsidRPr="00DC77CB" w:rsidRDefault="00DC77CB" w:rsidP="00DC77CB">
            <w:pP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Abierto/Modificaciones</w:t>
            </w:r>
          </w:p>
        </w:tc>
        <w:tc>
          <w:tcPr>
            <w:tcW w:w="1520" w:type="dxa"/>
            <w:tcBorders>
              <w:top w:val="nil"/>
              <w:left w:val="nil"/>
              <w:bottom w:val="single" w:sz="4" w:space="0" w:color="9D2235"/>
              <w:right w:val="nil"/>
            </w:tcBorders>
            <w:shd w:val="clear" w:color="auto" w:fill="auto"/>
            <w:noWrap/>
            <w:vAlign w:val="bottom"/>
            <w:hideMark/>
          </w:tcPr>
          <w:p w14:paraId="14640530"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0</w:t>
            </w:r>
          </w:p>
        </w:tc>
        <w:tc>
          <w:tcPr>
            <w:tcW w:w="1273" w:type="dxa"/>
            <w:tcBorders>
              <w:top w:val="nil"/>
              <w:left w:val="nil"/>
              <w:bottom w:val="single" w:sz="4" w:space="0" w:color="9D2235"/>
              <w:right w:val="single" w:sz="4" w:space="0" w:color="9D2235"/>
            </w:tcBorders>
            <w:shd w:val="clear" w:color="auto" w:fill="auto"/>
            <w:noWrap/>
            <w:vAlign w:val="center"/>
            <w:hideMark/>
          </w:tcPr>
          <w:p w14:paraId="5C27BDEE"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0,00</w:t>
            </w:r>
          </w:p>
        </w:tc>
      </w:tr>
      <w:tr w:rsidR="00DC77CB" w:rsidRPr="00DC77CB" w14:paraId="5BC5FC5D" w14:textId="77777777" w:rsidTr="00B22A68">
        <w:trPr>
          <w:trHeight w:val="330"/>
          <w:jc w:val="center"/>
        </w:trPr>
        <w:tc>
          <w:tcPr>
            <w:tcW w:w="1417" w:type="dxa"/>
            <w:vMerge/>
            <w:tcBorders>
              <w:top w:val="nil"/>
              <w:left w:val="single" w:sz="4" w:space="0" w:color="9D2235"/>
              <w:bottom w:val="single" w:sz="4" w:space="0" w:color="9D2235"/>
              <w:right w:val="nil"/>
            </w:tcBorders>
            <w:vAlign w:val="center"/>
            <w:hideMark/>
          </w:tcPr>
          <w:p w14:paraId="655465E6" w14:textId="77777777" w:rsidR="00DC77CB" w:rsidRPr="00DC77CB" w:rsidRDefault="00DC77CB" w:rsidP="00DC77CB">
            <w:pPr>
              <w:rPr>
                <w:rFonts w:ascii="Arial" w:eastAsia="Times New Roman" w:hAnsi="Arial" w:cs="Arial"/>
                <w:color w:val="000000"/>
                <w:sz w:val="18"/>
                <w:szCs w:val="18"/>
                <w:lang w:eastAsia="es-ES"/>
              </w:rPr>
            </w:pPr>
          </w:p>
        </w:tc>
        <w:tc>
          <w:tcPr>
            <w:tcW w:w="2289" w:type="dxa"/>
            <w:tcBorders>
              <w:top w:val="nil"/>
              <w:left w:val="nil"/>
              <w:bottom w:val="single" w:sz="4" w:space="0" w:color="9D2235"/>
              <w:right w:val="nil"/>
            </w:tcBorders>
            <w:shd w:val="clear" w:color="FFFFFF" w:fill="FFFFFF"/>
            <w:noWrap/>
            <w:vAlign w:val="center"/>
            <w:hideMark/>
          </w:tcPr>
          <w:p w14:paraId="71D61EDD" w14:textId="77777777" w:rsidR="00DC77CB" w:rsidRPr="00DC77CB" w:rsidRDefault="00DC77CB" w:rsidP="00DC77CB">
            <w:pP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Basado en Acuerdo Marco</w:t>
            </w:r>
          </w:p>
        </w:tc>
        <w:tc>
          <w:tcPr>
            <w:tcW w:w="1520" w:type="dxa"/>
            <w:tcBorders>
              <w:top w:val="nil"/>
              <w:left w:val="nil"/>
              <w:bottom w:val="single" w:sz="4" w:space="0" w:color="9D2235"/>
              <w:right w:val="nil"/>
            </w:tcBorders>
            <w:shd w:val="clear" w:color="auto" w:fill="auto"/>
            <w:noWrap/>
            <w:vAlign w:val="bottom"/>
            <w:hideMark/>
          </w:tcPr>
          <w:p w14:paraId="3E6AFD38" w14:textId="77777777" w:rsidR="00DC77CB" w:rsidRPr="00DC77CB" w:rsidRDefault="00DC77CB" w:rsidP="00DC77CB">
            <w:pPr>
              <w:jc w:val="center"/>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0</w:t>
            </w:r>
          </w:p>
        </w:tc>
        <w:tc>
          <w:tcPr>
            <w:tcW w:w="1273" w:type="dxa"/>
            <w:tcBorders>
              <w:top w:val="nil"/>
              <w:left w:val="nil"/>
              <w:bottom w:val="single" w:sz="4" w:space="0" w:color="9D2235"/>
              <w:right w:val="single" w:sz="4" w:space="0" w:color="9D2235"/>
            </w:tcBorders>
            <w:shd w:val="clear" w:color="auto" w:fill="auto"/>
            <w:noWrap/>
            <w:vAlign w:val="center"/>
            <w:hideMark/>
          </w:tcPr>
          <w:p w14:paraId="29812DC7"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0,00</w:t>
            </w:r>
          </w:p>
        </w:tc>
      </w:tr>
      <w:tr w:rsidR="00DC77CB" w:rsidRPr="00DC77CB" w14:paraId="47D3196D" w14:textId="77777777" w:rsidTr="00B22A68">
        <w:trPr>
          <w:trHeight w:val="330"/>
          <w:jc w:val="center"/>
        </w:trPr>
        <w:tc>
          <w:tcPr>
            <w:tcW w:w="1417" w:type="dxa"/>
            <w:vMerge/>
            <w:tcBorders>
              <w:top w:val="nil"/>
              <w:left w:val="single" w:sz="4" w:space="0" w:color="9D2235"/>
              <w:bottom w:val="single" w:sz="4" w:space="0" w:color="9D2235"/>
              <w:right w:val="nil"/>
            </w:tcBorders>
            <w:vAlign w:val="center"/>
            <w:hideMark/>
          </w:tcPr>
          <w:p w14:paraId="556F6A27" w14:textId="77777777" w:rsidR="00DC77CB" w:rsidRPr="00DC77CB" w:rsidRDefault="00DC77CB" w:rsidP="00DC77CB">
            <w:pPr>
              <w:rPr>
                <w:rFonts w:ascii="Arial" w:eastAsia="Times New Roman" w:hAnsi="Arial" w:cs="Arial"/>
                <w:color w:val="000000"/>
                <w:sz w:val="18"/>
                <w:szCs w:val="18"/>
                <w:lang w:eastAsia="es-ES"/>
              </w:rPr>
            </w:pPr>
          </w:p>
        </w:tc>
        <w:tc>
          <w:tcPr>
            <w:tcW w:w="2289" w:type="dxa"/>
            <w:tcBorders>
              <w:top w:val="nil"/>
              <w:left w:val="nil"/>
              <w:bottom w:val="single" w:sz="4" w:space="0" w:color="9D2235"/>
              <w:right w:val="nil"/>
            </w:tcBorders>
            <w:shd w:val="clear" w:color="FFFFFF" w:fill="FFFFFF"/>
            <w:noWrap/>
            <w:vAlign w:val="center"/>
            <w:hideMark/>
          </w:tcPr>
          <w:p w14:paraId="2E48495D" w14:textId="77777777" w:rsidR="00DC77CB" w:rsidRPr="00DC77CB" w:rsidRDefault="00DC77CB" w:rsidP="00DC77CB">
            <w:pPr>
              <w:jc w:val="right"/>
              <w:rPr>
                <w:rFonts w:ascii="Arial" w:eastAsia="Times New Roman" w:hAnsi="Arial" w:cs="Arial"/>
                <w:color w:val="000000"/>
                <w:sz w:val="18"/>
                <w:szCs w:val="18"/>
                <w:lang w:eastAsia="es-ES"/>
              </w:rPr>
            </w:pPr>
            <w:r w:rsidRPr="00DC77CB">
              <w:rPr>
                <w:rFonts w:ascii="Arial" w:eastAsia="Times New Roman" w:hAnsi="Arial" w:cs="Arial"/>
                <w:color w:val="000000"/>
                <w:sz w:val="18"/>
                <w:szCs w:val="18"/>
                <w:lang w:eastAsia="es-ES"/>
              </w:rPr>
              <w:t>Subtotal contratos mixtos: ser-sum</w:t>
            </w:r>
          </w:p>
        </w:tc>
        <w:tc>
          <w:tcPr>
            <w:tcW w:w="1520" w:type="dxa"/>
            <w:tcBorders>
              <w:top w:val="nil"/>
              <w:left w:val="nil"/>
              <w:bottom w:val="single" w:sz="4" w:space="0" w:color="9D2235"/>
              <w:right w:val="nil"/>
            </w:tcBorders>
            <w:shd w:val="clear" w:color="auto" w:fill="auto"/>
            <w:noWrap/>
            <w:vAlign w:val="bottom"/>
            <w:hideMark/>
          </w:tcPr>
          <w:p w14:paraId="26333D8B" w14:textId="77777777" w:rsidR="00DC77CB" w:rsidRPr="00DC77CB" w:rsidRDefault="00DC77CB" w:rsidP="00DC77CB">
            <w:pPr>
              <w:jc w:val="center"/>
              <w:rPr>
                <w:rFonts w:ascii="Arial" w:eastAsia="Times New Roman" w:hAnsi="Arial" w:cs="Arial"/>
                <w:b/>
                <w:bCs/>
                <w:color w:val="000000"/>
                <w:sz w:val="18"/>
                <w:szCs w:val="18"/>
                <w:lang w:eastAsia="es-ES"/>
              </w:rPr>
            </w:pPr>
            <w:r w:rsidRPr="00DC77CB">
              <w:rPr>
                <w:rFonts w:ascii="Arial" w:eastAsia="Times New Roman" w:hAnsi="Arial" w:cs="Arial"/>
                <w:b/>
                <w:bCs/>
                <w:color w:val="000000"/>
                <w:sz w:val="18"/>
                <w:szCs w:val="18"/>
                <w:lang w:eastAsia="es-ES"/>
              </w:rPr>
              <w:t>1</w:t>
            </w:r>
          </w:p>
        </w:tc>
        <w:tc>
          <w:tcPr>
            <w:tcW w:w="1273" w:type="dxa"/>
            <w:tcBorders>
              <w:top w:val="nil"/>
              <w:left w:val="nil"/>
              <w:bottom w:val="single" w:sz="4" w:space="0" w:color="9D2235"/>
              <w:right w:val="single" w:sz="4" w:space="0" w:color="9D2235"/>
            </w:tcBorders>
            <w:shd w:val="clear" w:color="auto" w:fill="auto"/>
            <w:noWrap/>
            <w:vAlign w:val="center"/>
            <w:hideMark/>
          </w:tcPr>
          <w:p w14:paraId="16CCBF49" w14:textId="77777777" w:rsidR="00DC77CB" w:rsidRPr="00DC77CB" w:rsidRDefault="00DC77CB" w:rsidP="00DC77CB">
            <w:pPr>
              <w:jc w:val="right"/>
              <w:rPr>
                <w:rFonts w:ascii="Arial" w:eastAsia="Times New Roman" w:hAnsi="Arial" w:cs="Arial"/>
                <w:b/>
                <w:bCs/>
                <w:color w:val="000000"/>
                <w:sz w:val="18"/>
                <w:szCs w:val="18"/>
                <w:lang w:eastAsia="es-ES"/>
              </w:rPr>
            </w:pPr>
            <w:r w:rsidRPr="00DC77CB">
              <w:rPr>
                <w:rFonts w:ascii="Arial" w:eastAsia="Times New Roman" w:hAnsi="Arial" w:cs="Arial"/>
                <w:b/>
                <w:bCs/>
                <w:color w:val="000000"/>
                <w:sz w:val="18"/>
                <w:szCs w:val="18"/>
                <w:lang w:eastAsia="es-ES"/>
              </w:rPr>
              <w:t>22.762,45</w:t>
            </w:r>
          </w:p>
        </w:tc>
      </w:tr>
      <w:tr w:rsidR="00DC77CB" w:rsidRPr="00DC77CB" w14:paraId="515C92A7" w14:textId="77777777" w:rsidTr="00B22A68">
        <w:trPr>
          <w:trHeight w:val="330"/>
          <w:jc w:val="center"/>
        </w:trPr>
        <w:tc>
          <w:tcPr>
            <w:tcW w:w="3706" w:type="dxa"/>
            <w:gridSpan w:val="2"/>
            <w:tcBorders>
              <w:top w:val="single" w:sz="4" w:space="0" w:color="666666"/>
              <w:left w:val="single" w:sz="4" w:space="0" w:color="666666"/>
              <w:bottom w:val="single" w:sz="4" w:space="0" w:color="666666"/>
              <w:right w:val="nil"/>
            </w:tcBorders>
            <w:shd w:val="clear" w:color="9D2235" w:fill="9D2235"/>
            <w:noWrap/>
            <w:vAlign w:val="center"/>
            <w:hideMark/>
          </w:tcPr>
          <w:p w14:paraId="08835680" w14:textId="77777777" w:rsidR="00DC77CB" w:rsidRPr="00DC77CB" w:rsidRDefault="00DC77CB" w:rsidP="00DC77CB">
            <w:pPr>
              <w:jc w:val="center"/>
              <w:rPr>
                <w:rFonts w:ascii="Arial" w:eastAsia="Times New Roman" w:hAnsi="Arial" w:cs="Arial"/>
                <w:b/>
                <w:bCs/>
                <w:color w:val="FFFFFF"/>
                <w:sz w:val="18"/>
                <w:szCs w:val="18"/>
                <w:lang w:eastAsia="es-ES"/>
              </w:rPr>
            </w:pPr>
            <w:r w:rsidRPr="00DC77CB">
              <w:rPr>
                <w:rFonts w:ascii="Arial" w:eastAsia="Times New Roman" w:hAnsi="Arial" w:cs="Arial"/>
                <w:b/>
                <w:bCs/>
                <w:color w:val="FFFFFF"/>
                <w:sz w:val="18"/>
                <w:szCs w:val="18"/>
                <w:lang w:eastAsia="es-ES"/>
              </w:rPr>
              <w:t>TOTAL</w:t>
            </w:r>
          </w:p>
        </w:tc>
        <w:tc>
          <w:tcPr>
            <w:tcW w:w="1520" w:type="dxa"/>
            <w:tcBorders>
              <w:top w:val="single" w:sz="4" w:space="0" w:color="666666"/>
              <w:left w:val="nil"/>
              <w:bottom w:val="single" w:sz="4" w:space="0" w:color="666666"/>
              <w:right w:val="nil"/>
            </w:tcBorders>
            <w:shd w:val="clear" w:color="9D2235" w:fill="9D2235"/>
            <w:noWrap/>
            <w:vAlign w:val="bottom"/>
            <w:hideMark/>
          </w:tcPr>
          <w:p w14:paraId="319A0F31" w14:textId="77777777" w:rsidR="00DC77CB" w:rsidRPr="00DC77CB" w:rsidRDefault="00DC77CB" w:rsidP="00DC77CB">
            <w:pPr>
              <w:jc w:val="center"/>
              <w:rPr>
                <w:rFonts w:ascii="Arial" w:eastAsia="Times New Roman" w:hAnsi="Arial" w:cs="Arial"/>
                <w:b/>
                <w:bCs/>
                <w:color w:val="FFFFFF"/>
                <w:sz w:val="18"/>
                <w:szCs w:val="18"/>
                <w:lang w:eastAsia="es-ES"/>
              </w:rPr>
            </w:pPr>
            <w:r w:rsidRPr="00DC77CB">
              <w:rPr>
                <w:rFonts w:ascii="Arial" w:eastAsia="Times New Roman" w:hAnsi="Arial" w:cs="Arial"/>
                <w:b/>
                <w:bCs/>
                <w:color w:val="FFFFFF"/>
                <w:sz w:val="18"/>
                <w:szCs w:val="18"/>
                <w:lang w:eastAsia="es-ES"/>
              </w:rPr>
              <w:t>59</w:t>
            </w:r>
          </w:p>
        </w:tc>
        <w:tc>
          <w:tcPr>
            <w:tcW w:w="1273" w:type="dxa"/>
            <w:tcBorders>
              <w:top w:val="single" w:sz="4" w:space="0" w:color="666666"/>
              <w:left w:val="nil"/>
              <w:bottom w:val="single" w:sz="4" w:space="0" w:color="666666"/>
              <w:right w:val="single" w:sz="4" w:space="0" w:color="666666"/>
            </w:tcBorders>
            <w:shd w:val="clear" w:color="9D2235" w:fill="9D2235"/>
            <w:noWrap/>
            <w:vAlign w:val="center"/>
            <w:hideMark/>
          </w:tcPr>
          <w:p w14:paraId="7E45A875" w14:textId="77777777" w:rsidR="00DC77CB" w:rsidRPr="00DC77CB" w:rsidRDefault="00DC77CB" w:rsidP="00DC77CB">
            <w:pPr>
              <w:jc w:val="right"/>
              <w:rPr>
                <w:rFonts w:ascii="Arial" w:eastAsia="Times New Roman" w:hAnsi="Arial" w:cs="Arial"/>
                <w:b/>
                <w:bCs/>
                <w:color w:val="FFFFFF"/>
                <w:sz w:val="18"/>
                <w:szCs w:val="18"/>
                <w:lang w:eastAsia="es-ES"/>
              </w:rPr>
            </w:pPr>
            <w:r w:rsidRPr="00DC77CB">
              <w:rPr>
                <w:rFonts w:ascii="Arial" w:eastAsia="Times New Roman" w:hAnsi="Arial" w:cs="Arial"/>
                <w:b/>
                <w:bCs/>
                <w:color w:val="FFFFFF"/>
                <w:sz w:val="18"/>
                <w:szCs w:val="18"/>
                <w:lang w:eastAsia="es-ES"/>
              </w:rPr>
              <w:t>171.115,02</w:t>
            </w:r>
          </w:p>
        </w:tc>
      </w:tr>
    </w:tbl>
    <w:p w14:paraId="02182E2D" w14:textId="74B02C04" w:rsidR="00DC77CB" w:rsidRDefault="00DC77CB" w:rsidP="00AD6163">
      <w:pPr>
        <w:spacing w:after="240" w:line="276" w:lineRule="auto"/>
        <w:jc w:val="both"/>
        <w:rPr>
          <w:rFonts w:ascii="Arial" w:eastAsia="Droid Sans Fallback" w:hAnsi="Arial" w:cs="Arial"/>
          <w:kern w:val="3"/>
          <w:sz w:val="21"/>
          <w:szCs w:val="21"/>
          <w:lang w:eastAsia="zh-CN" w:bidi="hi-IN"/>
        </w:rPr>
      </w:pPr>
    </w:p>
    <w:p w14:paraId="733C4321" w14:textId="7F84FCA6" w:rsidR="00B22A68" w:rsidRPr="00B22A68" w:rsidRDefault="00B22A68" w:rsidP="00B22A68">
      <w:pPr>
        <w:pStyle w:val="Descripcin"/>
        <w:keepNext/>
        <w:jc w:val="center"/>
        <w:rPr>
          <w:rFonts w:ascii="Arial" w:hAnsi="Arial" w:cs="Arial"/>
          <w:smallCaps w:val="0"/>
          <w:sz w:val="18"/>
          <w:szCs w:val="18"/>
        </w:rPr>
      </w:pPr>
      <w:bookmarkStart w:id="576" w:name="_Toc99107182"/>
      <w:r w:rsidRPr="00B22A68">
        <w:rPr>
          <w:rFonts w:ascii="Arial" w:hAnsi="Arial" w:cs="Arial"/>
          <w:smallCaps w:val="0"/>
          <w:color w:val="9D2235" w:themeColor="accent1"/>
          <w:sz w:val="18"/>
          <w:szCs w:val="18"/>
        </w:rPr>
        <w:t xml:space="preserve">Tabla </w:t>
      </w:r>
      <w:r w:rsidRPr="00B22A68">
        <w:rPr>
          <w:rFonts w:ascii="Arial" w:hAnsi="Arial" w:cs="Arial"/>
          <w:smallCaps w:val="0"/>
          <w:color w:val="9D2235" w:themeColor="accent1"/>
          <w:sz w:val="18"/>
          <w:szCs w:val="18"/>
        </w:rPr>
        <w:fldChar w:fldCharType="begin" w:fldLock="1"/>
      </w:r>
      <w:r w:rsidRPr="00B22A68">
        <w:rPr>
          <w:rFonts w:ascii="Arial" w:hAnsi="Arial" w:cs="Arial"/>
          <w:smallCaps w:val="0"/>
          <w:color w:val="9D2235" w:themeColor="accent1"/>
          <w:sz w:val="18"/>
          <w:szCs w:val="18"/>
        </w:rPr>
        <w:instrText xml:space="preserve"> SEQ Tabla \* ARABIC </w:instrText>
      </w:r>
      <w:r w:rsidRPr="00B22A68">
        <w:rPr>
          <w:rFonts w:ascii="Arial" w:hAnsi="Arial" w:cs="Arial"/>
          <w:smallCaps w:val="0"/>
          <w:color w:val="9D2235" w:themeColor="accent1"/>
          <w:sz w:val="18"/>
          <w:szCs w:val="18"/>
        </w:rPr>
        <w:fldChar w:fldCharType="separate"/>
      </w:r>
      <w:r w:rsidR="006336E7">
        <w:rPr>
          <w:rFonts w:ascii="Arial" w:hAnsi="Arial" w:cs="Arial"/>
          <w:smallCaps w:val="0"/>
          <w:noProof/>
          <w:color w:val="9D2235" w:themeColor="accent1"/>
          <w:sz w:val="18"/>
          <w:szCs w:val="18"/>
        </w:rPr>
        <w:t>44</w:t>
      </w:r>
      <w:r w:rsidRPr="00B22A68">
        <w:rPr>
          <w:rFonts w:ascii="Arial" w:hAnsi="Arial" w:cs="Arial"/>
          <w:smallCaps w:val="0"/>
          <w:color w:val="9D2235" w:themeColor="accent1"/>
          <w:sz w:val="18"/>
          <w:szCs w:val="18"/>
        </w:rPr>
        <w:fldChar w:fldCharType="end"/>
      </w:r>
      <w:r w:rsidRPr="00B22A68">
        <w:rPr>
          <w:rFonts w:ascii="Arial" w:hAnsi="Arial" w:cs="Arial"/>
          <w:smallCaps w:val="0"/>
          <w:color w:val="9D2235" w:themeColor="accent1"/>
          <w:sz w:val="18"/>
          <w:szCs w:val="18"/>
        </w:rPr>
        <w:t xml:space="preserve">. </w:t>
      </w:r>
      <w:r w:rsidRPr="00B22A68">
        <w:rPr>
          <w:rFonts w:ascii="Arial" w:hAnsi="Arial" w:cs="Arial"/>
          <w:smallCaps w:val="0"/>
          <w:sz w:val="18"/>
          <w:szCs w:val="18"/>
        </w:rPr>
        <w:t>Resumen de la actividad contractual por procedimiento de adjudicación</w:t>
      </w:r>
      <w:bookmarkEnd w:id="576"/>
    </w:p>
    <w:tbl>
      <w:tblPr>
        <w:tblW w:w="10695" w:type="dxa"/>
        <w:jc w:val="center"/>
        <w:tblCellMar>
          <w:left w:w="70" w:type="dxa"/>
          <w:right w:w="70" w:type="dxa"/>
        </w:tblCellMar>
        <w:tblLook w:val="04A0" w:firstRow="1" w:lastRow="0" w:firstColumn="1" w:lastColumn="0" w:noHBand="0" w:noVBand="1"/>
      </w:tblPr>
      <w:tblGrid>
        <w:gridCol w:w="3225"/>
        <w:gridCol w:w="1280"/>
        <w:gridCol w:w="1501"/>
        <w:gridCol w:w="1521"/>
        <w:gridCol w:w="1501"/>
        <w:gridCol w:w="1521"/>
        <w:gridCol w:w="146"/>
      </w:tblGrid>
      <w:tr w:rsidR="00B22A68" w:rsidRPr="00B22A68" w14:paraId="206DCCAE" w14:textId="77777777" w:rsidTr="00B22A68">
        <w:trPr>
          <w:gridAfter w:val="1"/>
          <w:trHeight w:val="510"/>
          <w:jc w:val="center"/>
        </w:trPr>
        <w:tc>
          <w:tcPr>
            <w:tcW w:w="0" w:type="auto"/>
            <w:gridSpan w:val="6"/>
            <w:tcBorders>
              <w:top w:val="single" w:sz="4" w:space="0" w:color="666666"/>
              <w:left w:val="single" w:sz="4" w:space="0" w:color="666666"/>
              <w:bottom w:val="single" w:sz="4" w:space="0" w:color="666666"/>
              <w:right w:val="single" w:sz="4" w:space="0" w:color="666666"/>
            </w:tcBorders>
            <w:shd w:val="clear" w:color="9D2235" w:fill="9D2235"/>
            <w:vAlign w:val="center"/>
            <w:hideMark/>
          </w:tcPr>
          <w:p w14:paraId="60A120A2" w14:textId="77777777" w:rsidR="00B22A68" w:rsidRPr="00B22A68" w:rsidRDefault="00B22A68" w:rsidP="00B22A68">
            <w:pPr>
              <w:jc w:val="center"/>
              <w:rPr>
                <w:rFonts w:ascii="Arial" w:eastAsia="Times New Roman" w:hAnsi="Arial" w:cs="Arial"/>
                <w:b/>
                <w:bCs/>
                <w:color w:val="FFFFFF"/>
                <w:sz w:val="18"/>
                <w:szCs w:val="18"/>
                <w:lang w:eastAsia="es-ES"/>
              </w:rPr>
            </w:pPr>
            <w:r w:rsidRPr="00B22A68">
              <w:rPr>
                <w:rFonts w:ascii="Arial" w:eastAsia="Times New Roman" w:hAnsi="Arial" w:cs="Arial"/>
                <w:b/>
                <w:bCs/>
                <w:color w:val="FFFFFF"/>
                <w:sz w:val="18"/>
                <w:szCs w:val="18"/>
                <w:lang w:eastAsia="es-ES"/>
              </w:rPr>
              <w:t>PORCENTAJE DE VOLUMEN PRESUPUESTARIO DE CONTRATOS A TRAVÉS DE LOS PROCEDIMIENTOS DE ADJUDICACIÓN</w:t>
            </w:r>
          </w:p>
        </w:tc>
      </w:tr>
      <w:tr w:rsidR="00B22A68" w:rsidRPr="00B22A68" w14:paraId="7854B359" w14:textId="77777777" w:rsidTr="00B22A68">
        <w:trPr>
          <w:gridAfter w:val="1"/>
          <w:trHeight w:val="330"/>
          <w:jc w:val="center"/>
        </w:trPr>
        <w:tc>
          <w:tcPr>
            <w:tcW w:w="0" w:type="auto"/>
            <w:gridSpan w:val="6"/>
            <w:tcBorders>
              <w:top w:val="single" w:sz="4" w:space="0" w:color="666666"/>
              <w:left w:val="single" w:sz="4" w:space="0" w:color="666666"/>
              <w:bottom w:val="single" w:sz="4" w:space="0" w:color="666666"/>
              <w:right w:val="single" w:sz="4" w:space="0" w:color="666666"/>
            </w:tcBorders>
            <w:shd w:val="clear" w:color="9D2235" w:fill="9D2235"/>
            <w:noWrap/>
            <w:vAlign w:val="bottom"/>
            <w:hideMark/>
          </w:tcPr>
          <w:p w14:paraId="2F520348" w14:textId="77777777" w:rsidR="00B22A68" w:rsidRPr="00B22A68" w:rsidRDefault="00B22A68" w:rsidP="00B22A68">
            <w:pPr>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 </w:t>
            </w:r>
          </w:p>
        </w:tc>
      </w:tr>
      <w:tr w:rsidR="00B22A68" w:rsidRPr="00B22A68" w14:paraId="70CBBF2C" w14:textId="77777777" w:rsidTr="00B22A68">
        <w:trPr>
          <w:gridAfter w:val="1"/>
          <w:trHeight w:val="330"/>
          <w:jc w:val="center"/>
        </w:trPr>
        <w:tc>
          <w:tcPr>
            <w:tcW w:w="3225" w:type="dxa"/>
            <w:vMerge w:val="restart"/>
            <w:tcBorders>
              <w:top w:val="nil"/>
              <w:left w:val="single" w:sz="4" w:space="0" w:color="666666"/>
              <w:bottom w:val="single" w:sz="4" w:space="0" w:color="666666"/>
              <w:right w:val="nil"/>
            </w:tcBorders>
            <w:shd w:val="clear" w:color="9D2235" w:fill="9D2235"/>
            <w:vAlign w:val="center"/>
            <w:hideMark/>
          </w:tcPr>
          <w:p w14:paraId="6471677F" w14:textId="77777777" w:rsidR="00B22A68" w:rsidRPr="00B22A68" w:rsidRDefault="00B22A68" w:rsidP="00B22A68">
            <w:pPr>
              <w:jc w:val="center"/>
              <w:rPr>
                <w:rFonts w:ascii="Arial" w:eastAsia="Times New Roman" w:hAnsi="Arial" w:cs="Arial"/>
                <w:b/>
                <w:bCs/>
                <w:color w:val="FFFFFF"/>
                <w:sz w:val="18"/>
                <w:szCs w:val="18"/>
                <w:lang w:eastAsia="es-ES"/>
              </w:rPr>
            </w:pPr>
            <w:r w:rsidRPr="00B22A68">
              <w:rPr>
                <w:rFonts w:ascii="Arial" w:eastAsia="Times New Roman" w:hAnsi="Arial" w:cs="Arial"/>
                <w:b/>
                <w:bCs/>
                <w:color w:val="FFFFFF"/>
                <w:sz w:val="18"/>
                <w:szCs w:val="18"/>
                <w:lang w:eastAsia="es-ES"/>
              </w:rPr>
              <w:t>PROCEDIMIENTOS</w:t>
            </w:r>
          </w:p>
        </w:tc>
        <w:tc>
          <w:tcPr>
            <w:tcW w:w="1280" w:type="dxa"/>
            <w:vMerge w:val="restart"/>
            <w:tcBorders>
              <w:top w:val="nil"/>
              <w:left w:val="single" w:sz="4" w:space="0" w:color="666666"/>
              <w:bottom w:val="single" w:sz="4" w:space="0" w:color="666666"/>
              <w:right w:val="nil"/>
            </w:tcBorders>
            <w:shd w:val="clear" w:color="9D2235" w:fill="9D2235"/>
            <w:vAlign w:val="center"/>
            <w:hideMark/>
          </w:tcPr>
          <w:p w14:paraId="6D9C713D" w14:textId="77777777" w:rsidR="00B22A68" w:rsidRPr="00B22A68" w:rsidRDefault="00B22A68" w:rsidP="00B22A68">
            <w:pPr>
              <w:jc w:val="center"/>
              <w:rPr>
                <w:rFonts w:ascii="Arial" w:eastAsia="Times New Roman" w:hAnsi="Arial" w:cs="Arial"/>
                <w:b/>
                <w:bCs/>
                <w:color w:val="FFFFFF"/>
                <w:sz w:val="18"/>
                <w:szCs w:val="18"/>
                <w:lang w:eastAsia="es-ES"/>
              </w:rPr>
            </w:pPr>
            <w:r w:rsidRPr="00B22A68">
              <w:rPr>
                <w:rFonts w:ascii="Arial" w:eastAsia="Times New Roman" w:hAnsi="Arial" w:cs="Arial"/>
                <w:b/>
                <w:bCs/>
                <w:color w:val="FFFFFF"/>
                <w:sz w:val="18"/>
                <w:szCs w:val="18"/>
                <w:lang w:eastAsia="es-ES"/>
              </w:rPr>
              <w:t>NÚM. DE CONTRATOS</w:t>
            </w:r>
          </w:p>
        </w:tc>
        <w:tc>
          <w:tcPr>
            <w:tcW w:w="0" w:type="auto"/>
            <w:vMerge w:val="restart"/>
            <w:tcBorders>
              <w:top w:val="nil"/>
              <w:left w:val="nil"/>
              <w:bottom w:val="single" w:sz="4" w:space="0" w:color="666666"/>
              <w:right w:val="nil"/>
            </w:tcBorders>
            <w:shd w:val="clear" w:color="9D2235" w:fill="9D2235"/>
            <w:vAlign w:val="center"/>
            <w:hideMark/>
          </w:tcPr>
          <w:p w14:paraId="25B125E6" w14:textId="77777777" w:rsidR="00B22A68" w:rsidRPr="00B22A68" w:rsidRDefault="00B22A68" w:rsidP="00B22A68">
            <w:pPr>
              <w:jc w:val="center"/>
              <w:rPr>
                <w:rFonts w:ascii="Arial" w:eastAsia="Times New Roman" w:hAnsi="Arial" w:cs="Arial"/>
                <w:b/>
                <w:bCs/>
                <w:color w:val="FFFFFF"/>
                <w:sz w:val="18"/>
                <w:szCs w:val="18"/>
                <w:lang w:eastAsia="es-ES"/>
              </w:rPr>
            </w:pPr>
            <w:r w:rsidRPr="00B22A68">
              <w:rPr>
                <w:rFonts w:ascii="Arial" w:eastAsia="Times New Roman" w:hAnsi="Arial" w:cs="Arial"/>
                <w:b/>
                <w:bCs/>
                <w:color w:val="FFFFFF"/>
                <w:sz w:val="18"/>
                <w:szCs w:val="18"/>
                <w:lang w:eastAsia="es-ES"/>
              </w:rPr>
              <w:t>PRESUPUESTO LICITACIÓN sin IVA (2)</w:t>
            </w:r>
          </w:p>
        </w:tc>
        <w:tc>
          <w:tcPr>
            <w:tcW w:w="0" w:type="auto"/>
            <w:vMerge w:val="restart"/>
            <w:tcBorders>
              <w:top w:val="nil"/>
              <w:left w:val="nil"/>
              <w:bottom w:val="single" w:sz="4" w:space="0" w:color="666666"/>
              <w:right w:val="nil"/>
            </w:tcBorders>
            <w:shd w:val="clear" w:color="9D2235" w:fill="9D2235"/>
            <w:vAlign w:val="center"/>
            <w:hideMark/>
          </w:tcPr>
          <w:p w14:paraId="1807C265" w14:textId="77777777" w:rsidR="00B22A68" w:rsidRPr="00B22A68" w:rsidRDefault="00B22A68" w:rsidP="00B22A68">
            <w:pPr>
              <w:jc w:val="center"/>
              <w:rPr>
                <w:rFonts w:ascii="Arial" w:eastAsia="Times New Roman" w:hAnsi="Arial" w:cs="Arial"/>
                <w:b/>
                <w:bCs/>
                <w:color w:val="FFFFFF"/>
                <w:sz w:val="18"/>
                <w:szCs w:val="18"/>
                <w:lang w:eastAsia="es-ES"/>
              </w:rPr>
            </w:pPr>
            <w:r w:rsidRPr="00B22A68">
              <w:rPr>
                <w:rFonts w:ascii="Arial" w:eastAsia="Times New Roman" w:hAnsi="Arial" w:cs="Arial"/>
                <w:b/>
                <w:bCs/>
                <w:color w:val="FFFFFF"/>
                <w:sz w:val="18"/>
                <w:szCs w:val="18"/>
                <w:lang w:eastAsia="es-ES"/>
              </w:rPr>
              <w:t>IMPORTE DE ADJUDICACIÓN sin IVA (2)</w:t>
            </w:r>
          </w:p>
        </w:tc>
        <w:tc>
          <w:tcPr>
            <w:tcW w:w="0" w:type="auto"/>
            <w:gridSpan w:val="2"/>
            <w:tcBorders>
              <w:top w:val="single" w:sz="4" w:space="0" w:color="666666"/>
              <w:left w:val="nil"/>
              <w:bottom w:val="single" w:sz="4" w:space="0" w:color="666666"/>
              <w:right w:val="single" w:sz="4" w:space="0" w:color="666666"/>
            </w:tcBorders>
            <w:shd w:val="clear" w:color="9D2235" w:fill="9D2235"/>
            <w:vAlign w:val="center"/>
            <w:hideMark/>
          </w:tcPr>
          <w:p w14:paraId="7CB96E5C" w14:textId="77777777" w:rsidR="00B22A68" w:rsidRPr="00B22A68" w:rsidRDefault="00B22A68" w:rsidP="00B22A68">
            <w:pPr>
              <w:jc w:val="center"/>
              <w:rPr>
                <w:rFonts w:ascii="Arial" w:eastAsia="Times New Roman" w:hAnsi="Arial" w:cs="Arial"/>
                <w:b/>
                <w:bCs/>
                <w:color w:val="FFFFFF"/>
                <w:sz w:val="18"/>
                <w:szCs w:val="18"/>
                <w:lang w:eastAsia="es-ES"/>
              </w:rPr>
            </w:pPr>
            <w:r w:rsidRPr="00B22A68">
              <w:rPr>
                <w:rFonts w:ascii="Arial" w:eastAsia="Times New Roman" w:hAnsi="Arial" w:cs="Arial"/>
                <w:b/>
                <w:bCs/>
                <w:color w:val="FFFFFF"/>
                <w:sz w:val="18"/>
                <w:szCs w:val="18"/>
                <w:lang w:eastAsia="es-ES"/>
              </w:rPr>
              <w:t>PORCENTAJE SOBRE</w:t>
            </w:r>
          </w:p>
        </w:tc>
      </w:tr>
      <w:tr w:rsidR="00B22A68" w:rsidRPr="00B22A68" w14:paraId="6F58B359" w14:textId="77777777" w:rsidTr="00B22A68">
        <w:trPr>
          <w:gridAfter w:val="1"/>
          <w:trHeight w:val="450"/>
          <w:jc w:val="center"/>
        </w:trPr>
        <w:tc>
          <w:tcPr>
            <w:tcW w:w="3225" w:type="dxa"/>
            <w:vMerge/>
            <w:tcBorders>
              <w:top w:val="nil"/>
              <w:left w:val="single" w:sz="4" w:space="0" w:color="666666"/>
              <w:bottom w:val="single" w:sz="4" w:space="0" w:color="666666"/>
              <w:right w:val="nil"/>
            </w:tcBorders>
            <w:vAlign w:val="center"/>
            <w:hideMark/>
          </w:tcPr>
          <w:p w14:paraId="5371EFA6" w14:textId="77777777" w:rsidR="00B22A68" w:rsidRPr="00B22A68" w:rsidRDefault="00B22A68" w:rsidP="00B22A68">
            <w:pPr>
              <w:rPr>
                <w:rFonts w:ascii="Arial" w:eastAsia="Times New Roman" w:hAnsi="Arial" w:cs="Arial"/>
                <w:b/>
                <w:bCs/>
                <w:color w:val="FFFFFF"/>
                <w:sz w:val="18"/>
                <w:szCs w:val="18"/>
                <w:lang w:eastAsia="es-ES"/>
              </w:rPr>
            </w:pPr>
          </w:p>
        </w:tc>
        <w:tc>
          <w:tcPr>
            <w:tcW w:w="1280" w:type="dxa"/>
            <w:vMerge/>
            <w:tcBorders>
              <w:top w:val="nil"/>
              <w:left w:val="single" w:sz="4" w:space="0" w:color="666666"/>
              <w:bottom w:val="single" w:sz="4" w:space="0" w:color="666666"/>
              <w:right w:val="nil"/>
            </w:tcBorders>
            <w:vAlign w:val="center"/>
            <w:hideMark/>
          </w:tcPr>
          <w:p w14:paraId="55038619" w14:textId="77777777" w:rsidR="00B22A68" w:rsidRPr="00B22A68" w:rsidRDefault="00B22A68" w:rsidP="00B22A68">
            <w:pPr>
              <w:rPr>
                <w:rFonts w:ascii="Arial" w:eastAsia="Times New Roman" w:hAnsi="Arial" w:cs="Arial"/>
                <w:b/>
                <w:bCs/>
                <w:color w:val="FFFFFF"/>
                <w:sz w:val="18"/>
                <w:szCs w:val="18"/>
                <w:lang w:eastAsia="es-ES"/>
              </w:rPr>
            </w:pPr>
          </w:p>
        </w:tc>
        <w:tc>
          <w:tcPr>
            <w:tcW w:w="0" w:type="auto"/>
            <w:vMerge/>
            <w:tcBorders>
              <w:top w:val="nil"/>
              <w:left w:val="nil"/>
              <w:bottom w:val="single" w:sz="4" w:space="0" w:color="666666"/>
              <w:right w:val="nil"/>
            </w:tcBorders>
            <w:vAlign w:val="center"/>
            <w:hideMark/>
          </w:tcPr>
          <w:p w14:paraId="033C6246" w14:textId="77777777" w:rsidR="00B22A68" w:rsidRPr="00B22A68" w:rsidRDefault="00B22A68" w:rsidP="00B22A68">
            <w:pPr>
              <w:rPr>
                <w:rFonts w:ascii="Arial" w:eastAsia="Times New Roman" w:hAnsi="Arial" w:cs="Arial"/>
                <w:b/>
                <w:bCs/>
                <w:color w:val="FFFFFF"/>
                <w:sz w:val="18"/>
                <w:szCs w:val="18"/>
                <w:lang w:eastAsia="es-ES"/>
              </w:rPr>
            </w:pPr>
          </w:p>
        </w:tc>
        <w:tc>
          <w:tcPr>
            <w:tcW w:w="0" w:type="auto"/>
            <w:vMerge/>
            <w:tcBorders>
              <w:top w:val="nil"/>
              <w:left w:val="nil"/>
              <w:bottom w:val="single" w:sz="4" w:space="0" w:color="666666"/>
              <w:right w:val="nil"/>
            </w:tcBorders>
            <w:vAlign w:val="center"/>
            <w:hideMark/>
          </w:tcPr>
          <w:p w14:paraId="3E92CE34" w14:textId="77777777" w:rsidR="00B22A68" w:rsidRPr="00B22A68" w:rsidRDefault="00B22A68" w:rsidP="00B22A68">
            <w:pPr>
              <w:rPr>
                <w:rFonts w:ascii="Arial" w:eastAsia="Times New Roman" w:hAnsi="Arial" w:cs="Arial"/>
                <w:b/>
                <w:bCs/>
                <w:color w:val="FFFFFF"/>
                <w:sz w:val="18"/>
                <w:szCs w:val="18"/>
                <w:lang w:eastAsia="es-ES"/>
              </w:rPr>
            </w:pPr>
          </w:p>
        </w:tc>
        <w:tc>
          <w:tcPr>
            <w:tcW w:w="0" w:type="auto"/>
            <w:vMerge w:val="restart"/>
            <w:tcBorders>
              <w:top w:val="nil"/>
              <w:left w:val="nil"/>
              <w:bottom w:val="single" w:sz="4" w:space="0" w:color="666666"/>
              <w:right w:val="nil"/>
            </w:tcBorders>
            <w:shd w:val="clear" w:color="9D2235" w:fill="9D2235"/>
            <w:vAlign w:val="center"/>
            <w:hideMark/>
          </w:tcPr>
          <w:p w14:paraId="20FD7244" w14:textId="77777777" w:rsidR="00B22A68" w:rsidRPr="00B22A68" w:rsidRDefault="00B22A68" w:rsidP="00B22A68">
            <w:pPr>
              <w:jc w:val="center"/>
              <w:rPr>
                <w:rFonts w:ascii="Arial" w:eastAsia="Times New Roman" w:hAnsi="Arial" w:cs="Arial"/>
                <w:b/>
                <w:bCs/>
                <w:color w:val="FFFFFF"/>
                <w:sz w:val="18"/>
                <w:szCs w:val="18"/>
                <w:lang w:eastAsia="es-ES"/>
              </w:rPr>
            </w:pPr>
            <w:r w:rsidRPr="00B22A68">
              <w:rPr>
                <w:rFonts w:ascii="Arial" w:eastAsia="Times New Roman" w:hAnsi="Arial" w:cs="Arial"/>
                <w:b/>
                <w:bCs/>
                <w:color w:val="FFFFFF"/>
                <w:sz w:val="18"/>
                <w:szCs w:val="18"/>
                <w:lang w:eastAsia="es-ES"/>
              </w:rPr>
              <w:t>PRESUPUESTO DE LICITACIÓN</w:t>
            </w:r>
          </w:p>
        </w:tc>
        <w:tc>
          <w:tcPr>
            <w:tcW w:w="0" w:type="auto"/>
            <w:vMerge w:val="restart"/>
            <w:tcBorders>
              <w:top w:val="nil"/>
              <w:left w:val="nil"/>
              <w:bottom w:val="single" w:sz="4" w:space="0" w:color="666666"/>
              <w:right w:val="single" w:sz="4" w:space="0" w:color="666666"/>
            </w:tcBorders>
            <w:shd w:val="clear" w:color="9D2235" w:fill="9D2235"/>
            <w:vAlign w:val="center"/>
            <w:hideMark/>
          </w:tcPr>
          <w:p w14:paraId="36156F39" w14:textId="77777777" w:rsidR="00B22A68" w:rsidRPr="00B22A68" w:rsidRDefault="00B22A68" w:rsidP="00B22A68">
            <w:pPr>
              <w:jc w:val="center"/>
              <w:rPr>
                <w:rFonts w:ascii="Arial" w:eastAsia="Times New Roman" w:hAnsi="Arial" w:cs="Arial"/>
                <w:b/>
                <w:bCs/>
                <w:color w:val="FFFFFF"/>
                <w:sz w:val="18"/>
                <w:szCs w:val="18"/>
                <w:lang w:eastAsia="es-ES"/>
              </w:rPr>
            </w:pPr>
            <w:r w:rsidRPr="00B22A68">
              <w:rPr>
                <w:rFonts w:ascii="Arial" w:eastAsia="Times New Roman" w:hAnsi="Arial" w:cs="Arial"/>
                <w:b/>
                <w:bCs/>
                <w:color w:val="FFFFFF"/>
                <w:sz w:val="18"/>
                <w:szCs w:val="18"/>
                <w:lang w:eastAsia="es-ES"/>
              </w:rPr>
              <w:t>IMPORTE DE ADJUDICACIÓN</w:t>
            </w:r>
          </w:p>
        </w:tc>
      </w:tr>
      <w:tr w:rsidR="00B22A68" w:rsidRPr="00B22A68" w14:paraId="26CA4932" w14:textId="77777777" w:rsidTr="00B22A68">
        <w:trPr>
          <w:trHeight w:val="330"/>
          <w:jc w:val="center"/>
        </w:trPr>
        <w:tc>
          <w:tcPr>
            <w:tcW w:w="3225" w:type="dxa"/>
            <w:vMerge/>
            <w:tcBorders>
              <w:top w:val="nil"/>
              <w:left w:val="single" w:sz="4" w:space="0" w:color="666666"/>
              <w:bottom w:val="single" w:sz="4" w:space="0" w:color="666666"/>
              <w:right w:val="nil"/>
            </w:tcBorders>
            <w:vAlign w:val="center"/>
            <w:hideMark/>
          </w:tcPr>
          <w:p w14:paraId="38E54EC6" w14:textId="77777777" w:rsidR="00B22A68" w:rsidRPr="00B22A68" w:rsidRDefault="00B22A68" w:rsidP="00B22A68">
            <w:pPr>
              <w:rPr>
                <w:rFonts w:ascii="Arial" w:eastAsia="Times New Roman" w:hAnsi="Arial" w:cs="Arial"/>
                <w:b/>
                <w:bCs/>
                <w:color w:val="FFFFFF"/>
                <w:sz w:val="18"/>
                <w:szCs w:val="18"/>
                <w:lang w:eastAsia="es-ES"/>
              </w:rPr>
            </w:pPr>
          </w:p>
        </w:tc>
        <w:tc>
          <w:tcPr>
            <w:tcW w:w="1280" w:type="dxa"/>
            <w:vMerge/>
            <w:tcBorders>
              <w:top w:val="nil"/>
              <w:left w:val="single" w:sz="4" w:space="0" w:color="666666"/>
              <w:bottom w:val="single" w:sz="4" w:space="0" w:color="666666"/>
              <w:right w:val="nil"/>
            </w:tcBorders>
            <w:vAlign w:val="center"/>
            <w:hideMark/>
          </w:tcPr>
          <w:p w14:paraId="500BDC11" w14:textId="77777777" w:rsidR="00B22A68" w:rsidRPr="00B22A68" w:rsidRDefault="00B22A68" w:rsidP="00B22A68">
            <w:pPr>
              <w:rPr>
                <w:rFonts w:ascii="Arial" w:eastAsia="Times New Roman" w:hAnsi="Arial" w:cs="Arial"/>
                <w:b/>
                <w:bCs/>
                <w:color w:val="FFFFFF"/>
                <w:sz w:val="18"/>
                <w:szCs w:val="18"/>
                <w:lang w:eastAsia="es-ES"/>
              </w:rPr>
            </w:pPr>
          </w:p>
        </w:tc>
        <w:tc>
          <w:tcPr>
            <w:tcW w:w="0" w:type="auto"/>
            <w:vMerge/>
            <w:tcBorders>
              <w:top w:val="nil"/>
              <w:left w:val="nil"/>
              <w:bottom w:val="single" w:sz="4" w:space="0" w:color="666666"/>
              <w:right w:val="nil"/>
            </w:tcBorders>
            <w:vAlign w:val="center"/>
            <w:hideMark/>
          </w:tcPr>
          <w:p w14:paraId="720665B8" w14:textId="77777777" w:rsidR="00B22A68" w:rsidRPr="00B22A68" w:rsidRDefault="00B22A68" w:rsidP="00B22A68">
            <w:pPr>
              <w:rPr>
                <w:rFonts w:ascii="Arial" w:eastAsia="Times New Roman" w:hAnsi="Arial" w:cs="Arial"/>
                <w:b/>
                <w:bCs/>
                <w:color w:val="FFFFFF"/>
                <w:sz w:val="18"/>
                <w:szCs w:val="18"/>
                <w:lang w:eastAsia="es-ES"/>
              </w:rPr>
            </w:pPr>
          </w:p>
        </w:tc>
        <w:tc>
          <w:tcPr>
            <w:tcW w:w="0" w:type="auto"/>
            <w:vMerge/>
            <w:tcBorders>
              <w:top w:val="nil"/>
              <w:left w:val="nil"/>
              <w:bottom w:val="single" w:sz="4" w:space="0" w:color="666666"/>
              <w:right w:val="nil"/>
            </w:tcBorders>
            <w:vAlign w:val="center"/>
            <w:hideMark/>
          </w:tcPr>
          <w:p w14:paraId="7A79331C" w14:textId="77777777" w:rsidR="00B22A68" w:rsidRPr="00B22A68" w:rsidRDefault="00B22A68" w:rsidP="00B22A68">
            <w:pPr>
              <w:rPr>
                <w:rFonts w:ascii="Arial" w:eastAsia="Times New Roman" w:hAnsi="Arial" w:cs="Arial"/>
                <w:b/>
                <w:bCs/>
                <w:color w:val="FFFFFF"/>
                <w:sz w:val="18"/>
                <w:szCs w:val="18"/>
                <w:lang w:eastAsia="es-ES"/>
              </w:rPr>
            </w:pPr>
          </w:p>
        </w:tc>
        <w:tc>
          <w:tcPr>
            <w:tcW w:w="0" w:type="auto"/>
            <w:vMerge/>
            <w:tcBorders>
              <w:top w:val="nil"/>
              <w:left w:val="nil"/>
              <w:bottom w:val="single" w:sz="4" w:space="0" w:color="666666"/>
              <w:right w:val="nil"/>
            </w:tcBorders>
            <w:vAlign w:val="center"/>
            <w:hideMark/>
          </w:tcPr>
          <w:p w14:paraId="16AAAF56" w14:textId="77777777" w:rsidR="00B22A68" w:rsidRPr="00B22A68" w:rsidRDefault="00B22A68" w:rsidP="00B22A68">
            <w:pPr>
              <w:rPr>
                <w:rFonts w:ascii="Arial" w:eastAsia="Times New Roman" w:hAnsi="Arial" w:cs="Arial"/>
                <w:b/>
                <w:bCs/>
                <w:color w:val="FFFFFF"/>
                <w:sz w:val="18"/>
                <w:szCs w:val="18"/>
                <w:lang w:eastAsia="es-ES"/>
              </w:rPr>
            </w:pPr>
          </w:p>
        </w:tc>
        <w:tc>
          <w:tcPr>
            <w:tcW w:w="0" w:type="auto"/>
            <w:vMerge/>
            <w:tcBorders>
              <w:top w:val="nil"/>
              <w:left w:val="nil"/>
              <w:bottom w:val="single" w:sz="4" w:space="0" w:color="666666"/>
              <w:right w:val="single" w:sz="4" w:space="0" w:color="666666"/>
            </w:tcBorders>
            <w:vAlign w:val="center"/>
            <w:hideMark/>
          </w:tcPr>
          <w:p w14:paraId="2D153AF4" w14:textId="77777777" w:rsidR="00B22A68" w:rsidRPr="00B22A68" w:rsidRDefault="00B22A68" w:rsidP="00B22A68">
            <w:pPr>
              <w:rPr>
                <w:rFonts w:ascii="Arial" w:eastAsia="Times New Roman" w:hAnsi="Arial" w:cs="Arial"/>
                <w:b/>
                <w:bCs/>
                <w:color w:val="FFFFFF"/>
                <w:sz w:val="18"/>
                <w:szCs w:val="18"/>
                <w:lang w:eastAsia="es-ES"/>
              </w:rPr>
            </w:pPr>
          </w:p>
        </w:tc>
        <w:tc>
          <w:tcPr>
            <w:tcW w:w="0" w:type="auto"/>
            <w:tcBorders>
              <w:top w:val="nil"/>
              <w:left w:val="nil"/>
              <w:bottom w:val="nil"/>
              <w:right w:val="nil"/>
            </w:tcBorders>
            <w:shd w:val="clear" w:color="auto" w:fill="auto"/>
            <w:noWrap/>
            <w:vAlign w:val="bottom"/>
            <w:hideMark/>
          </w:tcPr>
          <w:p w14:paraId="22836BC6" w14:textId="77777777" w:rsidR="00B22A68" w:rsidRPr="00B22A68" w:rsidRDefault="00B22A68" w:rsidP="00B22A68">
            <w:pPr>
              <w:jc w:val="center"/>
              <w:rPr>
                <w:rFonts w:ascii="Arial" w:eastAsia="Times New Roman" w:hAnsi="Arial" w:cs="Arial"/>
                <w:b/>
                <w:bCs/>
                <w:color w:val="FFFFFF"/>
                <w:sz w:val="18"/>
                <w:szCs w:val="18"/>
                <w:lang w:eastAsia="es-ES"/>
              </w:rPr>
            </w:pPr>
          </w:p>
        </w:tc>
      </w:tr>
      <w:tr w:rsidR="00B22A68" w:rsidRPr="00B22A68" w14:paraId="764D06B7" w14:textId="77777777" w:rsidTr="00B22A68">
        <w:trPr>
          <w:trHeight w:val="330"/>
          <w:jc w:val="center"/>
        </w:trPr>
        <w:tc>
          <w:tcPr>
            <w:tcW w:w="3225" w:type="dxa"/>
            <w:tcBorders>
              <w:top w:val="single" w:sz="4" w:space="0" w:color="9D2235"/>
              <w:left w:val="single" w:sz="4" w:space="0" w:color="9D2235"/>
              <w:bottom w:val="single" w:sz="4" w:space="0" w:color="9D2235"/>
              <w:right w:val="nil"/>
            </w:tcBorders>
            <w:shd w:val="clear" w:color="FFFFFF" w:fill="FFFFFF"/>
            <w:noWrap/>
            <w:vAlign w:val="bottom"/>
            <w:hideMark/>
          </w:tcPr>
          <w:p w14:paraId="3966DAD5" w14:textId="77777777" w:rsidR="00B22A68" w:rsidRPr="00B22A68" w:rsidRDefault="00B22A68" w:rsidP="00B22A68">
            <w:pPr>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MENOR</w:t>
            </w:r>
          </w:p>
        </w:tc>
        <w:tc>
          <w:tcPr>
            <w:tcW w:w="1280" w:type="dxa"/>
            <w:tcBorders>
              <w:top w:val="single" w:sz="4" w:space="0" w:color="9D2235"/>
              <w:left w:val="nil"/>
              <w:bottom w:val="single" w:sz="4" w:space="0" w:color="9D2235"/>
              <w:right w:val="nil"/>
            </w:tcBorders>
            <w:shd w:val="clear" w:color="FFFFFF" w:fill="FFFFFF"/>
            <w:noWrap/>
            <w:vAlign w:val="bottom"/>
            <w:hideMark/>
          </w:tcPr>
          <w:p w14:paraId="39E5E4C9" w14:textId="77777777" w:rsidR="00B22A68" w:rsidRPr="00B22A68" w:rsidRDefault="00B22A68" w:rsidP="00B22A68">
            <w:pPr>
              <w:jc w:val="center"/>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51</w:t>
            </w:r>
          </w:p>
        </w:tc>
        <w:tc>
          <w:tcPr>
            <w:tcW w:w="0" w:type="auto"/>
            <w:tcBorders>
              <w:top w:val="single" w:sz="4" w:space="0" w:color="9D2235"/>
              <w:left w:val="nil"/>
              <w:bottom w:val="single" w:sz="4" w:space="0" w:color="9D2235"/>
              <w:right w:val="nil"/>
            </w:tcBorders>
            <w:shd w:val="clear" w:color="FFFFFF" w:fill="FFFFFF"/>
            <w:noWrap/>
            <w:vAlign w:val="bottom"/>
            <w:hideMark/>
          </w:tcPr>
          <w:p w14:paraId="4386D0D4"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102.228,23</w:t>
            </w:r>
          </w:p>
        </w:tc>
        <w:tc>
          <w:tcPr>
            <w:tcW w:w="0" w:type="auto"/>
            <w:tcBorders>
              <w:top w:val="single" w:sz="4" w:space="0" w:color="9D2235"/>
              <w:left w:val="nil"/>
              <w:bottom w:val="single" w:sz="4" w:space="0" w:color="9D2235"/>
              <w:right w:val="nil"/>
            </w:tcBorders>
            <w:shd w:val="clear" w:color="FFFFFF" w:fill="FFFFFF"/>
            <w:noWrap/>
            <w:vAlign w:val="bottom"/>
            <w:hideMark/>
          </w:tcPr>
          <w:p w14:paraId="26063EBE"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99.665,11</w:t>
            </w:r>
          </w:p>
        </w:tc>
        <w:tc>
          <w:tcPr>
            <w:tcW w:w="0" w:type="auto"/>
            <w:tcBorders>
              <w:top w:val="single" w:sz="4" w:space="0" w:color="9D2235"/>
              <w:left w:val="nil"/>
              <w:bottom w:val="single" w:sz="4" w:space="0" w:color="9D2235"/>
              <w:right w:val="nil"/>
            </w:tcBorders>
            <w:shd w:val="clear" w:color="FFFFFF" w:fill="FFFFFF"/>
            <w:noWrap/>
            <w:vAlign w:val="bottom"/>
            <w:hideMark/>
          </w:tcPr>
          <w:p w14:paraId="58A1BDD0"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52,92 %</w:t>
            </w:r>
          </w:p>
        </w:tc>
        <w:tc>
          <w:tcPr>
            <w:tcW w:w="0" w:type="auto"/>
            <w:tcBorders>
              <w:top w:val="single" w:sz="4" w:space="0" w:color="9D2235"/>
              <w:left w:val="nil"/>
              <w:bottom w:val="single" w:sz="4" w:space="0" w:color="9D2235"/>
              <w:right w:val="single" w:sz="4" w:space="0" w:color="9D2235"/>
            </w:tcBorders>
            <w:shd w:val="clear" w:color="FFFFFF" w:fill="FFFFFF"/>
            <w:noWrap/>
            <w:vAlign w:val="bottom"/>
            <w:hideMark/>
          </w:tcPr>
          <w:p w14:paraId="4FFBB6A5"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58,24 %</w:t>
            </w:r>
          </w:p>
        </w:tc>
        <w:tc>
          <w:tcPr>
            <w:tcW w:w="0" w:type="auto"/>
            <w:vAlign w:val="center"/>
            <w:hideMark/>
          </w:tcPr>
          <w:p w14:paraId="069AA8DE" w14:textId="77777777" w:rsidR="00B22A68" w:rsidRPr="00B22A68" w:rsidRDefault="00B22A68" w:rsidP="00B22A68">
            <w:pPr>
              <w:rPr>
                <w:rFonts w:ascii="Arial" w:eastAsia="Times New Roman" w:hAnsi="Arial" w:cs="Arial"/>
                <w:sz w:val="18"/>
                <w:szCs w:val="18"/>
                <w:lang w:eastAsia="es-ES"/>
              </w:rPr>
            </w:pPr>
          </w:p>
        </w:tc>
      </w:tr>
      <w:tr w:rsidR="00B22A68" w:rsidRPr="00B22A68" w14:paraId="0DCB5712" w14:textId="77777777" w:rsidTr="00B22A68">
        <w:trPr>
          <w:trHeight w:val="330"/>
          <w:jc w:val="center"/>
        </w:trPr>
        <w:tc>
          <w:tcPr>
            <w:tcW w:w="3225" w:type="dxa"/>
            <w:tcBorders>
              <w:top w:val="nil"/>
              <w:left w:val="single" w:sz="4" w:space="0" w:color="9D2235"/>
              <w:bottom w:val="single" w:sz="4" w:space="0" w:color="9D2235"/>
              <w:right w:val="nil"/>
            </w:tcBorders>
            <w:shd w:val="clear" w:color="FFFFFF" w:fill="FFFFFF"/>
            <w:noWrap/>
            <w:vAlign w:val="bottom"/>
            <w:hideMark/>
          </w:tcPr>
          <w:p w14:paraId="040791EC" w14:textId="77777777" w:rsidR="00B22A68" w:rsidRPr="00B22A68" w:rsidRDefault="00B22A68" w:rsidP="00B22A68">
            <w:pPr>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ABIERTO</w:t>
            </w:r>
          </w:p>
        </w:tc>
        <w:tc>
          <w:tcPr>
            <w:tcW w:w="1280" w:type="dxa"/>
            <w:tcBorders>
              <w:top w:val="nil"/>
              <w:left w:val="nil"/>
              <w:bottom w:val="single" w:sz="4" w:space="0" w:color="9D2235"/>
              <w:right w:val="nil"/>
            </w:tcBorders>
            <w:shd w:val="clear" w:color="FFFFFF" w:fill="FFFFFF"/>
            <w:noWrap/>
            <w:vAlign w:val="bottom"/>
            <w:hideMark/>
          </w:tcPr>
          <w:p w14:paraId="3175AC87" w14:textId="77777777" w:rsidR="00B22A68" w:rsidRPr="00B22A68" w:rsidRDefault="00B22A68" w:rsidP="00B22A68">
            <w:pPr>
              <w:jc w:val="center"/>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6</w:t>
            </w:r>
          </w:p>
        </w:tc>
        <w:tc>
          <w:tcPr>
            <w:tcW w:w="0" w:type="auto"/>
            <w:tcBorders>
              <w:top w:val="nil"/>
              <w:left w:val="nil"/>
              <w:bottom w:val="single" w:sz="4" w:space="0" w:color="9D2235"/>
              <w:right w:val="nil"/>
            </w:tcBorders>
            <w:shd w:val="clear" w:color="FFFFFF" w:fill="FFFFFF"/>
            <w:noWrap/>
            <w:vAlign w:val="bottom"/>
            <w:hideMark/>
          </w:tcPr>
          <w:p w14:paraId="0A688DD0"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74.109,32</w:t>
            </w:r>
          </w:p>
        </w:tc>
        <w:tc>
          <w:tcPr>
            <w:tcW w:w="0" w:type="auto"/>
            <w:tcBorders>
              <w:top w:val="nil"/>
              <w:left w:val="nil"/>
              <w:bottom w:val="single" w:sz="4" w:space="0" w:color="9D2235"/>
              <w:right w:val="nil"/>
            </w:tcBorders>
            <w:shd w:val="clear" w:color="FFFFFF" w:fill="FFFFFF"/>
            <w:noWrap/>
            <w:vAlign w:val="bottom"/>
            <w:hideMark/>
          </w:tcPr>
          <w:p w14:paraId="68152513"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56.699,77</w:t>
            </w:r>
          </w:p>
        </w:tc>
        <w:tc>
          <w:tcPr>
            <w:tcW w:w="0" w:type="auto"/>
            <w:tcBorders>
              <w:top w:val="nil"/>
              <w:left w:val="nil"/>
              <w:bottom w:val="single" w:sz="4" w:space="0" w:color="9D2235"/>
              <w:right w:val="nil"/>
            </w:tcBorders>
            <w:shd w:val="clear" w:color="FFFFFF" w:fill="FFFFFF"/>
            <w:noWrap/>
            <w:vAlign w:val="bottom"/>
            <w:hideMark/>
          </w:tcPr>
          <w:p w14:paraId="0E3C32CE"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38,36 %</w:t>
            </w:r>
          </w:p>
        </w:tc>
        <w:tc>
          <w:tcPr>
            <w:tcW w:w="0" w:type="auto"/>
            <w:tcBorders>
              <w:top w:val="nil"/>
              <w:left w:val="nil"/>
              <w:bottom w:val="single" w:sz="4" w:space="0" w:color="9D2235"/>
              <w:right w:val="single" w:sz="4" w:space="0" w:color="9D2235"/>
            </w:tcBorders>
            <w:shd w:val="clear" w:color="FFFFFF" w:fill="FFFFFF"/>
            <w:noWrap/>
            <w:vAlign w:val="bottom"/>
            <w:hideMark/>
          </w:tcPr>
          <w:p w14:paraId="3675C7B4"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33,14 %</w:t>
            </w:r>
          </w:p>
        </w:tc>
        <w:tc>
          <w:tcPr>
            <w:tcW w:w="0" w:type="auto"/>
            <w:vAlign w:val="center"/>
            <w:hideMark/>
          </w:tcPr>
          <w:p w14:paraId="5F7B0713" w14:textId="77777777" w:rsidR="00B22A68" w:rsidRPr="00B22A68" w:rsidRDefault="00B22A68" w:rsidP="00B22A68">
            <w:pPr>
              <w:rPr>
                <w:rFonts w:ascii="Arial" w:eastAsia="Times New Roman" w:hAnsi="Arial" w:cs="Arial"/>
                <w:sz w:val="18"/>
                <w:szCs w:val="18"/>
                <w:lang w:eastAsia="es-ES"/>
              </w:rPr>
            </w:pPr>
          </w:p>
        </w:tc>
      </w:tr>
      <w:tr w:rsidR="00B22A68" w:rsidRPr="00B22A68" w14:paraId="3AAA5095" w14:textId="77777777" w:rsidTr="00B22A68">
        <w:trPr>
          <w:trHeight w:val="330"/>
          <w:jc w:val="center"/>
        </w:trPr>
        <w:tc>
          <w:tcPr>
            <w:tcW w:w="3225" w:type="dxa"/>
            <w:tcBorders>
              <w:top w:val="nil"/>
              <w:left w:val="single" w:sz="4" w:space="0" w:color="9D2235"/>
              <w:bottom w:val="single" w:sz="4" w:space="0" w:color="9D2235"/>
              <w:right w:val="nil"/>
            </w:tcBorders>
            <w:shd w:val="clear" w:color="FFFFFF" w:fill="FFFFFF"/>
            <w:noWrap/>
            <w:vAlign w:val="bottom"/>
            <w:hideMark/>
          </w:tcPr>
          <w:p w14:paraId="4CD807FC" w14:textId="77777777" w:rsidR="00B22A68" w:rsidRPr="00B22A68" w:rsidRDefault="00B22A68" w:rsidP="00B22A68">
            <w:pPr>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ABIERTO/MODIFICACIONES</w:t>
            </w:r>
          </w:p>
        </w:tc>
        <w:tc>
          <w:tcPr>
            <w:tcW w:w="1280" w:type="dxa"/>
            <w:tcBorders>
              <w:top w:val="nil"/>
              <w:left w:val="nil"/>
              <w:bottom w:val="single" w:sz="4" w:space="0" w:color="9D2235"/>
              <w:right w:val="nil"/>
            </w:tcBorders>
            <w:shd w:val="clear" w:color="FFFFFF" w:fill="FFFFFF"/>
            <w:noWrap/>
            <w:vAlign w:val="bottom"/>
            <w:hideMark/>
          </w:tcPr>
          <w:p w14:paraId="16B71C1A" w14:textId="77777777" w:rsidR="00B22A68" w:rsidRPr="00B22A68" w:rsidRDefault="00B22A68" w:rsidP="00B22A68">
            <w:pPr>
              <w:jc w:val="center"/>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1</w:t>
            </w:r>
          </w:p>
        </w:tc>
        <w:tc>
          <w:tcPr>
            <w:tcW w:w="0" w:type="auto"/>
            <w:tcBorders>
              <w:top w:val="nil"/>
              <w:left w:val="nil"/>
              <w:bottom w:val="single" w:sz="4" w:space="0" w:color="9D2235"/>
              <w:right w:val="nil"/>
            </w:tcBorders>
            <w:shd w:val="clear" w:color="FFFFFF" w:fill="FFFFFF"/>
            <w:noWrap/>
            <w:vAlign w:val="bottom"/>
            <w:hideMark/>
          </w:tcPr>
          <w:p w14:paraId="09BDC4DA"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1.796,77</w:t>
            </w:r>
          </w:p>
        </w:tc>
        <w:tc>
          <w:tcPr>
            <w:tcW w:w="0" w:type="auto"/>
            <w:tcBorders>
              <w:top w:val="nil"/>
              <w:left w:val="nil"/>
              <w:bottom w:val="single" w:sz="4" w:space="0" w:color="9D2235"/>
              <w:right w:val="nil"/>
            </w:tcBorders>
            <w:shd w:val="clear" w:color="FFFFFF" w:fill="FFFFFF"/>
            <w:noWrap/>
            <w:vAlign w:val="bottom"/>
            <w:hideMark/>
          </w:tcPr>
          <w:p w14:paraId="50358389"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1.796,77</w:t>
            </w:r>
          </w:p>
        </w:tc>
        <w:tc>
          <w:tcPr>
            <w:tcW w:w="0" w:type="auto"/>
            <w:tcBorders>
              <w:top w:val="nil"/>
              <w:left w:val="nil"/>
              <w:bottom w:val="single" w:sz="4" w:space="0" w:color="9D2235"/>
              <w:right w:val="nil"/>
            </w:tcBorders>
            <w:shd w:val="clear" w:color="FFFFFF" w:fill="FFFFFF"/>
            <w:noWrap/>
            <w:vAlign w:val="bottom"/>
            <w:hideMark/>
          </w:tcPr>
          <w:p w14:paraId="3003FC48"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0,93 %</w:t>
            </w:r>
          </w:p>
        </w:tc>
        <w:tc>
          <w:tcPr>
            <w:tcW w:w="0" w:type="auto"/>
            <w:tcBorders>
              <w:top w:val="nil"/>
              <w:left w:val="nil"/>
              <w:bottom w:val="single" w:sz="4" w:space="0" w:color="9D2235"/>
              <w:right w:val="single" w:sz="4" w:space="0" w:color="9D2235"/>
            </w:tcBorders>
            <w:shd w:val="clear" w:color="FFFFFF" w:fill="FFFFFF"/>
            <w:noWrap/>
            <w:vAlign w:val="bottom"/>
            <w:hideMark/>
          </w:tcPr>
          <w:p w14:paraId="23F22402"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1,05 %</w:t>
            </w:r>
          </w:p>
        </w:tc>
        <w:tc>
          <w:tcPr>
            <w:tcW w:w="0" w:type="auto"/>
            <w:vAlign w:val="center"/>
            <w:hideMark/>
          </w:tcPr>
          <w:p w14:paraId="1B5C3001" w14:textId="77777777" w:rsidR="00B22A68" w:rsidRPr="00B22A68" w:rsidRDefault="00B22A68" w:rsidP="00B22A68">
            <w:pPr>
              <w:rPr>
                <w:rFonts w:ascii="Arial" w:eastAsia="Times New Roman" w:hAnsi="Arial" w:cs="Arial"/>
                <w:sz w:val="18"/>
                <w:szCs w:val="18"/>
                <w:lang w:eastAsia="es-ES"/>
              </w:rPr>
            </w:pPr>
          </w:p>
        </w:tc>
      </w:tr>
      <w:tr w:rsidR="00B22A68" w:rsidRPr="00B22A68" w14:paraId="46DB4650" w14:textId="77777777" w:rsidTr="00B22A68">
        <w:trPr>
          <w:trHeight w:val="330"/>
          <w:jc w:val="center"/>
        </w:trPr>
        <w:tc>
          <w:tcPr>
            <w:tcW w:w="3225" w:type="dxa"/>
            <w:tcBorders>
              <w:top w:val="nil"/>
              <w:left w:val="single" w:sz="4" w:space="0" w:color="9D2235"/>
              <w:bottom w:val="single" w:sz="4" w:space="0" w:color="9D2235"/>
              <w:right w:val="nil"/>
            </w:tcBorders>
            <w:shd w:val="clear" w:color="FFFFFF" w:fill="FFFFFF"/>
            <w:noWrap/>
            <w:vAlign w:val="bottom"/>
            <w:hideMark/>
          </w:tcPr>
          <w:p w14:paraId="32E24324" w14:textId="77777777" w:rsidR="00B22A68" w:rsidRPr="00B22A68" w:rsidRDefault="00B22A68" w:rsidP="00B22A68">
            <w:pPr>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BASADO EN ACUERDO MARCO</w:t>
            </w:r>
          </w:p>
        </w:tc>
        <w:tc>
          <w:tcPr>
            <w:tcW w:w="1280" w:type="dxa"/>
            <w:tcBorders>
              <w:top w:val="nil"/>
              <w:left w:val="nil"/>
              <w:bottom w:val="single" w:sz="4" w:space="0" w:color="9D2235"/>
              <w:right w:val="nil"/>
            </w:tcBorders>
            <w:shd w:val="clear" w:color="FFFFFF" w:fill="FFFFFF"/>
            <w:noWrap/>
            <w:vAlign w:val="bottom"/>
            <w:hideMark/>
          </w:tcPr>
          <w:p w14:paraId="2D367BD8" w14:textId="77777777" w:rsidR="00B22A68" w:rsidRPr="00B22A68" w:rsidRDefault="00B22A68" w:rsidP="00B22A68">
            <w:pPr>
              <w:jc w:val="center"/>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1</w:t>
            </w:r>
          </w:p>
        </w:tc>
        <w:tc>
          <w:tcPr>
            <w:tcW w:w="0" w:type="auto"/>
            <w:tcBorders>
              <w:top w:val="nil"/>
              <w:left w:val="nil"/>
              <w:bottom w:val="single" w:sz="4" w:space="0" w:color="9D2235"/>
              <w:right w:val="nil"/>
            </w:tcBorders>
            <w:shd w:val="clear" w:color="FFFFFF" w:fill="FFFFFF"/>
            <w:noWrap/>
            <w:vAlign w:val="bottom"/>
            <w:hideMark/>
          </w:tcPr>
          <w:p w14:paraId="1E39D70D"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15.058,18</w:t>
            </w:r>
          </w:p>
        </w:tc>
        <w:tc>
          <w:tcPr>
            <w:tcW w:w="0" w:type="auto"/>
            <w:tcBorders>
              <w:top w:val="nil"/>
              <w:left w:val="nil"/>
              <w:bottom w:val="single" w:sz="4" w:space="0" w:color="9D2235"/>
              <w:right w:val="nil"/>
            </w:tcBorders>
            <w:shd w:val="clear" w:color="FFFFFF" w:fill="FFFFFF"/>
            <w:noWrap/>
            <w:vAlign w:val="bottom"/>
            <w:hideMark/>
          </w:tcPr>
          <w:p w14:paraId="2BFBCF70"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12.953,37</w:t>
            </w:r>
          </w:p>
        </w:tc>
        <w:tc>
          <w:tcPr>
            <w:tcW w:w="0" w:type="auto"/>
            <w:tcBorders>
              <w:top w:val="nil"/>
              <w:left w:val="nil"/>
              <w:bottom w:val="single" w:sz="4" w:space="0" w:color="9D2235"/>
              <w:right w:val="nil"/>
            </w:tcBorders>
            <w:shd w:val="clear" w:color="FFFFFF" w:fill="FFFFFF"/>
            <w:noWrap/>
            <w:vAlign w:val="bottom"/>
            <w:hideMark/>
          </w:tcPr>
          <w:p w14:paraId="7651BAA0"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7,79 %</w:t>
            </w:r>
          </w:p>
        </w:tc>
        <w:tc>
          <w:tcPr>
            <w:tcW w:w="0" w:type="auto"/>
            <w:tcBorders>
              <w:top w:val="nil"/>
              <w:left w:val="nil"/>
              <w:bottom w:val="single" w:sz="4" w:space="0" w:color="9D2235"/>
              <w:right w:val="single" w:sz="4" w:space="0" w:color="9D2235"/>
            </w:tcBorders>
            <w:shd w:val="clear" w:color="FFFFFF" w:fill="FFFFFF"/>
            <w:noWrap/>
            <w:vAlign w:val="bottom"/>
            <w:hideMark/>
          </w:tcPr>
          <w:p w14:paraId="38717C25" w14:textId="77777777" w:rsidR="00B22A68" w:rsidRPr="00B22A68" w:rsidRDefault="00B22A68" w:rsidP="00B22A68">
            <w:pPr>
              <w:jc w:val="right"/>
              <w:rPr>
                <w:rFonts w:ascii="Arial" w:eastAsia="Times New Roman" w:hAnsi="Arial" w:cs="Arial"/>
                <w:color w:val="000000"/>
                <w:sz w:val="18"/>
                <w:szCs w:val="18"/>
                <w:lang w:eastAsia="es-ES"/>
              </w:rPr>
            </w:pPr>
            <w:r w:rsidRPr="00B22A68">
              <w:rPr>
                <w:rFonts w:ascii="Arial" w:eastAsia="Times New Roman" w:hAnsi="Arial" w:cs="Arial"/>
                <w:color w:val="000000"/>
                <w:sz w:val="18"/>
                <w:szCs w:val="18"/>
                <w:lang w:eastAsia="es-ES"/>
              </w:rPr>
              <w:t>7,57 %</w:t>
            </w:r>
          </w:p>
        </w:tc>
        <w:tc>
          <w:tcPr>
            <w:tcW w:w="0" w:type="auto"/>
            <w:vAlign w:val="center"/>
            <w:hideMark/>
          </w:tcPr>
          <w:p w14:paraId="74B46032" w14:textId="77777777" w:rsidR="00B22A68" w:rsidRPr="00B22A68" w:rsidRDefault="00B22A68" w:rsidP="00B22A68">
            <w:pPr>
              <w:rPr>
                <w:rFonts w:ascii="Arial" w:eastAsia="Times New Roman" w:hAnsi="Arial" w:cs="Arial"/>
                <w:sz w:val="18"/>
                <w:szCs w:val="18"/>
                <w:lang w:eastAsia="es-ES"/>
              </w:rPr>
            </w:pPr>
          </w:p>
        </w:tc>
      </w:tr>
      <w:tr w:rsidR="00B22A68" w:rsidRPr="00B22A68" w14:paraId="4FF1A25C" w14:textId="77777777" w:rsidTr="00B22A68">
        <w:trPr>
          <w:trHeight w:val="330"/>
          <w:jc w:val="center"/>
        </w:trPr>
        <w:tc>
          <w:tcPr>
            <w:tcW w:w="3225" w:type="dxa"/>
            <w:tcBorders>
              <w:top w:val="single" w:sz="4" w:space="0" w:color="666666"/>
              <w:left w:val="single" w:sz="4" w:space="0" w:color="666666"/>
              <w:bottom w:val="single" w:sz="4" w:space="0" w:color="666666"/>
              <w:right w:val="nil"/>
            </w:tcBorders>
            <w:shd w:val="clear" w:color="9D2235" w:fill="9D2235"/>
            <w:noWrap/>
            <w:vAlign w:val="center"/>
            <w:hideMark/>
          </w:tcPr>
          <w:p w14:paraId="6525577B" w14:textId="77777777" w:rsidR="00B22A68" w:rsidRPr="00B22A68" w:rsidRDefault="00B22A68" w:rsidP="00B22A68">
            <w:pPr>
              <w:jc w:val="center"/>
              <w:rPr>
                <w:rFonts w:ascii="Arial" w:eastAsia="Times New Roman" w:hAnsi="Arial" w:cs="Arial"/>
                <w:b/>
                <w:bCs/>
                <w:color w:val="FFFFFF"/>
                <w:sz w:val="18"/>
                <w:szCs w:val="18"/>
                <w:lang w:eastAsia="es-ES"/>
              </w:rPr>
            </w:pPr>
            <w:r w:rsidRPr="00B22A68">
              <w:rPr>
                <w:rFonts w:ascii="Arial" w:eastAsia="Times New Roman" w:hAnsi="Arial" w:cs="Arial"/>
                <w:b/>
                <w:bCs/>
                <w:color w:val="FFFFFF"/>
                <w:sz w:val="18"/>
                <w:szCs w:val="18"/>
                <w:lang w:eastAsia="es-ES"/>
              </w:rPr>
              <w:t>TOTAL</w:t>
            </w:r>
          </w:p>
        </w:tc>
        <w:tc>
          <w:tcPr>
            <w:tcW w:w="1280" w:type="dxa"/>
            <w:tcBorders>
              <w:top w:val="single" w:sz="4" w:space="0" w:color="666666"/>
              <w:left w:val="nil"/>
              <w:bottom w:val="single" w:sz="4" w:space="0" w:color="666666"/>
              <w:right w:val="nil"/>
            </w:tcBorders>
            <w:shd w:val="clear" w:color="9D2235" w:fill="9D2235"/>
            <w:noWrap/>
            <w:vAlign w:val="center"/>
            <w:hideMark/>
          </w:tcPr>
          <w:p w14:paraId="649A0384" w14:textId="77777777" w:rsidR="00B22A68" w:rsidRPr="00B22A68" w:rsidRDefault="00B22A68" w:rsidP="00B22A68">
            <w:pPr>
              <w:jc w:val="center"/>
              <w:rPr>
                <w:rFonts w:ascii="Arial" w:eastAsia="Times New Roman" w:hAnsi="Arial" w:cs="Arial"/>
                <w:b/>
                <w:bCs/>
                <w:color w:val="FFFFFF"/>
                <w:sz w:val="18"/>
                <w:szCs w:val="18"/>
                <w:lang w:eastAsia="es-ES"/>
              </w:rPr>
            </w:pPr>
            <w:r w:rsidRPr="00B22A68">
              <w:rPr>
                <w:rFonts w:ascii="Arial" w:eastAsia="Times New Roman" w:hAnsi="Arial" w:cs="Arial"/>
                <w:b/>
                <w:bCs/>
                <w:color w:val="FFFFFF"/>
                <w:sz w:val="18"/>
                <w:szCs w:val="18"/>
                <w:lang w:eastAsia="es-ES"/>
              </w:rPr>
              <w:t>59</w:t>
            </w:r>
          </w:p>
        </w:tc>
        <w:tc>
          <w:tcPr>
            <w:tcW w:w="0" w:type="auto"/>
            <w:tcBorders>
              <w:top w:val="single" w:sz="4" w:space="0" w:color="666666"/>
              <w:left w:val="nil"/>
              <w:bottom w:val="single" w:sz="4" w:space="0" w:color="666666"/>
              <w:right w:val="nil"/>
            </w:tcBorders>
            <w:shd w:val="clear" w:color="9D2235" w:fill="9D2235"/>
            <w:noWrap/>
            <w:vAlign w:val="center"/>
            <w:hideMark/>
          </w:tcPr>
          <w:p w14:paraId="0385C622" w14:textId="77777777" w:rsidR="00B22A68" w:rsidRPr="00B22A68" w:rsidRDefault="00B22A68" w:rsidP="00B22A68">
            <w:pPr>
              <w:jc w:val="right"/>
              <w:rPr>
                <w:rFonts w:ascii="Arial" w:eastAsia="Times New Roman" w:hAnsi="Arial" w:cs="Arial"/>
                <w:b/>
                <w:bCs/>
                <w:color w:val="FFFFFF"/>
                <w:sz w:val="18"/>
                <w:szCs w:val="18"/>
                <w:lang w:eastAsia="es-ES"/>
              </w:rPr>
            </w:pPr>
            <w:r w:rsidRPr="00B22A68">
              <w:rPr>
                <w:rFonts w:ascii="Arial" w:eastAsia="Times New Roman" w:hAnsi="Arial" w:cs="Arial"/>
                <w:b/>
                <w:bCs/>
                <w:color w:val="FFFFFF"/>
                <w:sz w:val="18"/>
                <w:szCs w:val="18"/>
                <w:lang w:eastAsia="es-ES"/>
              </w:rPr>
              <w:t>193.192,50</w:t>
            </w:r>
          </w:p>
        </w:tc>
        <w:tc>
          <w:tcPr>
            <w:tcW w:w="0" w:type="auto"/>
            <w:tcBorders>
              <w:top w:val="single" w:sz="4" w:space="0" w:color="666666"/>
              <w:left w:val="nil"/>
              <w:bottom w:val="single" w:sz="4" w:space="0" w:color="666666"/>
              <w:right w:val="nil"/>
            </w:tcBorders>
            <w:shd w:val="clear" w:color="9D2235" w:fill="9D2235"/>
            <w:noWrap/>
            <w:vAlign w:val="center"/>
            <w:hideMark/>
          </w:tcPr>
          <w:p w14:paraId="3E0EBE66" w14:textId="77777777" w:rsidR="00B22A68" w:rsidRPr="00B22A68" w:rsidRDefault="00B22A68" w:rsidP="00B22A68">
            <w:pPr>
              <w:jc w:val="right"/>
              <w:rPr>
                <w:rFonts w:ascii="Arial" w:eastAsia="Times New Roman" w:hAnsi="Arial" w:cs="Arial"/>
                <w:b/>
                <w:bCs/>
                <w:color w:val="FFFFFF"/>
                <w:sz w:val="18"/>
                <w:szCs w:val="18"/>
                <w:lang w:eastAsia="es-ES"/>
              </w:rPr>
            </w:pPr>
            <w:r w:rsidRPr="00B22A68">
              <w:rPr>
                <w:rFonts w:ascii="Arial" w:eastAsia="Times New Roman" w:hAnsi="Arial" w:cs="Arial"/>
                <w:b/>
                <w:bCs/>
                <w:color w:val="FFFFFF"/>
                <w:sz w:val="18"/>
                <w:szCs w:val="18"/>
                <w:lang w:eastAsia="es-ES"/>
              </w:rPr>
              <w:t>171.115,02</w:t>
            </w:r>
          </w:p>
        </w:tc>
        <w:tc>
          <w:tcPr>
            <w:tcW w:w="0" w:type="auto"/>
            <w:tcBorders>
              <w:top w:val="single" w:sz="4" w:space="0" w:color="666666"/>
              <w:left w:val="nil"/>
              <w:bottom w:val="single" w:sz="4" w:space="0" w:color="666666"/>
              <w:right w:val="nil"/>
            </w:tcBorders>
            <w:shd w:val="clear" w:color="9D2235" w:fill="9D2235"/>
            <w:noWrap/>
            <w:vAlign w:val="center"/>
            <w:hideMark/>
          </w:tcPr>
          <w:p w14:paraId="56AB23CC" w14:textId="77777777" w:rsidR="00B22A68" w:rsidRPr="00B22A68" w:rsidRDefault="00B22A68" w:rsidP="00B22A68">
            <w:pPr>
              <w:jc w:val="right"/>
              <w:rPr>
                <w:rFonts w:ascii="Arial" w:eastAsia="Times New Roman" w:hAnsi="Arial" w:cs="Arial"/>
                <w:b/>
                <w:bCs/>
                <w:color w:val="FFFFFF"/>
                <w:sz w:val="18"/>
                <w:szCs w:val="18"/>
                <w:lang w:eastAsia="es-ES"/>
              </w:rPr>
            </w:pPr>
            <w:r w:rsidRPr="00B22A68">
              <w:rPr>
                <w:rFonts w:ascii="Arial" w:eastAsia="Times New Roman" w:hAnsi="Arial" w:cs="Arial"/>
                <w:b/>
                <w:bCs/>
                <w:color w:val="FFFFFF"/>
                <w:sz w:val="18"/>
                <w:szCs w:val="18"/>
                <w:lang w:eastAsia="es-ES"/>
              </w:rPr>
              <w:t>100,00 %</w:t>
            </w:r>
          </w:p>
        </w:tc>
        <w:tc>
          <w:tcPr>
            <w:tcW w:w="0" w:type="auto"/>
            <w:tcBorders>
              <w:top w:val="single" w:sz="4" w:space="0" w:color="666666"/>
              <w:left w:val="nil"/>
              <w:bottom w:val="single" w:sz="4" w:space="0" w:color="666666"/>
              <w:right w:val="single" w:sz="4" w:space="0" w:color="666666"/>
            </w:tcBorders>
            <w:shd w:val="clear" w:color="9D2235" w:fill="9D2235"/>
            <w:noWrap/>
            <w:vAlign w:val="center"/>
            <w:hideMark/>
          </w:tcPr>
          <w:p w14:paraId="7E8933A7" w14:textId="77777777" w:rsidR="00B22A68" w:rsidRPr="00B22A68" w:rsidRDefault="00B22A68" w:rsidP="00B22A68">
            <w:pPr>
              <w:jc w:val="right"/>
              <w:rPr>
                <w:rFonts w:ascii="Arial" w:eastAsia="Times New Roman" w:hAnsi="Arial" w:cs="Arial"/>
                <w:b/>
                <w:bCs/>
                <w:color w:val="FFFFFF"/>
                <w:sz w:val="18"/>
                <w:szCs w:val="18"/>
                <w:lang w:eastAsia="es-ES"/>
              </w:rPr>
            </w:pPr>
            <w:r w:rsidRPr="00B22A68">
              <w:rPr>
                <w:rFonts w:ascii="Arial" w:eastAsia="Times New Roman" w:hAnsi="Arial" w:cs="Arial"/>
                <w:b/>
                <w:bCs/>
                <w:color w:val="FFFFFF"/>
                <w:sz w:val="18"/>
                <w:szCs w:val="18"/>
                <w:lang w:eastAsia="es-ES"/>
              </w:rPr>
              <w:t>100,00 %</w:t>
            </w:r>
          </w:p>
        </w:tc>
        <w:tc>
          <w:tcPr>
            <w:tcW w:w="0" w:type="auto"/>
            <w:vAlign w:val="center"/>
            <w:hideMark/>
          </w:tcPr>
          <w:p w14:paraId="708F991B" w14:textId="77777777" w:rsidR="00B22A68" w:rsidRPr="00B22A68" w:rsidRDefault="00B22A68" w:rsidP="00B22A68">
            <w:pPr>
              <w:rPr>
                <w:rFonts w:ascii="Arial" w:eastAsia="Times New Roman" w:hAnsi="Arial" w:cs="Arial"/>
                <w:sz w:val="18"/>
                <w:szCs w:val="18"/>
                <w:lang w:eastAsia="es-ES"/>
              </w:rPr>
            </w:pPr>
          </w:p>
        </w:tc>
      </w:tr>
    </w:tbl>
    <w:p w14:paraId="063689B0" w14:textId="6936925F" w:rsidR="00B22A68" w:rsidRPr="00B22A68" w:rsidRDefault="00B22A68" w:rsidP="00B22A68">
      <w:pPr>
        <w:spacing w:after="240" w:line="276" w:lineRule="auto"/>
        <w:jc w:val="both"/>
        <w:rPr>
          <w:rFonts w:ascii="Arial" w:eastAsia="Droid Sans Fallback" w:hAnsi="Arial" w:cs="Arial"/>
          <w:kern w:val="3"/>
          <w:sz w:val="21"/>
          <w:szCs w:val="21"/>
          <w:lang w:eastAsia="zh-CN" w:bidi="hi-IN"/>
        </w:rPr>
      </w:pPr>
      <w:r w:rsidRPr="00B22A68">
        <w:rPr>
          <w:rFonts w:ascii="Arial" w:eastAsia="Droid Sans Fallback" w:hAnsi="Arial" w:cs="Arial"/>
          <w:kern w:val="3"/>
          <w:sz w:val="21"/>
          <w:szCs w:val="21"/>
          <w:lang w:eastAsia="zh-CN" w:bidi="hi-IN"/>
        </w:rPr>
        <w:t>Con relación a los contratos menores, es necesario resaltar que más de la mitad de los mismos no supera la cuantía de 1.000 euros, y tan solo cuatro alcanzan los 10.000 euros, por lo que su importancia económica en muy limitada. En todo caso, se ha garantizado la máxima concurrencia competitiva, se han realizado las declaraciones responsables sobre inexistencia de conflicto de interés y se han seguido los trámites previstos en la Ley.</w:t>
      </w:r>
    </w:p>
    <w:p w14:paraId="1EEC39A2" w14:textId="5B38271B" w:rsidR="00B22A68" w:rsidRPr="00B22A68" w:rsidRDefault="00B22A68" w:rsidP="00B22A68">
      <w:pPr>
        <w:spacing w:after="240" w:line="276" w:lineRule="auto"/>
        <w:jc w:val="both"/>
        <w:rPr>
          <w:rFonts w:ascii="Arial" w:eastAsia="Droid Sans Fallback" w:hAnsi="Arial" w:cs="Arial"/>
          <w:kern w:val="3"/>
          <w:sz w:val="21"/>
          <w:szCs w:val="21"/>
          <w:lang w:eastAsia="zh-CN" w:bidi="hi-IN"/>
        </w:rPr>
      </w:pPr>
      <w:r w:rsidRPr="00B22A68">
        <w:rPr>
          <w:rFonts w:ascii="Arial" w:eastAsia="Droid Sans Fallback" w:hAnsi="Arial" w:cs="Arial"/>
          <w:kern w:val="3"/>
          <w:sz w:val="21"/>
          <w:szCs w:val="21"/>
          <w:lang w:eastAsia="zh-CN" w:bidi="hi-IN"/>
        </w:rPr>
        <w:t>Por último, se indica que, no habiéndose proporcionado hasta el momento ni por l</w:t>
      </w:r>
      <w:r w:rsidR="003472DE">
        <w:rPr>
          <w:rFonts w:ascii="Arial" w:eastAsia="Droid Sans Fallback" w:hAnsi="Arial" w:cs="Arial"/>
          <w:kern w:val="3"/>
          <w:sz w:val="21"/>
          <w:szCs w:val="21"/>
          <w:lang w:eastAsia="zh-CN" w:bidi="hi-IN"/>
        </w:rPr>
        <w:t>a</w:t>
      </w:r>
      <w:r w:rsidRPr="00B22A68">
        <w:rPr>
          <w:rFonts w:ascii="Arial" w:eastAsia="Droid Sans Fallback" w:hAnsi="Arial" w:cs="Arial"/>
          <w:kern w:val="3"/>
          <w:sz w:val="21"/>
          <w:szCs w:val="21"/>
          <w:lang w:eastAsia="zh-CN" w:bidi="hi-IN"/>
        </w:rPr>
        <w:t>s Corts ni por la Conselleria de Hacienda inmueble que pueda albergar la sede de esta Agencia, durante el último trimestre de 2021, se inició la tramitación del correspondiente contrato de alquiler, previas las pertinentes consultas al mercado. A tal efecto, se publicó en la Plataforma de Contratación del Sector Público la licitación del contrato privado de arrendamiento, el cual se encuentra a fecha de redacción de esta Memoria en periodo de valoración de ofertas.</w:t>
      </w:r>
    </w:p>
    <w:p w14:paraId="676BB59F" w14:textId="77777777" w:rsidR="00B22A68" w:rsidRPr="00B22A68" w:rsidRDefault="00B22A68" w:rsidP="00B22A68">
      <w:pPr>
        <w:spacing w:after="240" w:line="276" w:lineRule="auto"/>
        <w:jc w:val="both"/>
        <w:rPr>
          <w:rFonts w:ascii="Arial" w:eastAsia="Droid Sans Fallback" w:hAnsi="Arial" w:cs="Arial"/>
          <w:kern w:val="3"/>
          <w:sz w:val="21"/>
          <w:szCs w:val="21"/>
          <w:lang w:eastAsia="zh-CN" w:bidi="hi-IN"/>
        </w:rPr>
      </w:pPr>
    </w:p>
    <w:p w14:paraId="2FCABE3F" w14:textId="0FF139F3" w:rsidR="00DC77CB" w:rsidRDefault="00DC77CB" w:rsidP="00AD6163">
      <w:pPr>
        <w:spacing w:after="240" w:line="276" w:lineRule="auto"/>
        <w:jc w:val="both"/>
        <w:rPr>
          <w:rFonts w:ascii="Arial" w:eastAsia="Droid Sans Fallback" w:hAnsi="Arial" w:cs="Arial"/>
          <w:kern w:val="3"/>
          <w:sz w:val="21"/>
          <w:szCs w:val="21"/>
          <w:lang w:eastAsia="zh-CN" w:bidi="hi-IN"/>
        </w:rPr>
      </w:pPr>
    </w:p>
    <w:p w14:paraId="3448E88F" w14:textId="6C0E8226" w:rsidR="00DC77CB" w:rsidRDefault="00DC77CB" w:rsidP="00AD6163">
      <w:pPr>
        <w:spacing w:after="240" w:line="276" w:lineRule="auto"/>
        <w:jc w:val="both"/>
        <w:rPr>
          <w:rFonts w:ascii="Arial" w:eastAsia="Droid Sans Fallback" w:hAnsi="Arial" w:cs="Arial"/>
          <w:kern w:val="3"/>
          <w:sz w:val="21"/>
          <w:szCs w:val="21"/>
          <w:lang w:eastAsia="zh-CN" w:bidi="hi-IN"/>
        </w:rPr>
      </w:pPr>
    </w:p>
    <w:p w14:paraId="03A3E199" w14:textId="41124C60" w:rsidR="00DC77CB" w:rsidRDefault="00DC77CB" w:rsidP="00AD6163">
      <w:pPr>
        <w:spacing w:after="240" w:line="276" w:lineRule="auto"/>
        <w:jc w:val="both"/>
        <w:rPr>
          <w:rFonts w:ascii="Arial" w:eastAsia="Droid Sans Fallback" w:hAnsi="Arial" w:cs="Arial"/>
          <w:kern w:val="3"/>
          <w:sz w:val="21"/>
          <w:szCs w:val="21"/>
          <w:lang w:eastAsia="zh-CN" w:bidi="hi-IN"/>
        </w:rPr>
      </w:pPr>
    </w:p>
    <w:p w14:paraId="7608D5A4" w14:textId="77777777" w:rsidR="00DC77CB" w:rsidRDefault="00DC77CB" w:rsidP="00AD6163">
      <w:pPr>
        <w:spacing w:after="240" w:line="276" w:lineRule="auto"/>
        <w:jc w:val="both"/>
        <w:rPr>
          <w:rFonts w:ascii="Arial" w:eastAsia="Droid Sans Fallback" w:hAnsi="Arial" w:cs="Arial"/>
          <w:kern w:val="3"/>
          <w:sz w:val="21"/>
          <w:szCs w:val="21"/>
          <w:lang w:eastAsia="zh-CN" w:bidi="hi-IN"/>
        </w:rPr>
      </w:pPr>
    </w:p>
    <w:p w14:paraId="14811421" w14:textId="36EE014B" w:rsidR="009E2AB6" w:rsidRDefault="009E2AB6" w:rsidP="00AD6163">
      <w:pPr>
        <w:spacing w:after="240" w:line="276" w:lineRule="auto"/>
        <w:jc w:val="both"/>
        <w:rPr>
          <w:rFonts w:ascii="Arial" w:eastAsia="Droid Sans Fallback" w:hAnsi="Arial" w:cs="Arial"/>
          <w:kern w:val="3"/>
          <w:sz w:val="21"/>
          <w:szCs w:val="21"/>
          <w:lang w:eastAsia="zh-CN" w:bidi="hi-IN"/>
        </w:rPr>
      </w:pPr>
    </w:p>
    <w:p w14:paraId="63B462C6" w14:textId="77777777" w:rsidR="009E2AB6" w:rsidRDefault="009E2AB6" w:rsidP="00AD6163">
      <w:pPr>
        <w:spacing w:after="240" w:line="276" w:lineRule="auto"/>
        <w:jc w:val="both"/>
        <w:rPr>
          <w:rFonts w:ascii="Arial" w:eastAsia="Droid Sans Fallback" w:hAnsi="Arial" w:cs="Arial"/>
          <w:kern w:val="3"/>
          <w:sz w:val="21"/>
          <w:szCs w:val="21"/>
          <w:lang w:eastAsia="zh-CN" w:bidi="hi-IN"/>
        </w:rPr>
      </w:pPr>
    </w:p>
    <w:p w14:paraId="28B01713" w14:textId="0671F146" w:rsidR="00F84E97" w:rsidRDefault="00F84E97" w:rsidP="00AD6163">
      <w:pPr>
        <w:spacing w:after="240" w:line="276" w:lineRule="auto"/>
        <w:jc w:val="both"/>
        <w:rPr>
          <w:rFonts w:ascii="Arial" w:eastAsia="Droid Sans Fallback" w:hAnsi="Arial" w:cs="Arial"/>
          <w:kern w:val="3"/>
          <w:sz w:val="21"/>
          <w:szCs w:val="21"/>
          <w:lang w:eastAsia="zh-CN" w:bidi="hi-IN"/>
        </w:rPr>
      </w:pPr>
    </w:p>
    <w:p w14:paraId="5C41B4D6" w14:textId="77777777" w:rsidR="00F84E97" w:rsidRDefault="00F84E97" w:rsidP="00AD6163">
      <w:pPr>
        <w:spacing w:after="240" w:line="276" w:lineRule="auto"/>
        <w:jc w:val="both"/>
        <w:rPr>
          <w:rFonts w:ascii="Arial" w:eastAsia="Droid Sans Fallback" w:hAnsi="Arial" w:cs="Arial"/>
          <w:kern w:val="3"/>
          <w:sz w:val="21"/>
          <w:szCs w:val="21"/>
          <w:lang w:eastAsia="zh-CN" w:bidi="hi-IN"/>
        </w:rPr>
      </w:pPr>
    </w:p>
    <w:p w14:paraId="1531F9F3" w14:textId="77777777" w:rsidR="00C63EB4" w:rsidRDefault="00C63EB4" w:rsidP="00AD6163">
      <w:pPr>
        <w:spacing w:after="240" w:line="276" w:lineRule="auto"/>
        <w:jc w:val="both"/>
        <w:rPr>
          <w:rFonts w:ascii="Arial" w:eastAsia="Droid Sans Fallback" w:hAnsi="Arial" w:cs="Arial"/>
          <w:kern w:val="3"/>
          <w:sz w:val="21"/>
          <w:szCs w:val="21"/>
          <w:lang w:eastAsia="zh-CN" w:bidi="hi-IN"/>
        </w:rPr>
      </w:pPr>
    </w:p>
    <w:p w14:paraId="5941D38C" w14:textId="103D1357" w:rsidR="003B28A6" w:rsidRDefault="003B28A6">
      <w:pPr>
        <w:rPr>
          <w:rFonts w:ascii="Arial" w:eastAsia="Droid Sans Fallback" w:hAnsi="Arial" w:cs="Arial"/>
          <w:kern w:val="3"/>
          <w:sz w:val="21"/>
          <w:szCs w:val="21"/>
          <w:lang w:eastAsia="zh-CN" w:bidi="hi-IN"/>
        </w:rPr>
      </w:pPr>
      <w:r>
        <w:rPr>
          <w:rFonts w:ascii="Arial" w:eastAsia="Droid Sans Fallback" w:hAnsi="Arial" w:cs="Arial"/>
          <w:kern w:val="3"/>
          <w:sz w:val="21"/>
          <w:szCs w:val="21"/>
          <w:lang w:eastAsia="zh-CN" w:bidi="hi-IN"/>
        </w:rPr>
        <w:br w:type="page"/>
      </w:r>
    </w:p>
    <w:p w14:paraId="121BBB63" w14:textId="77777777" w:rsidR="00D572EA" w:rsidRPr="003B06CF" w:rsidRDefault="00D572EA" w:rsidP="001C2ABB">
      <w:pPr>
        <w:widowControl w:val="0"/>
        <w:suppressAutoHyphens/>
        <w:autoSpaceDN w:val="0"/>
        <w:spacing w:after="0" w:line="276" w:lineRule="auto"/>
        <w:jc w:val="both"/>
        <w:textAlignment w:val="baseline"/>
        <w:rPr>
          <w:rFonts w:ascii="Arial" w:eastAsia="Droid Sans Fallback" w:hAnsi="Arial" w:cs="Arial"/>
          <w:kern w:val="3"/>
          <w:sz w:val="20"/>
          <w:szCs w:val="20"/>
          <w:lang w:eastAsia="zh-CN" w:bidi="hi-IN"/>
        </w:rPr>
      </w:pPr>
    </w:p>
    <w:p w14:paraId="7CE3C9F3" w14:textId="035307E4" w:rsidR="00D572EA" w:rsidRPr="003B06CF" w:rsidRDefault="00D572EA" w:rsidP="00D572EA">
      <w:pPr>
        <w:widowControl w:val="0"/>
        <w:suppressAutoHyphens/>
        <w:autoSpaceDN w:val="0"/>
        <w:spacing w:after="0" w:line="276" w:lineRule="auto"/>
        <w:jc w:val="both"/>
        <w:textAlignment w:val="baseline"/>
        <w:rPr>
          <w:rFonts w:ascii="Arial" w:eastAsia="Droid Sans Fallback" w:hAnsi="Arial" w:cs="Arial"/>
          <w:kern w:val="3"/>
          <w:sz w:val="20"/>
          <w:szCs w:val="20"/>
          <w:lang w:eastAsia="zh-CN" w:bidi="hi-IN"/>
        </w:rPr>
      </w:pPr>
    </w:p>
    <w:p w14:paraId="23627A2A" w14:textId="77777777" w:rsidR="00D075FF" w:rsidRPr="003B06CF" w:rsidRDefault="00D075FF" w:rsidP="00D572EA">
      <w:pPr>
        <w:widowControl w:val="0"/>
        <w:suppressAutoHyphens/>
        <w:autoSpaceDN w:val="0"/>
        <w:spacing w:after="0" w:line="276" w:lineRule="auto"/>
        <w:jc w:val="both"/>
        <w:textAlignment w:val="baseline"/>
        <w:rPr>
          <w:rFonts w:ascii="Arial" w:eastAsia="Droid Sans Fallback" w:hAnsi="Arial" w:cs="Arial"/>
          <w:kern w:val="3"/>
          <w:sz w:val="20"/>
          <w:szCs w:val="20"/>
          <w:lang w:eastAsia="zh-CN" w:bidi="hi-IN"/>
        </w:rPr>
      </w:pPr>
    </w:p>
    <w:p w14:paraId="07C34D74" w14:textId="318FD324" w:rsidR="00CE79BF" w:rsidRPr="003B06CF" w:rsidRDefault="00281B23" w:rsidP="00AC1A12">
      <w:pPr>
        <w:pStyle w:val="NormalWeb"/>
        <w:numPr>
          <w:ilvl w:val="0"/>
          <w:numId w:val="19"/>
        </w:numPr>
        <w:spacing w:before="360" w:beforeAutospacing="0" w:after="240" w:line="276" w:lineRule="auto"/>
        <w:ind w:left="0" w:firstLine="0"/>
        <w:contextualSpacing/>
        <w:outlineLvl w:val="0"/>
        <w:rPr>
          <w:rFonts w:ascii="Arial" w:hAnsi="Arial" w:cs="Arial"/>
          <w:b/>
          <w:bCs/>
          <w:color w:val="9D2235"/>
          <w:spacing w:val="-14"/>
          <w:sz w:val="80"/>
          <w:szCs w:val="80"/>
        </w:rPr>
      </w:pPr>
      <w:r>
        <w:rPr>
          <w:rFonts w:ascii="Arial" w:hAnsi="Arial" w:cs="Arial"/>
          <w:b/>
          <w:bCs/>
          <w:color w:val="9D2235"/>
          <w:spacing w:val="-24"/>
          <w:kern w:val="2"/>
          <w:sz w:val="80"/>
          <w:szCs w:val="80"/>
        </w:rPr>
        <w:br/>
      </w:r>
      <w:bookmarkStart w:id="577" w:name="_Toc99107132"/>
      <w:r w:rsidR="002D0FF9" w:rsidRPr="008429D9">
        <w:rPr>
          <w:rFonts w:ascii="Arial" w:hAnsi="Arial" w:cs="Arial"/>
          <w:b/>
          <w:bCs/>
          <w:color w:val="9D2235"/>
          <w:spacing w:val="-14"/>
          <w:sz w:val="80"/>
          <w:szCs w:val="80"/>
        </w:rPr>
        <w:t>Conclusiones</w:t>
      </w:r>
      <w:r w:rsidR="002D0FF9" w:rsidRPr="00973028">
        <w:rPr>
          <w:rFonts w:ascii="Arial" w:hAnsi="Arial" w:cs="Arial"/>
          <w:b/>
          <w:bCs/>
          <w:color w:val="9D2235"/>
          <w:spacing w:val="-14"/>
          <w:sz w:val="80"/>
          <w:szCs w:val="80"/>
        </w:rPr>
        <w:t xml:space="preserve"> y </w:t>
      </w:r>
      <w:r w:rsidR="00B97A6B" w:rsidRPr="00973028">
        <w:rPr>
          <w:rFonts w:ascii="Arial" w:hAnsi="Arial" w:cs="Arial"/>
          <w:b/>
          <w:bCs/>
          <w:color w:val="9D2235"/>
          <w:spacing w:val="-14"/>
          <w:sz w:val="80"/>
          <w:szCs w:val="80"/>
        </w:rPr>
        <w:t>r</w:t>
      </w:r>
      <w:r w:rsidR="002D0FF9" w:rsidRPr="00973028">
        <w:rPr>
          <w:rFonts w:ascii="Arial" w:hAnsi="Arial" w:cs="Arial"/>
          <w:b/>
          <w:bCs/>
          <w:color w:val="9D2235"/>
          <w:spacing w:val="-14"/>
          <w:sz w:val="80"/>
          <w:szCs w:val="80"/>
        </w:rPr>
        <w:t>e</w:t>
      </w:r>
      <w:bookmarkStart w:id="578" w:name="_Toc65759292"/>
      <w:bookmarkStart w:id="579" w:name="_Toc65759534"/>
      <w:bookmarkEnd w:id="578"/>
      <w:bookmarkEnd w:id="579"/>
      <w:r w:rsidR="00CC5ECA">
        <w:rPr>
          <w:rFonts w:ascii="Arial" w:hAnsi="Arial" w:cs="Arial"/>
          <w:b/>
          <w:bCs/>
          <w:color w:val="9D2235"/>
          <w:spacing w:val="-14"/>
          <w:sz w:val="80"/>
          <w:szCs w:val="80"/>
        </w:rPr>
        <w:t>comendaciones</w:t>
      </w:r>
      <w:bookmarkEnd w:id="577"/>
      <w:r>
        <w:rPr>
          <w:rFonts w:ascii="Arial" w:hAnsi="Arial" w:cs="Arial"/>
          <w:b/>
          <w:bCs/>
          <w:color w:val="9D2235"/>
          <w:spacing w:val="-24"/>
          <w:kern w:val="2"/>
          <w:sz w:val="80"/>
          <w:szCs w:val="80"/>
        </w:rPr>
        <w:br/>
      </w:r>
    </w:p>
    <w:p w14:paraId="13A1AD96" w14:textId="5B72DC87" w:rsidR="009A0B66" w:rsidRDefault="009A0B66" w:rsidP="001E0DFA">
      <w:pPr>
        <w:spacing w:after="240" w:line="276" w:lineRule="auto"/>
        <w:jc w:val="both"/>
        <w:rPr>
          <w:rFonts w:ascii="Arial" w:hAnsi="Arial" w:cs="Arial"/>
          <w:sz w:val="21"/>
          <w:szCs w:val="21"/>
        </w:rPr>
      </w:pPr>
      <w:bookmarkStart w:id="580" w:name="_Hlk67642132"/>
      <w:r w:rsidRPr="00823763">
        <w:rPr>
          <w:rFonts w:ascii="Arial" w:hAnsi="Arial" w:cs="Arial"/>
          <w:sz w:val="21"/>
          <w:szCs w:val="21"/>
        </w:rPr>
        <w:t>Una de las funciones propias de esta Agencia es el asesoramiento</w:t>
      </w:r>
      <w:r w:rsidR="00823763">
        <w:rPr>
          <w:rFonts w:ascii="Arial" w:hAnsi="Arial" w:cs="Arial"/>
          <w:sz w:val="21"/>
          <w:szCs w:val="21"/>
        </w:rPr>
        <w:t xml:space="preserve"> y </w:t>
      </w:r>
      <w:r w:rsidRPr="00823763">
        <w:rPr>
          <w:rFonts w:ascii="Arial" w:hAnsi="Arial" w:cs="Arial"/>
          <w:sz w:val="21"/>
          <w:szCs w:val="21"/>
        </w:rPr>
        <w:t>la formulación de propuestas y recomendaciones</w:t>
      </w:r>
      <w:r w:rsidR="00823763">
        <w:rPr>
          <w:rFonts w:ascii="Arial" w:hAnsi="Arial" w:cs="Arial"/>
          <w:sz w:val="21"/>
          <w:szCs w:val="21"/>
        </w:rPr>
        <w:t>,</w:t>
      </w:r>
      <w:r w:rsidRPr="00823763">
        <w:rPr>
          <w:rFonts w:ascii="Arial" w:hAnsi="Arial" w:cs="Arial"/>
          <w:sz w:val="21"/>
          <w:szCs w:val="21"/>
        </w:rPr>
        <w:t xml:space="preserve"> </w:t>
      </w:r>
      <w:r w:rsidR="00823763" w:rsidRPr="00823763">
        <w:rPr>
          <w:rFonts w:ascii="Arial" w:hAnsi="Arial" w:cs="Arial"/>
          <w:sz w:val="21"/>
          <w:szCs w:val="21"/>
        </w:rPr>
        <w:t xml:space="preserve">en materia de prevención y lucha contra la corrupción y de integridad y ética pública, dirigidas </w:t>
      </w:r>
      <w:r w:rsidRPr="00823763">
        <w:rPr>
          <w:rFonts w:ascii="Arial" w:hAnsi="Arial" w:cs="Arial"/>
          <w:sz w:val="21"/>
          <w:szCs w:val="21"/>
        </w:rPr>
        <w:t>a l</w:t>
      </w:r>
      <w:r w:rsidR="005C58D5">
        <w:rPr>
          <w:rFonts w:ascii="Arial" w:hAnsi="Arial" w:cs="Arial"/>
          <w:sz w:val="21"/>
          <w:szCs w:val="21"/>
        </w:rPr>
        <w:t>a</w:t>
      </w:r>
      <w:r w:rsidRPr="00823763">
        <w:rPr>
          <w:rFonts w:ascii="Arial" w:hAnsi="Arial" w:cs="Arial"/>
          <w:sz w:val="21"/>
          <w:szCs w:val="21"/>
        </w:rPr>
        <w:t>s Corts Valencianes, al Consell de la Generalitat y al conjunto de las administraciones públicas y entidades que se encuentran en su ámbito de actuación.</w:t>
      </w:r>
      <w:r w:rsidR="00823763">
        <w:rPr>
          <w:rFonts w:ascii="Arial" w:hAnsi="Arial" w:cs="Arial"/>
          <w:sz w:val="21"/>
          <w:szCs w:val="21"/>
        </w:rPr>
        <w:t xml:space="preserve"> Tras el trabajo realizado durante el pasado año 2021, se recogen a continuación algunas de las conclusiones y recomendaciones que queremos exponer.</w:t>
      </w:r>
    </w:p>
    <w:p w14:paraId="79B452A5" w14:textId="5D755B9C" w:rsidR="007E246B" w:rsidRPr="00AE5A0E" w:rsidRDefault="00AE5A0E" w:rsidP="00AE5A0E">
      <w:pPr>
        <w:pStyle w:val="Ttulo2"/>
        <w:numPr>
          <w:ilvl w:val="1"/>
          <w:numId w:val="21"/>
        </w:numPr>
        <w:spacing w:before="360" w:after="240" w:line="276" w:lineRule="auto"/>
        <w:ind w:left="851" w:hanging="851"/>
        <w:jc w:val="both"/>
        <w:rPr>
          <w:rFonts w:ascii="Arial" w:hAnsi="Arial" w:cs="Arial"/>
          <w:b/>
          <w:bCs/>
          <w:color w:val="9D2235" w:themeColor="accent1"/>
        </w:rPr>
      </w:pPr>
      <w:bookmarkStart w:id="581" w:name="_Toc99107133"/>
      <w:r w:rsidRPr="00AE5A0E">
        <w:rPr>
          <w:rFonts w:ascii="Arial" w:hAnsi="Arial" w:cs="Arial"/>
          <w:b/>
          <w:bCs/>
          <w:color w:val="9D2235" w:themeColor="accent1"/>
        </w:rPr>
        <w:t>Sobre la elusión de los principios rectores aplicables a los procesos de selección y provisión de los empleados públicos</w:t>
      </w:r>
      <w:bookmarkEnd w:id="581"/>
    </w:p>
    <w:bookmarkEnd w:id="580"/>
    <w:p w14:paraId="18D9F63D" w14:textId="77777777" w:rsidR="006B65FB" w:rsidRPr="006B65FB" w:rsidRDefault="006B65FB" w:rsidP="006B65FB">
      <w:pPr>
        <w:pStyle w:val="NormalWeb"/>
        <w:spacing w:after="240"/>
        <w:jc w:val="both"/>
        <w:rPr>
          <w:rFonts w:ascii="Arial" w:hAnsi="Arial" w:cs="Arial"/>
          <w:sz w:val="21"/>
          <w:szCs w:val="21"/>
        </w:rPr>
      </w:pPr>
      <w:r w:rsidRPr="006B65FB">
        <w:rPr>
          <w:rFonts w:ascii="Arial" w:hAnsi="Arial" w:cs="Arial"/>
          <w:sz w:val="21"/>
          <w:szCs w:val="21"/>
        </w:rPr>
        <w:t>En el año 2021 el número de denuncias presentadas ante la Agencia de Prevención y Lucha Contra el Fraude y la Corrupción de la Comunitat Valenciana, relativas a los recursos humanos de las administraciones públicas, ha representado el 45% del total. Respecto de estas denuncias, las referidas a supuestas irregularidades en procesos selectivos, de acceso a la función pública y de provisión de puestos de trabajo, han supuesto el 35% de todas ellas, lo que ha provocado que las mismas constituyan casi 4 de cada 10 denuncias.</w:t>
      </w:r>
    </w:p>
    <w:p w14:paraId="29370EF2" w14:textId="77777777" w:rsidR="006B65FB" w:rsidRPr="006B65FB" w:rsidRDefault="006B65FB" w:rsidP="006B65FB">
      <w:pPr>
        <w:pStyle w:val="NormalWeb"/>
        <w:spacing w:after="240"/>
        <w:jc w:val="both"/>
        <w:rPr>
          <w:rFonts w:ascii="Arial" w:hAnsi="Arial" w:cs="Arial"/>
          <w:b/>
          <w:bCs/>
          <w:sz w:val="21"/>
          <w:szCs w:val="21"/>
        </w:rPr>
      </w:pPr>
      <w:r w:rsidRPr="006B65FB">
        <w:rPr>
          <w:rFonts w:ascii="Arial" w:hAnsi="Arial" w:cs="Arial"/>
          <w:sz w:val="21"/>
          <w:szCs w:val="21"/>
        </w:rPr>
        <w:t>Por ello, una vez más, nos parece oportuno, insistir en el contenido de una de las conclusiones y recomendaciones que ya fueron formuladas en nuestra Memoria del año 2019: Sobre la efectiva aplicación de los principios inspiradores y rectores del acceso al empleo público.</w:t>
      </w:r>
    </w:p>
    <w:p w14:paraId="39668A38" w14:textId="77777777" w:rsidR="006B65FB" w:rsidRPr="006B65FB" w:rsidRDefault="006B65FB" w:rsidP="006B65FB">
      <w:pPr>
        <w:pStyle w:val="NormalWeb"/>
        <w:spacing w:after="240"/>
        <w:jc w:val="both"/>
        <w:rPr>
          <w:rFonts w:ascii="Arial" w:hAnsi="Arial" w:cs="Arial"/>
          <w:sz w:val="21"/>
          <w:szCs w:val="21"/>
        </w:rPr>
      </w:pPr>
      <w:r w:rsidRPr="006B65FB">
        <w:rPr>
          <w:rFonts w:ascii="Arial" w:hAnsi="Arial" w:cs="Arial"/>
          <w:sz w:val="21"/>
          <w:szCs w:val="21"/>
        </w:rPr>
        <w:t>Igualdad, mérito, capacidad, transparencia, publicidad, imparcialidad, independencia y profesionalidad son, entre otros, los principios rectores de acceso al empleo público que se recogen en la Constitución y en el texto refundido de la Ley del Estatuto Básico del Empleado Público; principios conocidos tanto por quienes trabajamos al servicio de lo público como por la ciudadanía.</w:t>
      </w:r>
    </w:p>
    <w:p w14:paraId="5183DDDA" w14:textId="77777777" w:rsidR="006B65FB" w:rsidRPr="006B65FB" w:rsidRDefault="006B65FB" w:rsidP="006B65FB">
      <w:pPr>
        <w:pStyle w:val="NormalWeb"/>
        <w:spacing w:after="240"/>
        <w:jc w:val="both"/>
        <w:rPr>
          <w:rFonts w:ascii="Arial" w:hAnsi="Arial" w:cs="Arial"/>
          <w:sz w:val="21"/>
          <w:szCs w:val="21"/>
        </w:rPr>
      </w:pPr>
      <w:r w:rsidRPr="006B65FB">
        <w:rPr>
          <w:rFonts w:ascii="Arial" w:hAnsi="Arial" w:cs="Arial"/>
          <w:sz w:val="21"/>
          <w:szCs w:val="21"/>
        </w:rPr>
        <w:t xml:space="preserve">¿Pero el conocimiento teórico de estos principios implica su interiorización y aplicación en el momento de participar en un proceso selectivo o de provisión de un puesto, ya sea como aspirante o como miembro de un órgano técnico de selección? </w:t>
      </w:r>
    </w:p>
    <w:p w14:paraId="7CD5A09B" w14:textId="77777777" w:rsidR="006B65FB" w:rsidRPr="006B65FB" w:rsidRDefault="006B65FB" w:rsidP="006B65FB">
      <w:pPr>
        <w:pStyle w:val="NormalWeb"/>
        <w:spacing w:after="240"/>
        <w:jc w:val="both"/>
        <w:rPr>
          <w:rFonts w:ascii="Arial" w:hAnsi="Arial" w:cs="Arial"/>
          <w:sz w:val="21"/>
          <w:szCs w:val="21"/>
        </w:rPr>
      </w:pPr>
      <w:r w:rsidRPr="006B65FB">
        <w:rPr>
          <w:rFonts w:ascii="Arial" w:hAnsi="Arial" w:cs="Arial"/>
          <w:sz w:val="21"/>
          <w:szCs w:val="21"/>
        </w:rPr>
        <w:t>La vulneración del principio de igualdad se produce, por ejemplo, en casos en los que no se garantiza el anonimato en la realización y corrección de las pruebas realizadas, pues la anonimización, siempre que pueda realizarse, es obligatoria. La falta de anonimización conforma una irregularidad administrativa que puede implicar la nulidad de pleno de derecho del proceso, siendo especialmente relevante en las pruebas en las que el órgano técnico de selección goza de un espacio de apreciación discrecional, en cuyo caso la garantía del anonimato es, en palabras del Tribunal Supremo</w:t>
      </w:r>
      <w:r w:rsidRPr="006B65FB">
        <w:rPr>
          <w:rFonts w:ascii="Arial" w:hAnsi="Arial" w:cs="Arial"/>
          <w:sz w:val="21"/>
          <w:szCs w:val="21"/>
          <w:vertAlign w:val="superscript"/>
        </w:rPr>
        <w:footnoteReference w:id="7"/>
      </w:r>
      <w:r w:rsidRPr="006B65FB">
        <w:rPr>
          <w:rFonts w:ascii="Arial" w:hAnsi="Arial" w:cs="Arial"/>
          <w:sz w:val="21"/>
          <w:szCs w:val="21"/>
        </w:rPr>
        <w:t xml:space="preserve">, “una herramienta al servicio de lograr en la mayor medida posible la eficacia del principio constitucional de igualdad en el acceso en el acceso a la función pública”. </w:t>
      </w:r>
    </w:p>
    <w:p w14:paraId="73839C8A" w14:textId="77777777" w:rsidR="006B65FB" w:rsidRPr="006B65FB" w:rsidRDefault="006B65FB" w:rsidP="006B65FB">
      <w:pPr>
        <w:pStyle w:val="NormalWeb"/>
        <w:spacing w:after="240"/>
        <w:jc w:val="both"/>
        <w:rPr>
          <w:rFonts w:ascii="Arial" w:hAnsi="Arial" w:cs="Arial"/>
          <w:sz w:val="21"/>
          <w:szCs w:val="21"/>
        </w:rPr>
      </w:pPr>
      <w:r w:rsidRPr="006B65FB">
        <w:rPr>
          <w:rFonts w:ascii="Arial" w:hAnsi="Arial" w:cs="Arial"/>
          <w:sz w:val="21"/>
          <w:szCs w:val="21"/>
        </w:rPr>
        <w:t>La vulneración del principio de igualdad, junto con los de mérito y capacidad, también se hace patente en procesos selectivos en los que se utilizan las entrevistas personales para seleccionar a la persona candidata más idónea. No es que no se puedan realizar entrevistas, no se trata de eso, de hecho la normativa las permite para “completar” el resto de las pruebas del proceso de selección y pueden ser una buena herramienta siempre que se realice un uso adecuado de aquellas. Cosa diferente es su utilización fraudulenta cuando son determinantes para la adopción de la decisión final por el órgano de selección, por la ponderación que se da a las mismas en el proceso selectivo o por la falta de establecimiento previo a su realización de unos criterios, lo más objetivos posible, a tener en cuenta para la valoración de los candidatos; también, por la falta de archivo en soporte audiovisual de su desarrollo para una posterior comprobación o por la falta de reflejo en las actas de la evaluación efectuadas por los miembros del tribunal tras su realización.</w:t>
      </w:r>
    </w:p>
    <w:p w14:paraId="35E50FFD" w14:textId="77777777" w:rsidR="006B65FB" w:rsidRPr="006B65FB" w:rsidRDefault="006B65FB" w:rsidP="006B65FB">
      <w:pPr>
        <w:pStyle w:val="NormalWeb"/>
        <w:spacing w:after="240"/>
        <w:jc w:val="both"/>
        <w:rPr>
          <w:rFonts w:ascii="Arial" w:hAnsi="Arial" w:cs="Arial"/>
          <w:sz w:val="21"/>
          <w:szCs w:val="21"/>
        </w:rPr>
      </w:pPr>
      <w:r w:rsidRPr="006B65FB">
        <w:rPr>
          <w:rFonts w:ascii="Arial" w:hAnsi="Arial" w:cs="Arial"/>
          <w:sz w:val="21"/>
          <w:szCs w:val="21"/>
        </w:rPr>
        <w:t xml:space="preserve">Por otra parte, el ataque frontal a todos los principios rectores de acceso al empleo público, que recoge el texto refundido de la Ley del Estatuto Básico del Empleado Público y la Constitución Española, se da en los casos en los que se produce una filtración de las pruebas en favor de alguna de las personas aspirantes. En ese momento, estos principios pasan a ser una mera declaración retórica a la que se le ha desprovisto de toda la carga ética y moral que el cumplimiento de aquellos conlleva. Tanto los empleados públicos que acceden a su puesto de trabajo con este tipo de prácticas como los empleados públicos que forman parte de los órganos técnicos de selección que las permiten, fomentan la creación o permanencia de un perverso clientelismo en las administraciones públicas y en estructuras al servicio de la autoridad y de quien la representa, y no del interés general, estructuras que facilitan, en no pocas ocasiones, la corrupción política y funcionarial. </w:t>
      </w:r>
    </w:p>
    <w:p w14:paraId="221C6513" w14:textId="77777777" w:rsidR="006B65FB" w:rsidRPr="006B65FB" w:rsidRDefault="006B65FB" w:rsidP="006B65FB">
      <w:pPr>
        <w:pStyle w:val="NormalWeb"/>
        <w:spacing w:after="240"/>
        <w:jc w:val="both"/>
        <w:rPr>
          <w:rFonts w:ascii="Arial" w:hAnsi="Arial" w:cs="Arial"/>
          <w:sz w:val="21"/>
          <w:szCs w:val="21"/>
        </w:rPr>
      </w:pPr>
      <w:r w:rsidRPr="006B65FB">
        <w:rPr>
          <w:rFonts w:ascii="Arial" w:hAnsi="Arial" w:cs="Arial"/>
          <w:sz w:val="21"/>
          <w:szCs w:val="21"/>
        </w:rPr>
        <w:t>Este clientelismo es por sí mismo, en palabras de Carles Ramió</w:t>
      </w:r>
      <w:r w:rsidRPr="006B65FB">
        <w:rPr>
          <w:rFonts w:ascii="Arial" w:hAnsi="Arial" w:cs="Arial"/>
          <w:sz w:val="21"/>
          <w:szCs w:val="21"/>
          <w:vertAlign w:val="superscript"/>
        </w:rPr>
        <w:footnoteReference w:id="8"/>
      </w:r>
      <w:r w:rsidRPr="006B65FB">
        <w:rPr>
          <w:rFonts w:ascii="Arial" w:hAnsi="Arial" w:cs="Arial"/>
          <w:sz w:val="21"/>
          <w:szCs w:val="21"/>
        </w:rPr>
        <w:t xml:space="preserve">, </w:t>
      </w:r>
      <w:r w:rsidRPr="006B65FB">
        <w:rPr>
          <w:rFonts w:ascii="Arial" w:hAnsi="Arial" w:cs="Arial"/>
          <w:i/>
          <w:iCs/>
          <w:sz w:val="21"/>
          <w:szCs w:val="21"/>
        </w:rPr>
        <w:t>“</w:t>
      </w:r>
      <w:r w:rsidRPr="006B65FB">
        <w:rPr>
          <w:rFonts w:ascii="Arial" w:hAnsi="Arial" w:cs="Arial"/>
          <w:sz w:val="21"/>
          <w:szCs w:val="21"/>
        </w:rPr>
        <w:t>un vector de corrupción, que además abre la puerta a otras dinámicas corruptas como la falta de empoderamiento de unos empleados públicos ante unos cargos políticos a los que les “deben” el privilegio de trabajar en el confort de una Administración pública, lejos del frío de las crisis de desempleo que abrazan las empresas privadas”.</w:t>
      </w:r>
      <w:r w:rsidRPr="006B65FB">
        <w:rPr>
          <w:rFonts w:ascii="Arial" w:hAnsi="Arial" w:cs="Arial"/>
          <w:i/>
          <w:iCs/>
          <w:sz w:val="21"/>
          <w:szCs w:val="21"/>
        </w:rPr>
        <w:t xml:space="preserve"> </w:t>
      </w:r>
      <w:r w:rsidRPr="006B65FB">
        <w:rPr>
          <w:rFonts w:ascii="Arial" w:hAnsi="Arial" w:cs="Arial"/>
          <w:sz w:val="21"/>
          <w:szCs w:val="21"/>
        </w:rPr>
        <w:t>El citado autor pone de manifiesto que “la politización de facto de los empleados públicos y sus miedos por perder sus puestos por motivos políticos o discrecionales asegura a los cargos políticos una lealtad sin fisuras que traspasa con facilidad las barreras de la profesionalidad y de la ética de los servidores públicos”.</w:t>
      </w:r>
    </w:p>
    <w:p w14:paraId="585164D0" w14:textId="77777777" w:rsidR="006B65FB" w:rsidRPr="006B65FB" w:rsidRDefault="006B65FB" w:rsidP="006B65FB">
      <w:pPr>
        <w:pStyle w:val="NormalWeb"/>
        <w:spacing w:after="240"/>
        <w:jc w:val="both"/>
        <w:rPr>
          <w:rFonts w:ascii="Arial" w:hAnsi="Arial" w:cs="Arial"/>
          <w:sz w:val="21"/>
          <w:szCs w:val="21"/>
        </w:rPr>
      </w:pPr>
      <w:r w:rsidRPr="006B65FB">
        <w:rPr>
          <w:rFonts w:ascii="Arial" w:hAnsi="Arial" w:cs="Arial"/>
          <w:sz w:val="21"/>
          <w:szCs w:val="21"/>
        </w:rPr>
        <w:t>Que estas situaciones se den en los procesos selectivos de todos los niveles y categorías profesionales de empleados públicos es muy grave, y ello se hace especialmente visible cuando ocurre en puestos de responsabilidad del funcionariado. Se trata de esos empleados que deben trabajar codo a codo con los representantes institucionales, que deben asesorarles para que sus decisiones, independientemente del signo político e ideología que representen, sirvan al interés público y no a fines individuales o de grupos de poder que buscan un lucro concreto, muchas veces además al margen de la legalidad vigente.</w:t>
      </w:r>
    </w:p>
    <w:p w14:paraId="11D50514" w14:textId="77777777" w:rsidR="006B65FB" w:rsidRPr="006B65FB" w:rsidRDefault="006B65FB" w:rsidP="006B65FB">
      <w:pPr>
        <w:pStyle w:val="NormalWeb"/>
        <w:spacing w:after="240"/>
        <w:jc w:val="both"/>
        <w:rPr>
          <w:rFonts w:ascii="Arial" w:hAnsi="Arial" w:cs="Arial"/>
          <w:sz w:val="21"/>
          <w:szCs w:val="21"/>
        </w:rPr>
      </w:pPr>
      <w:r w:rsidRPr="006B65FB">
        <w:rPr>
          <w:rFonts w:ascii="Arial" w:hAnsi="Arial" w:cs="Arial"/>
          <w:sz w:val="21"/>
          <w:szCs w:val="21"/>
        </w:rPr>
        <w:t xml:space="preserve">Desde la Agencia entendemos que una administración pública que selecciona adecuadamente a sus funcionarias y funcionarios resiste a los cambios políticos y no está a merced de estos, responde con profesionalidad y rigor a los retos y situaciones que se presentan, y garantiza la objetividad en el desarrollo de su trabajo para la realización de políticas públicas previamente definidas. </w:t>
      </w:r>
    </w:p>
    <w:p w14:paraId="4466369A" w14:textId="5372010C" w:rsidR="006C76CB" w:rsidRDefault="006B65FB" w:rsidP="006B65FB">
      <w:pPr>
        <w:pStyle w:val="NormalWeb"/>
        <w:spacing w:before="0" w:beforeAutospacing="0" w:after="240" w:line="276" w:lineRule="auto"/>
        <w:jc w:val="both"/>
        <w:rPr>
          <w:rFonts w:ascii="Arial" w:hAnsi="Arial" w:cs="Arial"/>
          <w:sz w:val="21"/>
          <w:szCs w:val="21"/>
        </w:rPr>
      </w:pPr>
      <w:r w:rsidRPr="006B65FB">
        <w:rPr>
          <w:rFonts w:ascii="Arial" w:hAnsi="Arial" w:cs="Arial"/>
          <w:sz w:val="21"/>
          <w:szCs w:val="21"/>
        </w:rPr>
        <w:t>La selección del personal empleado público con base a los principios rectores aquí expuestos debe ser un objetivo de cada nuevo equipo de gobierno en todas nuestras administraciones, debiendo su incumplimiento ser rechazado por la ciudadanía y ser objeto de exigencia de las correspondientes responsabilidades penales o administrativas. En el supuesto de ausencia de ilícito penal, la instrucción de expedientes disciplinarios, de forma eficaz y eficiente, contra quienes cometieron estos graves hechos debe de servir de ejemplo y tener efecto disuasorio en previsión de que estas conductas no vuelvan a suceder.</w:t>
      </w:r>
    </w:p>
    <w:p w14:paraId="579F0FC9" w14:textId="77777777" w:rsidR="00977C9D" w:rsidRPr="001E0DFA" w:rsidRDefault="00977C9D" w:rsidP="006B65FB">
      <w:pPr>
        <w:pStyle w:val="NormalWeb"/>
        <w:spacing w:before="0" w:beforeAutospacing="0" w:after="240" w:line="276" w:lineRule="auto"/>
        <w:jc w:val="both"/>
        <w:rPr>
          <w:rFonts w:ascii="Arial" w:hAnsi="Arial" w:cs="Arial"/>
          <w:sz w:val="21"/>
          <w:szCs w:val="21"/>
        </w:rPr>
      </w:pPr>
    </w:p>
    <w:p w14:paraId="5E966E47" w14:textId="423BD822" w:rsidR="001E0DFA" w:rsidRDefault="006C76CB" w:rsidP="00FB51F3">
      <w:pPr>
        <w:pStyle w:val="Ttulo2"/>
        <w:numPr>
          <w:ilvl w:val="1"/>
          <w:numId w:val="21"/>
        </w:numPr>
        <w:spacing w:before="0" w:after="240" w:line="276" w:lineRule="auto"/>
        <w:ind w:left="851" w:hanging="851"/>
        <w:jc w:val="both"/>
        <w:rPr>
          <w:rFonts w:ascii="Arial" w:hAnsi="Arial" w:cs="Arial"/>
          <w:b/>
          <w:bCs/>
          <w:color w:val="9D2235" w:themeColor="accent1"/>
        </w:rPr>
      </w:pPr>
      <w:bookmarkStart w:id="582" w:name="_Toc99107134"/>
      <w:r w:rsidRPr="006C76CB">
        <w:rPr>
          <w:rFonts w:ascii="Arial" w:hAnsi="Arial" w:cs="Arial"/>
          <w:b/>
          <w:bCs/>
          <w:color w:val="9D2235" w:themeColor="accent1"/>
        </w:rPr>
        <w:t>Sobre el incremento de la contratación de emergencia y el necesario control de dicho mecanismo excepcional</w:t>
      </w:r>
      <w:bookmarkEnd w:id="582"/>
    </w:p>
    <w:p w14:paraId="4BE9714B" w14:textId="77777777" w:rsidR="00CC099B" w:rsidRPr="003A2F42" w:rsidRDefault="00CC099B" w:rsidP="00CC099B">
      <w:pPr>
        <w:pStyle w:val="NormalWeb"/>
        <w:spacing w:after="240"/>
        <w:jc w:val="both"/>
        <w:rPr>
          <w:rFonts w:ascii="Arial" w:hAnsi="Arial" w:cs="Arial"/>
          <w:sz w:val="21"/>
          <w:szCs w:val="21"/>
        </w:rPr>
      </w:pPr>
      <w:r w:rsidRPr="003A2F42">
        <w:rPr>
          <w:rFonts w:ascii="Arial" w:hAnsi="Arial" w:cs="Arial"/>
          <w:sz w:val="21"/>
          <w:szCs w:val="21"/>
        </w:rPr>
        <w:t xml:space="preserve">Tal y como subrayamos en nuestra Memoria anual de 2020, y que fue asimismo objeto de una de las recomendaciones generales de la AVAF, la gestión de la crisis ocasionada por la pandemia internacional COVID-19, ha puesto en juego elevadas cantidades de fondos públicos a repartir vía subvenciones o bien destinados a satisfacer rápidamente las necesidades de contratación de bienes y servicios mediante las contrataciones de emergencia. </w:t>
      </w:r>
    </w:p>
    <w:p w14:paraId="55AC3458" w14:textId="77777777" w:rsidR="00CC099B" w:rsidRPr="003A2F42" w:rsidRDefault="00CC099B" w:rsidP="00CC099B">
      <w:pPr>
        <w:pStyle w:val="NormalWeb"/>
        <w:spacing w:after="240"/>
        <w:jc w:val="both"/>
        <w:rPr>
          <w:rFonts w:ascii="Arial" w:hAnsi="Arial" w:cs="Arial"/>
          <w:sz w:val="21"/>
          <w:szCs w:val="21"/>
        </w:rPr>
      </w:pPr>
      <w:r w:rsidRPr="003A2F42">
        <w:rPr>
          <w:rFonts w:ascii="Arial" w:hAnsi="Arial" w:cs="Arial"/>
          <w:sz w:val="21"/>
          <w:szCs w:val="21"/>
        </w:rPr>
        <w:t>Desde la AVAF seguimos comprobando cómo las citadas medidas “de emergencia” se han ido “normalizando” e incrementando también durante el ejercicio 2021, poniendo en tela de juicio los principios de buena administración pública (legalidad, eficacia, eficiencia, entre otros), al detraer recursos públicos de su destino natural: la satisfacción de los intereses generales. En efecto, el mantenimiento prolongado de contrataciones de emergencia ha generalizado adjudicaciones directas más allá de lo estrictamente requerido y justificado y, a menudo, pagando precios muy superiores a los de mercado al no existir concurrencia competitiva.</w:t>
      </w:r>
    </w:p>
    <w:p w14:paraId="4A60F59A" w14:textId="77777777" w:rsidR="00CC099B" w:rsidRPr="003A2F42" w:rsidRDefault="00CC099B" w:rsidP="00CC099B">
      <w:pPr>
        <w:pStyle w:val="NormalWeb"/>
        <w:spacing w:after="240"/>
        <w:jc w:val="both"/>
        <w:rPr>
          <w:rFonts w:ascii="Arial" w:hAnsi="Arial" w:cs="Arial"/>
          <w:sz w:val="21"/>
          <w:szCs w:val="21"/>
        </w:rPr>
      </w:pPr>
      <w:r w:rsidRPr="003A2F42">
        <w:rPr>
          <w:rFonts w:ascii="Arial" w:hAnsi="Arial" w:cs="Arial"/>
          <w:sz w:val="21"/>
          <w:szCs w:val="21"/>
        </w:rPr>
        <w:t>La regulación actual de la contratación de emergencia se establece en el artículo 120 de la Ley 9/2017, de 8 de noviembre, de Contratos del Sector Público, por la que se transponen al ordenamiento jurídico español las Directivas del Parlamento Europeo y del Consejo 2014/23/UE y 2014/24/UE, de 26 de febrero de 2014 (LCSP). Dicha norma señala que se aplicará el régimen excepcional de la tramitación de emergencia “Cuando la Administración tenga que actuar de manera inmediata a causa de acontecimientos catastróficos, de situaciones que supongan grave peligro o de necesidades que afecten a la defensa nacional”</w:t>
      </w:r>
      <w:r w:rsidRPr="003A2F42">
        <w:rPr>
          <w:rFonts w:ascii="Arial" w:hAnsi="Arial" w:cs="Arial"/>
          <w:i/>
          <w:iCs/>
          <w:sz w:val="21"/>
          <w:szCs w:val="21"/>
        </w:rPr>
        <w:t>.</w:t>
      </w:r>
      <w:r w:rsidRPr="003A2F42">
        <w:rPr>
          <w:rFonts w:ascii="Arial" w:hAnsi="Arial" w:cs="Arial"/>
          <w:sz w:val="21"/>
          <w:szCs w:val="21"/>
        </w:rPr>
        <w:t xml:space="preserve"> De este precepto se desprende el carácter excepcional del uso de esta figura. </w:t>
      </w:r>
    </w:p>
    <w:p w14:paraId="04BAE26D" w14:textId="77777777" w:rsidR="00CC099B" w:rsidRPr="003A2F42" w:rsidRDefault="00CC099B" w:rsidP="00CC099B">
      <w:pPr>
        <w:pStyle w:val="NormalWeb"/>
        <w:spacing w:after="240"/>
        <w:jc w:val="both"/>
        <w:rPr>
          <w:rFonts w:ascii="Arial" w:hAnsi="Arial" w:cs="Arial"/>
          <w:sz w:val="21"/>
          <w:szCs w:val="21"/>
        </w:rPr>
      </w:pPr>
      <w:r w:rsidRPr="003A2F42">
        <w:rPr>
          <w:rFonts w:ascii="Arial" w:hAnsi="Arial" w:cs="Arial"/>
          <w:sz w:val="21"/>
          <w:szCs w:val="21"/>
        </w:rPr>
        <w:t xml:space="preserve">El precepto citado exime, cuando concurra alguna de las circunstancias tasadas y así se justifique, de las obligaciones de tramitar un expediente de contratación, publicar el anuncio de licitación, o de la previa existencia de crédito suficiente.  En definitiva, acudiendo a esta vía excepcional se prescinde de los requisitos formales previstos en la normativa de contratación para la tramitación de carácter ordinario. </w:t>
      </w:r>
    </w:p>
    <w:p w14:paraId="108D1C09" w14:textId="77777777" w:rsidR="00CC099B" w:rsidRPr="003A2F42" w:rsidRDefault="00CC099B" w:rsidP="00CC099B">
      <w:pPr>
        <w:pStyle w:val="NormalWeb"/>
        <w:spacing w:after="240"/>
        <w:jc w:val="both"/>
        <w:rPr>
          <w:rFonts w:ascii="Arial" w:hAnsi="Arial" w:cs="Arial"/>
          <w:sz w:val="21"/>
          <w:szCs w:val="21"/>
        </w:rPr>
      </w:pPr>
      <w:r w:rsidRPr="003A2F42">
        <w:rPr>
          <w:rFonts w:ascii="Arial" w:hAnsi="Arial" w:cs="Arial"/>
          <w:sz w:val="21"/>
          <w:szCs w:val="21"/>
        </w:rPr>
        <w:t>No obstante, la situación de crisis sanitaria (y de otros órdenes), ocasionada por la COVID-19, ha supuesto el contexto propicio para el  “uso abusivo” de la tramitación de emergencia. En efecto, el Real Decreto-ley 7/2020 y su modificación introducida por el Real Decreto-Ley 9/2020 (a nivel estatal), y la Disposición Adicional 2ª del Decreto Ley 1/2020, de 27 de marzo, del Consell (en el ámbito autonómico), legitimaron el recurso a esta contratación excepcional.</w:t>
      </w:r>
    </w:p>
    <w:p w14:paraId="10792DBC" w14:textId="77777777" w:rsidR="00CC099B" w:rsidRPr="003A2F42" w:rsidRDefault="00CC099B" w:rsidP="00CC099B">
      <w:pPr>
        <w:pStyle w:val="NormalWeb"/>
        <w:spacing w:after="240"/>
        <w:jc w:val="both"/>
        <w:rPr>
          <w:rFonts w:ascii="Arial" w:hAnsi="Arial" w:cs="Arial"/>
          <w:sz w:val="21"/>
          <w:szCs w:val="21"/>
        </w:rPr>
      </w:pPr>
      <w:r w:rsidRPr="003A2F42">
        <w:rPr>
          <w:rFonts w:ascii="Arial" w:hAnsi="Arial" w:cs="Arial"/>
          <w:sz w:val="21"/>
          <w:szCs w:val="21"/>
        </w:rPr>
        <w:t>Pero este tipo de contratación, unido a la sustitución de la fiscalización previa de la función interventora por el control financiero posterior ha generado, en ocasiones, un escenario favorable para la corrupción y las malas prácticas en el ámbito contractual. Los medios de comunicación han publicado casos de sobornos, malversación de fondos, suministro de material sanitario por precios superiores a los del mercado, fraudes, retrasos injustificados, comisionistas, suministros defectuosos, falta de comprobaciones en la habilitación profesional, clasificación y solvencia del licitador,  no realización de un estudio de mercado previo de los productos a adquirir, omisión de la solicitud de ofertas a diferentes empresas, entre otros, todos ellos con el denominador común de la aplicación de la contratación de emergencia.</w:t>
      </w:r>
    </w:p>
    <w:p w14:paraId="13DC3C13" w14:textId="77777777" w:rsidR="00CC099B" w:rsidRDefault="00CC099B" w:rsidP="00BE3E56">
      <w:pPr>
        <w:pStyle w:val="NormalWeb"/>
        <w:spacing w:after="240"/>
        <w:jc w:val="both"/>
        <w:rPr>
          <w:rFonts w:ascii="Arial" w:hAnsi="Arial" w:cs="Arial"/>
          <w:sz w:val="21"/>
          <w:szCs w:val="21"/>
        </w:rPr>
      </w:pPr>
      <w:r w:rsidRPr="003A2F42">
        <w:rPr>
          <w:rFonts w:ascii="Arial" w:hAnsi="Arial" w:cs="Arial"/>
          <w:sz w:val="21"/>
          <w:szCs w:val="21"/>
        </w:rPr>
        <w:t xml:space="preserve"> Centrando el análisis de la cuestión en el ámbito de nuestra Comunitat Valenciana, se observa un notable incremento en el uso de este procedimiento, a raíz de la declaración del estado de alarma a nivel nacional. Así, del informe especial de supervisión de los contratos tramitados por la vía de emergencia de marzo de 2021, elaborado por la Oficina Independiente de Regulación y Supervisión de la Contratación (OIReSCON), [</w:t>
      </w:r>
      <w:hyperlink r:id="rId544" w:tgtFrame="_top">
        <w:r w:rsidRPr="003A2F42">
          <w:rPr>
            <w:rStyle w:val="Hipervnculo"/>
            <w:rFonts w:ascii="Arial" w:hAnsi="Arial" w:cs="Arial"/>
            <w:sz w:val="21"/>
            <w:szCs w:val="21"/>
          </w:rPr>
          <w:t>https://www.hacienda.gob.es/RSC/OIReScon/COVID-19/ies-emergencias-2021/IES-emergencias-2021.pdf</w:t>
        </w:r>
      </w:hyperlink>
      <w:r w:rsidRPr="003A2F42">
        <w:rPr>
          <w:rFonts w:ascii="Arial" w:hAnsi="Arial" w:cs="Arial"/>
          <w:sz w:val="21"/>
          <w:szCs w:val="21"/>
        </w:rPr>
        <w:t>],  se evidencia dicho incremento en la utilización de la contratación de emergencia:</w:t>
      </w:r>
    </w:p>
    <w:p w14:paraId="02F94FEA" w14:textId="77777777" w:rsidR="00CC099B" w:rsidRPr="003A2F42" w:rsidRDefault="00CC099B" w:rsidP="00BE3E56">
      <w:pPr>
        <w:pStyle w:val="NormalWeb"/>
        <w:numPr>
          <w:ilvl w:val="0"/>
          <w:numId w:val="158"/>
        </w:numPr>
        <w:spacing w:after="120"/>
        <w:ind w:left="567" w:hanging="357"/>
        <w:jc w:val="both"/>
        <w:rPr>
          <w:rFonts w:ascii="Arial" w:hAnsi="Arial" w:cs="Arial"/>
          <w:sz w:val="21"/>
          <w:szCs w:val="21"/>
        </w:rPr>
      </w:pPr>
      <w:r w:rsidRPr="003A2F42">
        <w:rPr>
          <w:rFonts w:ascii="Arial" w:hAnsi="Arial" w:cs="Arial"/>
          <w:sz w:val="21"/>
          <w:szCs w:val="21"/>
        </w:rPr>
        <w:t>En los ejercicios 2018 y 2019 se celebraron 38 contratos de emergencia de los cuales sólo se publicaron 2 tomas de razón al Consell. El gasto en la contratación de emergencia (IVA generalmente excluido) ascendió a la cuantía de 7.292.959,01€.</w:t>
      </w:r>
    </w:p>
    <w:p w14:paraId="317B8186" w14:textId="77777777" w:rsidR="00CC099B" w:rsidRPr="003A2F42" w:rsidRDefault="00CC099B" w:rsidP="00BE3E56">
      <w:pPr>
        <w:pStyle w:val="NormalWeb"/>
        <w:numPr>
          <w:ilvl w:val="0"/>
          <w:numId w:val="158"/>
        </w:numPr>
        <w:spacing w:after="120"/>
        <w:ind w:left="567" w:hanging="357"/>
        <w:jc w:val="both"/>
        <w:rPr>
          <w:rFonts w:ascii="Arial" w:hAnsi="Arial" w:cs="Arial"/>
          <w:sz w:val="21"/>
          <w:szCs w:val="21"/>
        </w:rPr>
      </w:pPr>
      <w:r w:rsidRPr="003A2F42">
        <w:rPr>
          <w:rFonts w:ascii="Arial" w:hAnsi="Arial" w:cs="Arial"/>
          <w:sz w:val="21"/>
          <w:szCs w:val="21"/>
        </w:rPr>
        <w:t xml:space="preserve">Mientras que, en el periodo de marzo a diciembre de 2020, se tramitaron por la vía de emergencia 983 contratos, de los cuales se publicaron 231 tomas de razón al Consell. El gasto en dicha contratación ascendió a 441.315.722,73€. </w:t>
      </w:r>
      <w:r w:rsidRPr="003A2F42">
        <w:rPr>
          <w:rFonts w:ascii="Arial" w:hAnsi="Arial" w:cs="Arial"/>
          <w:i/>
          <w:iCs/>
          <w:sz w:val="21"/>
          <w:szCs w:val="21"/>
        </w:rPr>
        <w:t>(En este dato se incluyen acuerdos marco celebrados en agosto y septiembre, que todavía no se han materializado).</w:t>
      </w:r>
    </w:p>
    <w:p w14:paraId="6A24D064" w14:textId="19881472" w:rsidR="00CC099B" w:rsidRDefault="00CC099B" w:rsidP="00BE3E56">
      <w:pPr>
        <w:pStyle w:val="NormalWeb"/>
        <w:numPr>
          <w:ilvl w:val="0"/>
          <w:numId w:val="158"/>
        </w:numPr>
        <w:spacing w:after="120"/>
        <w:ind w:left="567" w:hanging="357"/>
        <w:jc w:val="both"/>
        <w:rPr>
          <w:rFonts w:ascii="Arial" w:hAnsi="Arial" w:cs="Arial"/>
          <w:sz w:val="21"/>
          <w:szCs w:val="21"/>
        </w:rPr>
      </w:pPr>
      <w:r w:rsidRPr="003A2F42">
        <w:rPr>
          <w:rFonts w:ascii="Arial" w:hAnsi="Arial" w:cs="Arial"/>
          <w:sz w:val="21"/>
          <w:szCs w:val="21"/>
        </w:rPr>
        <w:t>La tendencia al uso de la contratación de emergencia se vislumbra en aumento, dada su puesta en práctica durante el periodo de gestión y ejecución de los proyectos vinculados al Plan de Recuperación, Transformación y Resiliencia financiados con fondos de la Unión Europea Next Generation. A este respecto, se aconseja la lectura de las Instrucciones dadas por la Junta Consultiva de Contratación Pública del Estado (JCCE) de 11 de marzo de 2021, sobre la tramitación de urgencia de los procedimientos de licitación de los contratos que se vayan a financiar con fondos procedentes del Plan de Recuperación, Transformación y Resiliencia (PRTR) [</w:t>
      </w:r>
      <w:hyperlink r:id="rId545" w:tgtFrame="_top">
        <w:r w:rsidRPr="003A2F42">
          <w:rPr>
            <w:rStyle w:val="Hipervnculo"/>
            <w:rFonts w:ascii="Arial" w:hAnsi="Arial" w:cs="Arial"/>
            <w:sz w:val="21"/>
            <w:szCs w:val="21"/>
          </w:rPr>
          <w:t>https://www.hacienda.gob.es/Documentacion/Publico/D.G.%20PATRIMONIO/Junta%20Consultiva/informes/Informes2021/instruccionJCCPEurgenciaPRTR.pdf</w:t>
        </w:r>
      </w:hyperlink>
      <w:r w:rsidRPr="003A2F42">
        <w:rPr>
          <w:rFonts w:ascii="Arial" w:hAnsi="Arial" w:cs="Arial"/>
          <w:sz w:val="21"/>
          <w:szCs w:val="21"/>
        </w:rPr>
        <w:t>] y de 23 de diciembre de 2021, sobre aspectos a incorporar en los expedientes y en los pliegos rectores de los contratos que se vayan a financiar con fondos procedentes del PRTR [</w:t>
      </w:r>
      <w:hyperlink r:id="rId546" w:tgtFrame="_top">
        <w:r w:rsidRPr="003A2F42">
          <w:rPr>
            <w:rStyle w:val="Hipervnculo"/>
            <w:rFonts w:ascii="Arial" w:hAnsi="Arial" w:cs="Arial"/>
            <w:sz w:val="21"/>
            <w:szCs w:val="21"/>
          </w:rPr>
          <w:t>https://www.hacienda.gob.es/Documentacion/Publico/D.G.%20PATRIMONIO/Junta%20Consultiva/informes/Informes2021/2021-075instruccionPRTR.pdf</w:t>
        </w:r>
      </w:hyperlink>
      <w:r w:rsidRPr="003A2F42">
        <w:rPr>
          <w:rFonts w:ascii="Arial" w:hAnsi="Arial" w:cs="Arial"/>
          <w:sz w:val="21"/>
          <w:szCs w:val="21"/>
        </w:rPr>
        <w:t>].</w:t>
      </w:r>
    </w:p>
    <w:p w14:paraId="215B6D96" w14:textId="77777777" w:rsidR="00CC099B" w:rsidRPr="003A2F42" w:rsidRDefault="00CC099B" w:rsidP="00BE3E56">
      <w:pPr>
        <w:pStyle w:val="NormalWeb"/>
        <w:numPr>
          <w:ilvl w:val="0"/>
          <w:numId w:val="158"/>
        </w:numPr>
        <w:spacing w:after="120"/>
        <w:ind w:left="567" w:hanging="357"/>
        <w:jc w:val="both"/>
        <w:rPr>
          <w:rFonts w:ascii="Arial" w:hAnsi="Arial" w:cs="Arial"/>
          <w:sz w:val="21"/>
          <w:szCs w:val="21"/>
        </w:rPr>
      </w:pPr>
      <w:r w:rsidRPr="003A2F42">
        <w:rPr>
          <w:rFonts w:ascii="Arial" w:hAnsi="Arial" w:cs="Arial"/>
          <w:sz w:val="21"/>
          <w:szCs w:val="21"/>
        </w:rPr>
        <w:t>Por todo lo anterior, desde la AVAF recomendamos no bajar la guardia en el uso a las contrataciones de emergencia, aplicando los siguientes mecanismos:</w:t>
      </w:r>
    </w:p>
    <w:p w14:paraId="4B87E47D" w14:textId="77777777" w:rsidR="00CC099B" w:rsidRPr="006F5168" w:rsidRDefault="00CC099B" w:rsidP="00BE3E56">
      <w:pPr>
        <w:numPr>
          <w:ilvl w:val="1"/>
          <w:numId w:val="158"/>
        </w:numPr>
        <w:suppressAutoHyphens/>
        <w:spacing w:after="120" w:line="276" w:lineRule="auto"/>
        <w:ind w:left="992" w:hanging="357"/>
        <w:jc w:val="both"/>
      </w:pPr>
      <w:r>
        <w:rPr>
          <w:rFonts w:ascii="Arial" w:hAnsi="Arial"/>
        </w:rPr>
        <w:t>Planificar las contrataciones públicas;</w:t>
      </w:r>
    </w:p>
    <w:p w14:paraId="375576D0" w14:textId="77777777" w:rsidR="00CC099B" w:rsidRPr="006F5168" w:rsidRDefault="00CC099B" w:rsidP="00BE3E56">
      <w:pPr>
        <w:pStyle w:val="LO-Normal"/>
        <w:numPr>
          <w:ilvl w:val="1"/>
          <w:numId w:val="158"/>
        </w:numPr>
        <w:autoSpaceDN/>
        <w:spacing w:after="120" w:line="276" w:lineRule="auto"/>
        <w:ind w:left="992" w:hanging="357"/>
        <w:jc w:val="both"/>
        <w:textAlignment w:val="auto"/>
      </w:pPr>
      <w:r>
        <w:rPr>
          <w:rFonts w:ascii="Arial" w:eastAsia="Open Sans" w:hAnsi="Arial" w:cs="Arial"/>
          <w:kern w:val="2"/>
          <w:sz w:val="21"/>
          <w:szCs w:val="21"/>
        </w:rPr>
        <w:t xml:space="preserve">Justificar con claridad la causa legal que ampare la contratación por vía de emergencia. En ese sentido, </w:t>
      </w:r>
      <w:r>
        <w:rPr>
          <w:rFonts w:ascii="Arial" w:hAnsi="Arial" w:cs="Arial"/>
          <w:kern w:val="2"/>
          <w:sz w:val="21"/>
          <w:szCs w:val="21"/>
        </w:rPr>
        <w:t>OIReSCON</w:t>
      </w:r>
      <w:r>
        <w:rPr>
          <w:rFonts w:ascii="Arial" w:eastAsia="Open Sans" w:hAnsi="Arial" w:cs="Arial"/>
          <w:kern w:val="2"/>
          <w:sz w:val="21"/>
          <w:szCs w:val="21"/>
        </w:rPr>
        <w:t xml:space="preserve"> recomienda publicar los informes técnicos o memorias que avalen la concurrencia de las circunstancias contempladas en el artículo 120 de la LCSP, habilitantes para la tramitación de emergencia;</w:t>
      </w:r>
    </w:p>
    <w:p w14:paraId="64BBD683" w14:textId="77777777" w:rsidR="00CC099B" w:rsidRPr="006F5168" w:rsidRDefault="00CC099B" w:rsidP="00BE3E56">
      <w:pPr>
        <w:pStyle w:val="LO-Normal"/>
        <w:numPr>
          <w:ilvl w:val="1"/>
          <w:numId w:val="158"/>
        </w:numPr>
        <w:autoSpaceDN/>
        <w:spacing w:after="120" w:line="276" w:lineRule="auto"/>
        <w:ind w:left="992" w:hanging="357"/>
        <w:jc w:val="both"/>
        <w:textAlignment w:val="auto"/>
      </w:pPr>
      <w:r>
        <w:rPr>
          <w:rFonts w:ascii="Arial" w:eastAsia="Open Sans" w:hAnsi="Arial" w:cs="Arial"/>
          <w:kern w:val="2"/>
          <w:sz w:val="21"/>
          <w:szCs w:val="21"/>
        </w:rPr>
        <w:t xml:space="preserve">Dadas las causas tasadas que permiten acudir a la tramitación de emergencia y su naturaleza excepcional por no respetar determinados principios generales de la contratación pública ni de buena administración, es aconsejable reflexionar sobre la posibilidad de optar por otro tipo de tramitación que permita la pronta cobertura de las necesidades públicas. En ese sentido, </w:t>
      </w:r>
      <w:r>
        <w:rPr>
          <w:rFonts w:ascii="Arial" w:hAnsi="Arial" w:cs="Arial"/>
          <w:kern w:val="2"/>
          <w:sz w:val="21"/>
          <w:szCs w:val="21"/>
        </w:rPr>
        <w:t>OIReSCON</w:t>
      </w:r>
      <w:r>
        <w:rPr>
          <w:rFonts w:ascii="Arial" w:hAnsi="Arial" w:cs="Arial"/>
          <w:sz w:val="21"/>
          <w:szCs w:val="21"/>
        </w:rPr>
        <w:t xml:space="preserve"> apunta la</w:t>
      </w:r>
      <w:r>
        <w:rPr>
          <w:rFonts w:ascii="Arial" w:eastAsia="Open Sans" w:hAnsi="Arial" w:cs="Arial"/>
          <w:kern w:val="2"/>
          <w:sz w:val="21"/>
          <w:szCs w:val="21"/>
        </w:rPr>
        <w:t xml:space="preserve"> tramitación con carácter de urgencia, conforme al artículo 119 de la LCSP, o incluso  la adjudicación mediante el procedimiento negociado por razón de imperiosa urgencia, dándose las circunstancias recogidas en el artículo 168.b) de la LCSP, puesto que ambas opciones, especialmente esta última, pueden proporcionar la agilidad necesaria en la tramitación sin que se vean mermados los principios de publicidad, transparencia y concurrencia, así como el resto de garantías procedimentales y controles;</w:t>
      </w:r>
    </w:p>
    <w:p w14:paraId="15214E56" w14:textId="77777777" w:rsidR="00CC099B" w:rsidRPr="006F5168" w:rsidRDefault="00CC099B" w:rsidP="00BE3E56">
      <w:pPr>
        <w:numPr>
          <w:ilvl w:val="1"/>
          <w:numId w:val="158"/>
        </w:numPr>
        <w:suppressAutoHyphens/>
        <w:spacing w:after="120" w:line="276" w:lineRule="auto"/>
        <w:ind w:left="992" w:hanging="357"/>
        <w:jc w:val="both"/>
      </w:pPr>
      <w:r>
        <w:rPr>
          <w:rFonts w:ascii="Arial" w:hAnsi="Arial"/>
          <w:sz w:val="21"/>
          <w:szCs w:val="21"/>
        </w:rPr>
        <w:t>Adoptar decisiones públicas y transparentes también en ejercicio de poderes excepcionales, publicando cada detalle que informe sobre este tipo de contratos de emergencia, alejando toda sombra de favoritismo y/o corrupción,</w:t>
      </w:r>
      <w:r>
        <w:rPr>
          <w:rFonts w:ascii="Arial" w:eastAsia="Open Sans" w:hAnsi="Arial" w:cs="Arial"/>
          <w:i/>
          <w:iCs/>
          <w:kern w:val="2"/>
          <w:sz w:val="21"/>
          <w:szCs w:val="21"/>
          <w:lang w:eastAsia="zh-CN" w:bidi="hi-IN"/>
        </w:rPr>
        <w:t xml:space="preserve"> </w:t>
      </w:r>
      <w:r>
        <w:rPr>
          <w:rFonts w:ascii="Arial" w:eastAsia="Open Sans" w:hAnsi="Arial" w:cs="Arial"/>
          <w:kern w:val="2"/>
          <w:sz w:val="21"/>
          <w:szCs w:val="21"/>
          <w:lang w:eastAsia="zh-CN" w:bidi="hi-IN"/>
        </w:rPr>
        <w:t>y permitiendo así que se pueda controlar su justificación y cumplimiento de la legalidad;</w:t>
      </w:r>
    </w:p>
    <w:p w14:paraId="39C6FE8D" w14:textId="77777777" w:rsidR="00CC099B" w:rsidRPr="006F5168" w:rsidRDefault="00CC099B" w:rsidP="00BE3E56">
      <w:pPr>
        <w:numPr>
          <w:ilvl w:val="1"/>
          <w:numId w:val="158"/>
        </w:numPr>
        <w:suppressAutoHyphens/>
        <w:spacing w:after="120" w:line="276" w:lineRule="auto"/>
        <w:ind w:left="992" w:hanging="357"/>
        <w:jc w:val="both"/>
      </w:pPr>
      <w:r>
        <w:rPr>
          <w:rFonts w:ascii="Arial" w:hAnsi="Arial"/>
          <w:sz w:val="21"/>
          <w:szCs w:val="21"/>
        </w:rPr>
        <w:t>No renunciar a los controles internos de cada institución ni renunciar a la comprobación material de las inversiones del dinero público. La Administración debe exigir el cumplimiento del contrato durante su ejecución, con independencia de la supresión de trámites en fase de licitación;</w:t>
      </w:r>
    </w:p>
    <w:p w14:paraId="222041BD" w14:textId="77777777" w:rsidR="00CC099B" w:rsidRDefault="00CC099B" w:rsidP="00CC099B">
      <w:pPr>
        <w:numPr>
          <w:ilvl w:val="1"/>
          <w:numId w:val="158"/>
        </w:numPr>
        <w:suppressAutoHyphens/>
        <w:spacing w:after="240" w:line="276" w:lineRule="auto"/>
        <w:ind w:left="992" w:hanging="357"/>
        <w:jc w:val="both"/>
      </w:pPr>
      <w:r>
        <w:rPr>
          <w:rFonts w:ascii="Arial" w:hAnsi="Arial"/>
          <w:sz w:val="21"/>
          <w:szCs w:val="21"/>
        </w:rPr>
        <w:t>Tomar las medidas y precauciones posibles en el ámbito de la ciberseguridad.</w:t>
      </w:r>
    </w:p>
    <w:p w14:paraId="4A86B352" w14:textId="0C2D777A" w:rsidR="00CC099B" w:rsidRDefault="00CC099B" w:rsidP="00CC099B">
      <w:pPr>
        <w:pStyle w:val="NormalWeb"/>
        <w:spacing w:after="240"/>
        <w:jc w:val="both"/>
        <w:rPr>
          <w:rFonts w:ascii="Arial" w:hAnsi="Arial" w:cs="Arial"/>
          <w:sz w:val="21"/>
          <w:szCs w:val="21"/>
        </w:rPr>
      </w:pPr>
      <w:r w:rsidRPr="003A2F42">
        <w:rPr>
          <w:rFonts w:ascii="Arial" w:hAnsi="Arial" w:cs="Arial"/>
          <w:sz w:val="21"/>
          <w:szCs w:val="21"/>
        </w:rPr>
        <w:t>Desde la AVAF deseamos que la pandemia SARS-2 COVID-19 llegue a su fin y, con ella, la crisis y las devastadoras consecuencias provocadas por la misma. Sin embargo, el sector público valenciano debe salir reforzado y preparado para posibles eventualidades futuras, planificando la contratación de sus respectivas necesidades públicas con antelación y de manera flexible, pues solo así contará con capacidad de anticipación y con margen de maniobra suficiente para reasignar los recursos públicos en cada contexto, minimizando medidas excepcionales y reactivas, tales como la contratación de emergencia.</w:t>
      </w:r>
    </w:p>
    <w:p w14:paraId="474D348C" w14:textId="64B14793" w:rsidR="00977C9D" w:rsidRDefault="00977C9D" w:rsidP="00CC099B">
      <w:pPr>
        <w:pStyle w:val="NormalWeb"/>
        <w:spacing w:after="240"/>
        <w:jc w:val="both"/>
        <w:rPr>
          <w:rFonts w:ascii="Arial" w:hAnsi="Arial" w:cs="Arial"/>
          <w:sz w:val="21"/>
          <w:szCs w:val="21"/>
        </w:rPr>
      </w:pPr>
    </w:p>
    <w:p w14:paraId="0013C20D" w14:textId="53F94179" w:rsidR="00977C9D" w:rsidRDefault="00977C9D" w:rsidP="00CC099B">
      <w:pPr>
        <w:pStyle w:val="NormalWeb"/>
        <w:spacing w:after="240"/>
        <w:jc w:val="both"/>
        <w:rPr>
          <w:rFonts w:ascii="Arial" w:hAnsi="Arial" w:cs="Arial"/>
          <w:sz w:val="21"/>
          <w:szCs w:val="21"/>
        </w:rPr>
      </w:pPr>
    </w:p>
    <w:p w14:paraId="1C519042" w14:textId="2B4CE079" w:rsidR="00977C9D" w:rsidRDefault="00977C9D" w:rsidP="00CC099B">
      <w:pPr>
        <w:pStyle w:val="NormalWeb"/>
        <w:spacing w:after="240"/>
        <w:jc w:val="both"/>
        <w:rPr>
          <w:rFonts w:ascii="Arial" w:hAnsi="Arial" w:cs="Arial"/>
          <w:sz w:val="21"/>
          <w:szCs w:val="21"/>
        </w:rPr>
      </w:pPr>
    </w:p>
    <w:p w14:paraId="3F4C46D1" w14:textId="77777777" w:rsidR="00977C9D" w:rsidRPr="003A2F42" w:rsidRDefault="00977C9D" w:rsidP="00CC099B">
      <w:pPr>
        <w:pStyle w:val="NormalWeb"/>
        <w:spacing w:after="240"/>
        <w:jc w:val="both"/>
        <w:rPr>
          <w:rFonts w:ascii="Arial" w:hAnsi="Arial" w:cs="Arial"/>
          <w:sz w:val="21"/>
          <w:szCs w:val="21"/>
        </w:rPr>
      </w:pPr>
    </w:p>
    <w:p w14:paraId="1028DFE3" w14:textId="742013A2" w:rsidR="001E0DFA" w:rsidRDefault="00006459" w:rsidP="006C76CB">
      <w:pPr>
        <w:pStyle w:val="Ttulo2"/>
        <w:numPr>
          <w:ilvl w:val="1"/>
          <w:numId w:val="21"/>
        </w:numPr>
        <w:spacing w:before="0" w:after="240" w:line="276" w:lineRule="auto"/>
        <w:ind w:left="851" w:hanging="851"/>
        <w:jc w:val="both"/>
        <w:rPr>
          <w:rFonts w:ascii="Arial" w:hAnsi="Arial" w:cs="Arial"/>
          <w:b/>
          <w:bCs/>
          <w:color w:val="9D2235" w:themeColor="accent1"/>
        </w:rPr>
      </w:pPr>
      <w:bookmarkStart w:id="583" w:name="_Toc99107135"/>
      <w:r>
        <w:rPr>
          <w:rFonts w:ascii="Arial" w:hAnsi="Arial" w:cs="Arial"/>
          <w:b/>
          <w:bCs/>
          <w:color w:val="9D2235" w:themeColor="accent1"/>
        </w:rPr>
        <w:t>Sobre e</w:t>
      </w:r>
      <w:r w:rsidR="006C76CB" w:rsidRPr="006C76CB">
        <w:rPr>
          <w:rFonts w:ascii="Arial" w:hAnsi="Arial" w:cs="Arial"/>
          <w:b/>
          <w:bCs/>
          <w:color w:val="9D2235" w:themeColor="accent1"/>
        </w:rPr>
        <w:t>l cambio de paradigma en la cultura de la gestión pública: hacia la integridad institucional</w:t>
      </w:r>
      <w:bookmarkEnd w:id="583"/>
    </w:p>
    <w:p w14:paraId="7AF03E6F" w14:textId="77777777" w:rsidR="00CC099B" w:rsidRDefault="00CC099B" w:rsidP="00CC099B">
      <w:pPr>
        <w:pStyle w:val="LO-Normal"/>
        <w:widowControl/>
        <w:suppressAutoHyphens w:val="0"/>
        <w:autoSpaceDE w:val="0"/>
        <w:spacing w:after="240" w:line="276" w:lineRule="auto"/>
        <w:jc w:val="both"/>
        <w:rPr>
          <w:rFonts w:ascii="Arial" w:hAnsi="Arial" w:cs="Arial"/>
          <w:color w:val="222222"/>
          <w:sz w:val="21"/>
          <w:szCs w:val="21"/>
        </w:rPr>
      </w:pPr>
      <w:r>
        <w:rPr>
          <w:rFonts w:ascii="Arial" w:hAnsi="Arial" w:cs="Arial"/>
          <w:color w:val="222222"/>
          <w:sz w:val="21"/>
          <w:szCs w:val="21"/>
        </w:rPr>
        <w:t>La integridad institucional ha venido para quedarse. Desde la AVAF les trasladamos nuestras reflexiones de las principales razones de este cambio de paradigma en la cultura de las instituciones valencianas:</w:t>
      </w:r>
    </w:p>
    <w:p w14:paraId="6D982A3F" w14:textId="77777777" w:rsidR="00CC099B" w:rsidRPr="00607DAD" w:rsidRDefault="00CC099B" w:rsidP="00BE3E56">
      <w:pPr>
        <w:pStyle w:val="Prrafodelista"/>
        <w:autoSpaceDE w:val="0"/>
        <w:spacing w:after="240" w:line="276" w:lineRule="auto"/>
        <w:ind w:left="0"/>
        <w:contextualSpacing w:val="0"/>
        <w:jc w:val="both"/>
        <w:rPr>
          <w:rFonts w:ascii="Arial" w:hAnsi="Arial" w:cs="Arial"/>
          <w:b/>
          <w:bCs/>
          <w:i/>
          <w:iCs/>
          <w:color w:val="222222"/>
          <w:sz w:val="21"/>
          <w:szCs w:val="21"/>
        </w:rPr>
      </w:pPr>
      <w:r w:rsidRPr="00EB6031">
        <w:rPr>
          <w:rFonts w:ascii="Arial" w:hAnsi="Arial" w:cs="Arial"/>
          <w:b/>
          <w:bCs/>
          <w:i/>
          <w:iCs/>
          <w:color w:val="9D2235" w:themeColor="accent1"/>
          <w:sz w:val="21"/>
          <w:szCs w:val="21"/>
        </w:rPr>
        <w:t>Porque es el modo más eficiente de proteger su misión de servicio público</w:t>
      </w:r>
      <w:r w:rsidRPr="00607DAD">
        <w:rPr>
          <w:rFonts w:ascii="Arial" w:hAnsi="Arial" w:cs="Arial"/>
          <w:b/>
          <w:bCs/>
          <w:i/>
          <w:iCs/>
          <w:color w:val="222222"/>
          <w:sz w:val="21"/>
          <w:szCs w:val="21"/>
        </w:rPr>
        <w:t>.</w:t>
      </w:r>
    </w:p>
    <w:p w14:paraId="0199B1E5" w14:textId="77777777" w:rsidR="00CC099B" w:rsidRPr="006F5168" w:rsidRDefault="00CC099B" w:rsidP="00BE3E56">
      <w:pPr>
        <w:pStyle w:val="LO-Normal"/>
        <w:widowControl/>
        <w:numPr>
          <w:ilvl w:val="0"/>
          <w:numId w:val="159"/>
        </w:numPr>
        <w:autoSpaceDN/>
        <w:spacing w:after="120" w:line="276" w:lineRule="auto"/>
        <w:ind w:left="425" w:hanging="357"/>
        <w:jc w:val="both"/>
        <w:textAlignment w:val="auto"/>
      </w:pPr>
      <w:r>
        <w:rPr>
          <w:rFonts w:ascii="Arial" w:eastAsia="Open Sans" w:hAnsi="Arial" w:cs="Arial"/>
          <w:kern w:val="2"/>
          <w:sz w:val="21"/>
          <w:szCs w:val="21"/>
        </w:rPr>
        <w:t xml:space="preserve">La misión de servicio público de cualquier entidad pública es perseguir los intereses generales en su concreto ámbito competencial. </w:t>
      </w:r>
    </w:p>
    <w:p w14:paraId="004A4D2D" w14:textId="77777777" w:rsidR="00CC099B" w:rsidRPr="006F5168" w:rsidRDefault="00CC099B" w:rsidP="00BE3E56">
      <w:pPr>
        <w:pStyle w:val="LO-Normal"/>
        <w:widowControl/>
        <w:numPr>
          <w:ilvl w:val="0"/>
          <w:numId w:val="159"/>
        </w:numPr>
        <w:autoSpaceDN/>
        <w:spacing w:after="120" w:line="276" w:lineRule="auto"/>
        <w:ind w:left="425" w:hanging="357"/>
        <w:jc w:val="both"/>
        <w:textAlignment w:val="auto"/>
      </w:pPr>
      <w:r>
        <w:rPr>
          <w:rFonts w:ascii="Arial" w:eastAsia="Open Sans" w:hAnsi="Arial" w:cs="Arial"/>
          <w:kern w:val="2"/>
          <w:sz w:val="21"/>
          <w:szCs w:val="21"/>
        </w:rPr>
        <w:t>Practicar la cultura de la integridad pública a todos los niveles de la organización permite que cada decisión y gestión esté alineada con el interés de la ciudadanía, y no con los intereses particulares de quién toma la decisión, la informa en el ejercicio de sus funciones o pretende influir en ella en su propio beneficio.</w:t>
      </w:r>
    </w:p>
    <w:p w14:paraId="3D7F668E" w14:textId="77777777" w:rsidR="00CC099B" w:rsidRPr="006F5168" w:rsidRDefault="00CC099B" w:rsidP="00CC099B">
      <w:pPr>
        <w:pStyle w:val="LO-Normal"/>
        <w:widowControl/>
        <w:numPr>
          <w:ilvl w:val="0"/>
          <w:numId w:val="159"/>
        </w:numPr>
        <w:autoSpaceDN/>
        <w:spacing w:after="240" w:line="276" w:lineRule="auto"/>
        <w:ind w:left="425" w:hanging="357"/>
        <w:jc w:val="both"/>
        <w:textAlignment w:val="auto"/>
      </w:pPr>
      <w:r>
        <w:rPr>
          <w:rFonts w:ascii="Arial" w:eastAsia="Open Sans" w:hAnsi="Arial" w:cs="Arial"/>
          <w:kern w:val="2"/>
          <w:sz w:val="21"/>
          <w:szCs w:val="21"/>
        </w:rPr>
        <w:t>De ahí la extraordinaria importancia de poner en marcha el proceso para su implementación en el seno de cada entidad pública, pues los marcos de integridad apropiados contribuirán a minimizar los riesgos e irregularidades (tanto penales como administrativos) que, derivados de prácticas contrarias al interés general, amenacen todo tipo de fondos públicos, mediante la prevención y detección del fraude, la corrupción y los conflictos de interés.</w:t>
      </w:r>
    </w:p>
    <w:p w14:paraId="5B8E2532" w14:textId="77777777" w:rsidR="00CC099B" w:rsidRPr="00EB6031" w:rsidRDefault="00CC099B" w:rsidP="00BE3E56">
      <w:pPr>
        <w:pStyle w:val="Prrafodelista"/>
        <w:spacing w:after="240" w:line="276" w:lineRule="auto"/>
        <w:ind w:left="0"/>
        <w:contextualSpacing w:val="0"/>
        <w:jc w:val="both"/>
        <w:rPr>
          <w:rFonts w:ascii="Arial" w:eastAsia="Open Sans" w:hAnsi="Arial" w:cs="Arial"/>
          <w:b/>
          <w:bCs/>
          <w:i/>
          <w:iCs/>
          <w:color w:val="9D2235" w:themeColor="accent1"/>
          <w:kern w:val="2"/>
          <w:sz w:val="21"/>
          <w:szCs w:val="21"/>
          <w:lang w:eastAsia="zh-CN" w:bidi="hi-IN"/>
        </w:rPr>
      </w:pPr>
      <w:r w:rsidRPr="00EB6031">
        <w:rPr>
          <w:rFonts w:ascii="Arial" w:eastAsia="Open Sans" w:hAnsi="Arial" w:cs="Arial"/>
          <w:b/>
          <w:bCs/>
          <w:i/>
          <w:iCs/>
          <w:color w:val="9D2235" w:themeColor="accent1"/>
          <w:kern w:val="2"/>
          <w:sz w:val="21"/>
          <w:szCs w:val="21"/>
          <w:lang w:eastAsia="zh-CN" w:bidi="hi-IN"/>
        </w:rPr>
        <w:t>Porque con integridad institucional es más fácil cumplir los principios de buena administración.</w:t>
      </w:r>
    </w:p>
    <w:p w14:paraId="7735C7CD" w14:textId="77777777" w:rsidR="00CC099B" w:rsidRPr="006F5168" w:rsidRDefault="00CC099B" w:rsidP="00BE3E56">
      <w:pPr>
        <w:pStyle w:val="LO-Normal"/>
        <w:widowControl/>
        <w:numPr>
          <w:ilvl w:val="0"/>
          <w:numId w:val="159"/>
        </w:numPr>
        <w:autoSpaceDN/>
        <w:spacing w:after="120" w:line="276" w:lineRule="auto"/>
        <w:ind w:left="425" w:hanging="357"/>
        <w:jc w:val="both"/>
        <w:textAlignment w:val="auto"/>
      </w:pPr>
      <w:r>
        <w:rPr>
          <w:rFonts w:ascii="Arial" w:eastAsia="Open Sans" w:hAnsi="Arial" w:cs="Arial"/>
          <w:kern w:val="2"/>
          <w:sz w:val="21"/>
          <w:szCs w:val="21"/>
        </w:rPr>
        <w:t>Sin integridad pública se abren las puertas a prácticas subjetivas, parciales, conflictos de intereses no detectados ni controlados, abuso del enriquecimiento injusto en sus encargos al margen de la legalidad, encarecimiento de costes por inadecuado liderazgo y/o gestión y/o control y, en todo caso, elevados costes reputacionales para nuestras instituciones públicas; prácticas que pueden basar las políticas públicas y su gestión en intereses privados, chocando de plano con los principios constitucionales de buena administración (objetividad, imparcialidad, eficacia, eficiencia, legalidad, entre otros).</w:t>
      </w:r>
    </w:p>
    <w:p w14:paraId="653EFF1A" w14:textId="77777777" w:rsidR="00CC099B" w:rsidRPr="006F5168" w:rsidRDefault="00CC099B" w:rsidP="00CC099B">
      <w:pPr>
        <w:pStyle w:val="LO-Normal"/>
        <w:widowControl/>
        <w:numPr>
          <w:ilvl w:val="0"/>
          <w:numId w:val="159"/>
        </w:numPr>
        <w:autoSpaceDN/>
        <w:spacing w:after="240" w:line="276" w:lineRule="auto"/>
        <w:ind w:left="425" w:hanging="357"/>
        <w:jc w:val="both"/>
        <w:textAlignment w:val="auto"/>
      </w:pPr>
      <w:r>
        <w:rPr>
          <w:rFonts w:ascii="Arial" w:eastAsia="Open Sans" w:hAnsi="Arial" w:cs="Arial"/>
          <w:kern w:val="2"/>
          <w:sz w:val="21"/>
          <w:szCs w:val="21"/>
        </w:rPr>
        <w:t>En ese sentido, desde la AVAF recomendamos la aprobación de códigos éticos que, como instrumentos internos de autorregulación, fomenten valores, principios y conductas e incluyan mecanismos de prevención y abordaje de los conflictos de interés; la existencia de canales de alertas y su procedimiento de gestión; y el asesoramiento y vigilancia por un comité de ética, entre otros aspectos básicos. Desde nuestro punto de vista, la aplicación de códigos debería hacerse extensiva a la totalidad del personal al servicio de las instituciones (no sólo a los altos cargos, como viene siendo habitual).</w:t>
      </w:r>
    </w:p>
    <w:p w14:paraId="3CCD7D8F" w14:textId="2EE71F77" w:rsidR="00CC099B" w:rsidRPr="00EB6031" w:rsidRDefault="00CC099B" w:rsidP="00BE3E56">
      <w:pPr>
        <w:pStyle w:val="Prrafodelista"/>
        <w:spacing w:after="240" w:line="276" w:lineRule="auto"/>
        <w:ind w:left="0"/>
        <w:contextualSpacing w:val="0"/>
        <w:jc w:val="both"/>
        <w:rPr>
          <w:b/>
          <w:bCs/>
          <w:color w:val="9D2235" w:themeColor="accent1"/>
        </w:rPr>
      </w:pPr>
      <w:r w:rsidRPr="00EB6031">
        <w:rPr>
          <w:rFonts w:ascii="Arial" w:eastAsia="Open Sans" w:hAnsi="Arial" w:cs="Arial"/>
          <w:b/>
          <w:bCs/>
          <w:i/>
          <w:iCs/>
          <w:color w:val="9D2235" w:themeColor="accent1"/>
          <w:kern w:val="2"/>
          <w:sz w:val="21"/>
          <w:szCs w:val="21"/>
          <w:lang w:eastAsia="zh-CN" w:bidi="hi-IN"/>
        </w:rPr>
        <w:t xml:space="preserve">Porque es una exigencia internacional y de la Unión Europea que, por primera vez, se ha regulado en una norma nacional. </w:t>
      </w:r>
    </w:p>
    <w:p w14:paraId="3256AD1E" w14:textId="77777777" w:rsidR="00CC099B" w:rsidRPr="006F5168" w:rsidRDefault="00CC099B" w:rsidP="00BE3E56">
      <w:pPr>
        <w:pStyle w:val="LO-Normal"/>
        <w:widowControl/>
        <w:numPr>
          <w:ilvl w:val="0"/>
          <w:numId w:val="159"/>
        </w:numPr>
        <w:autoSpaceDN/>
        <w:spacing w:after="120" w:line="276" w:lineRule="auto"/>
        <w:ind w:left="425"/>
        <w:jc w:val="both"/>
        <w:textAlignment w:val="auto"/>
      </w:pPr>
      <w:r>
        <w:rPr>
          <w:rFonts w:ascii="Arial" w:eastAsia="Open Sans" w:hAnsi="Arial" w:cs="Arial"/>
          <w:kern w:val="2"/>
          <w:sz w:val="21"/>
          <w:szCs w:val="21"/>
        </w:rPr>
        <w:t xml:space="preserve">La OCDE (Recomendación del Consejo General de la OCDE sobre Integridad Pública) define la integridad pública como </w:t>
      </w:r>
      <w:r w:rsidRPr="00607DAD">
        <w:rPr>
          <w:rFonts w:ascii="Arial" w:eastAsia="Open Sans" w:hAnsi="Arial" w:cs="Arial"/>
          <w:kern w:val="2"/>
          <w:sz w:val="21"/>
          <w:szCs w:val="21"/>
        </w:rPr>
        <w:t>“La alineación consistente con, y el cumplimiento de, los valores, principios y normas éticos compartidos, para mantener y dar prioridad a los intereses públicos, por encima de los intereses privados, en el sector público”.</w:t>
      </w:r>
    </w:p>
    <w:p w14:paraId="423C2D64" w14:textId="77777777" w:rsidR="00CC099B" w:rsidRPr="006F5168" w:rsidRDefault="00CC099B" w:rsidP="00BE3E56">
      <w:pPr>
        <w:pStyle w:val="LO-Normal"/>
        <w:widowControl/>
        <w:spacing w:after="120" w:line="276" w:lineRule="auto"/>
        <w:ind w:left="425"/>
        <w:jc w:val="both"/>
      </w:pPr>
      <w:r>
        <w:rPr>
          <w:rFonts w:ascii="Arial" w:eastAsia="Open Sans" w:hAnsi="Arial" w:cs="Arial"/>
          <w:i/>
          <w:iCs/>
          <w:kern w:val="2"/>
          <w:sz w:val="21"/>
          <w:szCs w:val="21"/>
        </w:rPr>
        <w:t xml:space="preserve"> </w:t>
      </w:r>
      <w:r>
        <w:rPr>
          <w:rFonts w:ascii="Arial" w:eastAsia="Open Sans" w:hAnsi="Arial" w:cs="Arial"/>
          <w:kern w:val="2"/>
          <w:sz w:val="21"/>
          <w:szCs w:val="21"/>
        </w:rPr>
        <w:t>La Convención de Naciones Unidas contra la Corrupción (Nueva York, 31/10/2003), ratificada por el Estado español (BOE núm. 171, de 19 de junio de 2006), anima a los Estados a que adopten medidas encaminadas a prevenir y combatir el fraude, la corrupción, y a promover la integridad. En ese sentido, la Ley Anticorrupción italiana 190/2012, entre otras, configura como obligatorios los planes de integridad y prevención.</w:t>
      </w:r>
    </w:p>
    <w:p w14:paraId="19A638D6" w14:textId="77777777" w:rsidR="00CC099B" w:rsidRDefault="00CC099B" w:rsidP="00BE3E56">
      <w:pPr>
        <w:pStyle w:val="LO-Normal"/>
        <w:widowControl/>
        <w:numPr>
          <w:ilvl w:val="0"/>
          <w:numId w:val="159"/>
        </w:numPr>
        <w:autoSpaceDN/>
        <w:spacing w:after="120" w:line="276" w:lineRule="auto"/>
        <w:ind w:left="425"/>
        <w:jc w:val="both"/>
        <w:textAlignment w:val="auto"/>
      </w:pPr>
      <w:r>
        <w:rPr>
          <w:rFonts w:ascii="Arial" w:eastAsia="Open Sans" w:hAnsi="Arial" w:cs="Arial"/>
          <w:kern w:val="2"/>
          <w:sz w:val="21"/>
          <w:szCs w:val="21"/>
        </w:rPr>
        <w:t>Es constante y creciente la preocupación de la Unión Europea por la manera en que los Estados miembros gestionan los fondos de su presupuesto. Por primera vez en España, dicha preocupación se traslada a la</w:t>
      </w:r>
      <w:r>
        <w:rPr>
          <w:rFonts w:ascii="Arial" w:eastAsia="Open Sans" w:hAnsi="Arial" w:cs="Arial"/>
          <w:b/>
          <w:bCs/>
          <w:kern w:val="2"/>
          <w:sz w:val="21"/>
          <w:szCs w:val="21"/>
        </w:rPr>
        <w:t xml:space="preserve"> </w:t>
      </w:r>
      <w:r>
        <w:rPr>
          <w:rFonts w:ascii="Arial" w:eastAsia="Open Sans" w:hAnsi="Arial" w:cs="Arial"/>
          <w:kern w:val="2"/>
          <w:sz w:val="21"/>
          <w:szCs w:val="21"/>
        </w:rPr>
        <w:t xml:space="preserve">Orden del Ministerio de Hacienda y Función Pública HFP/1030/2021, de 29 de septiembre, por la que se configura el sistema de gestión del Plan de Recuperación, Transformación y Resiliencia (BOE núm. 234, de 30 de septiembre). La norma pretende proteger los intereses financieros de la UE obligando a las entidades decisoras y ejecutoras a incorporar a su ámbito interno de gestión y control el </w:t>
      </w:r>
      <w:r w:rsidRPr="00607DAD">
        <w:rPr>
          <w:rFonts w:ascii="Arial" w:eastAsia="Open Sans" w:hAnsi="Arial" w:cs="Arial"/>
          <w:kern w:val="2"/>
          <w:sz w:val="21"/>
          <w:szCs w:val="21"/>
        </w:rPr>
        <w:t>“Refuerzo de mecanismos para la prevención, detección y corrección del fraude, la corrupción y los conflictos de interés”</w:t>
      </w:r>
      <w:r>
        <w:rPr>
          <w:rFonts w:ascii="Arial" w:eastAsia="Open Sans" w:hAnsi="Arial" w:cs="Arial"/>
          <w:i/>
          <w:iCs/>
          <w:kern w:val="2"/>
          <w:sz w:val="21"/>
          <w:szCs w:val="21"/>
        </w:rPr>
        <w:t xml:space="preserve">,  </w:t>
      </w:r>
      <w:r>
        <w:rPr>
          <w:rFonts w:ascii="Arial" w:eastAsia="Open Sans" w:hAnsi="Arial" w:cs="Arial"/>
          <w:kern w:val="2"/>
          <w:sz w:val="21"/>
          <w:szCs w:val="21"/>
        </w:rPr>
        <w:t xml:space="preserve">disponiendo de </w:t>
      </w:r>
      <w:r w:rsidRPr="00607DAD">
        <w:rPr>
          <w:rFonts w:ascii="Arial" w:eastAsia="Open Sans" w:hAnsi="Arial" w:cs="Arial"/>
          <w:kern w:val="2"/>
          <w:sz w:val="21"/>
          <w:szCs w:val="21"/>
        </w:rPr>
        <w:t>un “Plan de medidas antifraude</w:t>
      </w:r>
      <w:r w:rsidRPr="00607DAD">
        <w:rPr>
          <w:rFonts w:ascii="Arial" w:eastAsia="Open Sans" w:hAnsi="Arial" w:cs="Arial"/>
          <w:b/>
          <w:bCs/>
          <w:kern w:val="2"/>
          <w:sz w:val="21"/>
          <w:szCs w:val="21"/>
        </w:rPr>
        <w:t>”</w:t>
      </w:r>
      <w:r>
        <w:rPr>
          <w:rFonts w:ascii="Arial" w:eastAsia="Open Sans" w:hAnsi="Arial" w:cs="Arial"/>
          <w:kern w:val="2"/>
          <w:sz w:val="21"/>
          <w:szCs w:val="21"/>
        </w:rPr>
        <w:t xml:space="preserve"> que les permita garantizar y declarar que, en su respectivo ámbito de actuación, los fondos correspondientes se han utilizado de conformidad con las normas aplicables, en particular, en lo que se refiere a la </w:t>
      </w:r>
      <w:r>
        <w:rPr>
          <w:rFonts w:ascii="Arial" w:eastAsia="Open Sans" w:hAnsi="Arial" w:cs="Arial"/>
          <w:i/>
          <w:iCs/>
          <w:kern w:val="2"/>
          <w:sz w:val="21"/>
          <w:szCs w:val="21"/>
        </w:rPr>
        <w:t>prevención, detección y corrección del fraude, la corrupción y los conflictos de intereses</w:t>
      </w:r>
      <w:r>
        <w:rPr>
          <w:rFonts w:ascii="Arial" w:eastAsia="Open Sans" w:hAnsi="Arial" w:cs="Arial"/>
          <w:kern w:val="2"/>
          <w:sz w:val="21"/>
          <w:szCs w:val="21"/>
        </w:rPr>
        <w:t>.</w:t>
      </w:r>
    </w:p>
    <w:p w14:paraId="18DF259D" w14:textId="77777777" w:rsidR="00CC099B" w:rsidRPr="006F5168" w:rsidRDefault="00CC099B" w:rsidP="00CC099B">
      <w:pPr>
        <w:pStyle w:val="LO-Normal"/>
        <w:widowControl/>
        <w:numPr>
          <w:ilvl w:val="0"/>
          <w:numId w:val="159"/>
        </w:numPr>
        <w:autoSpaceDN/>
        <w:spacing w:after="240" w:line="276" w:lineRule="auto"/>
        <w:ind w:left="425" w:hanging="357"/>
        <w:jc w:val="both"/>
        <w:textAlignment w:val="auto"/>
      </w:pPr>
      <w:r>
        <w:rPr>
          <w:rFonts w:ascii="Arial" w:eastAsia="Open Sans" w:hAnsi="Arial" w:cs="Arial"/>
          <w:kern w:val="2"/>
          <w:sz w:val="21"/>
          <w:szCs w:val="21"/>
        </w:rPr>
        <w:t xml:space="preserve">Por su parte, la Directiva (UE) 2019/1937 relativa a la protección de las personas que informen sobre infracciones del Derecho de la Unión, cuyo plazo de transposición finalizó el pasado 17 de diciembre, entrando en juego su efecto directo vertical, establece la obligación de que las entidades jurídicas de los sectores privado y público establezcan canales y procedimientos de denuncia interna y de seguimiento de las mismas. </w:t>
      </w:r>
    </w:p>
    <w:p w14:paraId="43B2B088" w14:textId="77777777" w:rsidR="00CC099B" w:rsidRPr="00EB6031" w:rsidRDefault="00CC099B" w:rsidP="00BE3E56">
      <w:pPr>
        <w:pStyle w:val="Prrafodelista"/>
        <w:spacing w:after="240" w:line="276" w:lineRule="auto"/>
        <w:ind w:left="0"/>
        <w:contextualSpacing w:val="0"/>
        <w:jc w:val="both"/>
        <w:rPr>
          <w:rFonts w:ascii="Arial" w:eastAsia="Open Sans" w:hAnsi="Arial" w:cs="Arial"/>
          <w:b/>
          <w:bCs/>
          <w:i/>
          <w:iCs/>
          <w:color w:val="9D2235" w:themeColor="accent1"/>
          <w:kern w:val="2"/>
          <w:sz w:val="21"/>
          <w:szCs w:val="21"/>
          <w:lang w:eastAsia="zh-CN" w:bidi="hi-IN"/>
        </w:rPr>
      </w:pPr>
      <w:r w:rsidRPr="00EB6031">
        <w:rPr>
          <w:rFonts w:ascii="Arial" w:eastAsia="Open Sans" w:hAnsi="Arial" w:cs="Arial"/>
          <w:b/>
          <w:bCs/>
          <w:i/>
          <w:iCs/>
          <w:color w:val="9D2235" w:themeColor="accent1"/>
          <w:kern w:val="2"/>
          <w:sz w:val="21"/>
          <w:szCs w:val="21"/>
          <w:lang w:eastAsia="zh-CN" w:bidi="hi-IN"/>
        </w:rPr>
        <w:t>España y nuestra Comunitat Valenciana avanzan legislando en esa dirección.</w:t>
      </w:r>
    </w:p>
    <w:p w14:paraId="392B2999" w14:textId="77777777" w:rsidR="00CC099B" w:rsidRDefault="00CC099B" w:rsidP="00BE3E56">
      <w:pPr>
        <w:pStyle w:val="LO-Normal"/>
        <w:widowControl/>
        <w:numPr>
          <w:ilvl w:val="0"/>
          <w:numId w:val="159"/>
        </w:numPr>
        <w:suppressAutoHyphens w:val="0"/>
        <w:autoSpaceDN/>
        <w:spacing w:after="120" w:line="276" w:lineRule="auto"/>
        <w:ind w:left="425" w:hanging="357"/>
        <w:jc w:val="both"/>
        <w:textAlignment w:val="auto"/>
        <w:rPr>
          <w:rFonts w:ascii="Arial" w:hAnsi="Arial" w:cs="Arial"/>
          <w:sz w:val="21"/>
          <w:szCs w:val="21"/>
        </w:rPr>
      </w:pPr>
      <w:r>
        <w:rPr>
          <w:rFonts w:ascii="Arial" w:hAnsi="Arial" w:cs="Arial"/>
          <w:sz w:val="21"/>
          <w:szCs w:val="21"/>
        </w:rPr>
        <w:t xml:space="preserve">La legislación estatal está orientada hacia la integridad pública, desarrollando en </w:t>
      </w:r>
      <w:r w:rsidRPr="00CC099B">
        <w:rPr>
          <w:rFonts w:ascii="Arial" w:hAnsi="Arial" w:cs="Arial"/>
          <w:sz w:val="21"/>
          <w:szCs w:val="21"/>
        </w:rPr>
        <w:t>diferentes normas los principios constitucionales de buena administración. Algunos ejemplos de ello son: la ampliación de dichos principios en la Ley 40/2015, de 1 de octubre,</w:t>
      </w:r>
      <w:r>
        <w:rPr>
          <w:rFonts w:ascii="Arial" w:hAnsi="Arial" w:cs="Arial"/>
          <w:sz w:val="21"/>
          <w:szCs w:val="21"/>
        </w:rPr>
        <w:t xml:space="preserve"> de Régimen Jurídico del Sector Público; la regulación  de los deberes de las personas empleadas públicas del texto refundido Estatuto Básico del Empleado Público aprobado por Real Decreto Legislativo 5/2015, de 30 de octubre (a desarrollar en códigos éticos); la normativa de transparencia y buen gobierno; la de incompatibilidades; </w:t>
      </w:r>
      <w:r w:rsidRPr="00CC099B">
        <w:rPr>
          <w:rFonts w:ascii="Arial" w:hAnsi="Arial" w:cs="Arial"/>
          <w:sz w:val="21"/>
          <w:szCs w:val="21"/>
        </w:rPr>
        <w:t>las obligaciones que la vigente Ley de Contratos del Sector Público impone a los órganos de contratación</w:t>
      </w:r>
      <w:r>
        <w:rPr>
          <w:rFonts w:ascii="Arial" w:hAnsi="Arial" w:cs="Arial"/>
          <w:sz w:val="21"/>
          <w:szCs w:val="21"/>
        </w:rPr>
        <w:t xml:space="preserve"> en materia de conflictos de interés; las nuevas obligaciones en materia de planificación y dirección por objetivos; la normativa de control y auditoría, etc.</w:t>
      </w:r>
    </w:p>
    <w:p w14:paraId="47E7A467" w14:textId="77777777" w:rsidR="00CC099B" w:rsidRPr="006F5168" w:rsidRDefault="00CC099B" w:rsidP="00BE3E56">
      <w:pPr>
        <w:pStyle w:val="LO-Normal"/>
        <w:widowControl/>
        <w:numPr>
          <w:ilvl w:val="0"/>
          <w:numId w:val="159"/>
        </w:numPr>
        <w:suppressAutoHyphens w:val="0"/>
        <w:autoSpaceDN/>
        <w:spacing w:after="120" w:line="276" w:lineRule="auto"/>
        <w:ind w:left="425" w:hanging="357"/>
        <w:jc w:val="both"/>
        <w:textAlignment w:val="auto"/>
      </w:pPr>
      <w:r>
        <w:rPr>
          <w:rFonts w:ascii="Arial" w:hAnsi="Arial" w:cs="Arial"/>
          <w:sz w:val="21"/>
          <w:szCs w:val="21"/>
        </w:rPr>
        <w:t xml:space="preserve">De igual modo, el IV Plan de Gobierno Abierto (2020-2024) del Ministerio de Política Territorial y Función Pública está orientado a la construcción de un </w:t>
      </w:r>
      <w:r>
        <w:rPr>
          <w:rFonts w:ascii="Arial" w:hAnsi="Arial" w:cs="Arial"/>
          <w:i/>
          <w:iCs/>
          <w:sz w:val="21"/>
          <w:szCs w:val="21"/>
        </w:rPr>
        <w:t>sistema de Integridad pública</w:t>
      </w:r>
      <w:r>
        <w:rPr>
          <w:rFonts w:ascii="Arial" w:hAnsi="Arial" w:cs="Arial"/>
          <w:sz w:val="21"/>
          <w:szCs w:val="21"/>
        </w:rPr>
        <w:t>, fortaleciendo valores éticos y mecanismos para afianzar la integridad de las instituciones públicas y reforzar la confianza de la ciudadanía. Entre las iniciativas de la Comunitat Valenciana, se incluye la elaboración de una estrategia de integridad pública, siendo la AVAF considerada como actor público involucrado en el proceso.</w:t>
      </w:r>
    </w:p>
    <w:p w14:paraId="1C9AEABF" w14:textId="77777777" w:rsidR="00CC099B" w:rsidRDefault="00CC099B" w:rsidP="00CC099B">
      <w:pPr>
        <w:pStyle w:val="LO-Normal"/>
        <w:widowControl/>
        <w:numPr>
          <w:ilvl w:val="0"/>
          <w:numId w:val="159"/>
        </w:numPr>
        <w:suppressAutoHyphens w:val="0"/>
        <w:autoSpaceDN/>
        <w:spacing w:after="240" w:line="276" w:lineRule="auto"/>
        <w:ind w:left="425" w:hanging="357"/>
        <w:jc w:val="both"/>
        <w:textAlignment w:val="auto"/>
        <w:rPr>
          <w:rFonts w:ascii="Arial" w:hAnsi="Arial" w:cs="Arial"/>
          <w:sz w:val="21"/>
          <w:szCs w:val="21"/>
        </w:rPr>
      </w:pPr>
      <w:r>
        <w:rPr>
          <w:rFonts w:ascii="Arial" w:hAnsi="Arial" w:cs="Arial"/>
          <w:sz w:val="21"/>
          <w:szCs w:val="21"/>
        </w:rPr>
        <w:t>Existe una sólida arquitectura legal en nuestra Comunitat orientada a la integridad institucional sobre diversas materias (lobbies, conflictos de interés, transparencia, buen gobierno, etc.), que sigue avanzando en esa senda. La Proposición de Ley de Transparencia y Buen Gobierno en tramitación contempla expresamente la obligatoriedad de contar con una estrategia de integridad pública, planes de gobierno e integridad y códigos éticos en el sector público valenciano.</w:t>
      </w:r>
    </w:p>
    <w:p w14:paraId="7E2C675E" w14:textId="77777777" w:rsidR="00CC099B" w:rsidRPr="00EB6031" w:rsidRDefault="00CC099B" w:rsidP="00BE3E56">
      <w:pPr>
        <w:pStyle w:val="Prrafodelista"/>
        <w:spacing w:after="240" w:line="276" w:lineRule="auto"/>
        <w:ind w:left="0"/>
        <w:contextualSpacing w:val="0"/>
        <w:jc w:val="both"/>
        <w:rPr>
          <w:rFonts w:ascii="Arial" w:hAnsi="Arial" w:cs="Arial"/>
          <w:b/>
          <w:bCs/>
          <w:i/>
          <w:iCs/>
          <w:color w:val="9D2235" w:themeColor="accent1"/>
          <w:sz w:val="21"/>
          <w:szCs w:val="21"/>
        </w:rPr>
      </w:pPr>
      <w:r w:rsidRPr="00EB6031">
        <w:rPr>
          <w:rFonts w:ascii="Arial" w:hAnsi="Arial" w:cs="Arial"/>
          <w:b/>
          <w:bCs/>
          <w:i/>
          <w:iCs/>
          <w:color w:val="9D2235" w:themeColor="accent1"/>
          <w:sz w:val="21"/>
          <w:szCs w:val="21"/>
        </w:rPr>
        <w:t>Porque los marcos de integridad pública son verdaderos mecanismos de prevención del fraude y la corrupción, y buenos aliados del control de las políticas públicas y su gestión.</w:t>
      </w:r>
    </w:p>
    <w:p w14:paraId="08867404" w14:textId="77777777" w:rsidR="00CC099B" w:rsidRDefault="00CC099B" w:rsidP="00CC099B">
      <w:pPr>
        <w:pStyle w:val="LO-Normal"/>
        <w:widowControl/>
        <w:numPr>
          <w:ilvl w:val="0"/>
          <w:numId w:val="159"/>
        </w:numPr>
        <w:autoSpaceDN/>
        <w:spacing w:after="240" w:line="276" w:lineRule="auto"/>
        <w:ind w:left="425" w:hanging="357"/>
        <w:jc w:val="both"/>
        <w:textAlignment w:val="auto"/>
      </w:pPr>
      <w:r>
        <w:rPr>
          <w:rFonts w:ascii="Arial" w:eastAsia="Open Sans" w:hAnsi="Arial" w:cs="Arial"/>
          <w:kern w:val="2"/>
          <w:sz w:val="21"/>
          <w:szCs w:val="21"/>
        </w:rPr>
        <w:t>Contar con una política de integridad</w:t>
      </w:r>
      <w:r>
        <w:rPr>
          <w:rFonts w:ascii="Arial" w:eastAsia="Open Sans" w:hAnsi="Arial" w:cs="Arial"/>
          <w:b/>
          <w:bCs/>
          <w:kern w:val="2"/>
          <w:sz w:val="21"/>
          <w:szCs w:val="21"/>
        </w:rPr>
        <w:t xml:space="preserve"> </w:t>
      </w:r>
      <w:r>
        <w:rPr>
          <w:rFonts w:ascii="Arial" w:eastAsia="Open Sans" w:hAnsi="Arial" w:cs="Arial"/>
          <w:kern w:val="2"/>
          <w:sz w:val="21"/>
          <w:szCs w:val="21"/>
        </w:rPr>
        <w:t>aprobada por el conjunto de los órganos de gobierno y dotarla de los recursos suficientes, estableciéndose al efecto los roles y responsabilidades de los actores implicados permite desterrar una de las principales vulnerabilidades de cualquier sistema de control interno, al posibilitar una separación clara entre las funciones de gestión, control y pago. Proponemos que el servicio o personas que se encarguen del seguimiento del plan sea, preferentemente, interno y, en todo caso, en materia de actuaciones que impliquen ejercicio de autoridad, sin perjuicio de justificadas asistencias puntuales externas en servicios de asesoramiento vinculados a la gestión.</w:t>
      </w:r>
    </w:p>
    <w:p w14:paraId="291D8277" w14:textId="77777777" w:rsidR="00CC099B" w:rsidRDefault="00CC099B" w:rsidP="00CC099B">
      <w:pPr>
        <w:pStyle w:val="LO-Normal"/>
        <w:widowControl/>
        <w:spacing w:after="240" w:line="276" w:lineRule="auto"/>
        <w:jc w:val="both"/>
        <w:rPr>
          <w:rFonts w:ascii="Arial" w:eastAsia="Open Sans" w:hAnsi="Arial" w:cs="Arial"/>
          <w:kern w:val="2"/>
          <w:sz w:val="21"/>
          <w:szCs w:val="21"/>
        </w:rPr>
      </w:pPr>
      <w:r>
        <w:rPr>
          <w:rFonts w:ascii="Arial" w:eastAsia="Open Sans" w:hAnsi="Arial" w:cs="Arial"/>
          <w:kern w:val="2"/>
          <w:sz w:val="21"/>
          <w:szCs w:val="21"/>
        </w:rPr>
        <w:t>Desde la AVAF esperamos estar en contacto permanente con las personas responsables del seguimiento de planes de integridad. Por ejemplo, en el caso del sector público instrumental, y en línea con los modelos canadiense o estadounidense, abogamos por que dicho rol lo asuma el auditor interno de cada entidad.</w:t>
      </w:r>
    </w:p>
    <w:p w14:paraId="6C22CDDE" w14:textId="77777777" w:rsidR="00CC099B" w:rsidRDefault="00CC099B" w:rsidP="00CC099B">
      <w:pPr>
        <w:pStyle w:val="LO-Normal"/>
        <w:widowControl/>
        <w:spacing w:after="240" w:line="276" w:lineRule="auto"/>
        <w:jc w:val="both"/>
        <w:rPr>
          <w:rFonts w:ascii="Arial" w:eastAsia="Open Sans" w:hAnsi="Arial" w:cs="Arial"/>
          <w:kern w:val="2"/>
          <w:sz w:val="21"/>
          <w:szCs w:val="21"/>
        </w:rPr>
      </w:pPr>
      <w:r>
        <w:rPr>
          <w:rFonts w:ascii="Arial" w:eastAsia="Open Sans" w:hAnsi="Arial" w:cs="Arial"/>
          <w:kern w:val="2"/>
          <w:sz w:val="21"/>
          <w:szCs w:val="21"/>
        </w:rPr>
        <w:t>Una de las herramientas preventivas por excelencia es la necesaria información, concienciación y formación a todos los niveles organizativos (incluidos los órganos decisorios), haciendo hincapié en los sectores especiales de riesgo detectados en cada institución. Del mismo modo, que cada persona empleada pública identifique las red flags (banderas rojas) detectadas en su área de práctica, o cómo actuar frente a un potencial conflicto de interés, sin duda, minimizará incumplimientos y redundará en una mejora del control.</w:t>
      </w:r>
    </w:p>
    <w:p w14:paraId="352EE6AB" w14:textId="580EADE2" w:rsidR="00CC099B" w:rsidRDefault="00CC099B" w:rsidP="00CC099B">
      <w:pPr>
        <w:jc w:val="both"/>
        <w:rPr>
          <w:rFonts w:ascii="Arial" w:eastAsia="Open Sans" w:hAnsi="Arial" w:cs="Arial"/>
          <w:kern w:val="2"/>
          <w:sz w:val="21"/>
          <w:szCs w:val="21"/>
          <w:lang w:eastAsia="zh-CN" w:bidi="hi-IN"/>
        </w:rPr>
      </w:pPr>
      <w:r>
        <w:rPr>
          <w:rFonts w:ascii="Arial" w:eastAsia="Open Sans" w:hAnsi="Arial" w:cs="Arial"/>
          <w:kern w:val="2"/>
          <w:sz w:val="21"/>
          <w:szCs w:val="21"/>
          <w:lang w:eastAsia="zh-CN" w:bidi="hi-IN"/>
        </w:rPr>
        <w:t>Otra de las herramientas preventivas y de mejora del control por excelencia es contar con una evaluación de riesgos que permita, previo autodiagnóstico de riesgos en las principales áreas de práctica de la organización, determinar el grado de vulnerabilidad, reducir la probabilidad de que los riesgos se materialicen y minimizar su impacto cuando ello suceda. Asimismo, resulta conveniente la definición de un protocolo de actuación contingente de los riesgos que se materialicen. Todo ello, con conocimiento de los órganos de control, por resultar de especial utilidad a la hora de reforzar, en su caso, el control financiero permanente y de las auditorías operativas y de cumplimiento.</w:t>
      </w:r>
    </w:p>
    <w:p w14:paraId="4631A4CC" w14:textId="77777777" w:rsidR="00977C9D" w:rsidRPr="00CC099B" w:rsidRDefault="00977C9D" w:rsidP="00CC099B">
      <w:pPr>
        <w:jc w:val="both"/>
        <w:rPr>
          <w:rFonts w:ascii="Arial" w:hAnsi="Arial" w:cs="Arial"/>
          <w:sz w:val="21"/>
          <w:szCs w:val="21"/>
        </w:rPr>
      </w:pPr>
    </w:p>
    <w:p w14:paraId="662AD6ED" w14:textId="550854E6" w:rsidR="001E0DFA" w:rsidRPr="006C76CB" w:rsidRDefault="00006459" w:rsidP="006C76CB">
      <w:pPr>
        <w:pStyle w:val="Ttulo2"/>
        <w:numPr>
          <w:ilvl w:val="1"/>
          <w:numId w:val="21"/>
        </w:numPr>
        <w:spacing w:before="0" w:after="240" w:line="276" w:lineRule="auto"/>
        <w:ind w:left="851" w:hanging="851"/>
        <w:jc w:val="both"/>
        <w:rPr>
          <w:rFonts w:ascii="Arial" w:hAnsi="Arial" w:cs="Arial"/>
          <w:b/>
          <w:bCs/>
          <w:color w:val="9D2235" w:themeColor="accent1"/>
        </w:rPr>
      </w:pPr>
      <w:bookmarkStart w:id="584" w:name="_Toc99107136"/>
      <w:bookmarkStart w:id="585" w:name="_Hlk96675393"/>
      <w:r>
        <w:rPr>
          <w:rFonts w:ascii="Arial" w:hAnsi="Arial" w:cs="Arial"/>
          <w:b/>
          <w:bCs/>
          <w:color w:val="9D2235" w:themeColor="accent1"/>
        </w:rPr>
        <w:t xml:space="preserve">Sobre </w:t>
      </w:r>
      <w:r w:rsidR="000C7CAC">
        <w:rPr>
          <w:rFonts w:ascii="Arial" w:hAnsi="Arial" w:cs="Arial"/>
          <w:b/>
          <w:bCs/>
          <w:color w:val="9D2235" w:themeColor="accent1"/>
        </w:rPr>
        <w:t xml:space="preserve">la </w:t>
      </w:r>
      <w:r>
        <w:rPr>
          <w:rFonts w:ascii="Arial" w:hAnsi="Arial" w:cs="Arial"/>
          <w:b/>
          <w:bCs/>
          <w:color w:val="9D2235" w:themeColor="accent1"/>
        </w:rPr>
        <w:t>é</w:t>
      </w:r>
      <w:r w:rsidR="006C76CB" w:rsidRPr="006C76CB">
        <w:rPr>
          <w:rFonts w:ascii="Arial" w:hAnsi="Arial" w:cs="Arial"/>
          <w:b/>
          <w:bCs/>
          <w:color w:val="9D2235" w:themeColor="accent1"/>
        </w:rPr>
        <w:t>tica pública y colaboración institucional</w:t>
      </w:r>
      <w:bookmarkEnd w:id="584"/>
    </w:p>
    <w:p w14:paraId="067A076E" w14:textId="77777777" w:rsidR="00592E9A" w:rsidRPr="00592E9A" w:rsidRDefault="00592E9A" w:rsidP="00592E9A">
      <w:pPr>
        <w:pStyle w:val="LO-Normal"/>
        <w:spacing w:after="240" w:line="276" w:lineRule="auto"/>
        <w:jc w:val="both"/>
        <w:rPr>
          <w:rFonts w:ascii="Arial" w:eastAsia="Open Sans" w:hAnsi="Arial" w:cs="Arial"/>
          <w:kern w:val="2"/>
          <w:sz w:val="21"/>
          <w:szCs w:val="21"/>
        </w:rPr>
      </w:pPr>
      <w:r w:rsidRPr="00592E9A">
        <w:rPr>
          <w:rFonts w:ascii="Arial" w:eastAsia="Open Sans" w:hAnsi="Arial" w:cs="Arial"/>
          <w:kern w:val="2"/>
          <w:sz w:val="21"/>
          <w:szCs w:val="21"/>
        </w:rPr>
        <w:t>Nuestra época está dominada, como afirma Wendy Brown</w:t>
      </w:r>
      <w:r w:rsidRPr="00592E9A">
        <w:rPr>
          <w:rFonts w:ascii="Arial" w:eastAsia="Open Sans" w:hAnsi="Arial" w:cs="Arial"/>
          <w:kern w:val="2"/>
          <w:sz w:val="21"/>
          <w:szCs w:val="21"/>
          <w:vertAlign w:val="superscript"/>
        </w:rPr>
        <w:footnoteReference w:id="9"/>
      </w:r>
      <w:r w:rsidRPr="00592E9A">
        <w:rPr>
          <w:rFonts w:ascii="Arial" w:eastAsia="Open Sans" w:hAnsi="Arial" w:cs="Arial"/>
          <w:kern w:val="2"/>
          <w:sz w:val="21"/>
          <w:szCs w:val="21"/>
        </w:rPr>
        <w:t>, por un individualismo competitivo, que nos disminuye como individuos y que está fragmentado los mecanismos de vertebración colectiva. Sin embargo, contrariamente a esta dinámica de las sociedades autodenominadas más avanzadas, lo que nos caracteriza como especie no es sólo que seamos seres sociales, sino que las personas individualmente consideradas y los grupos humanos somos realidades radicalmente interdependientes. Dicho de otro modo, no se trata tan solo de que a ninguna persona le sea posible llegar a la edad adulta sin los cuidados y las atenciones de otras personas. Se trata, como ha puesto de manifiesto la pandemia, de que también precisamos de los servicios y cuidados de los demás a todo lo largo de nuestra existencia. Se trata de que toda nuestra vida está estructurada en sistemas de relaciones interpersonales, que generan un orden y unos sistemas de lógicas de actuación y jerarquía, que denominamos instituciones, tanto en el sentido social como político de la palabra.</w:t>
      </w:r>
    </w:p>
    <w:p w14:paraId="127BC1B5" w14:textId="77777777" w:rsidR="00592E9A" w:rsidRPr="00592E9A" w:rsidRDefault="00592E9A" w:rsidP="00592E9A">
      <w:pPr>
        <w:pStyle w:val="LO-Normal"/>
        <w:spacing w:after="240" w:line="276" w:lineRule="auto"/>
        <w:jc w:val="both"/>
        <w:rPr>
          <w:rFonts w:ascii="Arial" w:eastAsia="Open Sans" w:hAnsi="Arial" w:cs="Arial"/>
          <w:kern w:val="2"/>
          <w:sz w:val="21"/>
          <w:szCs w:val="21"/>
        </w:rPr>
      </w:pPr>
      <w:r w:rsidRPr="00592E9A">
        <w:rPr>
          <w:rFonts w:ascii="Arial" w:eastAsia="Open Sans" w:hAnsi="Arial" w:cs="Arial"/>
          <w:kern w:val="2"/>
          <w:sz w:val="21"/>
          <w:szCs w:val="21"/>
        </w:rPr>
        <w:t>De hecho, son las características de estas instituciones, las relaciones que se establecen entre ellas y la capacidad que tienen tanto para colaborar como para ser inclusivas (o excluyentes) las que determinan la calidad democrática y el grado de cohesión igualitaria que desarrolla cada comunidad política a través de su sistema institucional.</w:t>
      </w:r>
    </w:p>
    <w:p w14:paraId="30C2FFD1" w14:textId="77777777" w:rsidR="00592E9A" w:rsidRPr="00592E9A" w:rsidRDefault="00592E9A" w:rsidP="00592E9A">
      <w:pPr>
        <w:pStyle w:val="LO-Normal"/>
        <w:spacing w:after="240" w:line="276" w:lineRule="auto"/>
        <w:jc w:val="both"/>
        <w:rPr>
          <w:rFonts w:ascii="Arial" w:eastAsia="Open Sans" w:hAnsi="Arial" w:cs="Arial"/>
          <w:kern w:val="2"/>
          <w:sz w:val="21"/>
          <w:szCs w:val="21"/>
        </w:rPr>
      </w:pPr>
      <w:r w:rsidRPr="00592E9A">
        <w:rPr>
          <w:rFonts w:ascii="Arial" w:eastAsia="Open Sans" w:hAnsi="Arial" w:cs="Arial"/>
          <w:kern w:val="2"/>
          <w:sz w:val="21"/>
          <w:szCs w:val="21"/>
        </w:rPr>
        <w:t>Los años de la burbuja inmobiliaria y los de la Gran Recesión de 2008, con toda la sucesión de casos de corrupción a ellos asociados, fueron un tiempo de degradación de la función pública y de empequeñecimiento y desestructuración de las administraciones e instituciones públicas, especialmente en la Comunidad Valenciana. Unas administraciones públicas más débiles, más fragmentadas, más aisladas, menos colaborativas y más penetradas por intereses personales y exclusivamente privados, son siempre unas administraciones con menos legitimidad entre la ciudadanía y con menos capacidad de prevención, control y persecución de las malas prácticas en la gestión, del fraude y de la corrupción.</w:t>
      </w:r>
    </w:p>
    <w:p w14:paraId="43DCBE35" w14:textId="77777777" w:rsidR="00592E9A" w:rsidRPr="00592E9A" w:rsidRDefault="00592E9A" w:rsidP="00592E9A">
      <w:pPr>
        <w:pStyle w:val="LO-Normal"/>
        <w:spacing w:after="240" w:line="276" w:lineRule="auto"/>
        <w:jc w:val="both"/>
        <w:rPr>
          <w:rFonts w:ascii="Arial" w:eastAsia="Open Sans" w:hAnsi="Arial" w:cs="Arial"/>
          <w:kern w:val="2"/>
          <w:sz w:val="21"/>
          <w:szCs w:val="21"/>
        </w:rPr>
      </w:pPr>
      <w:r w:rsidRPr="00592E9A">
        <w:rPr>
          <w:rFonts w:ascii="Arial" w:eastAsia="Open Sans" w:hAnsi="Arial" w:cs="Arial"/>
          <w:kern w:val="2"/>
          <w:sz w:val="21"/>
          <w:szCs w:val="21"/>
        </w:rPr>
        <w:t>Como Alcalá y Jiménez</w:t>
      </w:r>
      <w:r w:rsidRPr="00592E9A">
        <w:rPr>
          <w:rFonts w:ascii="Arial" w:eastAsia="Open Sans" w:hAnsi="Arial" w:cs="Arial"/>
          <w:kern w:val="2"/>
          <w:sz w:val="21"/>
          <w:szCs w:val="21"/>
          <w:vertAlign w:val="superscript"/>
        </w:rPr>
        <w:footnoteReference w:id="10"/>
      </w:r>
      <w:r w:rsidRPr="00592E9A">
        <w:rPr>
          <w:rFonts w:ascii="Arial" w:eastAsia="Open Sans" w:hAnsi="Arial" w:cs="Arial"/>
          <w:kern w:val="2"/>
          <w:sz w:val="21"/>
          <w:szCs w:val="21"/>
        </w:rPr>
        <w:t xml:space="preserve"> demuestran, entre el nivel de desarrollo económico español y nuestros niveles de calidad democrática, sistemas de bienestar y de penetración de la corrupción hay un desfase significativo de tipo negativo. La calidad institucional española es deficiente y eso, estructuralmente, permite espacios para el desarrollo de prácticas corruptas y fraudulentas. Y, además, la escasa calidad institucional explica que la respuesta punitiva de corte autoritario y no la prevención y la ética pública cívica y democrática sea, a menudo, vista como la solución a estos problemas. </w:t>
      </w:r>
    </w:p>
    <w:p w14:paraId="0679C376" w14:textId="77777777" w:rsidR="00592E9A" w:rsidRPr="00592E9A" w:rsidRDefault="00592E9A" w:rsidP="00592E9A">
      <w:pPr>
        <w:pStyle w:val="LO-Normal"/>
        <w:spacing w:after="240" w:line="276" w:lineRule="auto"/>
        <w:jc w:val="both"/>
        <w:rPr>
          <w:rFonts w:ascii="Arial" w:eastAsia="Open Sans" w:hAnsi="Arial" w:cs="Arial"/>
          <w:kern w:val="2"/>
          <w:sz w:val="21"/>
          <w:szCs w:val="21"/>
        </w:rPr>
      </w:pPr>
      <w:r w:rsidRPr="00592E9A">
        <w:rPr>
          <w:rFonts w:ascii="Arial" w:eastAsia="Open Sans" w:hAnsi="Arial" w:cs="Arial"/>
          <w:kern w:val="2"/>
          <w:sz w:val="21"/>
          <w:szCs w:val="21"/>
        </w:rPr>
        <w:t>Necesitaríamos, por lo tanto, instituciones públicas pluralistas fuertes, respetadas, eficaces y eficientes que persigan un interés realmente común, determinado por un debate público democrático y que sea mayoritariamente compartido. Únicamente de este modo es posible ir cerrando la brecha entre nivel económico y grado de corrupción, y acercar nuestros estándares de integridad pública, calidad democrática y bienestar social y medioambiental al de los países más avanzados o, cuanto menos, adecuarlos a los niveles que nos corresponderían de acuerdo con nuestra riqueza económica.</w:t>
      </w:r>
    </w:p>
    <w:p w14:paraId="084C2EEE" w14:textId="5CF0C42D" w:rsidR="00592E9A" w:rsidRPr="00592E9A" w:rsidRDefault="00592E9A" w:rsidP="00592E9A">
      <w:pPr>
        <w:pStyle w:val="LO-Normal"/>
        <w:spacing w:after="240" w:line="276" w:lineRule="auto"/>
        <w:jc w:val="both"/>
        <w:rPr>
          <w:rFonts w:ascii="Arial" w:eastAsia="Open Sans" w:hAnsi="Arial" w:cs="Arial"/>
          <w:kern w:val="2"/>
          <w:sz w:val="21"/>
          <w:szCs w:val="21"/>
        </w:rPr>
      </w:pPr>
      <w:r w:rsidRPr="00592E9A">
        <w:rPr>
          <w:rFonts w:ascii="Arial" w:eastAsia="Open Sans" w:hAnsi="Arial" w:cs="Arial"/>
          <w:kern w:val="2"/>
          <w:sz w:val="21"/>
          <w:szCs w:val="21"/>
        </w:rPr>
        <w:t>Prevenir una enfermedad es mejor que tener</w:t>
      </w:r>
      <w:r w:rsidR="00911886">
        <w:rPr>
          <w:rFonts w:ascii="Arial" w:eastAsia="Open Sans" w:hAnsi="Arial" w:cs="Arial"/>
          <w:kern w:val="2"/>
          <w:sz w:val="21"/>
          <w:szCs w:val="21"/>
        </w:rPr>
        <w:t xml:space="preserve"> que</w:t>
      </w:r>
      <w:r w:rsidRPr="00592E9A">
        <w:rPr>
          <w:rFonts w:ascii="Arial" w:eastAsia="Open Sans" w:hAnsi="Arial" w:cs="Arial"/>
          <w:kern w:val="2"/>
          <w:sz w:val="21"/>
          <w:szCs w:val="21"/>
        </w:rPr>
        <w:t xml:space="preserve"> curarla, los costes emocionales y económicos son menores y se salvaguardan más vidas. Los países con menores niveles de corrupción del mundo y mejor calidad de vida no ocupan esa posición porque el ADN de sus habitantes sea especial, sino porque poseen unas instituciones con una calidad democrática elevada y un nivel sólido de integridad pública. Como en medicina, la persecución de los casos de corrupción sigue siendo importante, pero lo decisivo es la prevención y la existencia de una ética cívica y una valoración fuerte de los bienes comunes. </w:t>
      </w:r>
    </w:p>
    <w:p w14:paraId="6DB1289D" w14:textId="77777777" w:rsidR="00592E9A" w:rsidRPr="00592E9A" w:rsidRDefault="00592E9A" w:rsidP="00592E9A">
      <w:pPr>
        <w:pStyle w:val="LO-Normal"/>
        <w:spacing w:after="240" w:line="276" w:lineRule="auto"/>
        <w:jc w:val="both"/>
        <w:rPr>
          <w:rFonts w:ascii="Arial" w:eastAsia="Open Sans" w:hAnsi="Arial" w:cs="Arial"/>
          <w:kern w:val="2"/>
          <w:sz w:val="21"/>
          <w:szCs w:val="21"/>
        </w:rPr>
      </w:pPr>
      <w:r w:rsidRPr="00592E9A">
        <w:rPr>
          <w:rFonts w:ascii="Arial" w:eastAsia="Open Sans" w:hAnsi="Arial" w:cs="Arial"/>
          <w:kern w:val="2"/>
          <w:sz w:val="21"/>
          <w:szCs w:val="21"/>
        </w:rPr>
        <w:t xml:space="preserve">Es esa calidad institucional, la prevención y la formación colectiva en ética cívica la que, en buena medida, explica el buen nivel de vida de estos países. No se ponen en duda los derechos y las libertades individuales, la capacidad de iniciativa para que cada persona pueda realizar un proyecto de vida diferente, y a la vez se preservan los intereses comunes y colectivos a través de un sistema institucional fuerte, exigente y en el que el poder de decisión está, esencialmente, en manos de las personas elegidas por sistemas de participación política igual y democrática. </w:t>
      </w:r>
    </w:p>
    <w:p w14:paraId="40700C2A" w14:textId="77777777" w:rsidR="00592E9A" w:rsidRPr="00592E9A" w:rsidRDefault="00592E9A" w:rsidP="00592E9A">
      <w:pPr>
        <w:pStyle w:val="LO-Normal"/>
        <w:spacing w:after="240" w:line="276" w:lineRule="auto"/>
        <w:jc w:val="both"/>
        <w:rPr>
          <w:rFonts w:ascii="Arial" w:eastAsia="Open Sans" w:hAnsi="Arial" w:cs="Arial"/>
          <w:kern w:val="2"/>
          <w:sz w:val="21"/>
          <w:szCs w:val="21"/>
        </w:rPr>
      </w:pPr>
      <w:r w:rsidRPr="00592E9A">
        <w:rPr>
          <w:rFonts w:ascii="Arial" w:eastAsia="Open Sans" w:hAnsi="Arial" w:cs="Arial"/>
          <w:kern w:val="2"/>
          <w:sz w:val="21"/>
          <w:szCs w:val="21"/>
        </w:rPr>
        <w:t>En la Comunidad Valenciana, necesitamos unas instituciones y administraciones públicas fuertes y legitimadas democráticamente. Necesitamos más colaboración institucional. La lucha contra la corrupción debe ser esencialmente preventiva y de formación de una ética cívica generalizada. Es importante contar con planes antifraude y con buzones de denuncia en todas las administraciones públicas. Lo es, aún más, desarrollar planes de integridad exigentes. Pero todos estos avances quedarían en nada si no somos capaces de generalizar un grado de ética cívica democrática en el conjunto de la sociedad y en sus instituciones.</w:t>
      </w:r>
    </w:p>
    <w:p w14:paraId="258F8E49" w14:textId="77777777" w:rsidR="00592E9A" w:rsidRPr="00592E9A" w:rsidRDefault="00592E9A" w:rsidP="00592E9A">
      <w:pPr>
        <w:pStyle w:val="LO-Normal"/>
        <w:spacing w:after="240" w:line="276" w:lineRule="auto"/>
        <w:jc w:val="both"/>
        <w:rPr>
          <w:rFonts w:ascii="Arial" w:eastAsia="Open Sans" w:hAnsi="Arial" w:cs="Arial"/>
          <w:kern w:val="2"/>
          <w:sz w:val="21"/>
          <w:szCs w:val="21"/>
        </w:rPr>
      </w:pPr>
      <w:r w:rsidRPr="00592E9A">
        <w:rPr>
          <w:rFonts w:ascii="Arial" w:eastAsia="Open Sans" w:hAnsi="Arial" w:cs="Arial"/>
          <w:kern w:val="2"/>
          <w:sz w:val="21"/>
          <w:szCs w:val="21"/>
        </w:rPr>
        <w:t xml:space="preserve">Somos seres interdependientes y, del mismo modo, las instituciones públicas son igualmente interdependientes. La colaboración institucional, de manera informal o mediante acuerdos públicos, es decisiva si queremos unas administraciones públicas más resistentes a la corrupción y con más prestigio social y democrático. </w:t>
      </w:r>
    </w:p>
    <w:p w14:paraId="0F5256FF" w14:textId="77777777" w:rsidR="00592E9A" w:rsidRPr="00592E9A" w:rsidRDefault="00592E9A" w:rsidP="00592E9A">
      <w:pPr>
        <w:pStyle w:val="LO-Normal"/>
        <w:spacing w:after="240" w:line="276" w:lineRule="auto"/>
        <w:jc w:val="both"/>
        <w:rPr>
          <w:rFonts w:ascii="Arial" w:eastAsia="Open Sans" w:hAnsi="Arial" w:cs="Arial"/>
          <w:kern w:val="2"/>
          <w:sz w:val="21"/>
          <w:szCs w:val="21"/>
        </w:rPr>
      </w:pPr>
      <w:r w:rsidRPr="00592E9A">
        <w:rPr>
          <w:rFonts w:ascii="Arial" w:eastAsia="Open Sans" w:hAnsi="Arial" w:cs="Arial"/>
          <w:kern w:val="2"/>
          <w:sz w:val="21"/>
          <w:szCs w:val="21"/>
        </w:rPr>
        <w:t>Por este motivo, la Agencia Valenciana Antifraude, desde el momento de su creación y en la medida de sus posibilidades y funciones, ha impulsado convenios y protocolos de colaboración con el resto de las agencias antifraude españolas y europeas, y, singularmente, con las universidades y administraciones públicas valencianas. Queda mucho por hacer, pero el futuro pasa por aumentar los niveles de colaboración institucional con todas las administraciones públicas valencianas y, de manera singular, con la Generalitat si deseamos ser una sociedad con mayores niveles de ética cívica, más calidad institucional, más igualdad y niveles de bienestar social y medioambiental realmente avanzados.</w:t>
      </w:r>
    </w:p>
    <w:p w14:paraId="4FE65219" w14:textId="77777777" w:rsidR="00FB47F7" w:rsidRDefault="00FB47F7" w:rsidP="00FB47F7">
      <w:pPr>
        <w:pStyle w:val="Ttulo2"/>
        <w:numPr>
          <w:ilvl w:val="1"/>
          <w:numId w:val="21"/>
        </w:numPr>
        <w:spacing w:before="360" w:after="240" w:line="276" w:lineRule="auto"/>
        <w:ind w:left="851" w:hanging="851"/>
        <w:jc w:val="both"/>
        <w:rPr>
          <w:rFonts w:ascii="Arial" w:hAnsi="Arial" w:cs="Arial"/>
          <w:b/>
          <w:bCs/>
          <w:color w:val="9D2235" w:themeColor="accent1"/>
        </w:rPr>
      </w:pPr>
      <w:bookmarkStart w:id="586" w:name="_Toc99107137"/>
      <w:bookmarkEnd w:id="585"/>
      <w:r>
        <w:rPr>
          <w:rFonts w:ascii="Arial" w:hAnsi="Arial" w:cs="Arial"/>
          <w:b/>
          <w:bCs/>
          <w:color w:val="9D2235" w:themeColor="accent1"/>
        </w:rPr>
        <w:t>Sobre el</w:t>
      </w:r>
      <w:r w:rsidRPr="00172D07">
        <w:rPr>
          <w:rFonts w:ascii="Arial" w:hAnsi="Arial" w:cs="Arial"/>
          <w:b/>
          <w:bCs/>
          <w:color w:val="9D2235" w:themeColor="accent1"/>
        </w:rPr>
        <w:t xml:space="preserve"> efecto directo</w:t>
      </w:r>
      <w:r w:rsidRPr="00AE5A0E">
        <w:rPr>
          <w:rFonts w:ascii="Arial" w:hAnsi="Arial" w:cs="Arial"/>
          <w:b/>
          <w:bCs/>
          <w:color w:val="9D2235" w:themeColor="accent1"/>
        </w:rPr>
        <w:t xml:space="preserve"> de la Directiva (UE) 2019/1937 del Parlamento Europeo y del Consejo de 23 de octubre de 2019, relativa a la protección de las personas que informan sobre infracciones del Derecho de la Unión</w:t>
      </w:r>
      <w:bookmarkEnd w:id="586"/>
    </w:p>
    <w:p w14:paraId="51E85728"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La transposición en plazo de las Directivas aprobadas por el Parlamento Europeo y el Consejo de la Unión Europea es considerada en la actualidad uno de los pilares de la construcción del marco jurídico europeo, y ello al ser consciente la Unión Europea de la importancia de que los Estados miembros efectúen la transposición de las Directivas de forma correcta, completa y en el tiempo establecido para ello.</w:t>
      </w:r>
    </w:p>
    <w:p w14:paraId="59647DB6"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La consideración del período de transposición como un elemento determinante de la cohesión europea fue precisamente la circunstancia que provocó la revisión del artículo 260.3 del Tratado de Funcionamiento de la Unión Europea. La trascendental modificación fue operada por el Tratado de Lisboa, que introdujo en el artículo 260.3, como novedad, un sistema de imposición de sanciones económicas de manera acelerada para aquellos supuestos en los que el Tribunal de Justicia de la Unión Europea, a instancia de la Comisión, constate el incumplimiento de dichos plazos de transposición.</w:t>
      </w:r>
    </w:p>
    <w:p w14:paraId="7F378355"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 xml:space="preserve">Durante el período a que se refiere esta Memoria debe señalarse que la falta de diligencia del legislador estatal español, habitual incumplidor a la hora de trasponer las Directivas comunitarias, ha provocado la imposición por primera vez en la historia de la Unión Europea de una sanción doble, con base en el artículo 260 del Tratado de Funcionamiento, consistente en una multa a tanto alzado por un total de 15 millones de euros, a la que se ha adicionado una segunda multa coercitiva de 89.000 euros diarios. La inédita sanción impuesta por el Tribunal de Justicia de la Unión Europea contra el Estado español en la </w:t>
      </w:r>
      <w:hyperlink r:id="rId547" w:history="1">
        <w:r w:rsidRPr="00172D07">
          <w:rPr>
            <w:rStyle w:val="Hipervnculo"/>
            <w:rFonts w:ascii="Arial" w:hAnsi="Arial" w:cs="Arial"/>
            <w:sz w:val="21"/>
            <w:szCs w:val="21"/>
          </w:rPr>
          <w:t>Sentencia de 25 de febrero de 2021</w:t>
        </w:r>
      </w:hyperlink>
      <w:r w:rsidRPr="00172D07">
        <w:rPr>
          <w:rFonts w:ascii="Arial" w:hAnsi="Arial" w:cs="Arial"/>
          <w:sz w:val="21"/>
          <w:szCs w:val="21"/>
        </w:rPr>
        <w:t xml:space="preserve"> (Asunto c-658/19) se fundamenta, en palabras del propio tribunal europeo, en “la prevención efectiva de la repetición futura de infracciones análogas del Derecho de la Unión”.</w:t>
      </w:r>
    </w:p>
    <w:p w14:paraId="0FB65A61"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 xml:space="preserve">No obstante la severidad de la sanción, el Estado español continúa a día de hoy con su inactividad general en la transposición de las Directivas europeas, resultando que a fecha de redacción de esta Memoria no ha sido transpuesta todavía al ordenamiento jurídico español la </w:t>
      </w:r>
      <w:hyperlink r:id="rId548" w:history="1">
        <w:r w:rsidRPr="00172D07">
          <w:rPr>
            <w:rStyle w:val="Hipervnculo"/>
            <w:rFonts w:ascii="Arial" w:hAnsi="Arial" w:cs="Arial"/>
            <w:sz w:val="21"/>
            <w:szCs w:val="21"/>
          </w:rPr>
          <w:t>Directiva (UE) 2019/1937 del Parlamento Europeo y del Consejo, de 23 de octubre de 2019, relativa a la protección de las personas que informan sobre infracciones del Derecho de la Unión</w:t>
        </w:r>
      </w:hyperlink>
      <w:r w:rsidRPr="00172D07">
        <w:rPr>
          <w:rFonts w:ascii="Arial" w:hAnsi="Arial" w:cs="Arial"/>
          <w:sz w:val="21"/>
          <w:szCs w:val="21"/>
        </w:rPr>
        <w:t xml:space="preserve">, cuyo plazo venció transcurridos dos años desde su vigencia, el 17 de diciembre de 2021. </w:t>
      </w:r>
    </w:p>
    <w:p w14:paraId="61B5F083"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Dicho incumplimiento ha dado lugar a que el 27 de enero de 2022 la Comisión Europea haya iniciado contra el Estado español el procedimiento de infracción INFR(2022)0073.</w:t>
      </w:r>
    </w:p>
    <w:p w14:paraId="1BD8B10D"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 xml:space="preserve">Sin perjuicio de las posibles sanciones a que nuevamente se enfrentará el Estado por la falta de esta transposición, pese a que su necesidad ya había sido advertida reiteradamente por la Agencia Valenciana Antifraude, en sus Memorias de </w:t>
      </w:r>
      <w:hyperlink r:id="rId549" w:history="1">
        <w:r w:rsidRPr="00172D07">
          <w:rPr>
            <w:rStyle w:val="Hipervnculo"/>
            <w:rFonts w:ascii="Arial" w:hAnsi="Arial" w:cs="Arial"/>
            <w:sz w:val="21"/>
            <w:szCs w:val="21"/>
          </w:rPr>
          <w:t>2019</w:t>
        </w:r>
      </w:hyperlink>
      <w:r w:rsidRPr="00172D07">
        <w:rPr>
          <w:rFonts w:ascii="Arial" w:hAnsi="Arial" w:cs="Arial"/>
          <w:sz w:val="21"/>
          <w:szCs w:val="21"/>
        </w:rPr>
        <w:t xml:space="preserve"> (página 224 y siguientes) y </w:t>
      </w:r>
      <w:hyperlink r:id="rId550" w:history="1">
        <w:r w:rsidRPr="00172D07">
          <w:rPr>
            <w:rStyle w:val="Hipervnculo"/>
            <w:rFonts w:ascii="Arial" w:hAnsi="Arial" w:cs="Arial"/>
            <w:sz w:val="21"/>
            <w:szCs w:val="21"/>
          </w:rPr>
          <w:t>de 2020</w:t>
        </w:r>
      </w:hyperlink>
      <w:r w:rsidRPr="00172D07">
        <w:rPr>
          <w:rFonts w:ascii="Arial" w:hAnsi="Arial" w:cs="Arial"/>
          <w:sz w:val="21"/>
          <w:szCs w:val="21"/>
        </w:rPr>
        <w:t xml:space="preserve"> (página 227), en este momento procede reiterar esta exigencia, dadas las graves consecuencias que su falta puede acarrear, al tiempo que resulta necesario advertir del efecto directo de sus disposiciones, que pueden ser invocadas ante los órganos administrativos y judiciales del Estado español, quienes deben aplicar directamente la Directiva 2019/1937 atendiendo al fin último que esta persigue, que no es otro que la verdadera y efectiva protección de las personas que denuncian o alertan sobre hechos y conductas que pueden ser constitutivas de fraude, corrupción o malas prácticas y que son contrarios al interés general.</w:t>
      </w:r>
    </w:p>
    <w:p w14:paraId="630D02EE"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 xml:space="preserve">La aplicación directa de la Directiva al ordenamiento jurídico español, en orden a proteger a las personas denunciantes, ha sido defendida por esta Agencia desde el momento mismo en el que la Directiva entró en vigor, es decir, a los 20 días de su publicación en el Diario Oficial de la Unión Europea (17 de diciembre de 2019), y no tan solo agotado el plazo para su transposición, ya que de conformidad con la jurisprudencia europea las Directivas producen efecto desde que son dictadas. Así lo dejó dicho la </w:t>
      </w:r>
      <w:hyperlink r:id="rId551" w:history="1">
        <w:r w:rsidRPr="00172D07">
          <w:rPr>
            <w:rStyle w:val="Hipervnculo"/>
            <w:rFonts w:ascii="Arial" w:hAnsi="Arial" w:cs="Arial"/>
            <w:sz w:val="21"/>
            <w:szCs w:val="21"/>
          </w:rPr>
          <w:t>Sentencia de la Gran Sala de 4 de julio de 2006 del Tribunal de Justicia de la Unión Europea</w:t>
        </w:r>
      </w:hyperlink>
      <w:r w:rsidRPr="00172D07">
        <w:rPr>
          <w:rFonts w:ascii="Arial" w:hAnsi="Arial" w:cs="Arial"/>
          <w:sz w:val="21"/>
          <w:szCs w:val="21"/>
        </w:rPr>
        <w:t xml:space="preserve"> que recuerda en su Fundamento 119 que “una directiva produce efectos jurídicos frente al Estado miembro destinatario -y, por tanto, frente a todas las autoridades nacionales-, a partir de su publicación”, complementando la cuestión en el Fundamento 123 que declara que “de ello se deduce que, a partir de la fecha de entrada en vigor de una directiva, los órganos jurisdiccionales de los Estados miembros deben abstenerse en la medida de lo posible de interpretar su Derecho interno de un modo que pueda comprometer gravemente, tras la expiración del plazo de adaptación del Derecho interno a la directiva, la realización del objetivo perseguido por ésta”.</w:t>
      </w:r>
    </w:p>
    <w:p w14:paraId="0536620B"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Los razonamientos sobre la aplicación de la Directiva que esta Agencia sostenía en aplicación del denominado efecto anticipado se ven hoy aumentados y ratificados por la doctrina sobre el efecto directo vertical, que surge una vez que ha vencido el plazo para la transposición.</w:t>
      </w:r>
    </w:p>
    <w:p w14:paraId="125C03F6"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El efecto directo vertical es una construcción jurisprudencial del Tribunal de Justicia de la Unión Europea, que de forma constante y reiterada ha venido afirmando que en aquellos casos en los que las disposiciones de una Directiva sean incondicionales y suficientemente precisas en la atribución de derechos a los particulares, estos podrán invocarlas frente al Estado, ya sea cuando aquella no haya sido transpuesta en el plazo establecido, ya en aquellos casos en los que exista una transposición incorrecta o incompleta. En definitiva, el efecto directo vertical conduce a la consideración de que una Directiva es derecho plenamente aplicable cuando no ha sido transpuesta en plazo y la misma es suficientemente precisa en la atribución de derechos a favor de los particulares.</w:t>
      </w:r>
    </w:p>
    <w:p w14:paraId="6F109E2D"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Este efecto directo vertical ha sido interpretado de forma extensa por el Tribunal de Justicia de la Unión Europea, que permite la invocación directa del contenido de las Directivas, en todo caso, frente al Estado. En este sentido, la Unión Europea configura una interpretación extensa del concepto de Estado, que no se limita a la Administración General del Estado, sino que alcanza además a cualesquiera administraciones públicas y entidades del sector público.</w:t>
      </w:r>
    </w:p>
    <w:p w14:paraId="6B910BD2"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 xml:space="preserve">A mayor abundamiento, debe indicarse que el Tribunal de Justicia de la Unión Europea ha habilitado mecanismos que amplían la aplicación de las Directivas, y ello con base en los principios, también invocados por esta Agencia, de interpretación conforme y de inaplicación del Derecho interno que resulte incompatible con la Directiva. </w:t>
      </w:r>
    </w:p>
    <w:p w14:paraId="367F71A6"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 xml:space="preserve">El primero de estos principios, complementarios al efecto directo, obliga a los jueces y tribunales nacionales a interpretar el Derecho nacional conforme al espíritu y finalidad de la Directiva, debiendo los órganos judiciales considerar el conjunto de normas de Derecho interno y sus métodos de interpretación para alcanzar una solución que resulte conforme al objetivo perseguido por la Directiva, es decir, acorde en este caso al principio de protección a las personas denunciantes. </w:t>
      </w:r>
    </w:p>
    <w:p w14:paraId="5237B89B"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Así, el máximo exponente del principio complementario de interpretación conforme en el Derecho interno español lo encontramos el artículo 4 bis, apartado 1, de la Ley Orgánica 6/1985, de 1 de julio, del Poder Judicial, conforme al cual “Los Jueces y Tribunales aplicarán el Derecho de la Unión Europea de conformidad con la jurisprudencia del Tribunal de Justicia de la Unión Europea“(redacción dada a partir de 1 de octubre de 2015).</w:t>
      </w:r>
    </w:p>
    <w:p w14:paraId="3EB20134"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El segundo de los principios, el denominado principio de inaplicación de la norma nacional contraria al Derecho de la Unión Europe, surge de las Sentencias Mangold, Kücükdeveci, Prigge y Dansk Industri, en las que se ha señalado que los tribunales nacionales deben dejar de aplicar cualquier disposición de Derecho nacional que resulte contraria a un principio general del Derecho de la Unión.</w:t>
      </w:r>
    </w:p>
    <w:p w14:paraId="4DE4FB23"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Así pues, de conformidad con la doctrina y jurisprudencia debe recomendarse, tanto a los juzgados y tribunales como a las administraciones públicas y sector público extenso, que deben aplicar las previsiones de la Directiva 2019/1937 en beneficio de los particulares, ya sean estos terceros denunciantes o personal propio de entidades públicas A tales efectos, esta Agencia efectúa a continuación un breve análisis del contenido de esta Directiva y su proyección de efectos directos.</w:t>
      </w:r>
    </w:p>
    <w:p w14:paraId="64833FFC"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b/>
          <w:bCs/>
          <w:color w:val="9D2235" w:themeColor="accent1"/>
          <w:sz w:val="21"/>
          <w:szCs w:val="21"/>
        </w:rPr>
        <w:t xml:space="preserve">Capítulo I. Ámbito de aplicación y condiciones de protección. </w:t>
      </w:r>
    </w:p>
    <w:p w14:paraId="1A3A9153" w14:textId="77777777" w:rsidR="00FB47F7" w:rsidRPr="00172D07" w:rsidRDefault="00FB47F7" w:rsidP="00FB47F7">
      <w:pPr>
        <w:spacing w:after="120" w:line="276" w:lineRule="auto"/>
        <w:ind w:left="709"/>
        <w:jc w:val="both"/>
        <w:rPr>
          <w:rFonts w:ascii="Arial" w:hAnsi="Arial" w:cs="Arial"/>
          <w:sz w:val="20"/>
          <w:szCs w:val="20"/>
        </w:rPr>
      </w:pPr>
      <w:r w:rsidRPr="00172D07">
        <w:rPr>
          <w:rFonts w:ascii="Arial" w:hAnsi="Arial" w:cs="Arial"/>
          <w:sz w:val="20"/>
          <w:szCs w:val="20"/>
        </w:rPr>
        <w:t>Las precisiones contempladas en el Capítulo I de la Directiva resultan de aplicación directa, aunque la misma no esté transpuesta, ya que la regulación es detallada, incondicional y atributiva de derechos en los términos que hemos dejado señalados hasta el momento.</w:t>
      </w:r>
    </w:p>
    <w:p w14:paraId="53E5CA68" w14:textId="77777777" w:rsidR="00FB47F7" w:rsidRPr="00172D07" w:rsidRDefault="00FB47F7" w:rsidP="00FB47F7">
      <w:pPr>
        <w:spacing w:after="120" w:line="276" w:lineRule="auto"/>
        <w:ind w:left="709"/>
        <w:jc w:val="both"/>
        <w:rPr>
          <w:rFonts w:ascii="Arial" w:hAnsi="Arial" w:cs="Arial"/>
          <w:sz w:val="20"/>
          <w:szCs w:val="20"/>
        </w:rPr>
      </w:pPr>
      <w:r w:rsidRPr="00172D07">
        <w:rPr>
          <w:rFonts w:ascii="Arial" w:hAnsi="Arial" w:cs="Arial"/>
          <w:sz w:val="20"/>
          <w:szCs w:val="20"/>
        </w:rPr>
        <w:t xml:space="preserve">Así, la protección de la Directiva se desplegará cuando se formule denuncia en aquellas materias delimitadas por el artículo 2 de la misma y detalladas en el Anexo I, en el que se establece el ámbito mínimo común objetivo material. </w:t>
      </w:r>
    </w:p>
    <w:p w14:paraId="3192ECE5" w14:textId="77777777" w:rsidR="00FB47F7" w:rsidRPr="00172D07" w:rsidRDefault="00FB47F7" w:rsidP="00FB47F7">
      <w:pPr>
        <w:spacing w:after="120" w:line="276" w:lineRule="auto"/>
        <w:ind w:left="709"/>
        <w:jc w:val="both"/>
        <w:rPr>
          <w:rFonts w:ascii="Arial" w:hAnsi="Arial" w:cs="Arial"/>
          <w:sz w:val="20"/>
          <w:szCs w:val="20"/>
        </w:rPr>
      </w:pPr>
      <w:r w:rsidRPr="00172D07">
        <w:rPr>
          <w:rFonts w:ascii="Arial" w:hAnsi="Arial" w:cs="Arial"/>
          <w:sz w:val="20"/>
          <w:szCs w:val="20"/>
        </w:rPr>
        <w:t xml:space="preserve">Por lo que hace referencia a la extensión subjetiva de la Directiva también debe indicarse que la misma ostenta un efecto directo, y ello a la vista de que el artículo 4 determina con total rigor y extensión el alcance de su aplicación, señalándose específicamente que esta es de aplicación a todos los trabajadores por cuenta ajena, incluidos los funcionarios, así como a los trabajadores por cuenta propia, los accionistas y personal directivo de órganos de administración, voluntarios, trabajadores en práctica con o sin remuneración y, en general, cualquier persona que trabaje bajo la supervisión y la dirección de contratistas, subcontratistas y proveedores. </w:t>
      </w:r>
    </w:p>
    <w:p w14:paraId="6C96E35B" w14:textId="77777777" w:rsidR="00FB47F7" w:rsidRPr="00172D07" w:rsidRDefault="00FB47F7" w:rsidP="00FB47F7">
      <w:pPr>
        <w:spacing w:after="120" w:line="276" w:lineRule="auto"/>
        <w:ind w:left="709"/>
        <w:jc w:val="both"/>
        <w:rPr>
          <w:rFonts w:ascii="Arial" w:hAnsi="Arial" w:cs="Arial"/>
          <w:sz w:val="20"/>
          <w:szCs w:val="20"/>
        </w:rPr>
      </w:pPr>
      <w:r w:rsidRPr="00172D07">
        <w:rPr>
          <w:rFonts w:ascii="Arial" w:hAnsi="Arial" w:cs="Arial"/>
          <w:sz w:val="20"/>
          <w:szCs w:val="20"/>
        </w:rPr>
        <w:t>Finalmente, en lo que atiende a las condiciones de protección debe señalarse que el artículo 6 es completo en su regulación, razón por la que también goza de efecto directo, debiendo recordarse que dicho artículo precisa que los denunciantes tendrán derecho a la protección, tanto cuando hubieran efectuado denuncia por canales internos o externos, como cuando hubieran realizado una revelación pública, sin que el legislador europeo efectúe distinción en la protección por razón de la modalidad de la denuncia, administrativa o penal.</w:t>
      </w:r>
    </w:p>
    <w:p w14:paraId="739D15EA" w14:textId="77777777" w:rsidR="00FB47F7" w:rsidRPr="00172D07" w:rsidRDefault="00FB47F7" w:rsidP="00FB47F7">
      <w:pPr>
        <w:spacing w:after="240" w:line="276" w:lineRule="auto"/>
        <w:ind w:left="709"/>
        <w:jc w:val="both"/>
        <w:rPr>
          <w:rFonts w:ascii="Arial" w:hAnsi="Arial" w:cs="Arial"/>
          <w:sz w:val="21"/>
          <w:szCs w:val="21"/>
        </w:rPr>
      </w:pPr>
      <w:r w:rsidRPr="00172D07">
        <w:rPr>
          <w:rFonts w:ascii="Arial" w:hAnsi="Arial" w:cs="Arial"/>
          <w:sz w:val="20"/>
          <w:szCs w:val="20"/>
        </w:rPr>
        <w:t xml:space="preserve">No obstante, el Tribunal Superior de Justicia de la Comunitat Valenciana ha efectuado una interpretación contraria a la Directiva en su </w:t>
      </w:r>
      <w:hyperlink r:id="rId552" w:history="1">
        <w:r w:rsidRPr="00172D07">
          <w:rPr>
            <w:rStyle w:val="Hipervnculo"/>
            <w:rFonts w:ascii="Arial" w:hAnsi="Arial" w:cs="Arial"/>
            <w:sz w:val="20"/>
            <w:szCs w:val="20"/>
          </w:rPr>
          <w:t>Sentencia núm. 574/2021 de fecha 16 de noviembre de 2021</w:t>
        </w:r>
      </w:hyperlink>
      <w:r w:rsidRPr="00172D07">
        <w:rPr>
          <w:rFonts w:ascii="Arial" w:hAnsi="Arial" w:cs="Arial"/>
          <w:sz w:val="20"/>
          <w:szCs w:val="20"/>
        </w:rPr>
        <w:t>, en la que sostiene que no es oportuna la protección de una persona denunciante cuando esta efectúa una denuncia en sede judicial; motivo por el cual la Agencia ha recurrido en casación dicha Sentencia.</w:t>
      </w:r>
    </w:p>
    <w:p w14:paraId="6C5E9596" w14:textId="77777777" w:rsidR="00FB47F7" w:rsidRPr="00172D07" w:rsidRDefault="00FB47F7" w:rsidP="00FB47F7">
      <w:pPr>
        <w:spacing w:after="240" w:line="276" w:lineRule="auto"/>
        <w:jc w:val="both"/>
        <w:rPr>
          <w:rFonts w:ascii="Arial" w:hAnsi="Arial" w:cs="Arial"/>
          <w:b/>
          <w:bCs/>
          <w:sz w:val="21"/>
          <w:szCs w:val="21"/>
        </w:rPr>
      </w:pPr>
      <w:r w:rsidRPr="00172D07">
        <w:rPr>
          <w:rFonts w:ascii="Arial" w:hAnsi="Arial" w:cs="Arial"/>
          <w:b/>
          <w:bCs/>
          <w:color w:val="9D2235" w:themeColor="accent1"/>
          <w:sz w:val="21"/>
          <w:szCs w:val="21"/>
        </w:rPr>
        <w:t xml:space="preserve">Capítulo II. Denuncias internas y seguimiento. </w:t>
      </w:r>
    </w:p>
    <w:p w14:paraId="039D84C5" w14:textId="77777777" w:rsidR="00FB47F7" w:rsidRPr="00172D07" w:rsidRDefault="00FB47F7" w:rsidP="00FB47F7">
      <w:pPr>
        <w:spacing w:after="240" w:line="276" w:lineRule="auto"/>
        <w:ind w:left="709"/>
        <w:jc w:val="both"/>
        <w:rPr>
          <w:rFonts w:ascii="Arial" w:hAnsi="Arial" w:cs="Arial"/>
          <w:sz w:val="20"/>
          <w:szCs w:val="20"/>
        </w:rPr>
      </w:pPr>
      <w:r w:rsidRPr="00172D07">
        <w:rPr>
          <w:rFonts w:ascii="Arial" w:hAnsi="Arial" w:cs="Arial"/>
          <w:sz w:val="20"/>
          <w:szCs w:val="20"/>
        </w:rPr>
        <w:t>La obligación de contar con canales internos de denuncia, así como la obligación de establecer los procedimientos para las denuncias y su seguimiento, cuestiones contempladas en los artículos 7 a 9 de la Directiva, son plenamente exigibles a todo el sector público, no siendo sin embargo obligatorios estos canales de denuncia internos para el sector privado hasta que la Directiva sea debidamente transpuesta, y ello porque los efectos directos de las Directivas solamente lo son en cuanto “efectos directos verticales ascendentes”, esto es, cuando los derechos dimanantes de una Directiva son exigibles al Estado por los particulares, resultando que no es admisible por la doctrina y jurisprudencia europea el efecto vertical descendente, que es aquel que se exigiría por parte del Estado hacia los particulares. Por lo tanto, el canal de denuncias interno del sector privado no puede ser exigido con base en el efecto directo de la Directiva, no siendo exigible el mismo hasta que se complete la transposición.</w:t>
      </w:r>
    </w:p>
    <w:p w14:paraId="4CFB34FC" w14:textId="77777777" w:rsidR="00FB47F7" w:rsidRPr="00172D07" w:rsidRDefault="00FB47F7" w:rsidP="00FB47F7">
      <w:pPr>
        <w:spacing w:after="240" w:line="276" w:lineRule="auto"/>
        <w:jc w:val="both"/>
        <w:rPr>
          <w:rFonts w:ascii="Arial" w:hAnsi="Arial" w:cs="Arial"/>
          <w:b/>
          <w:bCs/>
          <w:sz w:val="21"/>
          <w:szCs w:val="21"/>
        </w:rPr>
      </w:pPr>
      <w:r w:rsidRPr="00172D07">
        <w:rPr>
          <w:rFonts w:ascii="Arial" w:hAnsi="Arial" w:cs="Arial"/>
          <w:b/>
          <w:bCs/>
          <w:color w:val="9D2235" w:themeColor="accent1"/>
          <w:sz w:val="21"/>
          <w:szCs w:val="21"/>
        </w:rPr>
        <w:t xml:space="preserve">Capítulo III. Denuncias externas y seguimiento. </w:t>
      </w:r>
    </w:p>
    <w:p w14:paraId="5C2C82F5" w14:textId="77777777" w:rsidR="00FB47F7" w:rsidRPr="00172D07" w:rsidRDefault="00FB47F7" w:rsidP="00FB47F7">
      <w:pPr>
        <w:spacing w:after="240" w:line="276" w:lineRule="auto"/>
        <w:ind w:left="709"/>
        <w:jc w:val="both"/>
        <w:rPr>
          <w:rFonts w:ascii="Arial" w:hAnsi="Arial" w:cs="Arial"/>
          <w:sz w:val="20"/>
          <w:szCs w:val="20"/>
        </w:rPr>
      </w:pPr>
      <w:r w:rsidRPr="00172D07">
        <w:rPr>
          <w:rFonts w:ascii="Arial" w:hAnsi="Arial" w:cs="Arial"/>
          <w:sz w:val="20"/>
          <w:szCs w:val="20"/>
        </w:rPr>
        <w:t xml:space="preserve">La obligación de establecer autoridades competentes para recibir denuncias, impulsarlas en todos sus trámites y diseñar los canales de denuncia externa de forma independiente con los recursos adecuados se encuentra recogida en los artículos 11 a 16 de la Directiva, considerándose de efecto directo y exigibles desde que venció el plazo de transposición de la Directiva 1937/2019. </w:t>
      </w:r>
    </w:p>
    <w:p w14:paraId="32A8E1EC" w14:textId="77777777" w:rsidR="00FB47F7" w:rsidRPr="00172D07" w:rsidRDefault="00FB47F7" w:rsidP="00FB47F7">
      <w:pPr>
        <w:spacing w:after="240" w:line="276" w:lineRule="auto"/>
        <w:jc w:val="both"/>
        <w:rPr>
          <w:rFonts w:ascii="Arial" w:hAnsi="Arial" w:cs="Arial"/>
          <w:b/>
          <w:bCs/>
          <w:sz w:val="21"/>
          <w:szCs w:val="21"/>
        </w:rPr>
      </w:pPr>
      <w:r w:rsidRPr="00172D07">
        <w:rPr>
          <w:rFonts w:ascii="Arial" w:hAnsi="Arial" w:cs="Arial"/>
          <w:b/>
          <w:bCs/>
          <w:color w:val="9D2235" w:themeColor="accent1"/>
          <w:sz w:val="21"/>
          <w:szCs w:val="21"/>
        </w:rPr>
        <w:t xml:space="preserve">Capítulo IV. Las revelaciones públicas. </w:t>
      </w:r>
    </w:p>
    <w:p w14:paraId="13EFEA50" w14:textId="77777777" w:rsidR="00FB47F7" w:rsidRPr="00172D07" w:rsidRDefault="00FB47F7" w:rsidP="00FB47F7">
      <w:pPr>
        <w:spacing w:after="240" w:line="276" w:lineRule="auto"/>
        <w:ind w:left="709"/>
        <w:jc w:val="both"/>
        <w:rPr>
          <w:rFonts w:ascii="Arial" w:hAnsi="Arial" w:cs="Arial"/>
          <w:sz w:val="20"/>
          <w:szCs w:val="20"/>
        </w:rPr>
      </w:pPr>
      <w:r w:rsidRPr="00172D07">
        <w:rPr>
          <w:rFonts w:ascii="Arial" w:hAnsi="Arial" w:cs="Arial"/>
          <w:sz w:val="20"/>
          <w:szCs w:val="20"/>
        </w:rPr>
        <w:t xml:space="preserve">La regulación de la revelación pública del artículo 15 de la Directiva también está dotada de los requisitos para ampararse en el efecto directo vertical ya que el artículo de la Directiva es completo e incondicional en todos sus términos. </w:t>
      </w:r>
    </w:p>
    <w:p w14:paraId="75FCAECA" w14:textId="77777777" w:rsidR="00FB47F7" w:rsidRPr="00172D07" w:rsidRDefault="00FB47F7" w:rsidP="00FB47F7">
      <w:pPr>
        <w:spacing w:after="240" w:line="276" w:lineRule="auto"/>
        <w:jc w:val="both"/>
        <w:rPr>
          <w:rFonts w:ascii="Arial" w:hAnsi="Arial" w:cs="Arial"/>
          <w:b/>
          <w:bCs/>
          <w:sz w:val="21"/>
          <w:szCs w:val="21"/>
        </w:rPr>
      </w:pPr>
      <w:r w:rsidRPr="00172D07">
        <w:rPr>
          <w:rFonts w:ascii="Arial" w:hAnsi="Arial" w:cs="Arial"/>
          <w:b/>
          <w:bCs/>
          <w:color w:val="9D2235" w:themeColor="accent1"/>
          <w:sz w:val="21"/>
          <w:szCs w:val="21"/>
        </w:rPr>
        <w:t xml:space="preserve">Capítulo V. Disposiciones comunes de las denuncias. </w:t>
      </w:r>
    </w:p>
    <w:p w14:paraId="79CA7045" w14:textId="7663414C" w:rsidR="00FB47F7" w:rsidRDefault="00FB47F7" w:rsidP="00FB47F7">
      <w:pPr>
        <w:spacing w:after="240" w:line="276" w:lineRule="auto"/>
        <w:ind w:left="709"/>
        <w:jc w:val="both"/>
        <w:rPr>
          <w:rFonts w:ascii="Arial" w:hAnsi="Arial" w:cs="Arial"/>
          <w:sz w:val="21"/>
          <w:szCs w:val="21"/>
        </w:rPr>
      </w:pPr>
      <w:r w:rsidRPr="00172D07">
        <w:rPr>
          <w:rFonts w:ascii="Arial" w:hAnsi="Arial" w:cs="Arial"/>
          <w:sz w:val="20"/>
          <w:szCs w:val="20"/>
        </w:rPr>
        <w:t>En lo que se refiere a las normas comunes aplicables a los canales internos, externos y la revelación pública, contempladas en los artículos 16 a 18 de la Directiva, debe recordarse que todos ellos son directamente aplicables, ya que la no revelación de la identidad del denunciante, el tratamiento de los datos personales y el registro de las denuncias se configuran como derechos</w:t>
      </w:r>
      <w:r w:rsidRPr="00172D07">
        <w:rPr>
          <w:rFonts w:ascii="Arial" w:hAnsi="Arial" w:cs="Arial"/>
          <w:sz w:val="21"/>
          <w:szCs w:val="21"/>
        </w:rPr>
        <w:t xml:space="preserve"> perfectamente determinados y directamente exigibles.</w:t>
      </w:r>
    </w:p>
    <w:p w14:paraId="58CD0348" w14:textId="77777777" w:rsidR="00977C9D" w:rsidRPr="00172D07" w:rsidRDefault="00977C9D" w:rsidP="00FB47F7">
      <w:pPr>
        <w:spacing w:after="240" w:line="276" w:lineRule="auto"/>
        <w:ind w:left="709"/>
        <w:jc w:val="both"/>
        <w:rPr>
          <w:rFonts w:ascii="Arial" w:hAnsi="Arial" w:cs="Arial"/>
          <w:sz w:val="21"/>
          <w:szCs w:val="21"/>
        </w:rPr>
      </w:pPr>
    </w:p>
    <w:p w14:paraId="6641EEB1" w14:textId="77777777" w:rsidR="00FB47F7" w:rsidRPr="00172D07" w:rsidRDefault="00FB47F7" w:rsidP="00FB47F7">
      <w:pPr>
        <w:spacing w:after="240" w:line="276" w:lineRule="auto"/>
        <w:jc w:val="both"/>
        <w:rPr>
          <w:rFonts w:ascii="Arial" w:hAnsi="Arial" w:cs="Arial"/>
          <w:b/>
          <w:bCs/>
          <w:sz w:val="21"/>
          <w:szCs w:val="21"/>
        </w:rPr>
      </w:pPr>
      <w:r w:rsidRPr="00172D07">
        <w:rPr>
          <w:rFonts w:ascii="Arial" w:hAnsi="Arial" w:cs="Arial"/>
          <w:b/>
          <w:bCs/>
          <w:color w:val="9D2235" w:themeColor="accent1"/>
          <w:sz w:val="21"/>
          <w:szCs w:val="21"/>
        </w:rPr>
        <w:t xml:space="preserve">Capítulo VI. Medidas de protección. </w:t>
      </w:r>
    </w:p>
    <w:p w14:paraId="0A6EDE3C" w14:textId="77777777" w:rsidR="00FB47F7" w:rsidRPr="00172D07" w:rsidRDefault="00FB47F7" w:rsidP="00FB47F7">
      <w:pPr>
        <w:spacing w:after="120" w:line="276" w:lineRule="auto"/>
        <w:ind w:left="709"/>
        <w:jc w:val="both"/>
        <w:rPr>
          <w:rFonts w:ascii="Arial" w:hAnsi="Arial" w:cs="Arial"/>
          <w:sz w:val="20"/>
          <w:szCs w:val="20"/>
        </w:rPr>
      </w:pPr>
      <w:r w:rsidRPr="00172D07">
        <w:rPr>
          <w:rFonts w:ascii="Arial" w:hAnsi="Arial" w:cs="Arial"/>
          <w:sz w:val="20"/>
          <w:szCs w:val="20"/>
        </w:rPr>
        <w:t xml:space="preserve">Las medidas de protección previstas en la Directiva, por su marcada diferenciación, tienen un régimen dispar en cuanto a la aplicación directa de las mismas que obliga a su análisis diferenciado, debiendo recordarse que las mismas se clasifican en prohibición de represalias, medidas de apoyo, medidas de protección frente a represalias y establecimiento de sanciones para disuadir a los represaliadores. </w:t>
      </w:r>
    </w:p>
    <w:p w14:paraId="5A5066C8" w14:textId="77777777" w:rsidR="00FB47F7" w:rsidRPr="00172D07" w:rsidRDefault="00FB47F7" w:rsidP="00FB47F7">
      <w:pPr>
        <w:numPr>
          <w:ilvl w:val="0"/>
          <w:numId w:val="189"/>
        </w:numPr>
        <w:spacing w:after="120" w:line="276" w:lineRule="auto"/>
        <w:ind w:left="1134"/>
        <w:jc w:val="both"/>
        <w:rPr>
          <w:rFonts w:ascii="Arial" w:hAnsi="Arial" w:cs="Arial"/>
          <w:b/>
          <w:bCs/>
          <w:sz w:val="20"/>
          <w:szCs w:val="20"/>
        </w:rPr>
      </w:pPr>
      <w:r w:rsidRPr="00172D07">
        <w:rPr>
          <w:rFonts w:ascii="Arial" w:hAnsi="Arial" w:cs="Arial"/>
          <w:sz w:val="20"/>
          <w:szCs w:val="20"/>
        </w:rPr>
        <w:t>La prohibición de represalias, contemplada en el artículo 19 de la Directiva, goza de eficacia directa, y ello a la vista de que el citado artículo encierra un mandato claro, incondicional y completo para el Estado, consistente en la prohibición de actuaciones represaliadoras, como el despido, la denegación de ascensos o de formación, la imposición de cualquier forma de discriminación, las coacciones, etc. Ahora bien, esta medida de protección, por su carácter de efecto vertical ascendente que ya hemos expuesto, solamente podrá ser invocada frente al sector público y no en relación con el sector privado.</w:t>
      </w:r>
    </w:p>
    <w:p w14:paraId="5983EF54" w14:textId="77777777" w:rsidR="00FB47F7" w:rsidRPr="00172D07" w:rsidRDefault="00FB47F7" w:rsidP="00FB47F7">
      <w:pPr>
        <w:numPr>
          <w:ilvl w:val="0"/>
          <w:numId w:val="189"/>
        </w:numPr>
        <w:spacing w:after="120" w:line="276" w:lineRule="auto"/>
        <w:ind w:left="1134"/>
        <w:jc w:val="both"/>
        <w:rPr>
          <w:rFonts w:ascii="Arial" w:hAnsi="Arial" w:cs="Arial"/>
          <w:b/>
          <w:bCs/>
          <w:sz w:val="20"/>
          <w:szCs w:val="20"/>
        </w:rPr>
      </w:pPr>
      <w:r w:rsidRPr="00172D07">
        <w:rPr>
          <w:rFonts w:ascii="Arial" w:hAnsi="Arial" w:cs="Arial"/>
          <w:sz w:val="20"/>
          <w:szCs w:val="20"/>
        </w:rPr>
        <w:t>Las medidas de apoyo previstas en el artículo 20 no gozan de efecto directo ya que las mismas deberán ser determinadas en la transposición de la Directiva, al haberlas configurado el legislador europeo de forma abierta y potestativa, señalando que las medidas de asistencia financiera y el apoyo psicológico podrán prestarse si así se establece.</w:t>
      </w:r>
    </w:p>
    <w:p w14:paraId="35816034" w14:textId="77777777" w:rsidR="00FB47F7" w:rsidRPr="00172D07" w:rsidRDefault="00FB47F7" w:rsidP="00FB47F7">
      <w:pPr>
        <w:numPr>
          <w:ilvl w:val="0"/>
          <w:numId w:val="189"/>
        </w:numPr>
        <w:spacing w:after="120" w:line="276" w:lineRule="auto"/>
        <w:ind w:left="1134"/>
        <w:jc w:val="both"/>
        <w:rPr>
          <w:rFonts w:ascii="Arial" w:hAnsi="Arial" w:cs="Arial"/>
          <w:sz w:val="20"/>
          <w:szCs w:val="20"/>
        </w:rPr>
      </w:pPr>
      <w:r w:rsidRPr="00172D07">
        <w:rPr>
          <w:rFonts w:ascii="Arial" w:hAnsi="Arial" w:cs="Arial"/>
          <w:sz w:val="20"/>
          <w:szCs w:val="20"/>
        </w:rPr>
        <w:t>Por lo que se refiere al núcleo principal de la protección, el relativo a las medidas de protección contra represalias del artículo 21 de la Directiva, debe remarcarse su efecto directo, siendo singularmente intenso en los siguientes aspectos:</w:t>
      </w:r>
    </w:p>
    <w:p w14:paraId="3F5479F1" w14:textId="77777777" w:rsidR="00FB47F7" w:rsidRPr="00172D07" w:rsidRDefault="00FB47F7" w:rsidP="00FB47F7">
      <w:pPr>
        <w:spacing w:after="120" w:line="276" w:lineRule="auto"/>
        <w:ind w:left="1134"/>
        <w:jc w:val="both"/>
        <w:rPr>
          <w:rFonts w:ascii="Arial" w:hAnsi="Arial" w:cs="Arial"/>
          <w:sz w:val="20"/>
          <w:szCs w:val="20"/>
        </w:rPr>
      </w:pPr>
      <w:r w:rsidRPr="00172D07">
        <w:rPr>
          <w:rFonts w:ascii="Arial" w:hAnsi="Arial" w:cs="Arial"/>
          <w:sz w:val="20"/>
          <w:szCs w:val="20"/>
        </w:rPr>
        <w:t>La Directiva establece una eximente administrativa y laboral directa para los denunciantes al prever que no incurrirán en responsabilidad respecto de la adquisición o el acceso a la información que es comunicada o revelada públicamente, excepto en aquellos supuestos en los que tal adquisición o acceso constituya un delito.</w:t>
      </w:r>
    </w:p>
    <w:p w14:paraId="26D6DE3B" w14:textId="77777777" w:rsidR="00FB47F7" w:rsidRPr="00172D07" w:rsidRDefault="00FB47F7" w:rsidP="00FB47F7">
      <w:pPr>
        <w:spacing w:after="120" w:line="276" w:lineRule="auto"/>
        <w:ind w:left="1134"/>
        <w:jc w:val="both"/>
        <w:rPr>
          <w:rFonts w:ascii="Arial" w:hAnsi="Arial" w:cs="Arial"/>
          <w:sz w:val="20"/>
          <w:szCs w:val="20"/>
        </w:rPr>
      </w:pPr>
      <w:r w:rsidRPr="00172D07">
        <w:rPr>
          <w:rFonts w:ascii="Arial" w:hAnsi="Arial" w:cs="Arial"/>
          <w:sz w:val="20"/>
          <w:szCs w:val="20"/>
        </w:rPr>
        <w:t>La Directiva también establece como singular y trascendental medida de protección la consistente en la inversión de la carga de la prueba, que tiene efecto directo vertical desde el vencimiento del plazo de transposición. La medida de protección consiste en invertir la carga de la prueba en los procesos judiciales para que en casos de represalias corresponda a la persona que actúa contra un denunciante demostrar que no está ejerciendo dichas acciones con motivo de la denuncia. La medida goza de efecto directo en tanto que se trata de una regla de ordenación del procedimiento a cumplir por los órganos jurisdiccionales y por lo tanto directamente invocable.</w:t>
      </w:r>
    </w:p>
    <w:p w14:paraId="1C184272" w14:textId="77777777" w:rsidR="00FB47F7" w:rsidRPr="00172D07" w:rsidRDefault="00FB47F7" w:rsidP="00FB47F7">
      <w:pPr>
        <w:numPr>
          <w:ilvl w:val="0"/>
          <w:numId w:val="189"/>
        </w:numPr>
        <w:spacing w:after="120" w:line="276" w:lineRule="auto"/>
        <w:ind w:left="1134"/>
        <w:jc w:val="both"/>
        <w:rPr>
          <w:rFonts w:ascii="Arial" w:hAnsi="Arial" w:cs="Arial"/>
          <w:sz w:val="20"/>
          <w:szCs w:val="20"/>
        </w:rPr>
      </w:pPr>
      <w:r w:rsidRPr="00172D07">
        <w:rPr>
          <w:rFonts w:ascii="Arial" w:hAnsi="Arial" w:cs="Arial"/>
          <w:sz w:val="20"/>
          <w:szCs w:val="20"/>
        </w:rPr>
        <w:t xml:space="preserve">La Directiva comunitaria establece como cierre de las medidas de protección la posibilidad de establecer sanciones contra las personas represaliadoras. Este marco de protección sancionador no tiene efecto directo vertical, debiendo recordarse que el Tribunal de Justicia de la Unión Europea proscribe, por razones de seguridad jurídica, el efecto directo vertical en el marco del régimen sancionador. </w:t>
      </w:r>
    </w:p>
    <w:p w14:paraId="69B9CE0D" w14:textId="77777777" w:rsidR="00FB47F7" w:rsidRPr="00172D07" w:rsidRDefault="00FB47F7" w:rsidP="00FB47F7">
      <w:pPr>
        <w:spacing w:after="240" w:line="276" w:lineRule="auto"/>
        <w:ind w:left="1134"/>
        <w:jc w:val="both"/>
        <w:rPr>
          <w:rFonts w:ascii="Arial" w:hAnsi="Arial" w:cs="Arial"/>
          <w:sz w:val="21"/>
          <w:szCs w:val="21"/>
        </w:rPr>
      </w:pPr>
      <w:r w:rsidRPr="00172D07">
        <w:rPr>
          <w:rFonts w:ascii="Arial" w:hAnsi="Arial" w:cs="Arial"/>
          <w:sz w:val="20"/>
          <w:szCs w:val="20"/>
        </w:rPr>
        <w:t>No obstante, en el ámbito de la Comunitat Valenciana está vigente el régimen sancionador contemplado en su normativa propia: artículos 17 y siguientes de la Ley 11/2016, de 28 de noviembre, de la Generalitat, de la Agencia de Prevención y Lucha contra el Fraude y la Corrupción de la Comunitat Valenciana.</w:t>
      </w:r>
    </w:p>
    <w:p w14:paraId="1822C33C" w14:textId="77777777" w:rsidR="00FB47F7" w:rsidRPr="00172D07" w:rsidRDefault="00FB47F7" w:rsidP="00FB47F7">
      <w:pPr>
        <w:spacing w:after="240" w:line="276" w:lineRule="auto"/>
        <w:jc w:val="both"/>
        <w:rPr>
          <w:rFonts w:ascii="Arial" w:hAnsi="Arial" w:cs="Arial"/>
          <w:b/>
          <w:bCs/>
          <w:sz w:val="21"/>
          <w:szCs w:val="21"/>
        </w:rPr>
      </w:pPr>
      <w:r w:rsidRPr="00172D07">
        <w:rPr>
          <w:rFonts w:ascii="Arial" w:hAnsi="Arial" w:cs="Arial"/>
          <w:b/>
          <w:bCs/>
          <w:color w:val="9D2235" w:themeColor="accent1"/>
          <w:sz w:val="21"/>
          <w:szCs w:val="21"/>
        </w:rPr>
        <w:t>La Directiva y su transposición: el reciente Anteproyecto de Ley reguladora de la protección de las personas que informen sobre infracciones normativas y de lucha contra la corrupción por la que se transpone la Directiva (UE) 2019/1937 del Parlamento Europeo y del Consejo, de 23 de octubre de 2019, relativa a la protección de las personas que informen sobre infracciones del Derecho de la Unión.</w:t>
      </w:r>
    </w:p>
    <w:p w14:paraId="08A8879A" w14:textId="1C06B870"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 xml:space="preserve">En conexión con el efecto directo vertical por la ausencia de transposición de la Directiva en los términos hasta el momento expuestos, resulta necesario cerrar esta recomendación recordando que el Consejo de ministros en fecha 4 de marzo de 2022 ha aprobado el citado Anteproyecto de ley, al que nos hemos referido en el epígrafe 3.2.5.1.2 de </w:t>
      </w:r>
      <w:r w:rsidR="00B12F68">
        <w:rPr>
          <w:rFonts w:ascii="Arial" w:hAnsi="Arial" w:cs="Arial"/>
          <w:sz w:val="21"/>
          <w:szCs w:val="21"/>
        </w:rPr>
        <w:t>esta Memoria</w:t>
      </w:r>
      <w:r w:rsidRPr="00172D07">
        <w:rPr>
          <w:rFonts w:ascii="Arial" w:hAnsi="Arial" w:cs="Arial"/>
          <w:sz w:val="21"/>
          <w:szCs w:val="21"/>
        </w:rPr>
        <w:t>.</w:t>
      </w:r>
    </w:p>
    <w:p w14:paraId="4466D844"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 xml:space="preserve">Dicho Anteproyecto de ley ha sido sometido a información pública, habiéndose efectuado por esta Agencia una serie de importantes observaciones en fecha 17 de marzo de 2022, que damos por reproducidas en este momento, y que pueden ser consultadas en </w:t>
      </w:r>
      <w:hyperlink r:id="rId553" w:history="1">
        <w:r w:rsidRPr="00172D07">
          <w:rPr>
            <w:rStyle w:val="Hipervnculo"/>
            <w:rFonts w:ascii="Arial" w:hAnsi="Arial" w:cs="Arial"/>
            <w:sz w:val="21"/>
            <w:szCs w:val="21"/>
          </w:rPr>
          <w:t>este enlace</w:t>
        </w:r>
      </w:hyperlink>
      <w:r w:rsidRPr="00172D07">
        <w:rPr>
          <w:rFonts w:ascii="Arial" w:hAnsi="Arial" w:cs="Arial"/>
          <w:sz w:val="21"/>
          <w:szCs w:val="21"/>
        </w:rPr>
        <w:t xml:space="preserve">.  </w:t>
      </w:r>
    </w:p>
    <w:p w14:paraId="388380D2"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 xml:space="preserve">Como se desprende de las alegaciones realizadas por esta Agencia, dicho Anteproyecto de ley no efectúa, a nuestro juicio, una completa y correcta transposición de la Directiva 2019/1937, por lo que si se mantiene su texto puede dar lugar a incurrir en defectos que provoquen la aplicación del denominado efecto directo de exclusión, que ha sido igualmente desarrollado por el Tribunal de Justicia de la Unión Europea y que es consecuencia inherente al principio de primacía del Derecho comunitario. Esto es, en supuestos en que exista una incorrecta incorporación al ordenamiento interno, por ser la norma de transposición contraria a la Directiva, opera el efecto directo de exclusión, que conlleva que en caso de conflicto los órganos judiciales no deban aplicar la norma de transposición sino la Directiva. </w:t>
      </w:r>
    </w:p>
    <w:p w14:paraId="27F1C325" w14:textId="77777777" w:rsidR="00FB47F7" w:rsidRPr="00172D07" w:rsidRDefault="00FB47F7" w:rsidP="00FB47F7">
      <w:pPr>
        <w:spacing w:after="240" w:line="276" w:lineRule="auto"/>
        <w:jc w:val="both"/>
        <w:rPr>
          <w:rFonts w:ascii="Arial" w:hAnsi="Arial" w:cs="Arial"/>
          <w:sz w:val="21"/>
          <w:szCs w:val="21"/>
        </w:rPr>
      </w:pPr>
      <w:r w:rsidRPr="00172D07">
        <w:rPr>
          <w:rFonts w:ascii="Arial" w:hAnsi="Arial" w:cs="Arial"/>
          <w:sz w:val="21"/>
          <w:szCs w:val="21"/>
        </w:rPr>
        <w:t>Especial mención merece recordar en este punto que algunas Comunidades Autónomas ya cuentan en su ordenamiento jurídico con leyes aprobadas conforme a sus propias competencias, que han creado instituciones públicas que funcionan y articulan, con más o menos extensión e intensidad, y cumplen con mandatos contenidos en la Directiva (UE) 2019/1937; leyes que son anteriores a esta, e incluso más favorables y avanzadas que este Anteproyecto de Ley y respetan el orden constitucional de competencias, como es el caso de la aprobada en las Corts Valencianes, Ley 11/2016, de 28 de noviembre, de la Agencia de Prevención y Lucha contra el Fraude y la Corrupción de la Comunitat Valenciana.</w:t>
      </w:r>
    </w:p>
    <w:p w14:paraId="072BAA2E" w14:textId="00D82788" w:rsidR="00CC099B" w:rsidRDefault="00FB47F7" w:rsidP="00FB47F7">
      <w:pPr>
        <w:pStyle w:val="LO-Normal"/>
        <w:widowControl/>
        <w:spacing w:after="240" w:line="276" w:lineRule="auto"/>
        <w:jc w:val="both"/>
        <w:rPr>
          <w:rFonts w:ascii="Arial" w:eastAsia="Open Sans" w:hAnsi="Arial" w:cs="Arial"/>
          <w:kern w:val="2"/>
          <w:sz w:val="21"/>
          <w:szCs w:val="21"/>
        </w:rPr>
      </w:pPr>
      <w:r w:rsidRPr="00172D07">
        <w:rPr>
          <w:rFonts w:ascii="Arial" w:hAnsi="Arial" w:cs="Arial"/>
          <w:sz w:val="21"/>
          <w:szCs w:val="21"/>
        </w:rPr>
        <w:t>Con arreglo a lo previsto en la cláusula contenida en el artículo 25 de la propia Directiva (UE) 2019/1937, bajo el título “trato más favorable y cláusula de no regresión”, los Estados miembros podrán introducir o mantener disposiciones más favorables para los derechos de los denunciantes que los establecidos en la presente Directiva. La aplicación de la Directiva no constituirá en ninguna circunstancia motivo para reducir el nivel de protección ya garantizado por los Estados miembros en los ámbitos regulados por ella.</w:t>
      </w:r>
    </w:p>
    <w:p w14:paraId="0C8FC07E" w14:textId="77777777" w:rsidR="00CC099B" w:rsidRDefault="00CC099B" w:rsidP="003A2F42">
      <w:pPr>
        <w:pStyle w:val="LO-Normal"/>
        <w:widowControl/>
        <w:spacing w:line="276" w:lineRule="auto"/>
        <w:jc w:val="both"/>
        <w:rPr>
          <w:rFonts w:ascii="Arial" w:eastAsia="Open Sans" w:hAnsi="Arial" w:cs="Arial"/>
          <w:kern w:val="2"/>
          <w:sz w:val="21"/>
          <w:szCs w:val="21"/>
        </w:rPr>
      </w:pPr>
    </w:p>
    <w:p w14:paraId="736F6240" w14:textId="1697FA6F" w:rsidR="00DF3EAE" w:rsidRDefault="00C66AF3" w:rsidP="009F6D85">
      <w:pPr>
        <w:rPr>
          <w:rFonts w:ascii="Arial" w:hAnsi="Arial" w:cs="Arial"/>
          <w:color w:val="000000" w:themeColor="text1"/>
          <w:sz w:val="21"/>
          <w:szCs w:val="21"/>
        </w:rPr>
      </w:pPr>
      <w:r>
        <w:rPr>
          <w:rFonts w:ascii="Arial" w:hAnsi="Arial" w:cs="Arial"/>
          <w:sz w:val="21"/>
          <w:szCs w:val="21"/>
        </w:rPr>
        <w:br w:type="page"/>
      </w:r>
    </w:p>
    <w:p w14:paraId="07B01683" w14:textId="77777777" w:rsidR="006C76CB" w:rsidRPr="006C76CB" w:rsidRDefault="006C76CB" w:rsidP="006C76CB">
      <w:pPr>
        <w:pStyle w:val="NormalWeb"/>
        <w:spacing w:before="360" w:beforeAutospacing="0" w:after="240" w:line="276" w:lineRule="auto"/>
        <w:contextualSpacing/>
        <w:rPr>
          <w:rFonts w:ascii="Arial" w:hAnsi="Arial" w:cs="Arial"/>
          <w:b/>
          <w:bCs/>
          <w:spacing w:val="-14"/>
          <w:sz w:val="21"/>
          <w:szCs w:val="21"/>
        </w:rPr>
      </w:pPr>
    </w:p>
    <w:p w14:paraId="35C62688" w14:textId="77777777" w:rsidR="006C76CB" w:rsidRPr="006C76CB" w:rsidRDefault="006C76CB" w:rsidP="006C76CB">
      <w:pPr>
        <w:pStyle w:val="NormalWeb"/>
        <w:spacing w:before="360" w:beforeAutospacing="0" w:after="240" w:line="276" w:lineRule="auto"/>
        <w:contextualSpacing/>
        <w:rPr>
          <w:rFonts w:ascii="Arial" w:hAnsi="Arial" w:cs="Arial"/>
          <w:b/>
          <w:bCs/>
          <w:spacing w:val="-14"/>
          <w:sz w:val="21"/>
          <w:szCs w:val="21"/>
        </w:rPr>
      </w:pPr>
    </w:p>
    <w:p w14:paraId="3E03104C" w14:textId="77777777" w:rsidR="006C76CB" w:rsidRPr="006C76CB" w:rsidRDefault="006C76CB" w:rsidP="006C76CB">
      <w:pPr>
        <w:pStyle w:val="NormalWeb"/>
        <w:spacing w:before="360" w:beforeAutospacing="0" w:after="240" w:line="276" w:lineRule="auto"/>
        <w:contextualSpacing/>
        <w:rPr>
          <w:rFonts w:ascii="Arial" w:hAnsi="Arial" w:cs="Arial"/>
          <w:b/>
          <w:bCs/>
          <w:spacing w:val="-14"/>
          <w:sz w:val="21"/>
          <w:szCs w:val="21"/>
        </w:rPr>
      </w:pPr>
    </w:p>
    <w:p w14:paraId="1BDBB692" w14:textId="6F1BD9A2" w:rsidR="000E688E" w:rsidRPr="000E688E" w:rsidRDefault="000E688E" w:rsidP="00D172B0">
      <w:pPr>
        <w:pStyle w:val="NormalWeb"/>
        <w:spacing w:before="360" w:beforeAutospacing="0" w:after="240" w:line="276" w:lineRule="auto"/>
        <w:contextualSpacing/>
        <w:outlineLvl w:val="0"/>
        <w:rPr>
          <w:rFonts w:ascii="Arial" w:hAnsi="Arial" w:cs="Arial"/>
          <w:b/>
          <w:bCs/>
          <w:color w:val="9D2235"/>
          <w:spacing w:val="-14"/>
          <w:sz w:val="80"/>
          <w:szCs w:val="80"/>
        </w:rPr>
      </w:pPr>
      <w:bookmarkStart w:id="587" w:name="_Toc99107138"/>
      <w:r w:rsidRPr="000E688E">
        <w:rPr>
          <w:rFonts w:ascii="Arial" w:hAnsi="Arial" w:cs="Arial"/>
          <w:b/>
          <w:bCs/>
          <w:color w:val="9D2235"/>
          <w:spacing w:val="-14"/>
          <w:sz w:val="80"/>
          <w:szCs w:val="80"/>
        </w:rPr>
        <w:t>Anexo</w:t>
      </w:r>
      <w:r w:rsidR="007E257F">
        <w:rPr>
          <w:rFonts w:ascii="Arial" w:hAnsi="Arial" w:cs="Arial"/>
          <w:b/>
          <w:bCs/>
          <w:color w:val="9D2235"/>
          <w:spacing w:val="-14"/>
          <w:sz w:val="80"/>
          <w:szCs w:val="80"/>
        </w:rPr>
        <w:t>.</w:t>
      </w:r>
      <w:r w:rsidR="007E257F">
        <w:rPr>
          <w:rFonts w:ascii="Arial" w:hAnsi="Arial" w:cs="Arial"/>
          <w:b/>
          <w:bCs/>
          <w:color w:val="9D2235"/>
          <w:spacing w:val="-14"/>
          <w:sz w:val="80"/>
          <w:szCs w:val="80"/>
        </w:rPr>
        <w:tab/>
      </w:r>
      <w:r w:rsidR="007E257F" w:rsidRPr="007E257F">
        <w:rPr>
          <w:rFonts w:ascii="Arial" w:hAnsi="Arial" w:cs="Arial"/>
          <w:b/>
          <w:bCs/>
          <w:smallCaps/>
          <w:color w:val="9D2235"/>
          <w:spacing w:val="-14"/>
          <w:sz w:val="80"/>
          <w:szCs w:val="80"/>
        </w:rPr>
        <w:br/>
      </w:r>
      <w:r>
        <w:rPr>
          <w:rFonts w:ascii="Arial" w:hAnsi="Arial" w:cs="Arial"/>
          <w:b/>
          <w:bCs/>
          <w:color w:val="9D2235"/>
          <w:spacing w:val="-14"/>
          <w:sz w:val="80"/>
          <w:szCs w:val="80"/>
        </w:rPr>
        <w:t>Código ético y de conducta</w:t>
      </w:r>
      <w:r w:rsidRPr="000E688E">
        <w:rPr>
          <w:rFonts w:ascii="Arial" w:hAnsi="Arial" w:cs="Arial"/>
          <w:b/>
          <w:bCs/>
          <w:color w:val="9D2235"/>
          <w:spacing w:val="-14"/>
          <w:sz w:val="80"/>
          <w:szCs w:val="80"/>
        </w:rPr>
        <w:t xml:space="preserve"> de la Agencia de Prevención y Lucha contra el Fraude y la Corrupción de la Comunitat Valenciana</w:t>
      </w:r>
      <w:bookmarkEnd w:id="587"/>
    </w:p>
    <w:p w14:paraId="56F7BE34" w14:textId="77777777" w:rsidR="000E688E" w:rsidRPr="000E688E" w:rsidRDefault="000E688E" w:rsidP="00D172B0">
      <w:pPr>
        <w:pStyle w:val="NormalWeb"/>
        <w:spacing w:before="360" w:after="240" w:line="276" w:lineRule="auto"/>
        <w:jc w:val="both"/>
        <w:rPr>
          <w:rFonts w:ascii="Arial" w:hAnsi="Arial" w:cs="Arial"/>
          <w:b/>
          <w:color w:val="000000" w:themeColor="text1"/>
          <w:sz w:val="21"/>
          <w:szCs w:val="21"/>
        </w:rPr>
      </w:pPr>
    </w:p>
    <w:p w14:paraId="7948AF72" w14:textId="4411E49D" w:rsidR="000E688E" w:rsidRPr="000E688E" w:rsidRDefault="000E688E" w:rsidP="00D172B0">
      <w:pPr>
        <w:pStyle w:val="NormalWeb"/>
        <w:spacing w:before="360" w:after="240" w:line="276" w:lineRule="auto"/>
        <w:jc w:val="both"/>
        <w:rPr>
          <w:rFonts w:ascii="Arial" w:hAnsi="Arial" w:cs="Arial"/>
          <w:b/>
          <w:color w:val="000000" w:themeColor="text1"/>
          <w:sz w:val="21"/>
          <w:szCs w:val="21"/>
        </w:rPr>
      </w:pPr>
    </w:p>
    <w:p w14:paraId="52EF72A5" w14:textId="7EA113A0" w:rsidR="00096F00" w:rsidRDefault="00EF6FE7" w:rsidP="00D172B0">
      <w:pPr>
        <w:pStyle w:val="NormalWeb"/>
        <w:spacing w:before="360" w:beforeAutospacing="0" w:after="240" w:line="276" w:lineRule="auto"/>
        <w:jc w:val="both"/>
        <w:rPr>
          <w:rFonts w:ascii="Arial" w:hAnsi="Arial" w:cs="Arial"/>
          <w:color w:val="000000" w:themeColor="text1"/>
          <w:sz w:val="21"/>
          <w:szCs w:val="21"/>
        </w:rPr>
      </w:pPr>
      <w:r w:rsidRPr="00964BFE">
        <w:rPr>
          <w:noProof/>
        </w:rPr>
        <w:drawing>
          <wp:inline distT="0" distB="0" distL="0" distR="0" wp14:anchorId="45CDB89C" wp14:editId="75E5A3D9">
            <wp:extent cx="5400040" cy="7927975"/>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5400040" cy="7927975"/>
                    </a:xfrm>
                    <a:prstGeom prst="rect">
                      <a:avLst/>
                    </a:prstGeom>
                    <a:noFill/>
                    <a:ln>
                      <a:noFill/>
                    </a:ln>
                  </pic:spPr>
                </pic:pic>
              </a:graphicData>
            </a:graphic>
          </wp:inline>
        </w:drawing>
      </w:r>
    </w:p>
    <w:p w14:paraId="7257D9DE" w14:textId="0B253C77" w:rsidR="00EF6FE7" w:rsidRDefault="006D7EE6" w:rsidP="00D172B0">
      <w:pPr>
        <w:pStyle w:val="NormalWeb"/>
        <w:spacing w:before="360" w:beforeAutospacing="0" w:after="240" w:line="276" w:lineRule="auto"/>
        <w:jc w:val="both"/>
        <w:rPr>
          <w:rFonts w:ascii="Arial" w:hAnsi="Arial" w:cs="Arial"/>
          <w:color w:val="000000" w:themeColor="text1"/>
          <w:sz w:val="21"/>
          <w:szCs w:val="21"/>
        </w:rPr>
      </w:pPr>
      <w:r w:rsidRPr="00964BFE">
        <w:rPr>
          <w:noProof/>
        </w:rPr>
        <w:drawing>
          <wp:inline distT="0" distB="0" distL="0" distR="0" wp14:anchorId="32DB7049" wp14:editId="01AAEB45">
            <wp:extent cx="5400040" cy="7873365"/>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5400040" cy="7873365"/>
                    </a:xfrm>
                    <a:prstGeom prst="rect">
                      <a:avLst/>
                    </a:prstGeom>
                    <a:noFill/>
                    <a:ln>
                      <a:noFill/>
                    </a:ln>
                  </pic:spPr>
                </pic:pic>
              </a:graphicData>
            </a:graphic>
          </wp:inline>
        </w:drawing>
      </w:r>
    </w:p>
    <w:p w14:paraId="5E4BDFAB" w14:textId="6F39242C" w:rsidR="00EF6FE7" w:rsidRDefault="00F73122" w:rsidP="00D172B0">
      <w:pPr>
        <w:pStyle w:val="NormalWeb"/>
        <w:spacing w:before="360" w:beforeAutospacing="0" w:after="240" w:line="276" w:lineRule="auto"/>
        <w:jc w:val="both"/>
        <w:rPr>
          <w:rFonts w:ascii="Arial" w:hAnsi="Arial" w:cs="Arial"/>
          <w:color w:val="000000" w:themeColor="text1"/>
          <w:sz w:val="21"/>
          <w:szCs w:val="21"/>
        </w:rPr>
      </w:pPr>
      <w:r w:rsidRPr="00F73122">
        <w:rPr>
          <w:noProof/>
        </w:rPr>
        <w:drawing>
          <wp:inline distT="0" distB="0" distL="0" distR="0" wp14:anchorId="1508B15C" wp14:editId="0E126958">
            <wp:extent cx="5400040" cy="7816850"/>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400040" cy="7816850"/>
                    </a:xfrm>
                    <a:prstGeom prst="rect">
                      <a:avLst/>
                    </a:prstGeom>
                    <a:noFill/>
                    <a:ln>
                      <a:noFill/>
                    </a:ln>
                  </pic:spPr>
                </pic:pic>
              </a:graphicData>
            </a:graphic>
          </wp:inline>
        </w:drawing>
      </w:r>
    </w:p>
    <w:p w14:paraId="1DE64911" w14:textId="4508618D" w:rsidR="00EF6FE7"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3B0657CB" wp14:editId="01414A48">
            <wp:extent cx="5400040" cy="7873365"/>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400040" cy="7873365"/>
                    </a:xfrm>
                    <a:prstGeom prst="rect">
                      <a:avLst/>
                    </a:prstGeom>
                    <a:noFill/>
                    <a:ln>
                      <a:noFill/>
                    </a:ln>
                  </pic:spPr>
                </pic:pic>
              </a:graphicData>
            </a:graphic>
          </wp:inline>
        </w:drawing>
      </w:r>
    </w:p>
    <w:p w14:paraId="5EFD923E" w14:textId="132CEA8E" w:rsidR="00F73122"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76845F87" wp14:editId="3AE766D2">
            <wp:extent cx="5400040" cy="781685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400040" cy="7816850"/>
                    </a:xfrm>
                    <a:prstGeom prst="rect">
                      <a:avLst/>
                    </a:prstGeom>
                    <a:noFill/>
                    <a:ln>
                      <a:noFill/>
                    </a:ln>
                  </pic:spPr>
                </pic:pic>
              </a:graphicData>
            </a:graphic>
          </wp:inline>
        </w:drawing>
      </w:r>
    </w:p>
    <w:p w14:paraId="79018DEC" w14:textId="0FA1C3AC" w:rsidR="00F73122"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72ECBB39" wp14:editId="175650E9">
            <wp:extent cx="5400040" cy="7830185"/>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5400040" cy="7830185"/>
                    </a:xfrm>
                    <a:prstGeom prst="rect">
                      <a:avLst/>
                    </a:prstGeom>
                    <a:noFill/>
                    <a:ln>
                      <a:noFill/>
                    </a:ln>
                  </pic:spPr>
                </pic:pic>
              </a:graphicData>
            </a:graphic>
          </wp:inline>
        </w:drawing>
      </w:r>
    </w:p>
    <w:p w14:paraId="023AB9E0" w14:textId="70031521" w:rsidR="00F73122"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64D8DEB4" wp14:editId="4E740606">
            <wp:extent cx="5400040" cy="7878445"/>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5400040" cy="7878445"/>
                    </a:xfrm>
                    <a:prstGeom prst="rect">
                      <a:avLst/>
                    </a:prstGeom>
                    <a:noFill/>
                    <a:ln>
                      <a:noFill/>
                    </a:ln>
                  </pic:spPr>
                </pic:pic>
              </a:graphicData>
            </a:graphic>
          </wp:inline>
        </w:drawing>
      </w:r>
    </w:p>
    <w:p w14:paraId="797FA07B" w14:textId="49426009" w:rsidR="00F73122"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673BB36A" wp14:editId="0F1AA03D">
            <wp:extent cx="5400040" cy="781685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5400040" cy="7816850"/>
                    </a:xfrm>
                    <a:prstGeom prst="rect">
                      <a:avLst/>
                    </a:prstGeom>
                    <a:noFill/>
                    <a:ln>
                      <a:noFill/>
                    </a:ln>
                  </pic:spPr>
                </pic:pic>
              </a:graphicData>
            </a:graphic>
          </wp:inline>
        </w:drawing>
      </w:r>
    </w:p>
    <w:p w14:paraId="1CAFFE52" w14:textId="4A5E3F4E" w:rsidR="00F73122"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5CB771B2" wp14:editId="01789FF2">
            <wp:extent cx="5400040" cy="781685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5400040" cy="7816850"/>
                    </a:xfrm>
                    <a:prstGeom prst="rect">
                      <a:avLst/>
                    </a:prstGeom>
                    <a:noFill/>
                    <a:ln>
                      <a:noFill/>
                    </a:ln>
                  </pic:spPr>
                </pic:pic>
              </a:graphicData>
            </a:graphic>
          </wp:inline>
        </w:drawing>
      </w:r>
    </w:p>
    <w:p w14:paraId="28116897" w14:textId="78189197" w:rsidR="00EF6FE7"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000ACA22" wp14:editId="68C6FCB5">
            <wp:extent cx="5400040" cy="7883525"/>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5400040" cy="7883525"/>
                    </a:xfrm>
                    <a:prstGeom prst="rect">
                      <a:avLst/>
                    </a:prstGeom>
                    <a:noFill/>
                    <a:ln>
                      <a:noFill/>
                    </a:ln>
                  </pic:spPr>
                </pic:pic>
              </a:graphicData>
            </a:graphic>
          </wp:inline>
        </w:drawing>
      </w:r>
    </w:p>
    <w:p w14:paraId="171A5AD5" w14:textId="6476115C"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1C19BC1B" wp14:editId="3223AC81">
            <wp:extent cx="5400040" cy="791908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5400040" cy="7919085"/>
                    </a:xfrm>
                    <a:prstGeom prst="rect">
                      <a:avLst/>
                    </a:prstGeom>
                    <a:noFill/>
                    <a:ln>
                      <a:noFill/>
                    </a:ln>
                  </pic:spPr>
                </pic:pic>
              </a:graphicData>
            </a:graphic>
          </wp:inline>
        </w:drawing>
      </w:r>
    </w:p>
    <w:p w14:paraId="54890F07" w14:textId="61ACC286"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36E7EC88" wp14:editId="1EB8F11A">
            <wp:extent cx="5400040" cy="7816850"/>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5400040" cy="7816850"/>
                    </a:xfrm>
                    <a:prstGeom prst="rect">
                      <a:avLst/>
                    </a:prstGeom>
                    <a:noFill/>
                    <a:ln>
                      <a:noFill/>
                    </a:ln>
                  </pic:spPr>
                </pic:pic>
              </a:graphicData>
            </a:graphic>
          </wp:inline>
        </w:drawing>
      </w:r>
    </w:p>
    <w:p w14:paraId="436E4E92" w14:textId="0CCFF4FC"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3A77A1F3" wp14:editId="0EF0EA6F">
            <wp:extent cx="5400040" cy="7837170"/>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5400040" cy="7837170"/>
                    </a:xfrm>
                    <a:prstGeom prst="rect">
                      <a:avLst/>
                    </a:prstGeom>
                    <a:noFill/>
                    <a:ln>
                      <a:noFill/>
                    </a:ln>
                  </pic:spPr>
                </pic:pic>
              </a:graphicData>
            </a:graphic>
          </wp:inline>
        </w:drawing>
      </w:r>
    </w:p>
    <w:p w14:paraId="31A7B8C4" w14:textId="53D3A4EA"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0DF6541D" wp14:editId="0F46DB7A">
            <wp:extent cx="5400040" cy="7914005"/>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5400040" cy="7914005"/>
                    </a:xfrm>
                    <a:prstGeom prst="rect">
                      <a:avLst/>
                    </a:prstGeom>
                    <a:noFill/>
                    <a:ln>
                      <a:noFill/>
                    </a:ln>
                  </pic:spPr>
                </pic:pic>
              </a:graphicData>
            </a:graphic>
          </wp:inline>
        </w:drawing>
      </w:r>
    </w:p>
    <w:p w14:paraId="523DC8E1" w14:textId="743CB1B6"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446C4244" wp14:editId="1C42ADD6">
            <wp:extent cx="5400040" cy="7816850"/>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5400040" cy="7816850"/>
                    </a:xfrm>
                    <a:prstGeom prst="rect">
                      <a:avLst/>
                    </a:prstGeom>
                    <a:noFill/>
                    <a:ln>
                      <a:noFill/>
                    </a:ln>
                  </pic:spPr>
                </pic:pic>
              </a:graphicData>
            </a:graphic>
          </wp:inline>
        </w:drawing>
      </w:r>
    </w:p>
    <w:p w14:paraId="4C1F700A" w14:textId="7B8276E4"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5245B829" wp14:editId="6D4E5C7A">
            <wp:extent cx="5400040" cy="4787900"/>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5400040" cy="4787900"/>
                    </a:xfrm>
                    <a:prstGeom prst="rect">
                      <a:avLst/>
                    </a:prstGeom>
                    <a:noFill/>
                    <a:ln>
                      <a:noFill/>
                    </a:ln>
                  </pic:spPr>
                </pic:pic>
              </a:graphicData>
            </a:graphic>
          </wp:inline>
        </w:drawing>
      </w:r>
    </w:p>
    <w:p w14:paraId="011C9596" w14:textId="40A340BB"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46E7E7D7" w14:textId="77777777" w:rsidR="007E257F" w:rsidRDefault="007E257F" w:rsidP="00D172B0">
      <w:pPr>
        <w:pStyle w:val="NormalWeb"/>
        <w:spacing w:before="360" w:beforeAutospacing="0" w:after="240" w:line="276" w:lineRule="auto"/>
        <w:jc w:val="both"/>
        <w:rPr>
          <w:rFonts w:ascii="Arial" w:hAnsi="Arial" w:cs="Arial"/>
          <w:color w:val="000000" w:themeColor="text1"/>
          <w:sz w:val="21"/>
          <w:szCs w:val="21"/>
        </w:rPr>
      </w:pPr>
    </w:p>
    <w:p w14:paraId="51F72A57" w14:textId="122019D5"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748BCC21" w14:textId="32230054"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03D0778D" w14:textId="6F871850"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2CBCA8D4" w14:textId="5CA598EB"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57E84949" w14:textId="77777777"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21DEA0BF" w14:textId="74C971BC" w:rsidR="00EF6FE7" w:rsidRDefault="00EF6FE7" w:rsidP="00D172B0">
      <w:pPr>
        <w:pStyle w:val="NormalWeb"/>
        <w:spacing w:before="360" w:beforeAutospacing="0" w:after="240" w:line="276" w:lineRule="auto"/>
        <w:jc w:val="both"/>
        <w:rPr>
          <w:rFonts w:ascii="Arial" w:hAnsi="Arial" w:cs="Arial"/>
          <w:color w:val="000000" w:themeColor="text1"/>
          <w:sz w:val="21"/>
          <w:szCs w:val="21"/>
        </w:rPr>
      </w:pPr>
    </w:p>
    <w:p w14:paraId="6F1D3BE5" w14:textId="429CFD59" w:rsidR="00EF6FE7"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2760A6F4" wp14:editId="3B0B592A">
            <wp:extent cx="5400040" cy="7517765"/>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5400040" cy="7517765"/>
                    </a:xfrm>
                    <a:prstGeom prst="rect">
                      <a:avLst/>
                    </a:prstGeom>
                    <a:noFill/>
                    <a:ln>
                      <a:noFill/>
                    </a:ln>
                  </pic:spPr>
                </pic:pic>
              </a:graphicData>
            </a:graphic>
          </wp:inline>
        </w:drawing>
      </w:r>
    </w:p>
    <w:p w14:paraId="568A4ED2" w14:textId="3D68784D" w:rsidR="00EF6FE7" w:rsidRDefault="00EF6FE7" w:rsidP="00D172B0">
      <w:pPr>
        <w:pStyle w:val="NormalWeb"/>
        <w:spacing w:before="360" w:beforeAutospacing="0" w:after="240" w:line="276" w:lineRule="auto"/>
        <w:jc w:val="both"/>
        <w:rPr>
          <w:rFonts w:ascii="Arial" w:hAnsi="Arial" w:cs="Arial"/>
          <w:color w:val="000000" w:themeColor="text1"/>
          <w:sz w:val="21"/>
          <w:szCs w:val="21"/>
        </w:rPr>
      </w:pPr>
    </w:p>
    <w:p w14:paraId="6BDBE5DB" w14:textId="4DA1800D"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301EA71C" wp14:editId="178E859F">
            <wp:extent cx="5400040" cy="624205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5400040" cy="6242050"/>
                    </a:xfrm>
                    <a:prstGeom prst="rect">
                      <a:avLst/>
                    </a:prstGeom>
                    <a:noFill/>
                    <a:ln>
                      <a:noFill/>
                    </a:ln>
                  </pic:spPr>
                </pic:pic>
              </a:graphicData>
            </a:graphic>
          </wp:inline>
        </w:drawing>
      </w:r>
    </w:p>
    <w:p w14:paraId="2F24D9F3" w14:textId="33CA1525"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3538EB53" w14:textId="77777777" w:rsidR="00CB3B7D" w:rsidRDefault="00CB3B7D" w:rsidP="00D172B0">
      <w:pPr>
        <w:pStyle w:val="NormalWeb"/>
        <w:spacing w:before="360" w:beforeAutospacing="0" w:after="240" w:line="276" w:lineRule="auto"/>
        <w:jc w:val="both"/>
        <w:rPr>
          <w:rFonts w:ascii="Arial" w:hAnsi="Arial" w:cs="Arial"/>
          <w:color w:val="000000" w:themeColor="text1"/>
          <w:sz w:val="21"/>
          <w:szCs w:val="21"/>
        </w:rPr>
      </w:pPr>
    </w:p>
    <w:p w14:paraId="6A9A0C6C" w14:textId="32DB7F39"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29AC8E71" w14:textId="5BE14BA2"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6D1F63BC" w14:textId="64542EC7"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r w:rsidRPr="00214179">
        <w:rPr>
          <w:noProof/>
        </w:rPr>
        <w:drawing>
          <wp:inline distT="0" distB="0" distL="0" distR="0" wp14:anchorId="0398AD7C" wp14:editId="32D99B18">
            <wp:extent cx="5400040" cy="6713220"/>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5400040" cy="6713220"/>
                    </a:xfrm>
                    <a:prstGeom prst="rect">
                      <a:avLst/>
                    </a:prstGeom>
                    <a:noFill/>
                    <a:ln>
                      <a:noFill/>
                    </a:ln>
                  </pic:spPr>
                </pic:pic>
              </a:graphicData>
            </a:graphic>
          </wp:inline>
        </w:drawing>
      </w:r>
    </w:p>
    <w:p w14:paraId="4A05B1F1" w14:textId="57884D01"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22FF1321" w14:textId="2E8DA4D1"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0AF8B8E0" w14:textId="02D91FC7"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5EA4C3D2" w14:textId="6404F9FF" w:rsidR="00214179" w:rsidRDefault="00E22355" w:rsidP="00D172B0">
      <w:pPr>
        <w:pStyle w:val="NormalWeb"/>
        <w:spacing w:before="360" w:beforeAutospacing="0" w:after="240" w:line="276" w:lineRule="auto"/>
        <w:jc w:val="both"/>
        <w:rPr>
          <w:rFonts w:ascii="Arial" w:hAnsi="Arial" w:cs="Arial"/>
          <w:color w:val="000000" w:themeColor="text1"/>
          <w:sz w:val="21"/>
          <w:szCs w:val="21"/>
        </w:rPr>
      </w:pPr>
      <w:r w:rsidRPr="00E22355">
        <w:rPr>
          <w:noProof/>
        </w:rPr>
        <w:drawing>
          <wp:inline distT="0" distB="0" distL="0" distR="0" wp14:anchorId="5CF7A088" wp14:editId="06887862">
            <wp:extent cx="5400040" cy="5887085"/>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5400040" cy="5887085"/>
                    </a:xfrm>
                    <a:prstGeom prst="rect">
                      <a:avLst/>
                    </a:prstGeom>
                    <a:noFill/>
                    <a:ln>
                      <a:noFill/>
                    </a:ln>
                  </pic:spPr>
                </pic:pic>
              </a:graphicData>
            </a:graphic>
          </wp:inline>
        </w:drawing>
      </w:r>
    </w:p>
    <w:p w14:paraId="03436AC6" w14:textId="4C63DA83"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2DC2B05B" w14:textId="20F45898"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58F78846" w14:textId="2B33C317"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7BD02524" w14:textId="7B2DC378"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25B0DA4A" w14:textId="0CB320ED"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4F02E7FB" w14:textId="55012703" w:rsidR="00214179" w:rsidRDefault="00E22355" w:rsidP="00D172B0">
      <w:pPr>
        <w:pStyle w:val="NormalWeb"/>
        <w:spacing w:before="360" w:beforeAutospacing="0" w:after="240" w:line="276" w:lineRule="auto"/>
        <w:jc w:val="both"/>
        <w:rPr>
          <w:rFonts w:ascii="Arial" w:hAnsi="Arial" w:cs="Arial"/>
          <w:color w:val="000000" w:themeColor="text1"/>
          <w:sz w:val="21"/>
          <w:szCs w:val="21"/>
        </w:rPr>
      </w:pPr>
      <w:r w:rsidRPr="00E22355">
        <w:rPr>
          <w:noProof/>
        </w:rPr>
        <w:drawing>
          <wp:inline distT="0" distB="0" distL="0" distR="0" wp14:anchorId="41E0CC50" wp14:editId="1AE449C8">
            <wp:extent cx="5400040" cy="5611495"/>
            <wp:effectExtent l="0" t="0" r="0" b="825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5400040" cy="5611495"/>
                    </a:xfrm>
                    <a:prstGeom prst="rect">
                      <a:avLst/>
                    </a:prstGeom>
                    <a:noFill/>
                    <a:ln>
                      <a:noFill/>
                    </a:ln>
                  </pic:spPr>
                </pic:pic>
              </a:graphicData>
            </a:graphic>
          </wp:inline>
        </w:drawing>
      </w:r>
    </w:p>
    <w:p w14:paraId="75DAB084" w14:textId="61B2B8C1"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2066A73F" w14:textId="1D2ADB47"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24331396" w14:textId="77777777" w:rsidR="007E257F" w:rsidRDefault="007E257F" w:rsidP="00D172B0">
      <w:pPr>
        <w:pStyle w:val="NormalWeb"/>
        <w:spacing w:before="360" w:beforeAutospacing="0" w:after="240" w:line="276" w:lineRule="auto"/>
        <w:jc w:val="both"/>
        <w:rPr>
          <w:rFonts w:ascii="Arial" w:hAnsi="Arial" w:cs="Arial"/>
          <w:color w:val="000000" w:themeColor="text1"/>
          <w:sz w:val="21"/>
          <w:szCs w:val="21"/>
        </w:rPr>
      </w:pPr>
    </w:p>
    <w:p w14:paraId="102AFFE6" w14:textId="5CA7CA82"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2C10C0A8" w14:textId="19BBC84C"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53FFC83A" w14:textId="16B130E4"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26AD49CF" w14:textId="3F1C32F7" w:rsidR="00214179" w:rsidRDefault="00E22355" w:rsidP="00D172B0">
      <w:pPr>
        <w:pStyle w:val="NormalWeb"/>
        <w:spacing w:before="360" w:beforeAutospacing="0" w:after="240" w:line="276" w:lineRule="auto"/>
        <w:jc w:val="both"/>
        <w:rPr>
          <w:rFonts w:ascii="Arial" w:hAnsi="Arial" w:cs="Arial"/>
          <w:color w:val="000000" w:themeColor="text1"/>
          <w:sz w:val="21"/>
          <w:szCs w:val="21"/>
        </w:rPr>
      </w:pPr>
      <w:r w:rsidRPr="00E22355">
        <w:rPr>
          <w:noProof/>
        </w:rPr>
        <w:drawing>
          <wp:inline distT="0" distB="0" distL="0" distR="0" wp14:anchorId="6872096B" wp14:editId="059B02B3">
            <wp:extent cx="5400040" cy="6723380"/>
            <wp:effectExtent l="0" t="0" r="0" b="127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5400040" cy="6723380"/>
                    </a:xfrm>
                    <a:prstGeom prst="rect">
                      <a:avLst/>
                    </a:prstGeom>
                    <a:noFill/>
                    <a:ln>
                      <a:noFill/>
                    </a:ln>
                  </pic:spPr>
                </pic:pic>
              </a:graphicData>
            </a:graphic>
          </wp:inline>
        </w:drawing>
      </w:r>
    </w:p>
    <w:p w14:paraId="4067CCAD" w14:textId="6923E6F5"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2160243D" w14:textId="005B0CD5"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40080498" w14:textId="0EA5246C"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707305FE" w14:textId="6DEB8EF0" w:rsidR="00214179" w:rsidRDefault="00E22355" w:rsidP="00D172B0">
      <w:pPr>
        <w:pStyle w:val="NormalWeb"/>
        <w:spacing w:before="360" w:beforeAutospacing="0" w:after="240" w:line="276" w:lineRule="auto"/>
        <w:jc w:val="both"/>
        <w:rPr>
          <w:rFonts w:ascii="Arial" w:hAnsi="Arial" w:cs="Arial"/>
          <w:color w:val="000000" w:themeColor="text1"/>
          <w:sz w:val="21"/>
          <w:szCs w:val="21"/>
        </w:rPr>
      </w:pPr>
      <w:r w:rsidRPr="00E22355">
        <w:rPr>
          <w:noProof/>
        </w:rPr>
        <w:drawing>
          <wp:inline distT="0" distB="0" distL="0" distR="0" wp14:anchorId="704FE077" wp14:editId="6D33871B">
            <wp:extent cx="5400040" cy="7475220"/>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5400040" cy="7475220"/>
                    </a:xfrm>
                    <a:prstGeom prst="rect">
                      <a:avLst/>
                    </a:prstGeom>
                    <a:noFill/>
                    <a:ln>
                      <a:noFill/>
                    </a:ln>
                  </pic:spPr>
                </pic:pic>
              </a:graphicData>
            </a:graphic>
          </wp:inline>
        </w:drawing>
      </w:r>
    </w:p>
    <w:p w14:paraId="0023019F" w14:textId="5A01E642"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15EB6658" w14:textId="7A8875A2" w:rsidR="00214179" w:rsidRDefault="00E22355" w:rsidP="00D172B0">
      <w:pPr>
        <w:pStyle w:val="NormalWeb"/>
        <w:spacing w:before="360" w:beforeAutospacing="0" w:after="240" w:line="276" w:lineRule="auto"/>
        <w:jc w:val="both"/>
        <w:rPr>
          <w:rFonts w:ascii="Arial" w:hAnsi="Arial" w:cs="Arial"/>
          <w:color w:val="000000" w:themeColor="text1"/>
          <w:sz w:val="21"/>
          <w:szCs w:val="21"/>
        </w:rPr>
      </w:pPr>
      <w:r w:rsidRPr="00E22355">
        <w:rPr>
          <w:noProof/>
        </w:rPr>
        <w:drawing>
          <wp:inline distT="0" distB="0" distL="0" distR="0" wp14:anchorId="7280CFCB" wp14:editId="116BAD78">
            <wp:extent cx="5400040" cy="6395085"/>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5400040" cy="6395085"/>
                    </a:xfrm>
                    <a:prstGeom prst="rect">
                      <a:avLst/>
                    </a:prstGeom>
                    <a:noFill/>
                    <a:ln>
                      <a:noFill/>
                    </a:ln>
                  </pic:spPr>
                </pic:pic>
              </a:graphicData>
            </a:graphic>
          </wp:inline>
        </w:drawing>
      </w:r>
    </w:p>
    <w:p w14:paraId="6801B56F" w14:textId="249A5179"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4F3459E2" w14:textId="26692585"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2AD120CE" w14:textId="33E44F3C"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58C086D0" w14:textId="6D00C77B"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51F1A56E" w14:textId="20E22E2D" w:rsidR="00214179" w:rsidRDefault="00E22355" w:rsidP="00D172B0">
      <w:pPr>
        <w:pStyle w:val="NormalWeb"/>
        <w:spacing w:before="360" w:beforeAutospacing="0" w:after="240" w:line="276" w:lineRule="auto"/>
        <w:jc w:val="both"/>
        <w:rPr>
          <w:rFonts w:ascii="Arial" w:hAnsi="Arial" w:cs="Arial"/>
          <w:color w:val="000000" w:themeColor="text1"/>
          <w:sz w:val="21"/>
          <w:szCs w:val="21"/>
        </w:rPr>
      </w:pPr>
      <w:r w:rsidRPr="00E22355">
        <w:rPr>
          <w:noProof/>
        </w:rPr>
        <w:drawing>
          <wp:inline distT="0" distB="0" distL="0" distR="0" wp14:anchorId="5CDDE485" wp14:editId="1F5D5064">
            <wp:extent cx="5400040" cy="6818630"/>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5400040" cy="6818630"/>
                    </a:xfrm>
                    <a:prstGeom prst="rect">
                      <a:avLst/>
                    </a:prstGeom>
                    <a:noFill/>
                    <a:ln>
                      <a:noFill/>
                    </a:ln>
                  </pic:spPr>
                </pic:pic>
              </a:graphicData>
            </a:graphic>
          </wp:inline>
        </w:drawing>
      </w:r>
    </w:p>
    <w:p w14:paraId="2927EAB2" w14:textId="7B638175"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336A5AB1" w14:textId="12261571"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5A113B0F" w14:textId="62139254"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23E17F3A" w14:textId="14D78D69" w:rsidR="00214179" w:rsidRDefault="00E22355" w:rsidP="00D172B0">
      <w:pPr>
        <w:pStyle w:val="NormalWeb"/>
        <w:spacing w:before="360" w:beforeAutospacing="0" w:after="240" w:line="276" w:lineRule="auto"/>
        <w:jc w:val="both"/>
        <w:rPr>
          <w:rFonts w:ascii="Arial" w:hAnsi="Arial" w:cs="Arial"/>
          <w:color w:val="000000" w:themeColor="text1"/>
          <w:sz w:val="21"/>
          <w:szCs w:val="21"/>
        </w:rPr>
      </w:pPr>
      <w:r w:rsidRPr="00E22355">
        <w:rPr>
          <w:noProof/>
        </w:rPr>
        <w:drawing>
          <wp:inline distT="0" distB="0" distL="0" distR="0" wp14:anchorId="27CE2AB3" wp14:editId="7B714EDB">
            <wp:extent cx="5400040" cy="6464300"/>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5400040" cy="6464300"/>
                    </a:xfrm>
                    <a:prstGeom prst="rect">
                      <a:avLst/>
                    </a:prstGeom>
                    <a:noFill/>
                    <a:ln>
                      <a:noFill/>
                    </a:ln>
                  </pic:spPr>
                </pic:pic>
              </a:graphicData>
            </a:graphic>
          </wp:inline>
        </w:drawing>
      </w:r>
    </w:p>
    <w:p w14:paraId="09F8B038" w14:textId="248D148F"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535A7EFA" w14:textId="51C60C2B"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35CDB52C" w14:textId="2FAC33E0"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7C4ED883" w14:textId="77D50602"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425474A3" w14:textId="530EC279" w:rsidR="00214179" w:rsidRDefault="00E22355" w:rsidP="00D172B0">
      <w:pPr>
        <w:pStyle w:val="NormalWeb"/>
        <w:spacing w:before="360" w:beforeAutospacing="0" w:after="240" w:line="276" w:lineRule="auto"/>
        <w:jc w:val="both"/>
        <w:rPr>
          <w:rFonts w:ascii="Arial" w:hAnsi="Arial" w:cs="Arial"/>
          <w:color w:val="000000" w:themeColor="text1"/>
          <w:sz w:val="21"/>
          <w:szCs w:val="21"/>
        </w:rPr>
      </w:pPr>
      <w:r w:rsidRPr="00E22355">
        <w:rPr>
          <w:noProof/>
        </w:rPr>
        <w:drawing>
          <wp:inline distT="0" distB="0" distL="0" distR="0" wp14:anchorId="1EAD52CF" wp14:editId="72C338A4">
            <wp:extent cx="5400040" cy="5966460"/>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5400040" cy="5966460"/>
                    </a:xfrm>
                    <a:prstGeom prst="rect">
                      <a:avLst/>
                    </a:prstGeom>
                    <a:noFill/>
                    <a:ln>
                      <a:noFill/>
                    </a:ln>
                  </pic:spPr>
                </pic:pic>
              </a:graphicData>
            </a:graphic>
          </wp:inline>
        </w:drawing>
      </w:r>
    </w:p>
    <w:p w14:paraId="7764E8CB" w14:textId="7543AB1B"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40081249" w14:textId="10B24E84"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237AE92F" w14:textId="3D5071A3"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52245195" w14:textId="1AC73440" w:rsidR="00214179" w:rsidRDefault="00214179" w:rsidP="00D172B0">
      <w:pPr>
        <w:pStyle w:val="NormalWeb"/>
        <w:spacing w:before="360" w:beforeAutospacing="0" w:after="240" w:line="276" w:lineRule="auto"/>
        <w:jc w:val="both"/>
        <w:rPr>
          <w:rFonts w:ascii="Arial" w:hAnsi="Arial" w:cs="Arial"/>
          <w:color w:val="000000" w:themeColor="text1"/>
          <w:sz w:val="21"/>
          <w:szCs w:val="21"/>
        </w:rPr>
      </w:pPr>
    </w:p>
    <w:p w14:paraId="672C4175" w14:textId="525FC7EC" w:rsidR="00E22355" w:rsidRDefault="00E22355" w:rsidP="00D172B0">
      <w:pPr>
        <w:pStyle w:val="NormalWeb"/>
        <w:spacing w:before="360" w:beforeAutospacing="0" w:after="240" w:line="276" w:lineRule="auto"/>
        <w:jc w:val="both"/>
        <w:rPr>
          <w:rFonts w:ascii="Arial" w:hAnsi="Arial" w:cs="Arial"/>
          <w:color w:val="000000" w:themeColor="text1"/>
          <w:sz w:val="21"/>
          <w:szCs w:val="21"/>
        </w:rPr>
      </w:pPr>
    </w:p>
    <w:p w14:paraId="3F859CCC" w14:textId="32CEE660" w:rsidR="00E22355" w:rsidRDefault="00E22355" w:rsidP="00D172B0">
      <w:pPr>
        <w:pStyle w:val="NormalWeb"/>
        <w:spacing w:before="360" w:beforeAutospacing="0" w:after="240" w:line="276" w:lineRule="auto"/>
        <w:jc w:val="both"/>
        <w:rPr>
          <w:rFonts w:ascii="Arial" w:hAnsi="Arial" w:cs="Arial"/>
          <w:color w:val="000000" w:themeColor="text1"/>
          <w:sz w:val="21"/>
          <w:szCs w:val="21"/>
        </w:rPr>
      </w:pPr>
      <w:r w:rsidRPr="00E22355">
        <w:rPr>
          <w:noProof/>
        </w:rPr>
        <w:drawing>
          <wp:inline distT="0" distB="0" distL="0" distR="0" wp14:anchorId="466E8CC2" wp14:editId="5546B922">
            <wp:extent cx="5400040" cy="6824345"/>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5400040" cy="6824345"/>
                    </a:xfrm>
                    <a:prstGeom prst="rect">
                      <a:avLst/>
                    </a:prstGeom>
                    <a:noFill/>
                    <a:ln>
                      <a:noFill/>
                    </a:ln>
                  </pic:spPr>
                </pic:pic>
              </a:graphicData>
            </a:graphic>
          </wp:inline>
        </w:drawing>
      </w:r>
    </w:p>
    <w:p w14:paraId="56005F06" w14:textId="674A4770" w:rsidR="00E22355" w:rsidRDefault="00E22355" w:rsidP="00D172B0">
      <w:pPr>
        <w:pStyle w:val="NormalWeb"/>
        <w:spacing w:before="360" w:beforeAutospacing="0" w:after="240" w:line="276" w:lineRule="auto"/>
        <w:jc w:val="both"/>
        <w:rPr>
          <w:rFonts w:ascii="Arial" w:hAnsi="Arial" w:cs="Arial"/>
          <w:color w:val="000000" w:themeColor="text1"/>
          <w:sz w:val="21"/>
          <w:szCs w:val="21"/>
        </w:rPr>
      </w:pPr>
    </w:p>
    <w:p w14:paraId="27A380DC" w14:textId="46934459" w:rsidR="00E22355" w:rsidRDefault="00E22355" w:rsidP="00D172B0">
      <w:pPr>
        <w:pStyle w:val="NormalWeb"/>
        <w:spacing w:before="360" w:beforeAutospacing="0" w:after="240" w:line="276" w:lineRule="auto"/>
        <w:jc w:val="both"/>
        <w:rPr>
          <w:rFonts w:ascii="Arial" w:hAnsi="Arial" w:cs="Arial"/>
          <w:color w:val="000000" w:themeColor="text1"/>
          <w:sz w:val="21"/>
          <w:szCs w:val="21"/>
        </w:rPr>
      </w:pPr>
    </w:p>
    <w:p w14:paraId="699EBA96" w14:textId="77777777" w:rsidR="007C17EE" w:rsidRDefault="007C17EE" w:rsidP="007E257F">
      <w:pPr>
        <w:outlineLvl w:val="1"/>
        <w:rPr>
          <w:rFonts w:ascii="Arial" w:hAnsi="Arial" w:cs="Arial"/>
          <w:color w:val="000000"/>
          <w:sz w:val="21"/>
          <w:szCs w:val="21"/>
        </w:rPr>
      </w:pPr>
      <w:r>
        <w:rPr>
          <w:rFonts w:ascii="Arial" w:hAnsi="Arial" w:cs="Arial"/>
          <w:color w:val="000000"/>
          <w:sz w:val="21"/>
          <w:szCs w:val="21"/>
        </w:rPr>
        <w:br w:type="page"/>
      </w:r>
    </w:p>
    <w:p w14:paraId="084B181E" w14:textId="43E8ECD9" w:rsidR="00E22355" w:rsidRDefault="00E22355" w:rsidP="007E257F">
      <w:pPr>
        <w:pStyle w:val="NormalWeb"/>
        <w:spacing w:before="360" w:beforeAutospacing="0" w:after="240" w:line="276" w:lineRule="auto"/>
        <w:jc w:val="both"/>
        <w:rPr>
          <w:rFonts w:ascii="Arial" w:hAnsi="Arial" w:cs="Arial"/>
          <w:color w:val="000000" w:themeColor="text1"/>
          <w:sz w:val="21"/>
          <w:szCs w:val="21"/>
        </w:rPr>
      </w:pPr>
    </w:p>
    <w:p w14:paraId="3D434E44" w14:textId="273D3D8F" w:rsidR="00176040" w:rsidRPr="00973028" w:rsidRDefault="00176040" w:rsidP="007E257F">
      <w:pPr>
        <w:rPr>
          <w:rFonts w:ascii="Arial" w:hAnsi="Arial" w:cs="Arial"/>
          <w:color w:val="000000" w:themeColor="text1"/>
          <w:sz w:val="21"/>
          <w:szCs w:val="21"/>
        </w:rPr>
      </w:pPr>
      <w:r w:rsidRPr="00973028">
        <w:rPr>
          <w:rFonts w:ascii="Arial" w:hAnsi="Arial" w:cs="Arial"/>
          <w:noProof/>
          <w:color w:val="000000" w:themeColor="text1"/>
          <w:sz w:val="21"/>
          <w:szCs w:val="21"/>
        </w:rPr>
        <w:drawing>
          <wp:anchor distT="0" distB="0" distL="114300" distR="114300" simplePos="0" relativeHeight="251739136" behindDoc="1" locked="0" layoutInCell="1" allowOverlap="1" wp14:anchorId="63522785" wp14:editId="16AACD56">
            <wp:simplePos x="0" y="0"/>
            <wp:positionH relativeFrom="margin">
              <wp:align>center</wp:align>
            </wp:positionH>
            <wp:positionV relativeFrom="paragraph">
              <wp:posOffset>3404482</wp:posOffset>
            </wp:positionV>
            <wp:extent cx="4733925" cy="1156970"/>
            <wp:effectExtent l="0" t="0" r="9525" b="5080"/>
            <wp:wrapTight wrapText="bothSides">
              <wp:wrapPolygon edited="0">
                <wp:start x="0" y="0"/>
                <wp:lineTo x="0" y="21339"/>
                <wp:lineTo x="21557" y="21339"/>
                <wp:lineTo x="21557" y="0"/>
                <wp:lineTo x="0" y="0"/>
              </wp:wrapPolygon>
            </wp:wrapTight>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cstate="print">
                      <a:extLst>
                        <a:ext uri="{28A0092B-C50C-407E-A947-70E740481C1C}">
                          <a14:useLocalDpi xmlns:a14="http://schemas.microsoft.com/office/drawing/2010/main" val="0"/>
                        </a:ext>
                      </a:extLst>
                    </a:blip>
                    <a:stretch>
                      <a:fillRect/>
                    </a:stretch>
                  </pic:blipFill>
                  <pic:spPr>
                    <a:xfrm>
                      <a:off x="0" y="0"/>
                      <a:ext cx="4733925" cy="1156970"/>
                    </a:xfrm>
                    <a:prstGeom prst="rect">
                      <a:avLst/>
                    </a:prstGeom>
                  </pic:spPr>
                </pic:pic>
              </a:graphicData>
            </a:graphic>
            <wp14:sizeRelH relativeFrom="margin">
              <wp14:pctWidth>0</wp14:pctWidth>
            </wp14:sizeRelH>
            <wp14:sizeRelV relativeFrom="margin">
              <wp14:pctHeight>0</wp14:pctHeight>
            </wp14:sizeRelV>
          </wp:anchor>
        </w:drawing>
      </w:r>
    </w:p>
    <w:sectPr w:rsidR="00176040" w:rsidRPr="00973028" w:rsidSect="003F06BB">
      <w:pgSz w:w="11906" w:h="16838" w:code="9"/>
      <w:pgMar w:top="1134" w:right="1701" w:bottom="1134" w:left="1701"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6EB617" w14:textId="77777777" w:rsidR="00EA6FFF" w:rsidRDefault="00EA6FFF" w:rsidP="000E2A66">
      <w:pPr>
        <w:spacing w:after="0" w:line="240" w:lineRule="auto"/>
      </w:pPr>
      <w:r>
        <w:separator/>
      </w:r>
    </w:p>
  </w:endnote>
  <w:endnote w:type="continuationSeparator" w:id="0">
    <w:p w14:paraId="1DB85BAB" w14:textId="77777777" w:rsidR="00EA6FFF" w:rsidRDefault="00EA6FFF" w:rsidP="000E2A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OpenSymbol">
    <w:panose1 w:val="05010000000000000000"/>
    <w:charset w:val="00"/>
    <w:family w:val="auto"/>
    <w:pitch w:val="variable"/>
    <w:sig w:usb0="800000AF" w:usb1="1001ECEA"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SimSun">
    <w:panose1 w:val="02010609030101010101"/>
    <w:charset w:val="86"/>
    <w:family w:val="modern"/>
    <w:pitch w:val="fixed"/>
    <w:sig w:usb0="0000028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Open Sans">
    <w:altName w:val="Open Sans"/>
    <w:panose1 w:val="020B0606030504020204"/>
    <w:charset w:val="00"/>
    <w:family w:val="swiss"/>
    <w:pitch w:val="variable"/>
    <w:sig w:usb0="E00002EF" w:usb1="4000205B" w:usb2="00000028" w:usb3="00000000" w:csb0="0000019F" w:csb1="00000000"/>
  </w:font>
  <w:font w:name="OpenSymbol;Arial Unicode MS">
    <w:altName w:val="Cambria"/>
    <w:panose1 w:val="00000000000000000000"/>
    <w:charset w:val="00"/>
    <w:family w:val="roman"/>
    <w:notTrueType/>
    <w:pitch w:val="default"/>
  </w:font>
  <w:font w:name="Liberation Sans;Arial">
    <w:altName w:val="Arial"/>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Liberation Serif">
    <w:panose1 w:val="02020603050405020304"/>
    <w:charset w:val="00"/>
    <w:family w:val="roman"/>
    <w:pitch w:val="variable"/>
    <w:sig w:usb0="E0000AFF" w:usb1="500078FF" w:usb2="00000021" w:usb3="00000000" w:csb0="000001BF" w:csb1="00000000"/>
  </w:font>
  <w:font w:name="Segoe UI">
    <w:panose1 w:val="020B0502040204020203"/>
    <w:charset w:val="00"/>
    <w:family w:val="swiss"/>
    <w:pitch w:val="variable"/>
    <w:sig w:usb0="E4002EFF" w:usb1="C000E47F" w:usb2="00000009" w:usb3="00000000" w:csb0="000001FF" w:csb1="00000000"/>
  </w:font>
  <w:font w:name="Droid Sans Fallback">
    <w:altName w:val="Segoe UI"/>
    <w:charset w:val="00"/>
    <w:family w:val="auto"/>
    <w:pitch w:val="variable"/>
  </w:font>
  <w:font w:name="FreeSans">
    <w:altName w:val="Calibri"/>
    <w:charset w:val="00"/>
    <w:family w:val="auto"/>
    <w:pitch w:val="variable"/>
  </w:font>
  <w:font w:name="Liberation Sans">
    <w:panose1 w:val="020B0604020202020204"/>
    <w:charset w:val="00"/>
    <w:family w:val="swiss"/>
    <w:pitch w:val="variable"/>
    <w:sig w:usb0="E0000AFF" w:usb1="500078FF" w:usb2="00000021" w:usb3="00000000" w:csb0="000001BF" w:csb1="00000000"/>
  </w:font>
  <w:font w:name="Lucida Sans">
    <w:panose1 w:val="020B0602030504020204"/>
    <w:charset w:val="00"/>
    <w:family w:val="swiss"/>
    <w:pitch w:val="variable"/>
    <w:sig w:usb0="00000003" w:usb1="00000000" w:usb2="00000000" w:usb3="00000000" w:csb0="00000001" w:csb1="00000000"/>
  </w:font>
  <w:font w:name="Liberation Mono">
    <w:panose1 w:val="02070409020205020404"/>
    <w:charset w:val="00"/>
    <w:family w:val="modern"/>
    <w:pitch w:val="fixed"/>
    <w:sig w:usb0="E0000AFF" w:usb1="400078FF" w:usb2="00000001" w:usb3="00000000" w:csb0="000001BF" w:csb1="00000000"/>
  </w:font>
  <w:font w:name="Consolas">
    <w:panose1 w:val="020B0609020204030204"/>
    <w:charset w:val="00"/>
    <w:family w:val="modern"/>
    <w:pitch w:val="fixed"/>
    <w:sig w:usb0="E00006FF" w:usb1="0000FCFF" w:usb2="00000001" w:usb3="00000000" w:csb0="0000019F" w:csb1="00000000"/>
  </w:font>
  <w:font w:name="Liberation Sans1">
    <w:altName w:val="Arial"/>
    <w:panose1 w:val="00000000000000000000"/>
    <w:charset w:val="00"/>
    <w:family w:val="roman"/>
    <w:notTrueType/>
    <w:pitch w:val="default"/>
  </w:font>
  <w:font w:name="MillerText-Roman">
    <w:panose1 w:val="00000000000000000000"/>
    <w:charset w:val="00"/>
    <w:family w:val="roman"/>
    <w:notTrueType/>
    <w:pitch w:val="default"/>
  </w:font>
  <w:font w:name="HelveticaNeue-Bold">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CC788" w14:textId="28F06A08" w:rsidR="004D416C" w:rsidRDefault="004D416C">
    <w:pPr>
      <w:pStyle w:val="Piedepgina"/>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4D416C" w14:paraId="476E1F00" w14:textId="77777777" w:rsidTr="00C57B6C">
      <w:trPr>
        <w:trHeight w:val="323"/>
        <w:jc w:val="center"/>
      </w:trPr>
      <w:tc>
        <w:tcPr>
          <w:tcW w:w="8494" w:type="dxa"/>
        </w:tcPr>
        <w:p w14:paraId="08B94A90" w14:textId="0BC65E48" w:rsidR="004D416C" w:rsidRPr="00B46EE6" w:rsidRDefault="004D416C" w:rsidP="00C57B6C">
          <w:pPr>
            <w:pStyle w:val="Piedepgina"/>
            <w:jc w:val="center"/>
            <w:rPr>
              <w:b/>
            </w:rPr>
          </w:pPr>
          <w:r>
            <w:rPr>
              <w:b/>
              <w:noProof/>
            </w:rPr>
            <w:drawing>
              <wp:inline distT="0" distB="0" distL="0" distR="0" wp14:anchorId="541BAD26" wp14:editId="01EEF6B0">
                <wp:extent cx="457200" cy="262800"/>
                <wp:effectExtent l="0" t="0" r="0" b="4445"/>
                <wp:docPr id="1" name="Imagen 1" descr="Imagen que contiene utensilios de cocina,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utensilios de cocina, dibuj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457200" cy="262800"/>
                        </a:xfrm>
                        <a:prstGeom prst="rect">
                          <a:avLst/>
                        </a:prstGeom>
                      </pic:spPr>
                    </pic:pic>
                  </a:graphicData>
                </a:graphic>
              </wp:inline>
            </w:drawing>
          </w:r>
        </w:p>
      </w:tc>
    </w:tr>
    <w:tr w:rsidR="004D416C" w14:paraId="4A831B97" w14:textId="77777777" w:rsidTr="00C57B6C">
      <w:trPr>
        <w:trHeight w:val="323"/>
        <w:jc w:val="center"/>
      </w:trPr>
      <w:tc>
        <w:tcPr>
          <w:tcW w:w="8494" w:type="dxa"/>
        </w:tcPr>
        <w:p w14:paraId="53038E9E" w14:textId="1C5CF65A" w:rsidR="004D416C" w:rsidRPr="00AB7CD4" w:rsidRDefault="004D416C" w:rsidP="004B45BE">
          <w:pPr>
            <w:pStyle w:val="Piedepgina"/>
            <w:tabs>
              <w:tab w:val="left" w:pos="210"/>
              <w:tab w:val="center" w:pos="4139"/>
            </w:tabs>
            <w:jc w:val="center"/>
            <w:rPr>
              <w:noProof/>
            </w:rPr>
          </w:pPr>
          <w:r w:rsidRPr="000915ED">
            <w:rPr>
              <w:b/>
            </w:rPr>
            <w:fldChar w:fldCharType="begin"/>
          </w:r>
          <w:r w:rsidRPr="000915ED">
            <w:rPr>
              <w:b/>
            </w:rPr>
            <w:instrText>PAGE   \* MERGEFORMAT</w:instrText>
          </w:r>
          <w:r w:rsidRPr="000915ED">
            <w:rPr>
              <w:b/>
            </w:rPr>
            <w:fldChar w:fldCharType="separate"/>
          </w:r>
          <w:r>
            <w:rPr>
              <w:b/>
            </w:rPr>
            <w:t>4</w:t>
          </w:r>
          <w:r w:rsidRPr="000915ED">
            <w:rPr>
              <w:b/>
            </w:rPr>
            <w:fldChar w:fldCharType="end"/>
          </w:r>
        </w:p>
      </w:tc>
    </w:tr>
  </w:tbl>
  <w:p w14:paraId="534B2CFA" w14:textId="77777777" w:rsidR="004D416C" w:rsidRPr="00F43152" w:rsidRDefault="004D416C">
    <w:pPr>
      <w:pStyle w:val="Piedepgina"/>
      <w:rPr>
        <w:sz w:val="10"/>
        <w:szCs w:val="1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4D416C" w14:paraId="3AB18072" w14:textId="77777777" w:rsidTr="00B90EA4">
      <w:trPr>
        <w:jc w:val="center"/>
      </w:trPr>
      <w:tc>
        <w:tcPr>
          <w:tcW w:w="8494" w:type="dxa"/>
        </w:tcPr>
        <w:p w14:paraId="16078CCE" w14:textId="190622BC" w:rsidR="004D416C" w:rsidRDefault="004D416C" w:rsidP="007C1729">
          <w:pPr>
            <w:pStyle w:val="Piedepgina"/>
            <w:jc w:val="center"/>
            <w:rPr>
              <w:b/>
              <w:sz w:val="10"/>
              <w:szCs w:val="10"/>
            </w:rPr>
          </w:pPr>
        </w:p>
      </w:tc>
    </w:tr>
  </w:tbl>
  <w:p w14:paraId="107A8772" w14:textId="64FAA04B" w:rsidR="004D416C" w:rsidRPr="00E71133" w:rsidRDefault="004D416C">
    <w:pPr>
      <w:pStyle w:val="Piedepgina"/>
      <w:rPr>
        <w:sz w:val="10"/>
        <w:szCs w:val="1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E4926" w14:textId="67FCFE15" w:rsidR="004D416C" w:rsidRDefault="004D416C" w:rsidP="00FD5832">
    <w:pPr>
      <w:pStyle w:val="Piedepgina"/>
      <w:rPr>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4D416C" w14:paraId="11C4A02F" w14:textId="77777777" w:rsidTr="00C57B6C">
      <w:trPr>
        <w:trHeight w:val="323"/>
        <w:jc w:val="center"/>
      </w:trPr>
      <w:tc>
        <w:tcPr>
          <w:tcW w:w="8494" w:type="dxa"/>
        </w:tcPr>
        <w:p w14:paraId="76F435E6" w14:textId="2A5EE375" w:rsidR="004D416C" w:rsidRPr="00C649A9" w:rsidRDefault="004D416C" w:rsidP="00C57B6C">
          <w:pPr>
            <w:pStyle w:val="Piedepgina"/>
            <w:jc w:val="center"/>
            <w:rPr>
              <w:b/>
            </w:rPr>
          </w:pPr>
          <w:r>
            <w:rPr>
              <w:b/>
              <w:noProof/>
            </w:rPr>
            <w:drawing>
              <wp:inline distT="0" distB="0" distL="0" distR="0" wp14:anchorId="1548CEEE" wp14:editId="26FB6C5F">
                <wp:extent cx="457200" cy="262800"/>
                <wp:effectExtent l="0" t="0" r="0" b="4445"/>
                <wp:docPr id="47" name="Imagen 47" descr="Imagen que contiene utensilios de cocina,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utensilios de cocina, dibuj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457200" cy="262800"/>
                        </a:xfrm>
                        <a:prstGeom prst="rect">
                          <a:avLst/>
                        </a:prstGeom>
                      </pic:spPr>
                    </pic:pic>
                  </a:graphicData>
                </a:graphic>
              </wp:inline>
            </w:drawing>
          </w:r>
        </w:p>
      </w:tc>
    </w:tr>
    <w:tr w:rsidR="004D416C" w14:paraId="0BBA9249" w14:textId="77777777" w:rsidTr="00C57B6C">
      <w:trPr>
        <w:trHeight w:val="323"/>
        <w:jc w:val="center"/>
      </w:trPr>
      <w:tc>
        <w:tcPr>
          <w:tcW w:w="8494" w:type="dxa"/>
        </w:tcPr>
        <w:p w14:paraId="04354C3E" w14:textId="5374CAF0" w:rsidR="004D416C" w:rsidRPr="00AB7CD4" w:rsidRDefault="004D416C" w:rsidP="00C57B6C">
          <w:pPr>
            <w:pStyle w:val="Piedepgina"/>
            <w:jc w:val="center"/>
            <w:rPr>
              <w:noProof/>
            </w:rPr>
          </w:pPr>
          <w:r w:rsidRPr="000915ED">
            <w:rPr>
              <w:b/>
            </w:rPr>
            <w:fldChar w:fldCharType="begin"/>
          </w:r>
          <w:r w:rsidRPr="000915ED">
            <w:rPr>
              <w:b/>
            </w:rPr>
            <w:instrText>PAGE   \* MERGEFORMAT</w:instrText>
          </w:r>
          <w:r w:rsidRPr="000915ED">
            <w:rPr>
              <w:b/>
            </w:rPr>
            <w:fldChar w:fldCharType="separate"/>
          </w:r>
          <w:r>
            <w:rPr>
              <w:b/>
            </w:rPr>
            <w:t>5</w:t>
          </w:r>
          <w:r w:rsidRPr="000915ED">
            <w:rPr>
              <w:b/>
            </w:rPr>
            <w:fldChar w:fldCharType="end"/>
          </w:r>
        </w:p>
      </w:tc>
    </w:tr>
  </w:tbl>
  <w:p w14:paraId="4C12C828" w14:textId="77777777" w:rsidR="004D416C" w:rsidRPr="00A140F9" w:rsidRDefault="004D416C" w:rsidP="00FD5832">
    <w:pPr>
      <w:pStyle w:val="Piedepgina"/>
      <w:rPr>
        <w:b/>
        <w:sz w:val="10"/>
        <w:szCs w:val="1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D7713" w14:textId="231769A6" w:rsidR="004D416C" w:rsidRPr="00C12B0A" w:rsidRDefault="004D416C">
    <w:pPr>
      <w:pStyle w:val="Piedepgina"/>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4D416C" w14:paraId="2A30DDFB" w14:textId="77777777" w:rsidTr="00017E5E">
      <w:trPr>
        <w:jc w:val="center"/>
      </w:trPr>
      <w:tc>
        <w:tcPr>
          <w:tcW w:w="8494" w:type="dxa"/>
        </w:tcPr>
        <w:p w14:paraId="7A16D51B" w14:textId="77777777" w:rsidR="004D416C" w:rsidRPr="000915ED" w:rsidRDefault="004D416C" w:rsidP="00C12B0A">
          <w:pPr>
            <w:pStyle w:val="Piedepgina"/>
            <w:jc w:val="center"/>
            <w:rPr>
              <w:sz w:val="10"/>
              <w:szCs w:val="10"/>
            </w:rPr>
          </w:pPr>
          <w:r w:rsidRPr="00AB7CD4">
            <w:rPr>
              <w:noProof/>
            </w:rPr>
            <w:drawing>
              <wp:inline distT="0" distB="0" distL="0" distR="0" wp14:anchorId="2FC0B6E2" wp14:editId="0F34C7A2">
                <wp:extent cx="496800" cy="208800"/>
                <wp:effectExtent l="0" t="0" r="0" b="127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96800" cy="208800"/>
                        </a:xfrm>
                        <a:prstGeom prst="rect">
                          <a:avLst/>
                        </a:prstGeom>
                      </pic:spPr>
                    </pic:pic>
                  </a:graphicData>
                </a:graphic>
              </wp:inline>
            </w:drawing>
          </w:r>
        </w:p>
        <w:sdt>
          <w:sdtPr>
            <w:rPr>
              <w:sz w:val="10"/>
              <w:szCs w:val="10"/>
            </w:rPr>
            <w:id w:val="-1363742566"/>
            <w:docPartObj>
              <w:docPartGallery w:val="Page Numbers (Bottom of Page)"/>
              <w:docPartUnique/>
            </w:docPartObj>
          </w:sdtPr>
          <w:sdtEndPr>
            <w:rPr>
              <w:b/>
              <w:sz w:val="24"/>
              <w:szCs w:val="24"/>
            </w:rPr>
          </w:sdtEndPr>
          <w:sdtContent>
            <w:p w14:paraId="58FA7600" w14:textId="77777777" w:rsidR="004D416C" w:rsidRPr="000915ED" w:rsidRDefault="004D416C" w:rsidP="00C12B0A">
              <w:pPr>
                <w:pStyle w:val="Piedepgina"/>
                <w:jc w:val="center"/>
                <w:rPr>
                  <w:sz w:val="10"/>
                  <w:szCs w:val="10"/>
                </w:rPr>
              </w:pPr>
              <w:r w:rsidRPr="000915ED">
                <w:rPr>
                  <w:b/>
                  <w:noProof/>
                  <w:sz w:val="10"/>
                  <w:szCs w:val="10"/>
                </w:rPr>
                <mc:AlternateContent>
                  <mc:Choice Requires="wps">
                    <w:drawing>
                      <wp:anchor distT="0" distB="0" distL="114300" distR="114300" simplePos="0" relativeHeight="251699200" behindDoc="0" locked="0" layoutInCell="1" allowOverlap="1" wp14:anchorId="76DB48EC" wp14:editId="1B4D0464">
                        <wp:simplePos x="0" y="0"/>
                        <wp:positionH relativeFrom="margin">
                          <wp:posOffset>2248535</wp:posOffset>
                        </wp:positionH>
                        <wp:positionV relativeFrom="paragraph">
                          <wp:posOffset>44449</wp:posOffset>
                        </wp:positionV>
                        <wp:extent cx="742950" cy="0"/>
                        <wp:effectExtent l="0" t="0" r="0" b="0"/>
                        <wp:wrapNone/>
                        <wp:docPr id="202" name="Conector recto 202"/>
                        <wp:cNvGraphicFramePr/>
                        <a:graphic xmlns:a="http://schemas.openxmlformats.org/drawingml/2006/main">
                          <a:graphicData uri="http://schemas.microsoft.com/office/word/2010/wordprocessingShape">
                            <wps:wsp>
                              <wps:cNvCnPr/>
                              <wps:spPr>
                                <a:xfrm flipV="1">
                                  <a:off x="0" y="0"/>
                                  <a:ext cx="742950" cy="0"/>
                                </a:xfrm>
                                <a:prstGeom prst="line">
                                  <a:avLst/>
                                </a:prstGeom>
                                <a:noFill/>
                                <a:ln w="12700" cap="flat" cmpd="sng" algn="ctr">
                                  <a:solidFill>
                                    <a:srgbClr val="9D223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EB05E8" id="Conector recto 202" o:spid="_x0000_s1026" style="position:absolute;flip:y;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7.05pt,3.5pt" to="235.5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" strokecolor="#9d2235" strokeweight="1pt">
                        <v:stroke joinstyle="miter"/>
                        <w10:wrap anchorx="margin"/>
                      </v:line>
                    </w:pict>
                  </mc:Fallback>
                </mc:AlternateContent>
              </w:r>
            </w:p>
            <w:p w14:paraId="1B8DCE52" w14:textId="77777777" w:rsidR="004D416C" w:rsidRDefault="004D416C" w:rsidP="00C12B0A">
              <w:pPr>
                <w:pStyle w:val="Piedepgina"/>
                <w:jc w:val="center"/>
                <w:rPr>
                  <w:b/>
                  <w:sz w:val="10"/>
                  <w:szCs w:val="10"/>
                </w:rPr>
              </w:pPr>
              <w:r w:rsidRPr="000915ED">
                <w:rPr>
                  <w:b/>
                </w:rPr>
                <w:fldChar w:fldCharType="begin"/>
              </w:r>
              <w:r w:rsidRPr="000915ED">
                <w:rPr>
                  <w:b/>
                </w:rPr>
                <w:instrText>PAGE   \* MERGEFORMAT</w:instrText>
              </w:r>
              <w:r w:rsidRPr="000915ED">
                <w:rPr>
                  <w:b/>
                </w:rPr>
                <w:fldChar w:fldCharType="separate"/>
              </w:r>
              <w:r>
                <w:rPr>
                  <w:b/>
                </w:rPr>
                <w:t>202</w:t>
              </w:r>
              <w:r w:rsidRPr="000915ED">
                <w:rPr>
                  <w:b/>
                </w:rPr>
                <w:fldChar w:fldCharType="end"/>
              </w:r>
            </w:p>
          </w:sdtContent>
        </w:sdt>
      </w:tc>
    </w:tr>
  </w:tbl>
  <w:p w14:paraId="543CC3B8" w14:textId="77777777" w:rsidR="004D416C" w:rsidRPr="00E71133" w:rsidRDefault="004D416C">
    <w:pPr>
      <w:pStyle w:val="Piedepgina"/>
      <w:rPr>
        <w:sz w:val="10"/>
        <w:szCs w:val="10"/>
      </w:rPr>
    </w:pPr>
  </w:p>
  <w:p w14:paraId="21510C91" w14:textId="77777777" w:rsidR="00F63FD5" w:rsidRDefault="00F63FD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A7A2EC" w14:textId="77777777" w:rsidR="00EA6FFF" w:rsidRDefault="00EA6FFF" w:rsidP="000E2A66">
      <w:pPr>
        <w:spacing w:after="0" w:line="240" w:lineRule="auto"/>
      </w:pPr>
      <w:r>
        <w:separator/>
      </w:r>
    </w:p>
  </w:footnote>
  <w:footnote w:type="continuationSeparator" w:id="0">
    <w:p w14:paraId="3E2AD67C" w14:textId="77777777" w:rsidR="00EA6FFF" w:rsidRDefault="00EA6FFF" w:rsidP="000E2A66">
      <w:pPr>
        <w:spacing w:after="0" w:line="240" w:lineRule="auto"/>
      </w:pPr>
      <w:r>
        <w:continuationSeparator/>
      </w:r>
    </w:p>
  </w:footnote>
  <w:footnote w:id="1">
    <w:p w14:paraId="76203480" w14:textId="77777777" w:rsidR="006C4E9B" w:rsidRDefault="006C4E9B" w:rsidP="006C4E9B">
      <w:pPr>
        <w:pStyle w:val="Textonotapie"/>
      </w:pPr>
      <w:r>
        <w:rPr>
          <w:rStyle w:val="Refdenotaalpie"/>
        </w:rPr>
        <w:footnoteRef/>
      </w:r>
      <w:r>
        <w:t xml:space="preserve"> </w:t>
      </w:r>
      <w:r w:rsidRPr="007F4710">
        <w:t>Muñoz, G. (17 de noviembre</w:t>
      </w:r>
      <w:r>
        <w:t xml:space="preserve">, </w:t>
      </w:r>
      <w:r w:rsidRPr="007F4710">
        <w:t xml:space="preserve">2021). Els llibres impactants. El </w:t>
      </w:r>
      <w:r>
        <w:t xml:space="preserve">Diario. </w:t>
      </w:r>
      <w:hyperlink r:id="rId1" w:history="1">
        <w:r w:rsidRPr="00F44873">
          <w:rPr>
            <w:rStyle w:val="Hipervnculo"/>
          </w:rPr>
          <w:t>https://www.eldiario.es/comunitat-valenciana/notes-de-lectura/els-llibres-impactants_132_8499966.html</w:t>
        </w:r>
      </w:hyperlink>
      <w:r>
        <w:t xml:space="preserve"> </w:t>
      </w:r>
    </w:p>
  </w:footnote>
  <w:footnote w:id="2">
    <w:p w14:paraId="4C8B0A89" w14:textId="77777777" w:rsidR="006C4E9B" w:rsidRPr="00B92728" w:rsidRDefault="006C4E9B" w:rsidP="006C4E9B">
      <w:pPr>
        <w:pStyle w:val="Textonotapie"/>
        <w:rPr>
          <w:lang w:val="en-US"/>
        </w:rPr>
      </w:pPr>
      <w:r>
        <w:rPr>
          <w:rStyle w:val="Refdenotaalpie"/>
        </w:rPr>
        <w:footnoteRef/>
      </w:r>
      <w:r>
        <w:t xml:space="preserve"> </w:t>
      </w:r>
      <w:r w:rsidRPr="002F62D2">
        <w:t>Díaz-Guerra</w:t>
      </w:r>
      <w:r>
        <w:t>, I. (</w:t>
      </w:r>
      <w:r w:rsidRPr="002F62D2">
        <w:t xml:space="preserve">21 </w:t>
      </w:r>
      <w:r>
        <w:t xml:space="preserve">de </w:t>
      </w:r>
      <w:r w:rsidRPr="002F62D2">
        <w:t>octubre</w:t>
      </w:r>
      <w:r>
        <w:t>,</w:t>
      </w:r>
      <w:r w:rsidRPr="002F62D2">
        <w:t xml:space="preserve"> 2021</w:t>
      </w:r>
      <w:r>
        <w:t xml:space="preserve">). </w:t>
      </w:r>
      <w:r w:rsidRPr="002F62D2">
        <w:t>Rodrigo Terrasa: "La corrupción en Valencia fue una mezcla entre Gomorra y Los bingueros"</w:t>
      </w:r>
      <w:r>
        <w:t xml:space="preserve">. </w:t>
      </w:r>
      <w:r w:rsidRPr="00B92728">
        <w:rPr>
          <w:lang w:val="en-US"/>
        </w:rPr>
        <w:t xml:space="preserve">El Mundo. </w:t>
      </w:r>
      <w:hyperlink r:id="rId2" w:history="1">
        <w:r w:rsidRPr="00B92728">
          <w:rPr>
            <w:rStyle w:val="Hipervnculo"/>
            <w:lang w:val="en-US"/>
          </w:rPr>
          <w:t>https://www.elmundo.es/papel/historias/2021/10/21/616ef375e4d4d8be358b4599.html</w:t>
        </w:r>
      </w:hyperlink>
      <w:r w:rsidRPr="00B92728">
        <w:rPr>
          <w:lang w:val="en-US"/>
        </w:rPr>
        <w:t xml:space="preserve"> </w:t>
      </w:r>
    </w:p>
  </w:footnote>
  <w:footnote w:id="3">
    <w:p w14:paraId="28407312" w14:textId="77777777" w:rsidR="006C4E9B" w:rsidRPr="00560061" w:rsidRDefault="006C4E9B" w:rsidP="006C4E9B">
      <w:pPr>
        <w:rPr>
          <w:rFonts w:ascii="Arial" w:hAnsi="Arial" w:cs="Arial"/>
          <w:sz w:val="21"/>
          <w:szCs w:val="21"/>
        </w:rPr>
      </w:pPr>
      <w:r>
        <w:rPr>
          <w:rStyle w:val="Refdenotaalpie"/>
        </w:rPr>
        <w:footnoteRef/>
      </w:r>
      <w:r w:rsidRPr="00B92728">
        <w:rPr>
          <w:lang w:val="en-US"/>
        </w:rPr>
        <w:t xml:space="preserve"> </w:t>
      </w:r>
      <w:r w:rsidRPr="00B92728">
        <w:rPr>
          <w:rFonts w:ascii="Arial" w:hAnsi="Arial" w:cs="Arial"/>
          <w:sz w:val="21"/>
          <w:szCs w:val="21"/>
          <w:lang w:val="en-US"/>
        </w:rPr>
        <w:t xml:space="preserve">International Federation of Library Associations and Institutions. </w:t>
      </w:r>
      <w:r w:rsidRPr="00560061">
        <w:rPr>
          <w:rFonts w:ascii="Arial" w:hAnsi="Arial" w:cs="Arial"/>
          <w:sz w:val="21"/>
          <w:szCs w:val="21"/>
        </w:rPr>
        <w:t xml:space="preserve">(2009). Manifiesto de la IFLA sobre Transparencia, Buen Gobierno y Erradicación de la Corrupción. Disponible en: </w:t>
      </w:r>
      <w:hyperlink r:id="rId3" w:history="1">
        <w:r w:rsidRPr="00560061">
          <w:rPr>
            <w:rStyle w:val="Hipervnculo"/>
            <w:rFonts w:ascii="Arial" w:hAnsi="Arial" w:cs="Arial"/>
            <w:sz w:val="21"/>
            <w:szCs w:val="21"/>
          </w:rPr>
          <w:t>https://repository.ifla.org/handle/123456789/1593</w:t>
        </w:r>
      </w:hyperlink>
    </w:p>
    <w:p w14:paraId="4B8B3C60" w14:textId="77777777" w:rsidR="006C4E9B" w:rsidRDefault="006C4E9B" w:rsidP="006C4E9B">
      <w:pPr>
        <w:pStyle w:val="Textonotapie"/>
      </w:pPr>
    </w:p>
  </w:footnote>
  <w:footnote w:id="4">
    <w:p w14:paraId="35D515FE" w14:textId="2DF4962E" w:rsidR="0007304E" w:rsidRPr="00287580" w:rsidRDefault="0007304E" w:rsidP="0007304E">
      <w:pPr>
        <w:pStyle w:val="Textonotapie"/>
        <w:rPr>
          <w:rFonts w:ascii="Arial" w:hAnsi="Arial" w:cs="Arial"/>
          <w:sz w:val="18"/>
          <w:szCs w:val="18"/>
        </w:rPr>
      </w:pPr>
      <w:r w:rsidRPr="00287580">
        <w:rPr>
          <w:rStyle w:val="Refdenotaalpie"/>
          <w:rFonts w:ascii="Arial" w:hAnsi="Arial"/>
          <w:sz w:val="18"/>
          <w:szCs w:val="18"/>
        </w:rPr>
        <w:sym w:font="Symbol" w:char="F02A"/>
      </w:r>
      <w:r w:rsidRPr="00287580">
        <w:rPr>
          <w:rFonts w:ascii="Arial" w:hAnsi="Arial" w:cs="Arial"/>
          <w:sz w:val="18"/>
          <w:szCs w:val="18"/>
        </w:rPr>
        <w:t xml:space="preserve"> Se muestra en la tabla las cantidades correspondientes a la modificación presupuestaria antes referida, realizada con motivo de la devolución a la Conselleria de </w:t>
      </w:r>
      <w:r>
        <w:rPr>
          <w:rFonts w:ascii="Arial" w:hAnsi="Arial" w:cs="Arial"/>
          <w:sz w:val="18"/>
          <w:szCs w:val="18"/>
        </w:rPr>
        <w:t xml:space="preserve">  </w:t>
      </w:r>
      <w:r w:rsidRPr="00287580">
        <w:rPr>
          <w:rFonts w:ascii="Arial" w:hAnsi="Arial" w:cs="Arial"/>
          <w:sz w:val="18"/>
          <w:szCs w:val="18"/>
        </w:rPr>
        <w:t>Hacienda de los remanentes acumulados durante los últimos tres ejercicios</w:t>
      </w:r>
      <w:r>
        <w:rPr>
          <w:rFonts w:ascii="Arial" w:hAnsi="Arial" w:cs="Arial"/>
          <w:sz w:val="18"/>
          <w:szCs w:val="18"/>
        </w:rPr>
        <w:t>.</w:t>
      </w:r>
    </w:p>
  </w:footnote>
  <w:footnote w:id="5">
    <w:p w14:paraId="1C8E68EC" w14:textId="4987EFDC" w:rsidR="0007304E" w:rsidRPr="00287580" w:rsidRDefault="0007304E" w:rsidP="0007304E">
      <w:pPr>
        <w:pStyle w:val="Textonotapie"/>
        <w:rPr>
          <w:rFonts w:ascii="Arial" w:hAnsi="Arial" w:cs="Arial"/>
          <w:sz w:val="18"/>
          <w:szCs w:val="18"/>
        </w:rPr>
      </w:pPr>
    </w:p>
  </w:footnote>
  <w:footnote w:id="6">
    <w:p w14:paraId="21E2FD31" w14:textId="77777777" w:rsidR="002601BF" w:rsidRPr="00106359" w:rsidRDefault="002601BF" w:rsidP="002601BF">
      <w:pPr>
        <w:pStyle w:val="Textonotapie"/>
        <w:rPr>
          <w:rFonts w:ascii="Arial" w:hAnsi="Arial" w:cs="Arial"/>
          <w:sz w:val="18"/>
          <w:szCs w:val="18"/>
        </w:rPr>
      </w:pPr>
      <w:r w:rsidRPr="00106359">
        <w:rPr>
          <w:rStyle w:val="Refdenotaalpie"/>
        </w:rPr>
        <w:sym w:font="Symbol" w:char="F02A"/>
      </w:r>
      <w:r>
        <w:t xml:space="preserve"> </w:t>
      </w:r>
      <w:r w:rsidRPr="00106359">
        <w:rPr>
          <w:rFonts w:ascii="Arial" w:hAnsi="Arial" w:cs="Arial"/>
          <w:sz w:val="18"/>
          <w:szCs w:val="18"/>
        </w:rPr>
        <w:t>Se muestra en la tabla las cantidades correspondientes a la modificación presupuestaria antes referida, realizada con motivo de la devolución a la Conselleria de Hacienda de los remanentes acumulados durante los últimos tres ejercicios</w:t>
      </w:r>
    </w:p>
  </w:footnote>
  <w:footnote w:id="7">
    <w:p w14:paraId="5EB995A3" w14:textId="77777777" w:rsidR="006B65FB" w:rsidRDefault="006B65FB" w:rsidP="006B65FB">
      <w:pPr>
        <w:pStyle w:val="Textonotapie"/>
      </w:pPr>
      <w:r w:rsidRPr="007D3DB8">
        <w:rPr>
          <w:rStyle w:val="Refdenotaalpie"/>
          <w:rFonts w:ascii="Arial" w:hAnsi="Arial" w:cs="Arial"/>
          <w:sz w:val="16"/>
          <w:szCs w:val="16"/>
        </w:rPr>
        <w:footnoteRef/>
      </w:r>
      <w:r w:rsidRPr="007D3DB8">
        <w:rPr>
          <w:rFonts w:ascii="Arial" w:hAnsi="Arial" w:cs="Arial"/>
          <w:sz w:val="16"/>
          <w:szCs w:val="16"/>
        </w:rPr>
        <w:t xml:space="preserve"> Sentencia del Tribunal Supremo de 8 de julio de 2015 (STS 3614/2015), fundamento de derecho 4º</w:t>
      </w:r>
      <w:r>
        <w:t>.</w:t>
      </w:r>
    </w:p>
  </w:footnote>
  <w:footnote w:id="8">
    <w:p w14:paraId="10AE6AE8" w14:textId="77777777" w:rsidR="006B65FB" w:rsidRPr="000A3659" w:rsidRDefault="006B65FB" w:rsidP="006B65FB">
      <w:pPr>
        <w:pStyle w:val="Textonotapie"/>
        <w:jc w:val="both"/>
        <w:rPr>
          <w:rFonts w:ascii="Arial" w:hAnsi="Arial" w:cs="Arial"/>
          <w:sz w:val="16"/>
          <w:szCs w:val="16"/>
        </w:rPr>
      </w:pPr>
      <w:r>
        <w:rPr>
          <w:rStyle w:val="Refdenotaalpie"/>
        </w:rPr>
        <w:footnoteRef/>
      </w:r>
      <w:r>
        <w:t xml:space="preserve"> </w:t>
      </w:r>
      <w:r w:rsidRPr="000A3659">
        <w:rPr>
          <w:rFonts w:ascii="Arial" w:hAnsi="Arial" w:cs="Arial"/>
          <w:sz w:val="16"/>
          <w:szCs w:val="16"/>
        </w:rPr>
        <w:t>Carles Ramió (2016) La renovación de la función pública: estrategias para frenar la corrupción política en España. Pg 170 y 174. Editorial Catarata.</w:t>
      </w:r>
    </w:p>
    <w:p w14:paraId="0E47EDD9" w14:textId="77777777" w:rsidR="006B65FB" w:rsidRPr="000A3659" w:rsidRDefault="006B65FB" w:rsidP="006B65FB">
      <w:pPr>
        <w:pStyle w:val="Textonotapie"/>
        <w:jc w:val="both"/>
        <w:rPr>
          <w:rFonts w:ascii="Arial" w:hAnsi="Arial" w:cs="Arial"/>
          <w:sz w:val="16"/>
          <w:szCs w:val="16"/>
        </w:rPr>
      </w:pPr>
    </w:p>
  </w:footnote>
  <w:footnote w:id="9">
    <w:p w14:paraId="64E02B42" w14:textId="1587BFE3" w:rsidR="00592E9A" w:rsidRPr="00B307E1" w:rsidRDefault="00592E9A" w:rsidP="00592E9A">
      <w:pPr>
        <w:pStyle w:val="Textonotapie"/>
        <w:jc w:val="both"/>
      </w:pPr>
      <w:r>
        <w:rPr>
          <w:rStyle w:val="Refdenotaalpie"/>
        </w:rPr>
        <w:footnoteRef/>
      </w:r>
      <w:r>
        <w:t xml:space="preserve"> Brown, Wendy (2017). </w:t>
      </w:r>
      <w:r>
        <w:rPr>
          <w:i/>
          <w:iCs/>
        </w:rPr>
        <w:t xml:space="preserve">El pueblo sin atributos. La secreta revolución del neoliberalismo. </w:t>
      </w:r>
      <w:r>
        <w:t>Madrid: Malpaso.</w:t>
      </w:r>
    </w:p>
  </w:footnote>
  <w:footnote w:id="10">
    <w:p w14:paraId="06E86CC7" w14:textId="77777777" w:rsidR="00592E9A" w:rsidRPr="00905454" w:rsidRDefault="00592E9A" w:rsidP="00592E9A">
      <w:pPr>
        <w:pStyle w:val="Textonotapie"/>
        <w:jc w:val="both"/>
        <w:rPr>
          <w:rFonts w:ascii="Arial" w:eastAsia="Times New Roman" w:hAnsi="Arial" w:cs="Arial"/>
          <w:color w:val="444444"/>
          <w:sz w:val="45"/>
          <w:szCs w:val="45"/>
          <w:lang w:eastAsia="es-ES"/>
        </w:rPr>
      </w:pPr>
      <w:r>
        <w:rPr>
          <w:rStyle w:val="Refdenotaalpie"/>
        </w:rPr>
        <w:footnoteRef/>
      </w:r>
      <w:r>
        <w:t xml:space="preserve"> Alcalá, Francisco, y Fernando Jiménez (2018). </w:t>
      </w:r>
      <w:r>
        <w:rPr>
          <w:i/>
          <w:iCs/>
        </w:rPr>
        <w:t xml:space="preserve">Los costes económicos del déficit de calidad institucional y la corrupción en España. </w:t>
      </w:r>
      <w:r>
        <w:t>Madrid: Fundación BBVA.</w:t>
      </w:r>
    </w:p>
    <w:p w14:paraId="1DA1D40E" w14:textId="77777777" w:rsidR="00592E9A" w:rsidRDefault="00592E9A" w:rsidP="00592E9A">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4D416C" w14:paraId="4827B884" w14:textId="1AC85977" w:rsidTr="0095711F">
      <w:tc>
        <w:tcPr>
          <w:tcW w:w="8494" w:type="dxa"/>
        </w:tcPr>
        <w:p w14:paraId="7E88BBB4" w14:textId="7F2C3942" w:rsidR="004D416C" w:rsidRPr="008145AC" w:rsidRDefault="004D416C" w:rsidP="000826AD">
          <w:pPr>
            <w:spacing w:line="288" w:lineRule="auto"/>
            <w:rPr>
              <w:rFonts w:ascii="Arial" w:eastAsia="Times New Roman" w:hAnsi="Arial" w:cs="Arial"/>
              <w:smallCaps/>
              <w:color w:val="9D2235"/>
              <w:sz w:val="19"/>
              <w:szCs w:val="19"/>
              <w:lang w:eastAsia="es-ES"/>
            </w:rPr>
          </w:pPr>
          <w:bookmarkStart w:id="0" w:name="_Hlk35951285"/>
          <w:r>
            <w:rPr>
              <w:rFonts w:ascii="Arial" w:eastAsia="Times New Roman" w:hAnsi="Arial" w:cs="Arial"/>
              <w:b/>
              <w:bCs/>
              <w:smallCaps/>
              <w:color w:val="9D2235"/>
              <w:sz w:val="19"/>
              <w:szCs w:val="19"/>
              <w:lang w:eastAsia="es-ES"/>
            </w:rPr>
            <w:t>Memoria de actividad de la Agencia Valenciana Antifraude</w:t>
          </w:r>
        </w:p>
        <w:p w14:paraId="5E95D51C" w14:textId="2DB9FFC8" w:rsidR="004D416C" w:rsidRPr="004D194D" w:rsidRDefault="004D416C" w:rsidP="000826AD">
          <w:pPr>
            <w:spacing w:line="288" w:lineRule="auto"/>
            <w:rPr>
              <w:rFonts w:ascii="Arial" w:hAnsi="Arial" w:cs="Arial"/>
              <w:b/>
              <w:bCs/>
              <w:smallCaps/>
              <w:color w:val="FFFFFF" w:themeColor="background1"/>
              <w:sz w:val="19"/>
              <w:szCs w:val="19"/>
              <w:highlight w:val="darkRed"/>
            </w:rPr>
          </w:pPr>
          <w:r w:rsidRPr="004D194D">
            <w:rPr>
              <w:rFonts w:ascii="Arial" w:hAnsi="Arial" w:cs="Arial"/>
              <w:b/>
              <w:bCs/>
              <w:smallCaps/>
              <w:color w:val="FFFFFF" w:themeColor="background1"/>
              <w:sz w:val="19"/>
              <w:szCs w:val="19"/>
              <w:highlight w:val="darkRed"/>
            </w:rPr>
            <w:t>202</w:t>
          </w:r>
          <w:r w:rsidR="001239E5">
            <w:rPr>
              <w:rFonts w:ascii="Arial" w:hAnsi="Arial" w:cs="Arial"/>
              <w:b/>
              <w:bCs/>
              <w:smallCaps/>
              <w:color w:val="FFFFFF" w:themeColor="background1"/>
              <w:sz w:val="19"/>
              <w:szCs w:val="19"/>
              <w:highlight w:val="darkRed"/>
            </w:rPr>
            <w:t>1</w:t>
          </w:r>
        </w:p>
        <w:p w14:paraId="351D8297" w14:textId="77777777" w:rsidR="004D416C" w:rsidRDefault="004D416C" w:rsidP="000826AD">
          <w:pPr>
            <w:spacing w:line="288" w:lineRule="auto"/>
            <w:rPr>
              <w:rFonts w:ascii="Open Sans" w:eastAsia="Times New Roman" w:hAnsi="Open Sans" w:cs="Open Sans"/>
              <w:b/>
              <w:bCs/>
              <w:smallCaps/>
              <w:color w:val="94070A"/>
              <w:sz w:val="18"/>
              <w:szCs w:val="18"/>
              <w:lang w:eastAsia="es-ES"/>
            </w:rPr>
          </w:pPr>
        </w:p>
      </w:tc>
    </w:tr>
    <w:bookmarkEnd w:id="0"/>
  </w:tbl>
  <w:p w14:paraId="36DE7BBE" w14:textId="5DDCE777" w:rsidR="004D416C" w:rsidRPr="00E71133" w:rsidRDefault="004D416C">
    <w:pPr>
      <w:pStyle w:val="Encabezado"/>
      <w:rPr>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tblGrid>
    <w:tr w:rsidR="004D416C" w:rsidRPr="008637FD" w14:paraId="551740F5" w14:textId="77777777" w:rsidTr="000826AD">
      <w:tc>
        <w:tcPr>
          <w:tcW w:w="8500" w:type="dxa"/>
        </w:tcPr>
        <w:p w14:paraId="38209595" w14:textId="77777777" w:rsidR="004D416C" w:rsidRPr="008637FD" w:rsidRDefault="004D416C" w:rsidP="0049550C">
          <w:pPr>
            <w:spacing w:line="288" w:lineRule="auto"/>
            <w:jc w:val="right"/>
            <w:rPr>
              <w:rFonts w:ascii="Open Sans" w:eastAsia="Times New Roman" w:hAnsi="Open Sans" w:cs="Open Sans"/>
              <w:b/>
              <w:bCs/>
              <w:smallCaps/>
              <w:color w:val="9D2235"/>
              <w:sz w:val="19"/>
              <w:szCs w:val="19"/>
              <w:lang w:eastAsia="es-ES"/>
            </w:rPr>
          </w:pPr>
          <w:bookmarkStart w:id="1" w:name="_Hlk34119562"/>
        </w:p>
      </w:tc>
    </w:tr>
    <w:bookmarkEnd w:id="1"/>
  </w:tbl>
  <w:p w14:paraId="7823C9F2" w14:textId="77777777" w:rsidR="004D416C" w:rsidRPr="00E71133" w:rsidRDefault="004D416C" w:rsidP="00851C2E">
    <w:pPr>
      <w:spacing w:after="0" w:line="288" w:lineRule="auto"/>
      <w:rPr>
        <w:rFonts w:ascii="Open Sans" w:eastAsia="Times New Roman" w:hAnsi="Open Sans" w:cs="Open Sans"/>
        <w:b/>
        <w:bCs/>
        <w:smallCaps/>
        <w:color w:val="94070A"/>
        <w:sz w:val="10"/>
        <w:szCs w:val="10"/>
        <w:lang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8660"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60"/>
    </w:tblGrid>
    <w:tr w:rsidR="004D416C" w:rsidRPr="008637FD" w14:paraId="34B38B6C" w14:textId="77777777" w:rsidTr="00DA7680">
      <w:trPr>
        <w:trHeight w:val="971"/>
        <w:jc w:val="right"/>
      </w:trPr>
      <w:tc>
        <w:tcPr>
          <w:tcW w:w="8660" w:type="dxa"/>
        </w:tcPr>
        <w:p w14:paraId="15626B20" w14:textId="77777777" w:rsidR="004D416C" w:rsidRPr="008145AC" w:rsidRDefault="004D416C" w:rsidP="00B30380">
          <w:pPr>
            <w:spacing w:line="288" w:lineRule="auto"/>
            <w:jc w:val="right"/>
            <w:rPr>
              <w:rFonts w:ascii="Arial" w:eastAsia="Times New Roman" w:hAnsi="Arial" w:cs="Arial"/>
              <w:color w:val="9D2235"/>
              <w:sz w:val="19"/>
              <w:szCs w:val="19"/>
              <w:lang w:eastAsia="es-ES"/>
            </w:rPr>
          </w:pPr>
          <w:r w:rsidRPr="008145AC">
            <w:rPr>
              <w:rFonts w:ascii="Arial" w:eastAsia="Times New Roman" w:hAnsi="Arial" w:cs="Arial"/>
              <w:b/>
              <w:bCs/>
              <w:smallCaps/>
              <w:color w:val="9D2235"/>
              <w:sz w:val="19"/>
              <w:szCs w:val="19"/>
              <w:lang w:eastAsia="es-ES"/>
            </w:rPr>
            <w:t>Memoria de actividad de la Agencia Valenciana Antifraude</w:t>
          </w:r>
        </w:p>
        <w:p w14:paraId="7BB467FD" w14:textId="7737CCC4" w:rsidR="004D416C" w:rsidRPr="004D194D" w:rsidRDefault="004D416C" w:rsidP="00A03993">
          <w:pPr>
            <w:spacing w:line="288" w:lineRule="auto"/>
            <w:jc w:val="right"/>
            <w:rPr>
              <w:rFonts w:ascii="Arial" w:hAnsi="Arial" w:cs="Arial"/>
              <w:b/>
              <w:bCs/>
              <w:smallCaps/>
              <w:color w:val="FFFFFF" w:themeColor="background1"/>
              <w:sz w:val="19"/>
              <w:szCs w:val="19"/>
              <w:highlight w:val="darkRed"/>
            </w:rPr>
          </w:pPr>
          <w:r w:rsidRPr="004D194D">
            <w:rPr>
              <w:rFonts w:ascii="Arial" w:hAnsi="Arial" w:cs="Arial"/>
              <w:b/>
              <w:bCs/>
              <w:smallCaps/>
              <w:color w:val="FFFFFF" w:themeColor="background1"/>
              <w:sz w:val="19"/>
              <w:szCs w:val="19"/>
              <w:highlight w:val="darkRed"/>
            </w:rPr>
            <w:t>202</w:t>
          </w:r>
          <w:r w:rsidR="003257AB">
            <w:rPr>
              <w:rFonts w:ascii="Arial" w:hAnsi="Arial" w:cs="Arial"/>
              <w:b/>
              <w:bCs/>
              <w:smallCaps/>
              <w:color w:val="FFFFFF" w:themeColor="background1"/>
              <w:sz w:val="19"/>
              <w:szCs w:val="19"/>
              <w:highlight w:val="darkRed"/>
            </w:rPr>
            <w:t>1</w:t>
          </w:r>
        </w:p>
        <w:p w14:paraId="79F48587" w14:textId="77777777" w:rsidR="004D416C" w:rsidRPr="008637FD" w:rsidRDefault="004D416C" w:rsidP="0049550C">
          <w:pPr>
            <w:spacing w:line="288" w:lineRule="auto"/>
            <w:jc w:val="right"/>
            <w:rPr>
              <w:rFonts w:ascii="Open Sans" w:eastAsia="Times New Roman" w:hAnsi="Open Sans" w:cs="Open Sans"/>
              <w:b/>
              <w:bCs/>
              <w:smallCaps/>
              <w:color w:val="9D2235"/>
              <w:sz w:val="19"/>
              <w:szCs w:val="19"/>
              <w:lang w:eastAsia="es-ES"/>
            </w:rPr>
          </w:pPr>
        </w:p>
      </w:tc>
    </w:tr>
  </w:tbl>
  <w:p w14:paraId="66F87FFB" w14:textId="77777777" w:rsidR="004D416C" w:rsidRPr="00E71133" w:rsidRDefault="004D416C" w:rsidP="00851C2E">
    <w:pPr>
      <w:spacing w:after="0" w:line="288" w:lineRule="auto"/>
      <w:rPr>
        <w:rFonts w:ascii="Open Sans" w:eastAsia="Times New Roman" w:hAnsi="Open Sans" w:cs="Open Sans"/>
        <w:b/>
        <w:bCs/>
        <w:smallCaps/>
        <w:color w:val="94070A"/>
        <w:sz w:val="10"/>
        <w:szCs w:val="10"/>
        <w:lang w:eastAsia="es-E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9F6D85" w14:paraId="31F7D1F9" w14:textId="77777777" w:rsidTr="003F06BB">
      <w:trPr>
        <w:trHeight w:val="837"/>
        <w:jc w:val="right"/>
      </w:trPr>
      <w:tc>
        <w:tcPr>
          <w:tcW w:w="9455" w:type="dxa"/>
        </w:tcPr>
        <w:p w14:paraId="5A89295B" w14:textId="1212CBED" w:rsidR="009F6D85" w:rsidRPr="008145AC" w:rsidRDefault="009F6D85" w:rsidP="00797DFD">
          <w:pPr>
            <w:spacing w:line="288" w:lineRule="auto"/>
            <w:jc w:val="right"/>
            <w:rPr>
              <w:rFonts w:ascii="Arial" w:eastAsia="Times New Roman" w:hAnsi="Arial" w:cs="Arial"/>
              <w:smallCaps/>
              <w:color w:val="9D2235"/>
              <w:sz w:val="19"/>
              <w:szCs w:val="19"/>
              <w:lang w:eastAsia="es-ES"/>
            </w:rPr>
          </w:pPr>
          <w:r>
            <w:rPr>
              <w:rFonts w:ascii="Arial" w:eastAsia="Times New Roman" w:hAnsi="Arial" w:cs="Arial"/>
              <w:b/>
              <w:bCs/>
              <w:smallCaps/>
              <w:color w:val="9D2235"/>
              <w:sz w:val="19"/>
              <w:szCs w:val="19"/>
              <w:lang w:eastAsia="es-ES"/>
            </w:rPr>
            <w:t>Memoria de actividad de la Agencia Valenciana Antifraude</w:t>
          </w:r>
        </w:p>
        <w:p w14:paraId="5B047C45" w14:textId="5B8B8D9F" w:rsidR="009F6D85" w:rsidRPr="004D194D" w:rsidRDefault="009F6D85" w:rsidP="00797DFD">
          <w:pPr>
            <w:spacing w:line="288" w:lineRule="auto"/>
            <w:jc w:val="right"/>
            <w:rPr>
              <w:rFonts w:ascii="Arial" w:hAnsi="Arial" w:cs="Arial"/>
              <w:b/>
              <w:bCs/>
              <w:smallCaps/>
              <w:color w:val="FFFFFF" w:themeColor="background1"/>
              <w:sz w:val="19"/>
              <w:szCs w:val="19"/>
              <w:highlight w:val="darkRed"/>
            </w:rPr>
          </w:pPr>
          <w:r w:rsidRPr="004D194D">
            <w:rPr>
              <w:rFonts w:ascii="Arial" w:hAnsi="Arial" w:cs="Arial"/>
              <w:b/>
              <w:bCs/>
              <w:smallCaps/>
              <w:color w:val="FFFFFF" w:themeColor="background1"/>
              <w:sz w:val="19"/>
              <w:szCs w:val="19"/>
              <w:highlight w:val="darkRed"/>
            </w:rPr>
            <w:t>202</w:t>
          </w:r>
          <w:r w:rsidR="00AA43FE">
            <w:rPr>
              <w:rFonts w:ascii="Arial" w:hAnsi="Arial" w:cs="Arial"/>
              <w:b/>
              <w:bCs/>
              <w:smallCaps/>
              <w:color w:val="FFFFFF" w:themeColor="background1"/>
              <w:sz w:val="19"/>
              <w:szCs w:val="19"/>
              <w:highlight w:val="darkRed"/>
            </w:rPr>
            <w:t>1</w:t>
          </w:r>
        </w:p>
        <w:p w14:paraId="562058B4" w14:textId="77777777" w:rsidR="009F6D85" w:rsidRDefault="009F6D85" w:rsidP="000826AD">
          <w:pPr>
            <w:spacing w:line="288" w:lineRule="auto"/>
            <w:rPr>
              <w:rFonts w:ascii="Open Sans" w:eastAsia="Times New Roman" w:hAnsi="Open Sans" w:cs="Open Sans"/>
              <w:b/>
              <w:bCs/>
              <w:smallCaps/>
              <w:color w:val="94070A"/>
              <w:sz w:val="18"/>
              <w:szCs w:val="18"/>
              <w:lang w:eastAsia="es-ES"/>
            </w:rPr>
          </w:pPr>
        </w:p>
      </w:tc>
    </w:tr>
    <w:tr w:rsidR="00797DFD" w14:paraId="7210A933" w14:textId="77777777" w:rsidTr="003F06BB">
      <w:trPr>
        <w:trHeight w:val="265"/>
        <w:jc w:val="right"/>
      </w:trPr>
      <w:tc>
        <w:tcPr>
          <w:tcW w:w="9455" w:type="dxa"/>
        </w:tcPr>
        <w:p w14:paraId="0C0334E3" w14:textId="77777777" w:rsidR="00797DFD" w:rsidRDefault="00797DFD" w:rsidP="000826AD">
          <w:pPr>
            <w:spacing w:line="288" w:lineRule="auto"/>
            <w:rPr>
              <w:rFonts w:ascii="Arial" w:eastAsia="Times New Roman" w:hAnsi="Arial" w:cs="Arial"/>
              <w:b/>
              <w:bCs/>
              <w:smallCaps/>
              <w:color w:val="9D2235"/>
              <w:sz w:val="19"/>
              <w:szCs w:val="19"/>
              <w:lang w:eastAsia="es-ES"/>
            </w:rPr>
          </w:pPr>
        </w:p>
      </w:tc>
    </w:tr>
  </w:tbl>
  <w:p w14:paraId="0B3F1C78" w14:textId="77777777" w:rsidR="009F6D85" w:rsidRPr="00E71133" w:rsidRDefault="009F6D85">
    <w:pPr>
      <w:pStyle w:val="Encabezado"/>
      <w:rPr>
        <w:sz w:val="10"/>
        <w:szCs w:val="1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7"/>
    </w:tblGrid>
    <w:tr w:rsidR="004D416C" w:rsidRPr="008637FD" w14:paraId="1353783B" w14:textId="77777777" w:rsidTr="00A12E01">
      <w:tc>
        <w:tcPr>
          <w:tcW w:w="8647" w:type="dxa"/>
        </w:tcPr>
        <w:p w14:paraId="0BAA14CA" w14:textId="77777777" w:rsidR="004D416C" w:rsidRPr="008145AC" w:rsidRDefault="004D416C" w:rsidP="00797DFD">
          <w:pPr>
            <w:spacing w:line="288" w:lineRule="auto"/>
            <w:rPr>
              <w:rFonts w:ascii="Arial" w:eastAsia="Times New Roman" w:hAnsi="Arial" w:cs="Arial"/>
              <w:color w:val="9D2235"/>
              <w:sz w:val="19"/>
              <w:szCs w:val="19"/>
              <w:lang w:eastAsia="es-ES"/>
            </w:rPr>
          </w:pPr>
          <w:r w:rsidRPr="008145AC">
            <w:rPr>
              <w:rFonts w:ascii="Arial" w:eastAsia="Times New Roman" w:hAnsi="Arial" w:cs="Arial"/>
              <w:b/>
              <w:bCs/>
              <w:smallCaps/>
              <w:color w:val="9D2235"/>
              <w:sz w:val="19"/>
              <w:szCs w:val="19"/>
              <w:lang w:eastAsia="es-ES"/>
            </w:rPr>
            <w:t>Memoria de actividad de la Agencia Valenciana Antifraude</w:t>
          </w:r>
        </w:p>
        <w:p w14:paraId="16EC525E" w14:textId="07394C4E" w:rsidR="004D416C" w:rsidRPr="004D194D" w:rsidRDefault="004D416C" w:rsidP="00797DFD">
          <w:pPr>
            <w:spacing w:line="288" w:lineRule="auto"/>
            <w:rPr>
              <w:rFonts w:ascii="Arial" w:hAnsi="Arial" w:cs="Arial"/>
              <w:b/>
              <w:bCs/>
              <w:smallCaps/>
              <w:color w:val="FFFFFF" w:themeColor="background1"/>
              <w:sz w:val="19"/>
              <w:szCs w:val="19"/>
              <w:highlight w:val="darkRed"/>
            </w:rPr>
          </w:pPr>
          <w:r w:rsidRPr="004D194D">
            <w:rPr>
              <w:rFonts w:ascii="Arial" w:hAnsi="Arial" w:cs="Arial"/>
              <w:b/>
              <w:bCs/>
              <w:smallCaps/>
              <w:color w:val="FFFFFF" w:themeColor="background1"/>
              <w:sz w:val="19"/>
              <w:szCs w:val="19"/>
              <w:highlight w:val="darkRed"/>
            </w:rPr>
            <w:t>202</w:t>
          </w:r>
          <w:r w:rsidR="00AA43FE">
            <w:rPr>
              <w:rFonts w:ascii="Arial" w:hAnsi="Arial" w:cs="Arial"/>
              <w:b/>
              <w:bCs/>
              <w:smallCaps/>
              <w:color w:val="FFFFFF" w:themeColor="background1"/>
              <w:sz w:val="19"/>
              <w:szCs w:val="19"/>
              <w:highlight w:val="darkRed"/>
            </w:rPr>
            <w:t>1</w:t>
          </w:r>
        </w:p>
        <w:p w14:paraId="0320907B" w14:textId="0B8712CB" w:rsidR="004D416C" w:rsidRPr="008637FD" w:rsidRDefault="00995E26" w:rsidP="00995E26">
          <w:pPr>
            <w:tabs>
              <w:tab w:val="left" w:pos="2880"/>
            </w:tabs>
            <w:spacing w:line="288" w:lineRule="auto"/>
            <w:rPr>
              <w:rFonts w:ascii="Open Sans" w:eastAsia="Times New Roman" w:hAnsi="Open Sans" w:cs="Open Sans"/>
              <w:b/>
              <w:bCs/>
              <w:smallCaps/>
              <w:color w:val="9D2235"/>
              <w:sz w:val="19"/>
              <w:szCs w:val="19"/>
              <w:lang w:eastAsia="es-ES"/>
            </w:rPr>
          </w:pPr>
          <w:r>
            <w:rPr>
              <w:rFonts w:ascii="Open Sans" w:eastAsia="Times New Roman" w:hAnsi="Open Sans" w:cs="Open Sans"/>
              <w:b/>
              <w:bCs/>
              <w:smallCaps/>
              <w:color w:val="9D2235"/>
              <w:sz w:val="19"/>
              <w:szCs w:val="19"/>
              <w:lang w:eastAsia="es-ES"/>
            </w:rPr>
            <w:tab/>
          </w:r>
        </w:p>
      </w:tc>
    </w:tr>
    <w:tr w:rsidR="00797DFD" w:rsidRPr="008637FD" w14:paraId="25BDE312" w14:textId="77777777" w:rsidTr="00A12E01">
      <w:tc>
        <w:tcPr>
          <w:tcW w:w="8647" w:type="dxa"/>
        </w:tcPr>
        <w:p w14:paraId="747E20D1" w14:textId="77777777" w:rsidR="00797DFD" w:rsidRPr="008145AC" w:rsidRDefault="00797DFD" w:rsidP="00797DFD">
          <w:pPr>
            <w:spacing w:line="288" w:lineRule="auto"/>
            <w:rPr>
              <w:rFonts w:ascii="Arial" w:eastAsia="Times New Roman" w:hAnsi="Arial" w:cs="Arial"/>
              <w:b/>
              <w:bCs/>
              <w:smallCaps/>
              <w:color w:val="9D2235"/>
              <w:sz w:val="19"/>
              <w:szCs w:val="19"/>
              <w:lang w:eastAsia="es-ES"/>
            </w:rPr>
          </w:pPr>
        </w:p>
      </w:tc>
    </w:tr>
  </w:tbl>
  <w:p w14:paraId="04383619" w14:textId="77777777" w:rsidR="004D416C" w:rsidRPr="00E71133" w:rsidRDefault="004D416C" w:rsidP="00851C2E">
    <w:pPr>
      <w:spacing w:after="0" w:line="288" w:lineRule="auto"/>
      <w:rPr>
        <w:rFonts w:ascii="Open Sans" w:eastAsia="Times New Roman" w:hAnsi="Open Sans" w:cs="Open Sans"/>
        <w:b/>
        <w:bCs/>
        <w:smallCaps/>
        <w:color w:val="94070A"/>
        <w:sz w:val="10"/>
        <w:szCs w:val="10"/>
        <w:lang w:eastAsia="es-E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883C5" w14:textId="77777777" w:rsidR="004D416C" w:rsidRPr="008637FD" w:rsidRDefault="004D416C" w:rsidP="003C4EAD">
    <w:pPr>
      <w:spacing w:after="0" w:line="288" w:lineRule="auto"/>
      <w:jc w:val="right"/>
      <w:rPr>
        <w:rFonts w:ascii="Times New Roman" w:eastAsia="Times New Roman" w:hAnsi="Times New Roman" w:cs="Times New Roman"/>
        <w:color w:val="9D2235"/>
        <w:sz w:val="19"/>
        <w:szCs w:val="19"/>
        <w:lang w:eastAsia="es-ES"/>
      </w:rPr>
    </w:pPr>
    <w:r w:rsidRPr="008637FD">
      <w:rPr>
        <w:rFonts w:ascii="Open Sans" w:eastAsia="Times New Roman" w:hAnsi="Open Sans" w:cs="Open Sans"/>
        <w:b/>
        <w:bCs/>
        <w:smallCaps/>
        <w:color w:val="9D2235"/>
        <w:sz w:val="19"/>
        <w:szCs w:val="19"/>
        <w:lang w:eastAsia="es-ES"/>
      </w:rPr>
      <w:t xml:space="preserve">Memoria de </w:t>
    </w:r>
    <w:r>
      <w:rPr>
        <w:rFonts w:ascii="Open Sans" w:eastAsia="Times New Roman" w:hAnsi="Open Sans" w:cs="Open Sans"/>
        <w:b/>
        <w:bCs/>
        <w:smallCaps/>
        <w:color w:val="9D2235"/>
        <w:sz w:val="19"/>
        <w:szCs w:val="19"/>
        <w:lang w:eastAsia="es-ES"/>
      </w:rPr>
      <w:t>a</w:t>
    </w:r>
    <w:r w:rsidRPr="008637FD">
      <w:rPr>
        <w:rFonts w:ascii="Open Sans" w:eastAsia="Times New Roman" w:hAnsi="Open Sans" w:cs="Open Sans"/>
        <w:b/>
        <w:bCs/>
        <w:smallCaps/>
        <w:color w:val="9D2235"/>
        <w:sz w:val="19"/>
        <w:szCs w:val="19"/>
        <w:lang w:eastAsia="es-ES"/>
      </w:rPr>
      <w:t>ctividad de la Agencia Valenciana Antifraude</w:t>
    </w:r>
  </w:p>
  <w:p w14:paraId="5FF3E745" w14:textId="7F126A94" w:rsidR="004D416C" w:rsidRDefault="004D416C" w:rsidP="003C4EAD">
    <w:pPr>
      <w:spacing w:after="0" w:line="288" w:lineRule="auto"/>
      <w:jc w:val="right"/>
      <w:rPr>
        <w:rFonts w:ascii="Open Sans" w:hAnsi="Open Sans" w:cs="Open Sans"/>
        <w:b/>
        <w:bCs/>
        <w:smallCaps/>
        <w:color w:val="FFFFFF" w:themeColor="background1"/>
        <w:sz w:val="19"/>
        <w:szCs w:val="19"/>
        <w:highlight w:val="darkRed"/>
      </w:rPr>
    </w:pPr>
    <w:r w:rsidRPr="008637FD">
      <w:rPr>
        <w:rFonts w:ascii="Open Sans" w:hAnsi="Open Sans" w:cs="Open Sans"/>
        <w:b/>
        <w:bCs/>
        <w:smallCaps/>
        <w:color w:val="FFFFFF" w:themeColor="background1"/>
        <w:sz w:val="19"/>
        <w:szCs w:val="19"/>
        <w:highlight w:val="darkRed"/>
      </w:rPr>
      <w:t>20</w:t>
    </w:r>
    <w:r>
      <w:rPr>
        <w:rFonts w:ascii="Open Sans" w:hAnsi="Open Sans" w:cs="Open Sans"/>
        <w:b/>
        <w:bCs/>
        <w:smallCaps/>
        <w:color w:val="FFFFFF" w:themeColor="background1"/>
        <w:sz w:val="19"/>
        <w:szCs w:val="19"/>
        <w:highlight w:val="darkRed"/>
      </w:rPr>
      <w:t>2</w:t>
    </w:r>
    <w:r w:rsidR="009E2AB6">
      <w:rPr>
        <w:rFonts w:ascii="Open Sans" w:hAnsi="Open Sans" w:cs="Open Sans"/>
        <w:b/>
        <w:bCs/>
        <w:smallCaps/>
        <w:color w:val="FFFFFF" w:themeColor="background1"/>
        <w:sz w:val="19"/>
        <w:szCs w:val="19"/>
        <w:highlight w:val="darkRed"/>
      </w:rPr>
      <w:t>1</w:t>
    </w:r>
  </w:p>
  <w:p w14:paraId="6A9FA34E" w14:textId="77777777" w:rsidR="009E2AB6" w:rsidRPr="008637FD" w:rsidRDefault="009E2AB6" w:rsidP="003C4EAD">
    <w:pPr>
      <w:spacing w:after="0" w:line="288" w:lineRule="auto"/>
      <w:jc w:val="right"/>
      <w:rPr>
        <w:rFonts w:ascii="Open Sans" w:hAnsi="Open Sans" w:cs="Open Sans"/>
        <w:b/>
        <w:bCs/>
        <w:smallCaps/>
        <w:color w:val="FFFFFF" w:themeColor="background1"/>
        <w:sz w:val="19"/>
        <w:szCs w:val="19"/>
        <w:highlight w:val="darkRed"/>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00000003"/>
    <w:name w:val="WW8Num3"/>
    <w:lvl w:ilvl="0">
      <w:start w:val="1"/>
      <w:numFmt w:val="none"/>
      <w:suff w:val="nothing"/>
      <w:lvlText w:val=""/>
      <w:lvlJc w:val="left"/>
      <w:pPr>
        <w:tabs>
          <w:tab w:val="num" w:pos="0"/>
        </w:tabs>
        <w:ind w:left="0" w:firstLine="0"/>
      </w:pPr>
      <w:rPr>
        <w:rFonts w:ascii="Arial" w:eastAsia="Calibri" w:hAnsi="Arial" w:cs="Arial"/>
        <w:b/>
        <w:bCs/>
        <w:i/>
        <w:iCs/>
        <w:caps w:val="0"/>
        <w:smallCaps w:val="0"/>
        <w:strike w:val="0"/>
        <w:dstrike w:val="0"/>
        <w:color w:val="000000"/>
        <w:spacing w:val="-3"/>
        <w:kern w:val="2"/>
        <w:sz w:val="24"/>
        <w:szCs w:val="24"/>
        <w:highlight w:val="lightGray"/>
        <w:u w:val="none"/>
        <w:effect w:val="none"/>
        <w:shd w:val="clear" w:color="auto" w:fill="FFFF00"/>
        <w:lang w:val="es-ES" w:eastAsia="zh-CN" w:bidi="ar-SA"/>
      </w:rPr>
    </w:lvl>
    <w:lvl w:ilvl="1">
      <w:start w:val="1"/>
      <w:numFmt w:val="none"/>
      <w:suff w:val="nothing"/>
      <w:lvlText w:val=""/>
      <w:lvlJc w:val="left"/>
      <w:pPr>
        <w:tabs>
          <w:tab w:val="num" w:pos="0"/>
        </w:tabs>
        <w:ind w:left="0" w:firstLine="0"/>
      </w:pPr>
      <w:rPr>
        <w:rFonts w:ascii="Arial" w:hAnsi="Arial" w:cs="Arial"/>
        <w:color w:val="0070C0"/>
        <w:sz w:val="24"/>
        <w:szCs w:val="24"/>
      </w:rPr>
    </w:lvl>
    <w:lvl w:ilvl="2">
      <w:start w:val="1"/>
      <w:numFmt w:val="none"/>
      <w:suff w:val="nothing"/>
      <w:lvlText w:val=""/>
      <w:lvlJc w:val="left"/>
      <w:pPr>
        <w:tabs>
          <w:tab w:val="num" w:pos="0"/>
        </w:tabs>
        <w:ind w:left="0" w:firstLine="0"/>
      </w:pPr>
      <w:rPr>
        <w:rFonts w:ascii="Arial" w:hAnsi="Arial" w:cs="Arial"/>
        <w:color w:val="0070C0"/>
        <w:sz w:val="24"/>
        <w:szCs w:val="24"/>
      </w:r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rPr>
        <w:rFonts w:ascii="Arial" w:hAnsi="Arial" w:cs="Arial"/>
        <w:b/>
        <w:bCs/>
        <w:color w:val="000000"/>
        <w:sz w:val="24"/>
        <w:szCs w:val="24"/>
      </w:r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4D3B94"/>
    <w:multiLevelType w:val="multilevel"/>
    <w:tmpl w:val="8AEE7210"/>
    <w:lvl w:ilvl="0">
      <w:start w:val="6"/>
      <w:numFmt w:val="decimal"/>
      <w:lvlText w:val="%1."/>
      <w:lvlJc w:val="left"/>
      <w:pPr>
        <w:ind w:left="360" w:hanging="360"/>
      </w:pPr>
      <w:rPr>
        <w:rFonts w:hint="default"/>
        <w:b/>
        <w:bCs/>
        <w:color w:val="9D2235" w:themeColor="accent1"/>
        <w:sz w:val="200"/>
        <w:szCs w:val="200"/>
      </w:rPr>
    </w:lvl>
    <w:lvl w:ilvl="1">
      <w:start w:val="1"/>
      <w:numFmt w:val="decimal"/>
      <w:lvlText w:val="%1.2."/>
      <w:lvlJc w:val="left"/>
      <w:pPr>
        <w:ind w:left="792" w:hanging="432"/>
      </w:pPr>
      <w:rPr>
        <w:rFonts w:hint="default"/>
      </w:rPr>
    </w:lvl>
    <w:lvl w:ilvl="2">
      <w:start w:val="1"/>
      <w:numFmt w:val="none"/>
      <w:lvlText w:val="6.2.1."/>
      <w:lvlJc w:val="left"/>
      <w:pPr>
        <w:tabs>
          <w:tab w:val="num" w:pos="794"/>
        </w:tabs>
        <w:ind w:left="1224" w:hanging="504"/>
      </w:pPr>
      <w:rPr>
        <w:rFonts w:hint="default"/>
        <w:b/>
        <w:bCs/>
        <w:color w:val="9D2235" w:themeColor="accent1"/>
        <w:sz w:val="28"/>
        <w:szCs w:val="28"/>
      </w:rPr>
    </w:lvl>
    <w:lvl w:ilvl="3">
      <w:start w:val="1"/>
      <w:numFmt w:val="none"/>
      <w:lvlText w:val="6.2.1.1."/>
      <w:lvlJc w:val="left"/>
      <w:pPr>
        <w:ind w:left="1728" w:hanging="648"/>
      </w:pPr>
      <w:rPr>
        <w:rFonts w:hint="default"/>
      </w:rPr>
    </w:lvl>
    <w:lvl w:ilvl="4">
      <w:start w:val="1"/>
      <w:numFmt w:val="none"/>
      <w:lvlRestart w:val="3"/>
      <w:lvlText w:val="6.2.1.1.1."/>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0AA25ED"/>
    <w:multiLevelType w:val="multilevel"/>
    <w:tmpl w:val="445AC5F0"/>
    <w:styleLink w:val="WWNum21"/>
    <w:lvl w:ilvl="0">
      <w:numFmt w:val="bullet"/>
      <w:lvlText w:val=""/>
      <w:lvlJc w:val="left"/>
      <w:pPr>
        <w:ind w:left="720" w:hanging="360"/>
      </w:pPr>
      <w:rPr>
        <w:rFonts w:ascii="Symbol" w:hAnsi="Symbol" w:cs="Symbol"/>
        <w:b w:val="0"/>
        <w:sz w:val="21"/>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15:restartNumberingAfterBreak="0">
    <w:nsid w:val="01AA7298"/>
    <w:multiLevelType w:val="hybridMultilevel"/>
    <w:tmpl w:val="F1FE671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2007987"/>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273323F"/>
    <w:multiLevelType w:val="multilevel"/>
    <w:tmpl w:val="B7167C20"/>
    <w:styleLink w:val="WWNum51"/>
    <w:lvl w:ilvl="0">
      <w:start w:val="1"/>
      <w:numFmt w:val="none"/>
      <w:suff w:val="nothing"/>
      <w:lvlText w:val="%1"/>
      <w:lvlJc w:val="left"/>
      <w:pPr>
        <w:ind w:left="0" w:firstLine="0"/>
      </w:pPr>
    </w:lvl>
    <w:lvl w:ilvl="1">
      <w:start w:val="1"/>
      <w:numFmt w:val="none"/>
      <w:suff w:val="nothing"/>
      <w:lvlText w:val="%2"/>
      <w:lvlJc w:val="left"/>
      <w:pPr>
        <w:ind w:left="0" w:firstLine="0"/>
      </w:pPr>
    </w:lvl>
    <w:lvl w:ilvl="2">
      <w:start w:val="1"/>
      <w:numFmt w:val="none"/>
      <w:suff w:val="nothing"/>
      <w:lvlText w:val="%3"/>
      <w:lvlJc w:val="left"/>
      <w:pPr>
        <w:ind w:left="0" w:firstLine="0"/>
      </w:pPr>
    </w:lvl>
    <w:lvl w:ilvl="3">
      <w:start w:val="1"/>
      <w:numFmt w:val="none"/>
      <w:suff w:val="nothing"/>
      <w:lvlText w:val="%4"/>
      <w:lvlJc w:val="left"/>
      <w:pPr>
        <w:ind w:left="0" w:firstLine="0"/>
      </w:p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6" w15:restartNumberingAfterBreak="0">
    <w:nsid w:val="030F0501"/>
    <w:multiLevelType w:val="hybridMultilevel"/>
    <w:tmpl w:val="581EE1E2"/>
    <w:lvl w:ilvl="0" w:tplc="42FC27E6">
      <w:start w:val="1"/>
      <w:numFmt w:val="bullet"/>
      <w:pStyle w:val="VietaAVAF"/>
      <w:lvlText w:val=""/>
      <w:lvlJc w:val="left"/>
      <w:pPr>
        <w:ind w:left="720" w:hanging="360"/>
      </w:pPr>
      <w:rPr>
        <w:rFonts w:ascii="Wingdings" w:hAnsi="Wingdings" w:hint="default"/>
        <w:color w:val="9D2235"/>
        <w:sz w:val="28"/>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7" w15:restartNumberingAfterBreak="0">
    <w:nsid w:val="03DD5659"/>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46D6F0E"/>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9" w15:restartNumberingAfterBreak="0">
    <w:nsid w:val="047108D5"/>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4747BCD"/>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11" w15:restartNumberingAfterBreak="0">
    <w:nsid w:val="04FE2266"/>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12" w15:restartNumberingAfterBreak="0">
    <w:nsid w:val="05652D51"/>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5954235"/>
    <w:multiLevelType w:val="hybridMultilevel"/>
    <w:tmpl w:val="542CAF04"/>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05E4201A"/>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7724BF2"/>
    <w:multiLevelType w:val="multilevel"/>
    <w:tmpl w:val="7EA89392"/>
    <w:styleLink w:val="Sinlista1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6" w15:restartNumberingAfterBreak="0">
    <w:nsid w:val="07D47513"/>
    <w:multiLevelType w:val="multilevel"/>
    <w:tmpl w:val="E996A9C2"/>
    <w:lvl w:ilvl="0">
      <w:start w:val="4"/>
      <w:numFmt w:val="decimal"/>
      <w:lvlText w:val="%1."/>
      <w:lvlJc w:val="left"/>
      <w:pPr>
        <w:ind w:left="360" w:hanging="360"/>
      </w:pPr>
      <w:rPr>
        <w:rFonts w:hint="default"/>
        <w:b/>
        <w:bCs/>
        <w:color w:val="9D2235" w:themeColor="accent1"/>
        <w:sz w:val="200"/>
        <w:szCs w:val="200"/>
      </w:rPr>
    </w:lvl>
    <w:lvl w:ilvl="1">
      <w:start w:val="1"/>
      <w:numFmt w:val="decimal"/>
      <w:lvlText w:val="%1.%2."/>
      <w:lvlJc w:val="left"/>
      <w:pPr>
        <w:ind w:left="792" w:hanging="432"/>
      </w:pPr>
      <w:rPr>
        <w:rFonts w:hint="default"/>
      </w:rPr>
    </w:lvl>
    <w:lvl w:ilvl="2">
      <w:start w:val="1"/>
      <w:numFmt w:val="decimal"/>
      <w:lvlText w:val="%1.%2.%3."/>
      <w:lvlJc w:val="left"/>
      <w:pPr>
        <w:tabs>
          <w:tab w:val="num" w:pos="794"/>
        </w:tabs>
        <w:ind w:left="1224" w:hanging="504"/>
      </w:pPr>
      <w:rPr>
        <w:rFonts w:hint="default"/>
        <w:b/>
        <w:bCs/>
        <w:color w:val="9D2235" w:themeColor="accent1"/>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087F2A39"/>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8E02DEE"/>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9DA25C4"/>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A910D99"/>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AD301A5"/>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0DC454A8"/>
    <w:multiLevelType w:val="multilevel"/>
    <w:tmpl w:val="13F2A62C"/>
    <w:lvl w:ilvl="0">
      <w:start w:val="3"/>
      <w:numFmt w:val="decimal"/>
      <w:lvlText w:val="%1."/>
      <w:lvlJc w:val="left"/>
      <w:pPr>
        <w:ind w:left="360" w:hanging="360"/>
      </w:pPr>
      <w:rPr>
        <w:rFonts w:hint="default"/>
        <w:sz w:val="200"/>
        <w:szCs w:val="200"/>
      </w:rPr>
    </w:lvl>
    <w:lvl w:ilvl="1">
      <w:start w:val="1"/>
      <w:numFmt w:val="decimal"/>
      <w:lvlText w:val="%1.%2."/>
      <w:lvlJc w:val="left"/>
      <w:pPr>
        <w:ind w:left="792" w:hanging="432"/>
      </w:pPr>
      <w:rPr>
        <w:rFonts w:hint="default"/>
      </w:rPr>
    </w:lvl>
    <w:lvl w:ilvl="2">
      <w:start w:val="1"/>
      <w:numFmt w:val="decimal"/>
      <w:lvlText w:val="%1.%2.%3."/>
      <w:lvlJc w:val="left"/>
      <w:pPr>
        <w:ind w:left="4331" w:hanging="504"/>
      </w:pPr>
      <w:rPr>
        <w:rFonts w:hint="default"/>
      </w:rPr>
    </w:lvl>
    <w:lvl w:ilvl="3">
      <w:start w:val="1"/>
      <w:numFmt w:val="decimal"/>
      <w:lvlText w:val="%1.%2.%3.%4."/>
      <w:lvlJc w:val="left"/>
      <w:pPr>
        <w:ind w:left="1728" w:hanging="648"/>
      </w:pPr>
      <w:rPr>
        <w:rFonts w:hint="default"/>
        <w:b/>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0EA03494"/>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FA90753"/>
    <w:multiLevelType w:val="multilevel"/>
    <w:tmpl w:val="B9605160"/>
    <w:lvl w:ilvl="0">
      <w:start w:val="1"/>
      <w:numFmt w:val="bullet"/>
      <w:lvlText w:val=""/>
      <w:lvlJc w:val="left"/>
      <w:pPr>
        <w:ind w:left="1080" w:hanging="360"/>
      </w:pPr>
      <w:rPr>
        <w:rFonts w:ascii="Wingdings" w:hAnsi="Wingdings" w:hint="default"/>
        <w:color w:val="9D2235" w:themeColor="accent1"/>
        <w:sz w:val="20"/>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25" w15:restartNumberingAfterBreak="0">
    <w:nsid w:val="10276222"/>
    <w:multiLevelType w:val="hybridMultilevel"/>
    <w:tmpl w:val="46B88408"/>
    <w:lvl w:ilvl="0" w:tplc="A824FB8A">
      <w:start w:val="1"/>
      <w:numFmt w:val="bullet"/>
      <w:lvlText w:val=""/>
      <w:lvlJc w:val="left"/>
      <w:pPr>
        <w:ind w:left="720" w:hanging="360"/>
      </w:pPr>
      <w:rPr>
        <w:rFonts w:ascii="Wingdings" w:hAnsi="Wingdings" w:hint="default"/>
        <w:color w:val="C00000"/>
        <w:sz w:val="20"/>
        <w:szCs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103F6B7B"/>
    <w:multiLevelType w:val="hybridMultilevel"/>
    <w:tmpl w:val="868C1AD2"/>
    <w:lvl w:ilvl="0" w:tplc="2E20C850">
      <w:numFmt w:val="bullet"/>
      <w:lvlText w:val="-"/>
      <w:lvlJc w:val="left"/>
      <w:pPr>
        <w:ind w:left="720" w:hanging="360"/>
      </w:pPr>
      <w:rPr>
        <w:rFonts w:ascii="Arial" w:eastAsiaTheme="minorHAnsi" w:hAnsi="Arial" w:cs="Arial" w:hint="default"/>
      </w:rPr>
    </w:lvl>
    <w:lvl w:ilvl="1" w:tplc="D4D45ACA">
      <w:start w:val="1"/>
      <w:numFmt w:val="decimal"/>
      <w:lvlText w:val="4.%2."/>
      <w:lvlJc w:val="left"/>
      <w:pPr>
        <w:ind w:left="1440" w:hanging="360"/>
      </w:pPr>
      <w:rPr>
        <w:rFont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107D4303"/>
    <w:multiLevelType w:val="hybridMultilevel"/>
    <w:tmpl w:val="A0DCBA3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116D3BD9"/>
    <w:multiLevelType w:val="hybridMultilevel"/>
    <w:tmpl w:val="9EC6988A"/>
    <w:lvl w:ilvl="0" w:tplc="54C6C2CA">
      <w:start w:val="1"/>
      <w:numFmt w:val="decimal"/>
      <w:lvlText w:val="%1ª."/>
      <w:lvlJc w:val="left"/>
      <w:pPr>
        <w:ind w:left="1854" w:hanging="360"/>
      </w:pPr>
      <w:rPr>
        <w:rFonts w:ascii="Arial" w:hAnsi="Arial" w:hint="default"/>
        <w:b w:val="0"/>
        <w:i w:val="0"/>
        <w:sz w:val="21"/>
        <w:szCs w:val="21"/>
      </w:rPr>
    </w:lvl>
    <w:lvl w:ilvl="1" w:tplc="0C0A0019" w:tentative="1">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29" w15:restartNumberingAfterBreak="0">
    <w:nsid w:val="127A0699"/>
    <w:multiLevelType w:val="hybridMultilevel"/>
    <w:tmpl w:val="9A74E9A2"/>
    <w:lvl w:ilvl="0" w:tplc="5DA2A91E">
      <w:numFmt w:val="bullet"/>
      <w:lvlText w:val="-"/>
      <w:lvlJc w:val="left"/>
      <w:pPr>
        <w:ind w:left="720" w:hanging="360"/>
      </w:pPr>
      <w:rPr>
        <w:rFonts w:ascii="Arial" w:eastAsia="SimSu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0" w15:restartNumberingAfterBreak="0">
    <w:nsid w:val="14D0251F"/>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151F0874"/>
    <w:multiLevelType w:val="hybridMultilevel"/>
    <w:tmpl w:val="43D6D5F4"/>
    <w:lvl w:ilvl="0" w:tplc="7A429C3C">
      <w:start w:val="1"/>
      <w:numFmt w:val="bullet"/>
      <w:lvlText w:val=""/>
      <w:lvlJc w:val="left"/>
      <w:pPr>
        <w:ind w:left="720" w:hanging="360"/>
      </w:pPr>
      <w:rPr>
        <w:rFonts w:ascii="Wingdings" w:hAnsi="Wingdings" w:hint="default"/>
        <w:b/>
        <w:color w:val="9D2235" w:themeColor="accent1"/>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15C5602D"/>
    <w:multiLevelType w:val="multilevel"/>
    <w:tmpl w:val="C7B4BCF6"/>
    <w:styleLink w:val="WWNum31"/>
    <w:lvl w:ilvl="0">
      <w:numFmt w:val="bullet"/>
      <w:lvlText w:val="•"/>
      <w:lvlJc w:val="left"/>
      <w:pPr>
        <w:ind w:left="720" w:hanging="360"/>
      </w:pPr>
      <w:rPr>
        <w:rFonts w:ascii="Symbol" w:hAnsi="Symbol" w:cs="OpenSymbol"/>
        <w:sz w:val="21"/>
        <w:szCs w:val="28"/>
      </w:rPr>
    </w:lvl>
    <w:lvl w:ilvl="1">
      <w:numFmt w:val="bullet"/>
      <w:lvlText w:val="◦"/>
      <w:lvlJc w:val="left"/>
      <w:pPr>
        <w:ind w:left="1080" w:hanging="360"/>
      </w:pPr>
      <w:rPr>
        <w:rFonts w:ascii="Symbol" w:hAnsi="Symbol" w:cs="OpenSymbol"/>
        <w:sz w:val="28"/>
        <w:szCs w:val="28"/>
      </w:rPr>
    </w:lvl>
    <w:lvl w:ilvl="2">
      <w:numFmt w:val="bullet"/>
      <w:lvlText w:val="▪"/>
      <w:lvlJc w:val="left"/>
      <w:pPr>
        <w:ind w:left="1440" w:hanging="360"/>
      </w:pPr>
      <w:rPr>
        <w:rFonts w:ascii="Symbol" w:hAnsi="Symbol" w:cs="OpenSymbol"/>
        <w:sz w:val="28"/>
        <w:szCs w:val="28"/>
      </w:rPr>
    </w:lvl>
    <w:lvl w:ilvl="3">
      <w:numFmt w:val="bullet"/>
      <w:lvlText w:val="•"/>
      <w:lvlJc w:val="left"/>
      <w:pPr>
        <w:ind w:left="1800" w:hanging="360"/>
      </w:pPr>
      <w:rPr>
        <w:rFonts w:ascii="Symbol" w:hAnsi="Symbol" w:cs="OpenSymbol"/>
        <w:sz w:val="28"/>
        <w:szCs w:val="28"/>
      </w:rPr>
    </w:lvl>
    <w:lvl w:ilvl="4">
      <w:numFmt w:val="bullet"/>
      <w:lvlText w:val="◦"/>
      <w:lvlJc w:val="left"/>
      <w:pPr>
        <w:ind w:left="2160" w:hanging="360"/>
      </w:pPr>
      <w:rPr>
        <w:rFonts w:ascii="Symbol" w:hAnsi="Symbol" w:cs="OpenSymbol"/>
        <w:sz w:val="28"/>
        <w:szCs w:val="28"/>
      </w:rPr>
    </w:lvl>
    <w:lvl w:ilvl="5">
      <w:numFmt w:val="bullet"/>
      <w:lvlText w:val="▪"/>
      <w:lvlJc w:val="left"/>
      <w:pPr>
        <w:ind w:left="2520" w:hanging="360"/>
      </w:pPr>
      <w:rPr>
        <w:rFonts w:ascii="Symbol" w:hAnsi="Symbol" w:cs="OpenSymbol"/>
        <w:sz w:val="28"/>
        <w:szCs w:val="28"/>
      </w:rPr>
    </w:lvl>
    <w:lvl w:ilvl="6">
      <w:numFmt w:val="bullet"/>
      <w:lvlText w:val="•"/>
      <w:lvlJc w:val="left"/>
      <w:pPr>
        <w:ind w:left="2880" w:hanging="360"/>
      </w:pPr>
      <w:rPr>
        <w:rFonts w:ascii="Symbol" w:hAnsi="Symbol" w:cs="OpenSymbol"/>
        <w:sz w:val="28"/>
        <w:szCs w:val="28"/>
      </w:rPr>
    </w:lvl>
    <w:lvl w:ilvl="7">
      <w:numFmt w:val="bullet"/>
      <w:lvlText w:val="◦"/>
      <w:lvlJc w:val="left"/>
      <w:pPr>
        <w:ind w:left="3240" w:hanging="360"/>
      </w:pPr>
      <w:rPr>
        <w:rFonts w:ascii="Symbol" w:hAnsi="Symbol" w:cs="OpenSymbol"/>
        <w:sz w:val="28"/>
        <w:szCs w:val="28"/>
      </w:rPr>
    </w:lvl>
    <w:lvl w:ilvl="8">
      <w:numFmt w:val="bullet"/>
      <w:lvlText w:val="▪"/>
      <w:lvlJc w:val="left"/>
      <w:pPr>
        <w:ind w:left="3600" w:hanging="360"/>
      </w:pPr>
      <w:rPr>
        <w:rFonts w:ascii="Symbol" w:hAnsi="Symbol" w:cs="OpenSymbol"/>
        <w:sz w:val="28"/>
        <w:szCs w:val="28"/>
      </w:rPr>
    </w:lvl>
  </w:abstractNum>
  <w:abstractNum w:abstractNumId="33" w15:restartNumberingAfterBreak="0">
    <w:nsid w:val="168F2A29"/>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174F59D0"/>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178B7766"/>
    <w:multiLevelType w:val="hybridMultilevel"/>
    <w:tmpl w:val="417C8574"/>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179E4DC4"/>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17E60D7B"/>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19697AFC"/>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19DE0FC1"/>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1A0F5DC7"/>
    <w:multiLevelType w:val="multilevel"/>
    <w:tmpl w:val="BCC4499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1A3F2884"/>
    <w:multiLevelType w:val="hybridMultilevel"/>
    <w:tmpl w:val="C5782926"/>
    <w:lvl w:ilvl="0" w:tplc="2E20C850">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1AB95EDC"/>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1AE90B3C"/>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1B430891"/>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1C0B166D"/>
    <w:multiLevelType w:val="hybridMultilevel"/>
    <w:tmpl w:val="8D72E424"/>
    <w:lvl w:ilvl="0" w:tplc="D59654D4">
      <w:start w:val="3"/>
      <w:numFmt w:val="upperLetter"/>
      <w:lvlText w:val="%1)"/>
      <w:lvlJc w:val="left"/>
      <w:pPr>
        <w:ind w:left="107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1CC97822"/>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1DA91C05"/>
    <w:multiLevelType w:val="hybridMultilevel"/>
    <w:tmpl w:val="2A7E9CD6"/>
    <w:lvl w:ilvl="0" w:tplc="7A429C3C">
      <w:start w:val="1"/>
      <w:numFmt w:val="bullet"/>
      <w:lvlText w:val=""/>
      <w:lvlJc w:val="left"/>
      <w:pPr>
        <w:ind w:left="360" w:hanging="360"/>
      </w:pPr>
      <w:rPr>
        <w:rFonts w:ascii="Wingdings" w:hAnsi="Wingdings" w:hint="default"/>
        <w:color w:val="9D2235" w:themeColor="accent1"/>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8" w15:restartNumberingAfterBreak="0">
    <w:nsid w:val="1DF62F46"/>
    <w:multiLevelType w:val="multilevel"/>
    <w:tmpl w:val="E996A9C2"/>
    <w:styleLink w:val="Estilo1"/>
    <w:lvl w:ilvl="0">
      <w:start w:val="6"/>
      <w:numFmt w:val="decimal"/>
      <w:lvlText w:val="%1."/>
      <w:lvlJc w:val="left"/>
      <w:pPr>
        <w:ind w:left="360" w:hanging="360"/>
      </w:pPr>
      <w:rPr>
        <w:rFonts w:hint="default"/>
        <w:b/>
        <w:bCs/>
        <w:color w:val="9D2235" w:themeColor="accent1"/>
        <w:sz w:val="200"/>
        <w:szCs w:val="200"/>
      </w:rPr>
    </w:lvl>
    <w:lvl w:ilvl="1">
      <w:start w:val="1"/>
      <w:numFmt w:val="decimal"/>
      <w:lvlText w:val="%1.%2."/>
      <w:lvlJc w:val="left"/>
      <w:pPr>
        <w:ind w:left="792" w:hanging="432"/>
      </w:pPr>
      <w:rPr>
        <w:rFonts w:hint="default"/>
      </w:rPr>
    </w:lvl>
    <w:lvl w:ilvl="2">
      <w:start w:val="1"/>
      <w:numFmt w:val="decimal"/>
      <w:lvlText w:val="%1.%2.%3."/>
      <w:lvlJc w:val="left"/>
      <w:pPr>
        <w:tabs>
          <w:tab w:val="num" w:pos="794"/>
        </w:tabs>
        <w:ind w:left="1224" w:hanging="504"/>
      </w:pPr>
      <w:rPr>
        <w:rFonts w:hint="default"/>
        <w:b/>
        <w:bCs/>
        <w:color w:val="9D2235" w:themeColor="accent1"/>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1E3049D6"/>
    <w:multiLevelType w:val="hybridMultilevel"/>
    <w:tmpl w:val="D954F352"/>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15:restartNumberingAfterBreak="0">
    <w:nsid w:val="1FEF51B0"/>
    <w:multiLevelType w:val="hybridMultilevel"/>
    <w:tmpl w:val="3B1AA7E8"/>
    <w:lvl w:ilvl="0" w:tplc="7A429C3C">
      <w:start w:val="1"/>
      <w:numFmt w:val="bullet"/>
      <w:lvlText w:val=""/>
      <w:lvlJc w:val="left"/>
      <w:pPr>
        <w:ind w:left="1287" w:hanging="360"/>
      </w:pPr>
      <w:rPr>
        <w:rFonts w:ascii="Wingdings" w:hAnsi="Wingdings" w:hint="default"/>
        <w:color w:val="9D2235" w:themeColor="accent1"/>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51" w15:restartNumberingAfterBreak="0">
    <w:nsid w:val="20BA375D"/>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52" w15:restartNumberingAfterBreak="0">
    <w:nsid w:val="21056B89"/>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221E1B24"/>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234E1146"/>
    <w:multiLevelType w:val="multilevel"/>
    <w:tmpl w:val="77C2E42E"/>
    <w:lvl w:ilvl="0">
      <w:start w:val="1"/>
      <w:numFmt w:val="bullet"/>
      <w:lvlText w:val=""/>
      <w:lvlJc w:val="left"/>
      <w:pPr>
        <w:ind w:left="720" w:hanging="360"/>
      </w:pPr>
      <w:rPr>
        <w:rFonts w:ascii="Symbol" w:hAnsi="Symbol" w:hint="default"/>
        <w:color w:val="9D2235"/>
        <w:sz w:val="22"/>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55" w15:restartNumberingAfterBreak="0">
    <w:nsid w:val="24505945"/>
    <w:multiLevelType w:val="hybridMultilevel"/>
    <w:tmpl w:val="158A8E50"/>
    <w:lvl w:ilvl="0" w:tplc="FCEA606C">
      <w:start w:val="1"/>
      <w:numFmt w:val="decimal"/>
      <w:lvlText w:val="%1."/>
      <w:lvlJc w:val="left"/>
      <w:pPr>
        <w:ind w:left="720" w:hanging="360"/>
      </w:pPr>
      <w:rPr>
        <w:rFonts w:ascii="Arial" w:hAnsi="Arial" w:cs="Arial" w:hint="default"/>
        <w:b w:val="0"/>
        <w:bCs w:val="0"/>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24E81FF6"/>
    <w:multiLevelType w:val="hybridMultilevel"/>
    <w:tmpl w:val="ACC8ED9C"/>
    <w:lvl w:ilvl="0" w:tplc="40102A8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15:restartNumberingAfterBreak="0">
    <w:nsid w:val="255B4E0D"/>
    <w:multiLevelType w:val="multilevel"/>
    <w:tmpl w:val="0B9E06C2"/>
    <w:styleLink w:val="WWNum4"/>
    <w:lvl w:ilvl="0">
      <w:numFmt w:val="bullet"/>
      <w:lvlText w:val=""/>
      <w:lvlJc w:val="left"/>
      <w:pPr>
        <w:ind w:left="720" w:hanging="360"/>
      </w:pPr>
      <w:rPr>
        <w:rFonts w:ascii="Times New Roman" w:hAnsi="Times New Roman" w:cs="Symbol"/>
        <w:sz w:val="21"/>
      </w:rPr>
    </w:lvl>
    <w:lvl w:ilvl="1">
      <w:numFmt w:val="bullet"/>
      <w:lvlText w:val="o"/>
      <w:lvlJc w:val="left"/>
      <w:pPr>
        <w:ind w:left="1440" w:hanging="360"/>
      </w:pPr>
      <w:rPr>
        <w:rFonts w:cs="Courier New"/>
        <w:sz w:val="20"/>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58" w15:restartNumberingAfterBreak="0">
    <w:nsid w:val="267B63DD"/>
    <w:multiLevelType w:val="hybridMultilevel"/>
    <w:tmpl w:val="C504A4D6"/>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268736F8"/>
    <w:multiLevelType w:val="hybridMultilevel"/>
    <w:tmpl w:val="28524516"/>
    <w:lvl w:ilvl="0" w:tplc="EC5405FA">
      <w:start w:val="1"/>
      <w:numFmt w:val="decimal"/>
      <w:lvlText w:val="%1."/>
      <w:lvlJc w:val="left"/>
      <w:pPr>
        <w:ind w:left="720" w:hanging="360"/>
      </w:pPr>
      <w:rPr>
        <w:b/>
        <w:bCs/>
        <w:color w:val="9D2235" w:themeColor="accent1"/>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60" w15:restartNumberingAfterBreak="0">
    <w:nsid w:val="26E146A7"/>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61" w15:restartNumberingAfterBreak="0">
    <w:nsid w:val="27B04209"/>
    <w:multiLevelType w:val="multilevel"/>
    <w:tmpl w:val="8AEE7210"/>
    <w:styleLink w:val="Estilo4"/>
    <w:lvl w:ilvl="0">
      <w:start w:val="6"/>
      <w:numFmt w:val="decimal"/>
      <w:lvlText w:val="%1."/>
      <w:lvlJc w:val="left"/>
      <w:pPr>
        <w:ind w:left="360" w:hanging="360"/>
      </w:pPr>
      <w:rPr>
        <w:rFonts w:hint="default"/>
        <w:b/>
        <w:bCs/>
        <w:color w:val="9D2235" w:themeColor="accent1"/>
        <w:sz w:val="200"/>
        <w:szCs w:val="200"/>
      </w:rPr>
    </w:lvl>
    <w:lvl w:ilvl="1">
      <w:start w:val="1"/>
      <w:numFmt w:val="decimal"/>
      <w:lvlText w:val="%1.2."/>
      <w:lvlJc w:val="left"/>
      <w:pPr>
        <w:ind w:left="792" w:hanging="432"/>
      </w:pPr>
      <w:rPr>
        <w:rFonts w:hint="default"/>
      </w:rPr>
    </w:lvl>
    <w:lvl w:ilvl="2">
      <w:start w:val="1"/>
      <w:numFmt w:val="none"/>
      <w:lvlText w:val="6.2.1."/>
      <w:lvlJc w:val="left"/>
      <w:pPr>
        <w:tabs>
          <w:tab w:val="num" w:pos="794"/>
        </w:tabs>
        <w:ind w:left="1224" w:hanging="504"/>
      </w:pPr>
      <w:rPr>
        <w:rFonts w:hint="default"/>
        <w:b/>
        <w:bCs/>
        <w:color w:val="9D2235" w:themeColor="accent1"/>
        <w:sz w:val="28"/>
        <w:szCs w:val="28"/>
      </w:rPr>
    </w:lvl>
    <w:lvl w:ilvl="3">
      <w:start w:val="1"/>
      <w:numFmt w:val="none"/>
      <w:lvlText w:val="6.2.1.1."/>
      <w:lvlJc w:val="left"/>
      <w:pPr>
        <w:ind w:left="1728" w:hanging="648"/>
      </w:pPr>
      <w:rPr>
        <w:rFonts w:hint="default"/>
      </w:rPr>
    </w:lvl>
    <w:lvl w:ilvl="4">
      <w:start w:val="1"/>
      <w:numFmt w:val="none"/>
      <w:lvlRestart w:val="3"/>
      <w:lvlText w:val="6.2.1.1.1."/>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27D6032A"/>
    <w:multiLevelType w:val="hybridMultilevel"/>
    <w:tmpl w:val="C310DFA0"/>
    <w:lvl w:ilvl="0" w:tplc="368637BE">
      <w:start w:val="1"/>
      <w:numFmt w:val="decimal"/>
      <w:lvlText w:val="2.%1."/>
      <w:lvlJc w:val="left"/>
      <w:pPr>
        <w:ind w:left="1080" w:hanging="360"/>
      </w:pPr>
      <w:rPr>
        <w:rFonts w:hint="default"/>
      </w:rPr>
    </w:lvl>
    <w:lvl w:ilvl="1" w:tplc="FFFFFFFF" w:tentative="1">
      <w:start w:val="1"/>
      <w:numFmt w:val="lowerLetter"/>
      <w:lvlText w:val="%2."/>
      <w:lvlJc w:val="left"/>
      <w:pPr>
        <w:ind w:left="1092" w:hanging="360"/>
      </w:pPr>
    </w:lvl>
    <w:lvl w:ilvl="2" w:tplc="FFFFFFFF" w:tentative="1">
      <w:start w:val="1"/>
      <w:numFmt w:val="lowerRoman"/>
      <w:lvlText w:val="%3."/>
      <w:lvlJc w:val="right"/>
      <w:pPr>
        <w:ind w:left="1812" w:hanging="180"/>
      </w:pPr>
    </w:lvl>
    <w:lvl w:ilvl="3" w:tplc="FFFFFFFF" w:tentative="1">
      <w:start w:val="1"/>
      <w:numFmt w:val="decimal"/>
      <w:lvlText w:val="%4."/>
      <w:lvlJc w:val="left"/>
      <w:pPr>
        <w:ind w:left="2532" w:hanging="360"/>
      </w:pPr>
    </w:lvl>
    <w:lvl w:ilvl="4" w:tplc="FFFFFFFF" w:tentative="1">
      <w:start w:val="1"/>
      <w:numFmt w:val="lowerLetter"/>
      <w:lvlText w:val="%5."/>
      <w:lvlJc w:val="left"/>
      <w:pPr>
        <w:ind w:left="3252" w:hanging="360"/>
      </w:pPr>
    </w:lvl>
    <w:lvl w:ilvl="5" w:tplc="FFFFFFFF" w:tentative="1">
      <w:start w:val="1"/>
      <w:numFmt w:val="lowerRoman"/>
      <w:lvlText w:val="%6."/>
      <w:lvlJc w:val="right"/>
      <w:pPr>
        <w:ind w:left="3972" w:hanging="180"/>
      </w:pPr>
    </w:lvl>
    <w:lvl w:ilvl="6" w:tplc="FFFFFFFF" w:tentative="1">
      <w:start w:val="1"/>
      <w:numFmt w:val="decimal"/>
      <w:lvlText w:val="%7."/>
      <w:lvlJc w:val="left"/>
      <w:pPr>
        <w:ind w:left="4692" w:hanging="360"/>
      </w:pPr>
    </w:lvl>
    <w:lvl w:ilvl="7" w:tplc="FFFFFFFF" w:tentative="1">
      <w:start w:val="1"/>
      <w:numFmt w:val="lowerLetter"/>
      <w:lvlText w:val="%8."/>
      <w:lvlJc w:val="left"/>
      <w:pPr>
        <w:ind w:left="5412" w:hanging="360"/>
      </w:pPr>
    </w:lvl>
    <w:lvl w:ilvl="8" w:tplc="FFFFFFFF" w:tentative="1">
      <w:start w:val="1"/>
      <w:numFmt w:val="lowerRoman"/>
      <w:lvlText w:val="%9."/>
      <w:lvlJc w:val="right"/>
      <w:pPr>
        <w:ind w:left="6132" w:hanging="180"/>
      </w:pPr>
    </w:lvl>
  </w:abstractNum>
  <w:abstractNum w:abstractNumId="63" w15:restartNumberingAfterBreak="0">
    <w:nsid w:val="28DE0D35"/>
    <w:multiLevelType w:val="hybridMultilevel"/>
    <w:tmpl w:val="AF68BD7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15:restartNumberingAfterBreak="0">
    <w:nsid w:val="299D20F7"/>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29DF0400"/>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66" w15:restartNumberingAfterBreak="0">
    <w:nsid w:val="2A454D9C"/>
    <w:multiLevelType w:val="hybridMultilevel"/>
    <w:tmpl w:val="2320E21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7" w15:restartNumberingAfterBreak="0">
    <w:nsid w:val="2B756661"/>
    <w:multiLevelType w:val="hybridMultilevel"/>
    <w:tmpl w:val="F18E643E"/>
    <w:lvl w:ilvl="0" w:tplc="0C0A0017">
      <w:start w:val="1"/>
      <w:numFmt w:val="lowerLetter"/>
      <w:lvlText w:val="%1)"/>
      <w:lvlJc w:val="left"/>
      <w:pPr>
        <w:ind w:left="1429" w:hanging="360"/>
      </w:pPr>
    </w:lvl>
    <w:lvl w:ilvl="1" w:tplc="0C0A0017">
      <w:start w:val="1"/>
      <w:numFmt w:val="lowerLetter"/>
      <w:lvlText w:val="%2)"/>
      <w:lvlJc w:val="left"/>
      <w:pPr>
        <w:ind w:left="720"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68" w15:restartNumberingAfterBreak="0">
    <w:nsid w:val="2BD076C4"/>
    <w:multiLevelType w:val="multilevel"/>
    <w:tmpl w:val="00EA57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2BF0532A"/>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2CD93358"/>
    <w:multiLevelType w:val="hybridMultilevel"/>
    <w:tmpl w:val="F7B44C86"/>
    <w:lvl w:ilvl="0" w:tplc="BF584DA2">
      <w:start w:val="1"/>
      <w:numFmt w:val="decimal"/>
      <w:lvlText w:val="1.%1."/>
      <w:lvlJc w:val="left"/>
      <w:pPr>
        <w:ind w:left="1434" w:hanging="360"/>
      </w:pPr>
      <w:rPr>
        <w:rFonts w:hint="default"/>
      </w:rPr>
    </w:lvl>
    <w:lvl w:ilvl="1" w:tplc="0C0A0019">
      <w:start w:val="1"/>
      <w:numFmt w:val="lowerLetter"/>
      <w:lvlText w:val="%2."/>
      <w:lvlJc w:val="left"/>
      <w:pPr>
        <w:ind w:left="2154" w:hanging="360"/>
      </w:pPr>
    </w:lvl>
    <w:lvl w:ilvl="2" w:tplc="0C0A001B" w:tentative="1">
      <w:start w:val="1"/>
      <w:numFmt w:val="lowerRoman"/>
      <w:lvlText w:val="%3."/>
      <w:lvlJc w:val="right"/>
      <w:pPr>
        <w:ind w:left="2874" w:hanging="180"/>
      </w:pPr>
    </w:lvl>
    <w:lvl w:ilvl="3" w:tplc="0C0A000F" w:tentative="1">
      <w:start w:val="1"/>
      <w:numFmt w:val="decimal"/>
      <w:lvlText w:val="%4."/>
      <w:lvlJc w:val="left"/>
      <w:pPr>
        <w:ind w:left="3594" w:hanging="360"/>
      </w:pPr>
    </w:lvl>
    <w:lvl w:ilvl="4" w:tplc="0C0A0019" w:tentative="1">
      <w:start w:val="1"/>
      <w:numFmt w:val="lowerLetter"/>
      <w:lvlText w:val="%5."/>
      <w:lvlJc w:val="left"/>
      <w:pPr>
        <w:ind w:left="4314" w:hanging="360"/>
      </w:pPr>
    </w:lvl>
    <w:lvl w:ilvl="5" w:tplc="0C0A001B" w:tentative="1">
      <w:start w:val="1"/>
      <w:numFmt w:val="lowerRoman"/>
      <w:lvlText w:val="%6."/>
      <w:lvlJc w:val="right"/>
      <w:pPr>
        <w:ind w:left="5034" w:hanging="180"/>
      </w:pPr>
    </w:lvl>
    <w:lvl w:ilvl="6" w:tplc="0C0A000F" w:tentative="1">
      <w:start w:val="1"/>
      <w:numFmt w:val="decimal"/>
      <w:lvlText w:val="%7."/>
      <w:lvlJc w:val="left"/>
      <w:pPr>
        <w:ind w:left="5754" w:hanging="360"/>
      </w:pPr>
    </w:lvl>
    <w:lvl w:ilvl="7" w:tplc="0C0A0019" w:tentative="1">
      <w:start w:val="1"/>
      <w:numFmt w:val="lowerLetter"/>
      <w:lvlText w:val="%8."/>
      <w:lvlJc w:val="left"/>
      <w:pPr>
        <w:ind w:left="6474" w:hanging="360"/>
      </w:pPr>
    </w:lvl>
    <w:lvl w:ilvl="8" w:tplc="0C0A001B" w:tentative="1">
      <w:start w:val="1"/>
      <w:numFmt w:val="lowerRoman"/>
      <w:lvlText w:val="%9."/>
      <w:lvlJc w:val="right"/>
      <w:pPr>
        <w:ind w:left="7194" w:hanging="180"/>
      </w:pPr>
    </w:lvl>
  </w:abstractNum>
  <w:abstractNum w:abstractNumId="71" w15:restartNumberingAfterBreak="0">
    <w:nsid w:val="2E6B7653"/>
    <w:multiLevelType w:val="hybridMultilevel"/>
    <w:tmpl w:val="2132C9F8"/>
    <w:lvl w:ilvl="0" w:tplc="FFFFFFFF">
      <w:start w:val="1"/>
      <w:numFmt w:val="decimal"/>
      <w:lvlText w:val="%1ª."/>
      <w:lvlJc w:val="left"/>
      <w:pPr>
        <w:ind w:left="720" w:hanging="360"/>
      </w:pPr>
      <w:rPr>
        <w:rFonts w:ascii="Arial" w:hAnsi="Arial" w:cs="Arial" w:hint="default"/>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2EC62B9C"/>
    <w:multiLevelType w:val="hybridMultilevel"/>
    <w:tmpl w:val="856029EA"/>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3" w15:restartNumberingAfterBreak="0">
    <w:nsid w:val="2EDC5EDC"/>
    <w:multiLevelType w:val="hybridMultilevel"/>
    <w:tmpl w:val="529A4D8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4" w15:restartNumberingAfterBreak="0">
    <w:nsid w:val="2FB319BC"/>
    <w:multiLevelType w:val="hybridMultilevel"/>
    <w:tmpl w:val="50706AC0"/>
    <w:lvl w:ilvl="0" w:tplc="CC36CD30">
      <w:start w:val="1"/>
      <w:numFmt w:val="bullet"/>
      <w:lvlText w:val=""/>
      <w:lvlJc w:val="left"/>
      <w:pPr>
        <w:ind w:left="720" w:hanging="360"/>
      </w:pPr>
      <w:rPr>
        <w:rFonts w:ascii="Wingdings" w:hAnsi="Wingdings" w:hint="default"/>
        <w:color w:val="C00000"/>
      </w:rPr>
    </w:lvl>
    <w:lvl w:ilvl="1" w:tplc="2E20C850">
      <w:numFmt w:val="bullet"/>
      <w:lvlText w:val="-"/>
      <w:lvlJc w:val="left"/>
      <w:pPr>
        <w:ind w:left="1440" w:hanging="360"/>
      </w:pPr>
      <w:rPr>
        <w:rFonts w:ascii="Arial" w:eastAsiaTheme="minorHAnsi" w:hAnsi="Aria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5" w15:restartNumberingAfterBreak="0">
    <w:nsid w:val="2FF87860"/>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6" w15:restartNumberingAfterBreak="0">
    <w:nsid w:val="30EE697E"/>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31FD6CDC"/>
    <w:multiLevelType w:val="hybridMultilevel"/>
    <w:tmpl w:val="CD721DDE"/>
    <w:lvl w:ilvl="0" w:tplc="2E20C850">
      <w:numFmt w:val="bullet"/>
      <w:lvlText w:val="-"/>
      <w:lvlJc w:val="left"/>
      <w:pPr>
        <w:ind w:left="1850" w:hanging="360"/>
      </w:pPr>
      <w:rPr>
        <w:rFonts w:ascii="Arial" w:eastAsiaTheme="minorHAnsi" w:hAnsi="Arial" w:cs="Arial" w:hint="default"/>
        <w:color w:val="auto"/>
      </w:rPr>
    </w:lvl>
    <w:lvl w:ilvl="1" w:tplc="0C0A0003" w:tentative="1">
      <w:start w:val="1"/>
      <w:numFmt w:val="bullet"/>
      <w:lvlText w:val="o"/>
      <w:lvlJc w:val="left"/>
      <w:pPr>
        <w:ind w:left="2570" w:hanging="360"/>
      </w:pPr>
      <w:rPr>
        <w:rFonts w:ascii="Courier New" w:hAnsi="Courier New" w:cs="Courier New" w:hint="default"/>
      </w:rPr>
    </w:lvl>
    <w:lvl w:ilvl="2" w:tplc="0C0A0005" w:tentative="1">
      <w:start w:val="1"/>
      <w:numFmt w:val="bullet"/>
      <w:lvlText w:val=""/>
      <w:lvlJc w:val="left"/>
      <w:pPr>
        <w:ind w:left="3290" w:hanging="360"/>
      </w:pPr>
      <w:rPr>
        <w:rFonts w:ascii="Wingdings" w:hAnsi="Wingdings" w:hint="default"/>
      </w:rPr>
    </w:lvl>
    <w:lvl w:ilvl="3" w:tplc="0C0A0001" w:tentative="1">
      <w:start w:val="1"/>
      <w:numFmt w:val="bullet"/>
      <w:lvlText w:val=""/>
      <w:lvlJc w:val="left"/>
      <w:pPr>
        <w:ind w:left="4010" w:hanging="360"/>
      </w:pPr>
      <w:rPr>
        <w:rFonts w:ascii="Symbol" w:hAnsi="Symbol" w:hint="default"/>
      </w:rPr>
    </w:lvl>
    <w:lvl w:ilvl="4" w:tplc="0C0A0003" w:tentative="1">
      <w:start w:val="1"/>
      <w:numFmt w:val="bullet"/>
      <w:lvlText w:val="o"/>
      <w:lvlJc w:val="left"/>
      <w:pPr>
        <w:ind w:left="4730" w:hanging="360"/>
      </w:pPr>
      <w:rPr>
        <w:rFonts w:ascii="Courier New" w:hAnsi="Courier New" w:cs="Courier New" w:hint="default"/>
      </w:rPr>
    </w:lvl>
    <w:lvl w:ilvl="5" w:tplc="0C0A0005" w:tentative="1">
      <w:start w:val="1"/>
      <w:numFmt w:val="bullet"/>
      <w:lvlText w:val=""/>
      <w:lvlJc w:val="left"/>
      <w:pPr>
        <w:ind w:left="5450" w:hanging="360"/>
      </w:pPr>
      <w:rPr>
        <w:rFonts w:ascii="Wingdings" w:hAnsi="Wingdings" w:hint="default"/>
      </w:rPr>
    </w:lvl>
    <w:lvl w:ilvl="6" w:tplc="0C0A0001" w:tentative="1">
      <w:start w:val="1"/>
      <w:numFmt w:val="bullet"/>
      <w:lvlText w:val=""/>
      <w:lvlJc w:val="left"/>
      <w:pPr>
        <w:ind w:left="6170" w:hanging="360"/>
      </w:pPr>
      <w:rPr>
        <w:rFonts w:ascii="Symbol" w:hAnsi="Symbol" w:hint="default"/>
      </w:rPr>
    </w:lvl>
    <w:lvl w:ilvl="7" w:tplc="0C0A0003" w:tentative="1">
      <w:start w:val="1"/>
      <w:numFmt w:val="bullet"/>
      <w:lvlText w:val="o"/>
      <w:lvlJc w:val="left"/>
      <w:pPr>
        <w:ind w:left="6890" w:hanging="360"/>
      </w:pPr>
      <w:rPr>
        <w:rFonts w:ascii="Courier New" w:hAnsi="Courier New" w:cs="Courier New" w:hint="default"/>
      </w:rPr>
    </w:lvl>
    <w:lvl w:ilvl="8" w:tplc="0C0A0005" w:tentative="1">
      <w:start w:val="1"/>
      <w:numFmt w:val="bullet"/>
      <w:lvlText w:val=""/>
      <w:lvlJc w:val="left"/>
      <w:pPr>
        <w:ind w:left="7610" w:hanging="360"/>
      </w:pPr>
      <w:rPr>
        <w:rFonts w:ascii="Wingdings" w:hAnsi="Wingdings" w:hint="default"/>
      </w:rPr>
    </w:lvl>
  </w:abstractNum>
  <w:abstractNum w:abstractNumId="78" w15:restartNumberingAfterBreak="0">
    <w:nsid w:val="33450B78"/>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340F6005"/>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34CD688B"/>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81" w15:restartNumberingAfterBreak="0">
    <w:nsid w:val="354566B4"/>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35791C03"/>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35BF2596"/>
    <w:multiLevelType w:val="hybridMultilevel"/>
    <w:tmpl w:val="86F4A7B6"/>
    <w:lvl w:ilvl="0" w:tplc="5C7092D8">
      <w:start w:val="1"/>
      <w:numFmt w:val="bullet"/>
      <w:lvlText w:val=""/>
      <w:lvlJc w:val="left"/>
      <w:pPr>
        <w:ind w:left="720" w:hanging="360"/>
      </w:pPr>
      <w:rPr>
        <w:rFonts w:ascii="Wingdings" w:hAnsi="Wingdings" w:hint="default"/>
        <w:color w:val="9D2235" w:themeColor="accent1"/>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84" w15:restartNumberingAfterBreak="0">
    <w:nsid w:val="37520BF3"/>
    <w:multiLevelType w:val="hybridMultilevel"/>
    <w:tmpl w:val="2EE212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5" w15:restartNumberingAfterBreak="0">
    <w:nsid w:val="378A7711"/>
    <w:multiLevelType w:val="hybridMultilevel"/>
    <w:tmpl w:val="0C86E444"/>
    <w:lvl w:ilvl="0" w:tplc="CC36CD30">
      <w:start w:val="1"/>
      <w:numFmt w:val="bullet"/>
      <w:lvlText w:val=""/>
      <w:lvlJc w:val="left"/>
      <w:pPr>
        <w:ind w:left="720" w:hanging="360"/>
      </w:pPr>
      <w:rPr>
        <w:rFonts w:ascii="Wingdings" w:hAnsi="Wingdings" w:hint="default"/>
        <w:color w:val="C0000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15:restartNumberingAfterBreak="0">
    <w:nsid w:val="385E3D64"/>
    <w:multiLevelType w:val="hybridMultilevel"/>
    <w:tmpl w:val="E97E4B7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15:restartNumberingAfterBreak="0">
    <w:nsid w:val="39135426"/>
    <w:multiLevelType w:val="hybridMultilevel"/>
    <w:tmpl w:val="2132C9F8"/>
    <w:lvl w:ilvl="0" w:tplc="FFFFFFFF">
      <w:start w:val="1"/>
      <w:numFmt w:val="decimal"/>
      <w:lvlText w:val="%1ª."/>
      <w:lvlJc w:val="left"/>
      <w:pPr>
        <w:ind w:left="720" w:hanging="360"/>
      </w:pPr>
      <w:rPr>
        <w:rFonts w:ascii="Arial" w:hAnsi="Arial" w:cs="Arial" w:hint="default"/>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3A6278C5"/>
    <w:multiLevelType w:val="hybridMultilevel"/>
    <w:tmpl w:val="85CC4A6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15:restartNumberingAfterBreak="0">
    <w:nsid w:val="3B6559C3"/>
    <w:multiLevelType w:val="hybridMultilevel"/>
    <w:tmpl w:val="BCF20B34"/>
    <w:lvl w:ilvl="0" w:tplc="7A429C3C">
      <w:start w:val="1"/>
      <w:numFmt w:val="bullet"/>
      <w:lvlText w:val=""/>
      <w:lvlJc w:val="left"/>
      <w:pPr>
        <w:ind w:left="360" w:hanging="360"/>
      </w:pPr>
      <w:rPr>
        <w:rFonts w:ascii="Wingdings" w:hAnsi="Wingdings" w:hint="default"/>
        <w:color w:val="9D2235" w:themeColor="accent1"/>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90" w15:restartNumberingAfterBreak="0">
    <w:nsid w:val="3B6E2264"/>
    <w:multiLevelType w:val="multilevel"/>
    <w:tmpl w:val="1FFEC5A8"/>
    <w:lvl w:ilvl="0">
      <w:start w:val="6"/>
      <w:numFmt w:val="decimal"/>
      <w:lvlText w:val="%1."/>
      <w:lvlJc w:val="left"/>
      <w:pPr>
        <w:ind w:left="360" w:hanging="360"/>
      </w:pPr>
      <w:rPr>
        <w:rFonts w:hint="default"/>
        <w:b/>
        <w:bCs/>
        <w:color w:val="9D2235" w:themeColor="accent1"/>
        <w:sz w:val="200"/>
        <w:szCs w:val="200"/>
      </w:rPr>
    </w:lvl>
    <w:lvl w:ilvl="1">
      <w:start w:val="1"/>
      <w:numFmt w:val="none"/>
      <w:lvlText w:val="6.4."/>
      <w:lvlJc w:val="left"/>
      <w:pPr>
        <w:ind w:left="792" w:hanging="432"/>
      </w:pPr>
      <w:rPr>
        <w:rFonts w:hint="default"/>
      </w:rPr>
    </w:lvl>
    <w:lvl w:ilvl="2">
      <w:start w:val="1"/>
      <w:numFmt w:val="none"/>
      <w:lvlText w:val="6.4.1."/>
      <w:lvlJc w:val="left"/>
      <w:pPr>
        <w:tabs>
          <w:tab w:val="num" w:pos="794"/>
        </w:tabs>
        <w:ind w:left="1224" w:hanging="504"/>
      </w:pPr>
      <w:rPr>
        <w:rFonts w:hint="default"/>
        <w:b/>
        <w:bCs/>
        <w:color w:val="9D2235" w:themeColor="accent1"/>
        <w:sz w:val="28"/>
        <w:szCs w:val="28"/>
      </w:rPr>
    </w:lvl>
    <w:lvl w:ilvl="3">
      <w:start w:val="1"/>
      <w:numFmt w:val="none"/>
      <w:lvlText w:val="6.4.1.1."/>
      <w:lvlJc w:val="left"/>
      <w:pPr>
        <w:ind w:left="1728" w:hanging="648"/>
      </w:pPr>
      <w:rPr>
        <w:rFonts w:hint="default"/>
      </w:rPr>
    </w:lvl>
    <w:lvl w:ilvl="4">
      <w:start w:val="1"/>
      <w:numFmt w:val="none"/>
      <w:lvlRestart w:val="3"/>
      <w:lvlText w:val="6.4.1.1.1."/>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1" w15:restartNumberingAfterBreak="0">
    <w:nsid w:val="3C2108C7"/>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3D6A478A"/>
    <w:multiLevelType w:val="hybridMultilevel"/>
    <w:tmpl w:val="02B2AFFA"/>
    <w:lvl w:ilvl="0" w:tplc="89E24906">
      <w:start w:val="1"/>
      <w:numFmt w:val="decimal"/>
      <w:lvlText w:val="5.%1."/>
      <w:lvlJc w:val="left"/>
      <w:pPr>
        <w:ind w:left="108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3" w15:restartNumberingAfterBreak="0">
    <w:nsid w:val="3E7A2189"/>
    <w:multiLevelType w:val="hybridMultilevel"/>
    <w:tmpl w:val="405C9ED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4" w15:restartNumberingAfterBreak="0">
    <w:nsid w:val="3FF37C50"/>
    <w:multiLevelType w:val="hybridMultilevel"/>
    <w:tmpl w:val="DBCA604E"/>
    <w:lvl w:ilvl="0" w:tplc="FFFFFFFF">
      <w:start w:val="1"/>
      <w:numFmt w:val="decimal"/>
      <w:lvlText w:val="%1."/>
      <w:lvlJc w:val="left"/>
      <w:pPr>
        <w:ind w:left="720" w:hanging="360"/>
      </w:pPr>
      <w:rPr>
        <w:rFonts w:hint="default"/>
        <w:b w:val="0"/>
        <w:bCs w:val="0"/>
      </w:rPr>
    </w:lvl>
    <w:lvl w:ilvl="1" w:tplc="24869390">
      <w:start w:val="1"/>
      <w:numFmt w:val="lowerLetter"/>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40D5653F"/>
    <w:multiLevelType w:val="multilevel"/>
    <w:tmpl w:val="E692F4F6"/>
    <w:styleLink w:val="WWNum3"/>
    <w:lvl w:ilvl="0">
      <w:numFmt w:val="bullet"/>
      <w:lvlText w:val=""/>
      <w:lvlJc w:val="left"/>
      <w:pPr>
        <w:ind w:left="720" w:hanging="360"/>
      </w:pPr>
      <w:rPr>
        <w:rFonts w:cs="Symbol"/>
        <w:sz w:val="20"/>
      </w:rPr>
    </w:lvl>
    <w:lvl w:ilvl="1">
      <w:numFmt w:val="bullet"/>
      <w:lvlText w:val="o"/>
      <w:lvlJc w:val="left"/>
      <w:pPr>
        <w:ind w:left="1440" w:hanging="360"/>
      </w:pPr>
      <w:rPr>
        <w:rFonts w:ascii="Times New Roman" w:hAnsi="Times New Roman" w:cs="Courier New"/>
        <w:sz w:val="21"/>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96" w15:restartNumberingAfterBreak="0">
    <w:nsid w:val="410F231C"/>
    <w:multiLevelType w:val="hybridMultilevel"/>
    <w:tmpl w:val="DA360656"/>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7" w15:restartNumberingAfterBreak="0">
    <w:nsid w:val="42920BA1"/>
    <w:multiLevelType w:val="multilevel"/>
    <w:tmpl w:val="C18A7E3E"/>
    <w:styleLink w:val="Sinlista12"/>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98" w15:restartNumberingAfterBreak="0">
    <w:nsid w:val="42E3514B"/>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99" w15:restartNumberingAfterBreak="0">
    <w:nsid w:val="43B36534"/>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43EE55A0"/>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4547010C"/>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45C67F28"/>
    <w:multiLevelType w:val="hybridMultilevel"/>
    <w:tmpl w:val="D0BC57EA"/>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3" w15:restartNumberingAfterBreak="0">
    <w:nsid w:val="46310750"/>
    <w:multiLevelType w:val="hybridMultilevel"/>
    <w:tmpl w:val="BFE096DC"/>
    <w:lvl w:ilvl="0" w:tplc="7A429C3C">
      <w:start w:val="1"/>
      <w:numFmt w:val="bullet"/>
      <w:lvlText w:val=""/>
      <w:lvlJc w:val="left"/>
      <w:pPr>
        <w:ind w:left="360" w:hanging="360"/>
      </w:pPr>
      <w:rPr>
        <w:rFonts w:ascii="Wingdings" w:hAnsi="Wingdings" w:hint="default"/>
        <w:color w:val="9D2235" w:themeColor="accent1"/>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4" w15:restartNumberingAfterBreak="0">
    <w:nsid w:val="469C1179"/>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47A36EAE"/>
    <w:multiLevelType w:val="hybridMultilevel"/>
    <w:tmpl w:val="7088A268"/>
    <w:lvl w:ilvl="0" w:tplc="20885610">
      <w:start w:val="1"/>
      <w:numFmt w:val="upperRoman"/>
      <w:lvlText w:val="ANEXO %1"/>
      <w:lvlJc w:val="left"/>
      <w:pPr>
        <w:ind w:left="1070" w:hanging="360"/>
      </w:pPr>
      <w:rPr>
        <w:rFonts w:hint="default"/>
        <w:color w:val="9D2235" w:themeColor="accent1"/>
      </w:rPr>
    </w:lvl>
    <w:lvl w:ilvl="1" w:tplc="BE80D7C2">
      <w:start w:val="1"/>
      <w:numFmt w:val="upperLetter"/>
      <w:lvlText w:val="%2)"/>
      <w:lvlJc w:val="left"/>
      <w:pPr>
        <w:ind w:left="1724" w:hanging="360"/>
      </w:pPr>
      <w:rPr>
        <w:rFonts w:hint="default"/>
        <w:color w:val="auto"/>
      </w:r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06" w15:restartNumberingAfterBreak="0">
    <w:nsid w:val="47B81B8A"/>
    <w:multiLevelType w:val="hybridMultilevel"/>
    <w:tmpl w:val="6D8AADE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7" w15:restartNumberingAfterBreak="0">
    <w:nsid w:val="47C931FF"/>
    <w:multiLevelType w:val="multilevel"/>
    <w:tmpl w:val="61521D54"/>
    <w:styleLink w:val="WW8Num3"/>
    <w:lvl w:ilvl="0">
      <w:start w:val="1"/>
      <w:numFmt w:val="none"/>
      <w:suff w:val="nothing"/>
      <w:lvlText w:val="%1"/>
      <w:lvlJc w:val="left"/>
      <w:rPr>
        <w:rFonts w:ascii="Arial" w:eastAsia="Calibri" w:hAnsi="Arial" w:cs="Arial"/>
        <w:b/>
        <w:bCs/>
        <w:i/>
        <w:iCs/>
        <w:caps w:val="0"/>
        <w:smallCaps w:val="0"/>
        <w:strike w:val="0"/>
        <w:dstrike w:val="0"/>
        <w:color w:val="000000"/>
        <w:spacing w:val="-3"/>
        <w:kern w:val="3"/>
        <w:sz w:val="24"/>
        <w:szCs w:val="24"/>
        <w:shd w:val="clear" w:color="auto" w:fill="FFFF00"/>
        <w:lang w:val="es-ES" w:bidi="ar-SA"/>
      </w:rPr>
    </w:lvl>
    <w:lvl w:ilvl="1">
      <w:start w:val="1"/>
      <w:numFmt w:val="none"/>
      <w:suff w:val="nothing"/>
      <w:lvlText w:val="%2"/>
      <w:lvlJc w:val="left"/>
      <w:rPr>
        <w:rFonts w:ascii="Arial" w:hAnsi="Arial" w:cs="Arial"/>
        <w:color w:val="0070C0"/>
        <w:sz w:val="24"/>
        <w:szCs w:val="24"/>
      </w:rPr>
    </w:lvl>
    <w:lvl w:ilvl="2">
      <w:start w:val="1"/>
      <w:numFmt w:val="none"/>
      <w:suff w:val="nothing"/>
      <w:lvlText w:val="%3"/>
      <w:lvlJc w:val="left"/>
      <w:rPr>
        <w:rFonts w:ascii="Arial" w:hAnsi="Arial" w:cs="Arial"/>
        <w:color w:val="0070C0"/>
        <w:sz w:val="24"/>
        <w:szCs w:val="24"/>
      </w:rPr>
    </w:lvl>
    <w:lvl w:ilvl="3">
      <w:start w:val="1"/>
      <w:numFmt w:val="none"/>
      <w:suff w:val="nothing"/>
      <w:lvlText w:val="%4"/>
      <w:lvlJc w:val="left"/>
    </w:lvl>
    <w:lvl w:ilvl="4">
      <w:start w:val="1"/>
      <w:numFmt w:val="none"/>
      <w:suff w:val="nothing"/>
      <w:lvlText w:val="%5"/>
      <w:lvlJc w:val="left"/>
      <w:rPr>
        <w:rFonts w:ascii="Arial" w:hAnsi="Arial" w:cs="Arial"/>
        <w:b/>
        <w:bCs/>
        <w:color w:val="000000"/>
        <w:sz w:val="24"/>
        <w:szCs w:val="24"/>
      </w:rPr>
    </w:lvl>
    <w:lvl w:ilvl="5">
      <w:start w:val="1"/>
      <w:numFmt w:val="none"/>
      <w:suff w:val="nothing"/>
      <w:lvlText w:val="%6"/>
      <w:lvlJc w:val="left"/>
    </w:lvl>
    <w:lvl w:ilvl="6">
      <w:start w:val="1"/>
      <w:numFmt w:val="none"/>
      <w:suff w:val="nothing"/>
      <w:lvlText w:val="%7"/>
      <w:lvlJc w:val="left"/>
    </w:lvl>
    <w:lvl w:ilvl="7">
      <w:start w:val="1"/>
      <w:numFmt w:val="none"/>
      <w:suff w:val="nothing"/>
      <w:lvlText w:val="%8"/>
      <w:lvlJc w:val="left"/>
    </w:lvl>
    <w:lvl w:ilvl="8">
      <w:start w:val="1"/>
      <w:numFmt w:val="none"/>
      <w:suff w:val="nothing"/>
      <w:lvlText w:val="%9"/>
      <w:lvlJc w:val="left"/>
    </w:lvl>
  </w:abstractNum>
  <w:abstractNum w:abstractNumId="108" w15:restartNumberingAfterBreak="0">
    <w:nsid w:val="490218A0"/>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49102F06"/>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110" w15:restartNumberingAfterBreak="0">
    <w:nsid w:val="493003ED"/>
    <w:multiLevelType w:val="hybridMultilevel"/>
    <w:tmpl w:val="85CC81BE"/>
    <w:lvl w:ilvl="0" w:tplc="BF584DA2">
      <w:start w:val="1"/>
      <w:numFmt w:val="decimal"/>
      <w:lvlText w:val="1.%1."/>
      <w:lvlJc w:val="left"/>
      <w:pPr>
        <w:ind w:left="1440" w:hanging="360"/>
      </w:pPr>
      <w:rPr>
        <w:rFonts w:hint="default"/>
      </w:rPr>
    </w:lvl>
    <w:lvl w:ilvl="1" w:tplc="0C0A0019">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11" w15:restartNumberingAfterBreak="0">
    <w:nsid w:val="4967348F"/>
    <w:multiLevelType w:val="hybridMultilevel"/>
    <w:tmpl w:val="DB1A3378"/>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2" w15:restartNumberingAfterBreak="0">
    <w:nsid w:val="4A68299A"/>
    <w:multiLevelType w:val="hybridMultilevel"/>
    <w:tmpl w:val="FA08AB82"/>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3" w15:restartNumberingAfterBreak="0">
    <w:nsid w:val="4B51365C"/>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4C8548D5"/>
    <w:multiLevelType w:val="multilevel"/>
    <w:tmpl w:val="8F50893A"/>
    <w:styleLink w:val="WWNum41"/>
    <w:lvl w:ilvl="0">
      <w:numFmt w:val="bullet"/>
      <w:lvlText w:val=""/>
      <w:lvlJc w:val="left"/>
      <w:pPr>
        <w:ind w:left="720" w:hanging="360"/>
      </w:pPr>
      <w:rPr>
        <w:rFonts w:ascii="Symbol" w:hAnsi="Symbol" w:cs="Symbol"/>
        <w:b w:val="0"/>
        <w:sz w:val="22"/>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15" w15:restartNumberingAfterBreak="0">
    <w:nsid w:val="4CFD4F44"/>
    <w:multiLevelType w:val="hybridMultilevel"/>
    <w:tmpl w:val="599051D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6" w15:restartNumberingAfterBreak="0">
    <w:nsid w:val="507D1996"/>
    <w:multiLevelType w:val="hybridMultilevel"/>
    <w:tmpl w:val="001A2E92"/>
    <w:lvl w:ilvl="0" w:tplc="16D0920E">
      <w:start w:val="1"/>
      <w:numFmt w:val="decimal"/>
      <w:lvlText w:val="%1ª."/>
      <w:lvlJc w:val="left"/>
      <w:pPr>
        <w:ind w:left="720" w:hanging="360"/>
      </w:pPr>
      <w:rPr>
        <w:rFonts w:ascii="Arial" w:hAnsi="Arial" w:cs="Arial" w:hint="default"/>
        <w:b w:val="0"/>
        <w:bCs w:val="0"/>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518E7A19"/>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51A9092E"/>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5244417B"/>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544B168F"/>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5586361E"/>
    <w:multiLevelType w:val="hybridMultilevel"/>
    <w:tmpl w:val="98FCA3AE"/>
    <w:lvl w:ilvl="0" w:tplc="C9044F46">
      <w:start w:val="1"/>
      <w:numFmt w:val="bullet"/>
      <w:lvlText w:val=""/>
      <w:lvlJc w:val="left"/>
      <w:pPr>
        <w:ind w:left="720" w:hanging="360"/>
      </w:pPr>
      <w:rPr>
        <w:rFonts w:ascii="Wingdings" w:hAnsi="Wingdings" w:hint="default"/>
        <w:color w:val="C00000"/>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22" w15:restartNumberingAfterBreak="0">
    <w:nsid w:val="57227884"/>
    <w:multiLevelType w:val="hybridMultilevel"/>
    <w:tmpl w:val="5FF0F548"/>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3" w15:restartNumberingAfterBreak="0">
    <w:nsid w:val="577738C3"/>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57AD5F78"/>
    <w:multiLevelType w:val="hybridMultilevel"/>
    <w:tmpl w:val="6696EDB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5" w15:restartNumberingAfterBreak="0">
    <w:nsid w:val="57C61773"/>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 w15:restartNumberingAfterBreak="0">
    <w:nsid w:val="58364A17"/>
    <w:multiLevelType w:val="multilevel"/>
    <w:tmpl w:val="85AEFB36"/>
    <w:lvl w:ilvl="0">
      <w:start w:val="6"/>
      <w:numFmt w:val="decimal"/>
      <w:lvlText w:val="%1."/>
      <w:lvlJc w:val="left"/>
      <w:pPr>
        <w:ind w:left="360" w:hanging="360"/>
      </w:pPr>
      <w:rPr>
        <w:rFonts w:hint="default"/>
        <w:b/>
        <w:bCs/>
        <w:sz w:val="200"/>
        <w:szCs w:val="200"/>
      </w:rPr>
    </w:lvl>
    <w:lvl w:ilvl="1">
      <w:start w:val="1"/>
      <w:numFmt w:val="decimal"/>
      <w:lvlText w:val="%1.%2."/>
      <w:lvlJc w:val="left"/>
      <w:pPr>
        <w:ind w:left="792" w:hanging="432"/>
      </w:pPr>
      <w:rPr>
        <w:rFonts w:hint="default"/>
        <w:b/>
        <w:bCs/>
        <w:color w:val="9D2235" w:themeColor="accent1"/>
        <w:sz w:val="32"/>
        <w:szCs w:val="3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7" w15:restartNumberingAfterBreak="0">
    <w:nsid w:val="59236987"/>
    <w:multiLevelType w:val="hybridMultilevel"/>
    <w:tmpl w:val="4D88CA12"/>
    <w:lvl w:ilvl="0" w:tplc="CC36CD30">
      <w:start w:val="1"/>
      <w:numFmt w:val="bullet"/>
      <w:lvlText w:val=""/>
      <w:lvlJc w:val="left"/>
      <w:pPr>
        <w:ind w:left="720" w:hanging="360"/>
      </w:pPr>
      <w:rPr>
        <w:rFonts w:ascii="Wingdings" w:hAnsi="Wingdings" w:hint="default"/>
        <w:color w:val="C0000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8" w15:restartNumberingAfterBreak="0">
    <w:nsid w:val="5942070E"/>
    <w:multiLevelType w:val="hybridMultilevel"/>
    <w:tmpl w:val="AC1C201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9" w15:restartNumberingAfterBreak="0">
    <w:nsid w:val="596E2A13"/>
    <w:multiLevelType w:val="hybridMultilevel"/>
    <w:tmpl w:val="FD207A54"/>
    <w:lvl w:ilvl="0" w:tplc="7A429C3C">
      <w:start w:val="1"/>
      <w:numFmt w:val="bullet"/>
      <w:lvlText w:val=""/>
      <w:lvlJc w:val="left"/>
      <w:pPr>
        <w:ind w:left="360" w:hanging="360"/>
      </w:pPr>
      <w:rPr>
        <w:rFonts w:ascii="Wingdings" w:hAnsi="Wingdings" w:hint="default"/>
        <w:color w:val="9D2235" w:themeColor="accent1"/>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0" w15:restartNumberingAfterBreak="0">
    <w:nsid w:val="59E43A73"/>
    <w:multiLevelType w:val="multilevel"/>
    <w:tmpl w:val="3D484B98"/>
    <w:styleLink w:val="WWNum2"/>
    <w:lvl w:ilvl="0">
      <w:numFmt w:val="bullet"/>
      <w:lvlText w:val=""/>
      <w:lvlJc w:val="left"/>
      <w:pPr>
        <w:ind w:left="720" w:hanging="360"/>
      </w:pPr>
      <w:rPr>
        <w:rFonts w:ascii="Times New Roman" w:hAnsi="Times New Roman" w:cs="Symbol"/>
        <w:sz w:val="21"/>
      </w:rPr>
    </w:lvl>
    <w:lvl w:ilvl="1">
      <w:numFmt w:val="bullet"/>
      <w:lvlText w:val="o"/>
      <w:lvlJc w:val="left"/>
      <w:pPr>
        <w:ind w:left="1440" w:hanging="360"/>
      </w:pPr>
      <w:rPr>
        <w:rFonts w:cs="Courier New"/>
        <w:sz w:val="20"/>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131" w15:restartNumberingAfterBreak="0">
    <w:nsid w:val="5AB930B9"/>
    <w:multiLevelType w:val="hybridMultilevel"/>
    <w:tmpl w:val="46C2010E"/>
    <w:lvl w:ilvl="0" w:tplc="2E20C850">
      <w:numFmt w:val="bullet"/>
      <w:lvlText w:val="-"/>
      <w:lvlJc w:val="left"/>
      <w:pPr>
        <w:ind w:left="721" w:hanging="360"/>
      </w:pPr>
      <w:rPr>
        <w:rFonts w:ascii="Arial" w:eastAsiaTheme="minorHAnsi" w:hAnsi="Arial" w:cs="Arial" w:hint="default"/>
      </w:rPr>
    </w:lvl>
    <w:lvl w:ilvl="1" w:tplc="0C0A0003" w:tentative="1">
      <w:start w:val="1"/>
      <w:numFmt w:val="bullet"/>
      <w:lvlText w:val="o"/>
      <w:lvlJc w:val="left"/>
      <w:pPr>
        <w:ind w:left="1441" w:hanging="360"/>
      </w:pPr>
      <w:rPr>
        <w:rFonts w:ascii="Courier New" w:hAnsi="Courier New" w:cs="Courier New" w:hint="default"/>
      </w:rPr>
    </w:lvl>
    <w:lvl w:ilvl="2" w:tplc="0C0A0005" w:tentative="1">
      <w:start w:val="1"/>
      <w:numFmt w:val="bullet"/>
      <w:lvlText w:val=""/>
      <w:lvlJc w:val="left"/>
      <w:pPr>
        <w:ind w:left="2161" w:hanging="360"/>
      </w:pPr>
      <w:rPr>
        <w:rFonts w:ascii="Wingdings" w:hAnsi="Wingdings" w:hint="default"/>
      </w:rPr>
    </w:lvl>
    <w:lvl w:ilvl="3" w:tplc="0C0A0001" w:tentative="1">
      <w:start w:val="1"/>
      <w:numFmt w:val="bullet"/>
      <w:lvlText w:val=""/>
      <w:lvlJc w:val="left"/>
      <w:pPr>
        <w:ind w:left="2881" w:hanging="360"/>
      </w:pPr>
      <w:rPr>
        <w:rFonts w:ascii="Symbol" w:hAnsi="Symbol" w:hint="default"/>
      </w:rPr>
    </w:lvl>
    <w:lvl w:ilvl="4" w:tplc="0C0A0003" w:tentative="1">
      <w:start w:val="1"/>
      <w:numFmt w:val="bullet"/>
      <w:lvlText w:val="o"/>
      <w:lvlJc w:val="left"/>
      <w:pPr>
        <w:ind w:left="3601" w:hanging="360"/>
      </w:pPr>
      <w:rPr>
        <w:rFonts w:ascii="Courier New" w:hAnsi="Courier New" w:cs="Courier New" w:hint="default"/>
      </w:rPr>
    </w:lvl>
    <w:lvl w:ilvl="5" w:tplc="0C0A0005" w:tentative="1">
      <w:start w:val="1"/>
      <w:numFmt w:val="bullet"/>
      <w:lvlText w:val=""/>
      <w:lvlJc w:val="left"/>
      <w:pPr>
        <w:ind w:left="4321" w:hanging="360"/>
      </w:pPr>
      <w:rPr>
        <w:rFonts w:ascii="Wingdings" w:hAnsi="Wingdings" w:hint="default"/>
      </w:rPr>
    </w:lvl>
    <w:lvl w:ilvl="6" w:tplc="0C0A0001" w:tentative="1">
      <w:start w:val="1"/>
      <w:numFmt w:val="bullet"/>
      <w:lvlText w:val=""/>
      <w:lvlJc w:val="left"/>
      <w:pPr>
        <w:ind w:left="5041" w:hanging="360"/>
      </w:pPr>
      <w:rPr>
        <w:rFonts w:ascii="Symbol" w:hAnsi="Symbol" w:hint="default"/>
      </w:rPr>
    </w:lvl>
    <w:lvl w:ilvl="7" w:tplc="0C0A0003" w:tentative="1">
      <w:start w:val="1"/>
      <w:numFmt w:val="bullet"/>
      <w:lvlText w:val="o"/>
      <w:lvlJc w:val="left"/>
      <w:pPr>
        <w:ind w:left="5761" w:hanging="360"/>
      </w:pPr>
      <w:rPr>
        <w:rFonts w:ascii="Courier New" w:hAnsi="Courier New" w:cs="Courier New" w:hint="default"/>
      </w:rPr>
    </w:lvl>
    <w:lvl w:ilvl="8" w:tplc="0C0A0005" w:tentative="1">
      <w:start w:val="1"/>
      <w:numFmt w:val="bullet"/>
      <w:lvlText w:val=""/>
      <w:lvlJc w:val="left"/>
      <w:pPr>
        <w:ind w:left="6481" w:hanging="360"/>
      </w:pPr>
      <w:rPr>
        <w:rFonts w:ascii="Wingdings" w:hAnsi="Wingdings" w:hint="default"/>
      </w:rPr>
    </w:lvl>
  </w:abstractNum>
  <w:abstractNum w:abstractNumId="132" w15:restartNumberingAfterBreak="0">
    <w:nsid w:val="5AEE34B1"/>
    <w:multiLevelType w:val="multilevel"/>
    <w:tmpl w:val="3E5A586E"/>
    <w:styleLink w:val="WWNum5"/>
    <w:lvl w:ilvl="0">
      <w:start w:val="1"/>
      <w:numFmt w:val="none"/>
      <w:suff w:val="nothing"/>
      <w:lvlText w:val="%1"/>
      <w:lvlJc w:val="left"/>
    </w:lvl>
    <w:lvl w:ilvl="1">
      <w:start w:val="1"/>
      <w:numFmt w:val="none"/>
      <w:suff w:val="nothing"/>
      <w:lvlText w:val="%2"/>
      <w:lvlJc w:val="left"/>
    </w:lvl>
    <w:lvl w:ilvl="2">
      <w:start w:val="1"/>
      <w:numFmt w:val="none"/>
      <w:suff w:val="nothing"/>
      <w:lvlText w:val="%3"/>
      <w:lvlJc w:val="left"/>
    </w:lvl>
    <w:lvl w:ilvl="3">
      <w:start w:val="1"/>
      <w:numFmt w:val="none"/>
      <w:suff w:val="nothing"/>
      <w:lvlText w:val="%4"/>
      <w:lvlJc w:val="left"/>
    </w:lvl>
    <w:lvl w:ilvl="4">
      <w:start w:val="1"/>
      <w:numFmt w:val="none"/>
      <w:suff w:val="nothing"/>
      <w:lvlText w:val="%5"/>
      <w:lvlJc w:val="left"/>
    </w:lvl>
    <w:lvl w:ilvl="5">
      <w:start w:val="1"/>
      <w:numFmt w:val="none"/>
      <w:suff w:val="nothing"/>
      <w:lvlText w:val="%6"/>
      <w:lvlJc w:val="left"/>
    </w:lvl>
    <w:lvl w:ilvl="6">
      <w:start w:val="1"/>
      <w:numFmt w:val="none"/>
      <w:suff w:val="nothing"/>
      <w:lvlText w:val="%7"/>
      <w:lvlJc w:val="left"/>
    </w:lvl>
    <w:lvl w:ilvl="7">
      <w:start w:val="1"/>
      <w:numFmt w:val="none"/>
      <w:suff w:val="nothing"/>
      <w:lvlText w:val="%8"/>
      <w:lvlJc w:val="left"/>
    </w:lvl>
    <w:lvl w:ilvl="8">
      <w:start w:val="1"/>
      <w:numFmt w:val="none"/>
      <w:suff w:val="nothing"/>
      <w:lvlText w:val="%9"/>
      <w:lvlJc w:val="left"/>
    </w:lvl>
  </w:abstractNum>
  <w:abstractNum w:abstractNumId="133" w15:restartNumberingAfterBreak="0">
    <w:nsid w:val="5B7550DA"/>
    <w:multiLevelType w:val="hybridMultilevel"/>
    <w:tmpl w:val="CA20B192"/>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4" w15:restartNumberingAfterBreak="0">
    <w:nsid w:val="5C1020E2"/>
    <w:multiLevelType w:val="hybridMultilevel"/>
    <w:tmpl w:val="E7764426"/>
    <w:lvl w:ilvl="0" w:tplc="7A429C3C">
      <w:start w:val="1"/>
      <w:numFmt w:val="bullet"/>
      <w:lvlText w:val=""/>
      <w:lvlJc w:val="left"/>
      <w:pPr>
        <w:ind w:left="1440" w:hanging="360"/>
      </w:pPr>
      <w:rPr>
        <w:rFonts w:ascii="Wingdings" w:hAnsi="Wingdings" w:hint="default"/>
        <w:color w:val="9D2235" w:themeColor="accent1"/>
      </w:rPr>
    </w:lvl>
    <w:lvl w:ilvl="1" w:tplc="2E20C850">
      <w:numFmt w:val="bullet"/>
      <w:lvlText w:val="-"/>
      <w:lvlJc w:val="left"/>
      <w:pPr>
        <w:ind w:left="720" w:hanging="360"/>
      </w:pPr>
      <w:rPr>
        <w:rFonts w:ascii="Arial" w:eastAsiaTheme="minorHAnsi" w:hAnsi="Arial" w:cs="Arial"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35" w15:restartNumberingAfterBreak="0">
    <w:nsid w:val="5C416BF9"/>
    <w:multiLevelType w:val="multilevel"/>
    <w:tmpl w:val="1C147536"/>
    <w:styleLink w:val="WWNum11"/>
    <w:lvl w:ilvl="0">
      <w:numFmt w:val="bullet"/>
      <w:lvlText w:val=""/>
      <w:lvlJc w:val="left"/>
      <w:pPr>
        <w:ind w:left="1080" w:hanging="360"/>
      </w:pPr>
      <w:rPr>
        <w:rFonts w:ascii="Wingdings" w:hAnsi="Wingdings" w:cs="Wingdings"/>
        <w:color w:val="9D2235"/>
        <w:sz w:val="21"/>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cs="Wingdings"/>
      </w:rPr>
    </w:lvl>
    <w:lvl w:ilvl="3">
      <w:numFmt w:val="bullet"/>
      <w:lvlText w:val=""/>
      <w:lvlJc w:val="left"/>
      <w:pPr>
        <w:ind w:left="3240" w:hanging="360"/>
      </w:pPr>
      <w:rPr>
        <w:rFonts w:ascii="Symbol" w:hAnsi="Symbol" w:cs="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cs="Wingdings"/>
      </w:rPr>
    </w:lvl>
    <w:lvl w:ilvl="6">
      <w:numFmt w:val="bullet"/>
      <w:lvlText w:val=""/>
      <w:lvlJc w:val="left"/>
      <w:pPr>
        <w:ind w:left="5400" w:hanging="360"/>
      </w:pPr>
      <w:rPr>
        <w:rFonts w:ascii="Symbol" w:hAnsi="Symbol" w:cs="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cs="Wingdings"/>
      </w:rPr>
    </w:lvl>
  </w:abstractNum>
  <w:abstractNum w:abstractNumId="136" w15:restartNumberingAfterBreak="0">
    <w:nsid w:val="5DC520CA"/>
    <w:multiLevelType w:val="hybridMultilevel"/>
    <w:tmpl w:val="5FDAB0BC"/>
    <w:lvl w:ilvl="0" w:tplc="C51EB0F0">
      <w:numFmt w:val="bullet"/>
      <w:lvlText w:val=""/>
      <w:lvlJc w:val="left"/>
      <w:pPr>
        <w:ind w:left="1080" w:hanging="360"/>
      </w:pPr>
      <w:rPr>
        <w:rFonts w:ascii="Symbol" w:eastAsiaTheme="minorEastAsia" w:hAnsi="Symbol" w:cs="Arial" w:hint="default"/>
        <w:b/>
        <w:bCs w:val="0"/>
        <w:color w:val="9D2235" w:themeColor="accent1"/>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37" w15:restartNumberingAfterBreak="0">
    <w:nsid w:val="5F5A4C23"/>
    <w:multiLevelType w:val="hybridMultilevel"/>
    <w:tmpl w:val="623ADDD4"/>
    <w:lvl w:ilvl="0" w:tplc="BF584DA2">
      <w:start w:val="1"/>
      <w:numFmt w:val="decimal"/>
      <w:lvlText w:val="1.%1."/>
      <w:lvlJc w:val="left"/>
      <w:pPr>
        <w:ind w:left="1080" w:hanging="360"/>
      </w:pPr>
      <w:rPr>
        <w:rFonts w:hint="default"/>
      </w:rPr>
    </w:lvl>
    <w:lvl w:ilvl="1" w:tplc="0C0A0019" w:tentative="1">
      <w:start w:val="1"/>
      <w:numFmt w:val="lowerLetter"/>
      <w:lvlText w:val="%2."/>
      <w:lvlJc w:val="left"/>
      <w:pPr>
        <w:ind w:left="1092" w:hanging="360"/>
      </w:pPr>
    </w:lvl>
    <w:lvl w:ilvl="2" w:tplc="0C0A001B" w:tentative="1">
      <w:start w:val="1"/>
      <w:numFmt w:val="lowerRoman"/>
      <w:lvlText w:val="%3."/>
      <w:lvlJc w:val="right"/>
      <w:pPr>
        <w:ind w:left="1812" w:hanging="180"/>
      </w:pPr>
    </w:lvl>
    <w:lvl w:ilvl="3" w:tplc="0C0A000F" w:tentative="1">
      <w:start w:val="1"/>
      <w:numFmt w:val="decimal"/>
      <w:lvlText w:val="%4."/>
      <w:lvlJc w:val="left"/>
      <w:pPr>
        <w:ind w:left="2532" w:hanging="360"/>
      </w:pPr>
    </w:lvl>
    <w:lvl w:ilvl="4" w:tplc="0C0A0019" w:tentative="1">
      <w:start w:val="1"/>
      <w:numFmt w:val="lowerLetter"/>
      <w:lvlText w:val="%5."/>
      <w:lvlJc w:val="left"/>
      <w:pPr>
        <w:ind w:left="3252" w:hanging="360"/>
      </w:pPr>
    </w:lvl>
    <w:lvl w:ilvl="5" w:tplc="0C0A001B" w:tentative="1">
      <w:start w:val="1"/>
      <w:numFmt w:val="lowerRoman"/>
      <w:lvlText w:val="%6."/>
      <w:lvlJc w:val="right"/>
      <w:pPr>
        <w:ind w:left="3972" w:hanging="180"/>
      </w:pPr>
    </w:lvl>
    <w:lvl w:ilvl="6" w:tplc="0C0A000F" w:tentative="1">
      <w:start w:val="1"/>
      <w:numFmt w:val="decimal"/>
      <w:lvlText w:val="%7."/>
      <w:lvlJc w:val="left"/>
      <w:pPr>
        <w:ind w:left="4692" w:hanging="360"/>
      </w:pPr>
    </w:lvl>
    <w:lvl w:ilvl="7" w:tplc="0C0A0019" w:tentative="1">
      <w:start w:val="1"/>
      <w:numFmt w:val="lowerLetter"/>
      <w:lvlText w:val="%8."/>
      <w:lvlJc w:val="left"/>
      <w:pPr>
        <w:ind w:left="5412" w:hanging="360"/>
      </w:pPr>
    </w:lvl>
    <w:lvl w:ilvl="8" w:tplc="0C0A001B" w:tentative="1">
      <w:start w:val="1"/>
      <w:numFmt w:val="lowerRoman"/>
      <w:lvlText w:val="%9."/>
      <w:lvlJc w:val="right"/>
      <w:pPr>
        <w:ind w:left="6132" w:hanging="180"/>
      </w:pPr>
    </w:lvl>
  </w:abstractNum>
  <w:abstractNum w:abstractNumId="138" w15:restartNumberingAfterBreak="0">
    <w:nsid w:val="60805ED2"/>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60903896"/>
    <w:multiLevelType w:val="hybridMultilevel"/>
    <w:tmpl w:val="D73CDA38"/>
    <w:lvl w:ilvl="0" w:tplc="28EEBD92">
      <w:start w:val="1"/>
      <w:numFmt w:val="bullet"/>
      <w:lvlText w:val=""/>
      <w:lvlJc w:val="left"/>
      <w:pPr>
        <w:ind w:left="360" w:hanging="360"/>
      </w:pPr>
      <w:rPr>
        <w:rFonts w:ascii="Wingdings" w:hAnsi="Wingdings" w:hint="default"/>
        <w:color w:val="9D2235" w:themeColor="accent1"/>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1080" w:hanging="360"/>
      </w:pPr>
      <w:rPr>
        <w:rFonts w:ascii="Wingdings" w:hAnsi="Wingdings" w:hint="default"/>
      </w:rPr>
    </w:lvl>
    <w:lvl w:ilvl="3" w:tplc="0C0A0001" w:tentative="1">
      <w:start w:val="1"/>
      <w:numFmt w:val="bullet"/>
      <w:lvlText w:val=""/>
      <w:lvlJc w:val="left"/>
      <w:pPr>
        <w:ind w:left="-360" w:hanging="360"/>
      </w:pPr>
      <w:rPr>
        <w:rFonts w:ascii="Symbol" w:hAnsi="Symbol" w:hint="default"/>
      </w:rPr>
    </w:lvl>
    <w:lvl w:ilvl="4" w:tplc="0C0A0003" w:tentative="1">
      <w:start w:val="1"/>
      <w:numFmt w:val="bullet"/>
      <w:lvlText w:val="o"/>
      <w:lvlJc w:val="left"/>
      <w:pPr>
        <w:ind w:left="360" w:hanging="360"/>
      </w:pPr>
      <w:rPr>
        <w:rFonts w:ascii="Courier New" w:hAnsi="Courier New" w:cs="Courier New" w:hint="default"/>
      </w:rPr>
    </w:lvl>
    <w:lvl w:ilvl="5" w:tplc="0C0A0005" w:tentative="1">
      <w:start w:val="1"/>
      <w:numFmt w:val="bullet"/>
      <w:lvlText w:val=""/>
      <w:lvlJc w:val="left"/>
      <w:pPr>
        <w:ind w:left="1080" w:hanging="360"/>
      </w:pPr>
      <w:rPr>
        <w:rFonts w:ascii="Wingdings" w:hAnsi="Wingdings" w:hint="default"/>
      </w:rPr>
    </w:lvl>
    <w:lvl w:ilvl="6" w:tplc="0C0A0001" w:tentative="1">
      <w:start w:val="1"/>
      <w:numFmt w:val="bullet"/>
      <w:lvlText w:val=""/>
      <w:lvlJc w:val="left"/>
      <w:pPr>
        <w:ind w:left="1800" w:hanging="360"/>
      </w:pPr>
      <w:rPr>
        <w:rFonts w:ascii="Symbol" w:hAnsi="Symbol" w:hint="default"/>
      </w:rPr>
    </w:lvl>
    <w:lvl w:ilvl="7" w:tplc="0C0A0003" w:tentative="1">
      <w:start w:val="1"/>
      <w:numFmt w:val="bullet"/>
      <w:lvlText w:val="o"/>
      <w:lvlJc w:val="left"/>
      <w:pPr>
        <w:ind w:left="2520" w:hanging="360"/>
      </w:pPr>
      <w:rPr>
        <w:rFonts w:ascii="Courier New" w:hAnsi="Courier New" w:cs="Courier New" w:hint="default"/>
      </w:rPr>
    </w:lvl>
    <w:lvl w:ilvl="8" w:tplc="0C0A0005" w:tentative="1">
      <w:start w:val="1"/>
      <w:numFmt w:val="bullet"/>
      <w:lvlText w:val=""/>
      <w:lvlJc w:val="left"/>
      <w:pPr>
        <w:ind w:left="3240" w:hanging="360"/>
      </w:pPr>
      <w:rPr>
        <w:rFonts w:ascii="Wingdings" w:hAnsi="Wingdings" w:hint="default"/>
      </w:rPr>
    </w:lvl>
  </w:abstractNum>
  <w:abstractNum w:abstractNumId="140" w15:restartNumberingAfterBreak="0">
    <w:nsid w:val="619D1471"/>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61DF6E8F"/>
    <w:multiLevelType w:val="hybridMultilevel"/>
    <w:tmpl w:val="2132C9F8"/>
    <w:lvl w:ilvl="0" w:tplc="FFFFFFFF">
      <w:start w:val="1"/>
      <w:numFmt w:val="decimal"/>
      <w:lvlText w:val="%1ª."/>
      <w:lvlJc w:val="left"/>
      <w:pPr>
        <w:ind w:left="720" w:hanging="360"/>
      </w:pPr>
      <w:rPr>
        <w:rFonts w:ascii="Arial" w:hAnsi="Arial" w:cs="Arial" w:hint="default"/>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623B3E15"/>
    <w:multiLevelType w:val="hybridMultilevel"/>
    <w:tmpl w:val="BAE093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3" w15:restartNumberingAfterBreak="0">
    <w:nsid w:val="627E49C7"/>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62BA372F"/>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62C85865"/>
    <w:multiLevelType w:val="hybridMultilevel"/>
    <w:tmpl w:val="EB52602C"/>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6" w15:restartNumberingAfterBreak="0">
    <w:nsid w:val="62FD4273"/>
    <w:multiLevelType w:val="hybridMultilevel"/>
    <w:tmpl w:val="FBC0BE0A"/>
    <w:lvl w:ilvl="0" w:tplc="5B9A81C8">
      <w:start w:val="1"/>
      <w:numFmt w:val="decimal"/>
      <w:lvlText w:val="3.%1."/>
      <w:lvlJc w:val="left"/>
      <w:pPr>
        <w:ind w:left="1440" w:hanging="360"/>
      </w:pPr>
      <w:rPr>
        <w:rFonts w:hint="default"/>
      </w:rPr>
    </w:lvl>
    <w:lvl w:ilvl="1" w:tplc="0C0A0019">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47" w15:restartNumberingAfterBreak="0">
    <w:nsid w:val="642A7B84"/>
    <w:multiLevelType w:val="hybridMultilevel"/>
    <w:tmpl w:val="8E44611E"/>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8" w15:restartNumberingAfterBreak="0">
    <w:nsid w:val="651E6C5B"/>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9" w15:restartNumberingAfterBreak="0">
    <w:nsid w:val="65D01D9D"/>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65F70204"/>
    <w:multiLevelType w:val="hybridMultilevel"/>
    <w:tmpl w:val="2132C9F8"/>
    <w:lvl w:ilvl="0" w:tplc="C2769BC4">
      <w:start w:val="1"/>
      <w:numFmt w:val="decimal"/>
      <w:lvlText w:val="%1ª."/>
      <w:lvlJc w:val="left"/>
      <w:pPr>
        <w:ind w:left="720" w:hanging="360"/>
      </w:pPr>
      <w:rPr>
        <w:rFonts w:ascii="Arial" w:hAnsi="Arial" w:cs="Arial" w:hint="default"/>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1" w15:restartNumberingAfterBreak="0">
    <w:nsid w:val="66341E57"/>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66C024CA"/>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66CF6789"/>
    <w:multiLevelType w:val="hybridMultilevel"/>
    <w:tmpl w:val="7054A030"/>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4" w15:restartNumberingAfterBreak="0">
    <w:nsid w:val="67F32FFE"/>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69401CE4"/>
    <w:multiLevelType w:val="hybridMultilevel"/>
    <w:tmpl w:val="838C258E"/>
    <w:lvl w:ilvl="0" w:tplc="297031DA">
      <w:start w:val="1"/>
      <w:numFmt w:val="bullet"/>
      <w:lvlText w:val=""/>
      <w:lvlJc w:val="left"/>
      <w:pPr>
        <w:ind w:left="720" w:hanging="360"/>
      </w:pPr>
      <w:rPr>
        <w:rFonts w:ascii="Symbol" w:hAnsi="Symbol" w:hint="default"/>
        <w:color w:val="9D2235"/>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6" w15:restartNumberingAfterBreak="0">
    <w:nsid w:val="69634678"/>
    <w:multiLevelType w:val="multilevel"/>
    <w:tmpl w:val="6A5CDFD6"/>
    <w:lvl w:ilvl="0">
      <w:start w:val="1"/>
      <w:numFmt w:val="decimal"/>
      <w:lvlText w:val="%1."/>
      <w:lvlJc w:val="left"/>
      <w:pPr>
        <w:ind w:left="360" w:hanging="360"/>
      </w:pPr>
      <w:rPr>
        <w:rFonts w:hint="default"/>
        <w:b/>
        <w:bCs/>
        <w:sz w:val="200"/>
        <w:szCs w:val="20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7" w15:restartNumberingAfterBreak="0">
    <w:nsid w:val="6995458A"/>
    <w:multiLevelType w:val="hybridMultilevel"/>
    <w:tmpl w:val="5EAC5E0C"/>
    <w:lvl w:ilvl="0" w:tplc="17D49A2E">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69A22DE9"/>
    <w:multiLevelType w:val="hybridMultilevel"/>
    <w:tmpl w:val="E3FAAC12"/>
    <w:lvl w:ilvl="0" w:tplc="8E7C8F10">
      <w:start w:val="1"/>
      <w:numFmt w:val="decimal"/>
      <w:lvlText w:val="2.%1."/>
      <w:lvlJc w:val="left"/>
      <w:pPr>
        <w:ind w:left="1074" w:hanging="360"/>
      </w:pPr>
      <w:rPr>
        <w:rFonts w:hint="default"/>
      </w:rPr>
    </w:lvl>
    <w:lvl w:ilvl="1" w:tplc="FFFFFFFF">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59" w15:restartNumberingAfterBreak="0">
    <w:nsid w:val="6BA0394C"/>
    <w:multiLevelType w:val="hybridMultilevel"/>
    <w:tmpl w:val="CDB40DFA"/>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0" w15:restartNumberingAfterBreak="0">
    <w:nsid w:val="6C566DAE"/>
    <w:multiLevelType w:val="hybridMultilevel"/>
    <w:tmpl w:val="073CE4AA"/>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1" w15:restartNumberingAfterBreak="0">
    <w:nsid w:val="6D051EFC"/>
    <w:multiLevelType w:val="multilevel"/>
    <w:tmpl w:val="83420F52"/>
    <w:lvl w:ilvl="0">
      <w:start w:val="2"/>
      <w:numFmt w:val="decimal"/>
      <w:lvlText w:val="%1."/>
      <w:lvlJc w:val="left"/>
      <w:pPr>
        <w:ind w:left="720" w:hanging="360"/>
      </w:pPr>
      <w:rPr>
        <w:rFonts w:hint="default"/>
        <w:b/>
        <w:bCs/>
        <w:sz w:val="200"/>
        <w:szCs w:val="200"/>
      </w:rPr>
    </w:lvl>
    <w:lvl w:ilvl="1">
      <w:start w:val="1"/>
      <w:numFmt w:val="decimal"/>
      <w:isLgl/>
      <w:lvlText w:val="%1.%2."/>
      <w:lvlJc w:val="left"/>
      <w:pPr>
        <w:ind w:left="1080" w:hanging="720"/>
      </w:pPr>
      <w:rPr>
        <w:rFonts w:hint="default"/>
        <w:b/>
        <w:bCs/>
        <w:sz w:val="32"/>
        <w:szCs w:val="32"/>
      </w:rPr>
    </w:lvl>
    <w:lvl w:ilvl="2">
      <w:start w:val="1"/>
      <w:numFmt w:val="decimal"/>
      <w:isLgl/>
      <w:lvlText w:val="%1.%2.%3."/>
      <w:lvlJc w:val="left"/>
      <w:pPr>
        <w:ind w:left="1440" w:hanging="1080"/>
      </w:pPr>
      <w:rPr>
        <w:rFonts w:hint="default"/>
        <w:sz w:val="28"/>
        <w:szCs w:val="28"/>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62" w15:restartNumberingAfterBreak="0">
    <w:nsid w:val="6D4D645D"/>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6D616BAB"/>
    <w:multiLevelType w:val="hybridMultilevel"/>
    <w:tmpl w:val="228CC6FA"/>
    <w:lvl w:ilvl="0" w:tplc="864CB65E">
      <w:start w:val="1"/>
      <w:numFmt w:val="upperLetter"/>
      <w:lvlText w:val="%1)"/>
      <w:lvlJc w:val="left"/>
      <w:pPr>
        <w:ind w:left="1713" w:hanging="360"/>
      </w:pPr>
      <w:rPr>
        <w:rFonts w:hint="default"/>
      </w:rPr>
    </w:lvl>
    <w:lvl w:ilvl="1" w:tplc="01DC90DE">
      <w:start w:val="1"/>
      <w:numFmt w:val="upperLetter"/>
      <w:lvlText w:val="%2)"/>
      <w:lvlJc w:val="left"/>
      <w:pPr>
        <w:ind w:left="1440" w:hanging="360"/>
      </w:pPr>
      <w:rPr>
        <w:rFonts w:hint="default"/>
        <w:color w:val="auto"/>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4" w15:restartNumberingAfterBreak="0">
    <w:nsid w:val="704B4F33"/>
    <w:multiLevelType w:val="multilevel"/>
    <w:tmpl w:val="24FE9C48"/>
    <w:lvl w:ilvl="0">
      <w:start w:val="6"/>
      <w:numFmt w:val="decimal"/>
      <w:lvlText w:val="%1."/>
      <w:lvlJc w:val="left"/>
      <w:pPr>
        <w:ind w:left="360" w:hanging="360"/>
      </w:pPr>
      <w:rPr>
        <w:rFonts w:hint="default"/>
        <w:b/>
        <w:bCs/>
        <w:color w:val="9D2235" w:themeColor="accent1"/>
        <w:sz w:val="200"/>
        <w:szCs w:val="200"/>
      </w:rPr>
    </w:lvl>
    <w:lvl w:ilvl="1">
      <w:start w:val="1"/>
      <w:numFmt w:val="none"/>
      <w:lvlText w:val="6.4."/>
      <w:lvlJc w:val="left"/>
      <w:pPr>
        <w:ind w:left="792" w:hanging="432"/>
      </w:pPr>
      <w:rPr>
        <w:rFonts w:hint="default"/>
      </w:rPr>
    </w:lvl>
    <w:lvl w:ilvl="2">
      <w:start w:val="1"/>
      <w:numFmt w:val="none"/>
      <w:lvlText w:val="6.4.1."/>
      <w:lvlJc w:val="left"/>
      <w:pPr>
        <w:tabs>
          <w:tab w:val="num" w:pos="794"/>
        </w:tabs>
        <w:ind w:left="1224" w:hanging="504"/>
      </w:pPr>
      <w:rPr>
        <w:rFonts w:hint="default"/>
        <w:b/>
        <w:bCs/>
        <w:color w:val="9D2235" w:themeColor="accent1"/>
        <w:sz w:val="28"/>
        <w:szCs w:val="28"/>
      </w:rPr>
    </w:lvl>
    <w:lvl w:ilvl="3">
      <w:start w:val="1"/>
      <w:numFmt w:val="none"/>
      <w:lvlText w:val="6.4.1.1."/>
      <w:lvlJc w:val="left"/>
      <w:pPr>
        <w:ind w:left="1728" w:hanging="648"/>
      </w:pPr>
      <w:rPr>
        <w:rFonts w:hint="default"/>
      </w:rPr>
    </w:lvl>
    <w:lvl w:ilvl="4">
      <w:start w:val="1"/>
      <w:numFmt w:val="none"/>
      <w:lvlRestart w:val="3"/>
      <w:lvlText w:val="6.4.1.1.1."/>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5" w15:restartNumberingAfterBreak="0">
    <w:nsid w:val="704E1F63"/>
    <w:multiLevelType w:val="hybridMultilevel"/>
    <w:tmpl w:val="8AE26A76"/>
    <w:lvl w:ilvl="0" w:tplc="9AF8A94A">
      <w:start w:val="1"/>
      <w:numFmt w:val="bullet"/>
      <w:lvlText w:val=""/>
      <w:lvlJc w:val="left"/>
      <w:pPr>
        <w:ind w:left="720" w:hanging="360"/>
      </w:pPr>
      <w:rPr>
        <w:rFonts w:ascii="Wingdings" w:hAnsi="Wingdings" w:hint="default"/>
        <w:color w:val="C0000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6" w15:restartNumberingAfterBreak="0">
    <w:nsid w:val="710C1B96"/>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7" w15:restartNumberingAfterBreak="0">
    <w:nsid w:val="713C4F46"/>
    <w:multiLevelType w:val="hybridMultilevel"/>
    <w:tmpl w:val="90A0CE90"/>
    <w:lvl w:ilvl="0" w:tplc="0C0A0017">
      <w:start w:val="1"/>
      <w:numFmt w:val="lowerLetter"/>
      <w:lvlText w:val="%1)"/>
      <w:lvlJc w:val="left"/>
      <w:pPr>
        <w:ind w:left="1800" w:hanging="360"/>
      </w:pPr>
      <w:rPr>
        <w:rFonts w:hint="default"/>
      </w:rPr>
    </w:lvl>
    <w:lvl w:ilvl="1" w:tplc="0C0A0019" w:tentative="1">
      <w:start w:val="1"/>
      <w:numFmt w:val="lowerLetter"/>
      <w:lvlText w:val="%2."/>
      <w:lvlJc w:val="left"/>
      <w:pPr>
        <w:ind w:left="2520" w:hanging="360"/>
      </w:pPr>
    </w:lvl>
    <w:lvl w:ilvl="2" w:tplc="0C0A001B" w:tentative="1">
      <w:start w:val="1"/>
      <w:numFmt w:val="lowerRoman"/>
      <w:lvlText w:val="%3."/>
      <w:lvlJc w:val="right"/>
      <w:pPr>
        <w:ind w:left="3240" w:hanging="180"/>
      </w:pPr>
    </w:lvl>
    <w:lvl w:ilvl="3" w:tplc="0C0A000F" w:tentative="1">
      <w:start w:val="1"/>
      <w:numFmt w:val="decimal"/>
      <w:lvlText w:val="%4."/>
      <w:lvlJc w:val="left"/>
      <w:pPr>
        <w:ind w:left="3960" w:hanging="360"/>
      </w:pPr>
    </w:lvl>
    <w:lvl w:ilvl="4" w:tplc="0C0A0019" w:tentative="1">
      <w:start w:val="1"/>
      <w:numFmt w:val="lowerLetter"/>
      <w:lvlText w:val="%5."/>
      <w:lvlJc w:val="left"/>
      <w:pPr>
        <w:ind w:left="4680" w:hanging="360"/>
      </w:pPr>
    </w:lvl>
    <w:lvl w:ilvl="5" w:tplc="0C0A001B" w:tentative="1">
      <w:start w:val="1"/>
      <w:numFmt w:val="lowerRoman"/>
      <w:lvlText w:val="%6."/>
      <w:lvlJc w:val="right"/>
      <w:pPr>
        <w:ind w:left="5400" w:hanging="180"/>
      </w:pPr>
    </w:lvl>
    <w:lvl w:ilvl="6" w:tplc="0C0A000F" w:tentative="1">
      <w:start w:val="1"/>
      <w:numFmt w:val="decimal"/>
      <w:lvlText w:val="%7."/>
      <w:lvlJc w:val="left"/>
      <w:pPr>
        <w:ind w:left="6120" w:hanging="360"/>
      </w:pPr>
    </w:lvl>
    <w:lvl w:ilvl="7" w:tplc="0C0A0019" w:tentative="1">
      <w:start w:val="1"/>
      <w:numFmt w:val="lowerLetter"/>
      <w:lvlText w:val="%8."/>
      <w:lvlJc w:val="left"/>
      <w:pPr>
        <w:ind w:left="6840" w:hanging="360"/>
      </w:pPr>
    </w:lvl>
    <w:lvl w:ilvl="8" w:tplc="0C0A001B" w:tentative="1">
      <w:start w:val="1"/>
      <w:numFmt w:val="lowerRoman"/>
      <w:lvlText w:val="%9."/>
      <w:lvlJc w:val="right"/>
      <w:pPr>
        <w:ind w:left="7560" w:hanging="180"/>
      </w:pPr>
    </w:lvl>
  </w:abstractNum>
  <w:abstractNum w:abstractNumId="168" w15:restartNumberingAfterBreak="0">
    <w:nsid w:val="71576B52"/>
    <w:multiLevelType w:val="hybridMultilevel"/>
    <w:tmpl w:val="26F87878"/>
    <w:lvl w:ilvl="0" w:tplc="7A429C3C">
      <w:start w:val="1"/>
      <w:numFmt w:val="bullet"/>
      <w:lvlText w:val=""/>
      <w:lvlJc w:val="left"/>
      <w:pPr>
        <w:ind w:left="2062" w:hanging="360"/>
      </w:pPr>
      <w:rPr>
        <w:rFonts w:ascii="Wingdings" w:hAnsi="Wingdings" w:hint="default"/>
        <w:color w:val="9D2235" w:themeColor="accent1"/>
      </w:rPr>
    </w:lvl>
    <w:lvl w:ilvl="1" w:tplc="0C0A0003">
      <w:start w:val="1"/>
      <w:numFmt w:val="bullet"/>
      <w:lvlText w:val="o"/>
      <w:lvlJc w:val="left"/>
      <w:pPr>
        <w:ind w:left="3001" w:hanging="360"/>
      </w:pPr>
      <w:rPr>
        <w:rFonts w:ascii="Courier New" w:hAnsi="Courier New" w:cs="Courier New" w:hint="default"/>
      </w:rPr>
    </w:lvl>
    <w:lvl w:ilvl="2" w:tplc="0C0A0005">
      <w:start w:val="1"/>
      <w:numFmt w:val="bullet"/>
      <w:lvlText w:val=""/>
      <w:lvlJc w:val="left"/>
      <w:pPr>
        <w:ind w:left="3721" w:hanging="360"/>
      </w:pPr>
      <w:rPr>
        <w:rFonts w:ascii="Wingdings" w:hAnsi="Wingdings" w:hint="default"/>
      </w:rPr>
    </w:lvl>
    <w:lvl w:ilvl="3" w:tplc="0C0A0001">
      <w:start w:val="1"/>
      <w:numFmt w:val="bullet"/>
      <w:lvlText w:val=""/>
      <w:lvlJc w:val="left"/>
      <w:pPr>
        <w:ind w:left="4441" w:hanging="360"/>
      </w:pPr>
      <w:rPr>
        <w:rFonts w:ascii="Symbol" w:hAnsi="Symbol" w:hint="default"/>
      </w:rPr>
    </w:lvl>
    <w:lvl w:ilvl="4" w:tplc="0C0A0003">
      <w:start w:val="1"/>
      <w:numFmt w:val="bullet"/>
      <w:lvlText w:val="o"/>
      <w:lvlJc w:val="left"/>
      <w:pPr>
        <w:ind w:left="5161" w:hanging="360"/>
      </w:pPr>
      <w:rPr>
        <w:rFonts w:ascii="Courier New" w:hAnsi="Courier New" w:cs="Courier New" w:hint="default"/>
      </w:rPr>
    </w:lvl>
    <w:lvl w:ilvl="5" w:tplc="0C0A0005">
      <w:start w:val="1"/>
      <w:numFmt w:val="bullet"/>
      <w:lvlText w:val=""/>
      <w:lvlJc w:val="left"/>
      <w:pPr>
        <w:ind w:left="5881" w:hanging="360"/>
      </w:pPr>
      <w:rPr>
        <w:rFonts w:ascii="Wingdings" w:hAnsi="Wingdings" w:hint="default"/>
      </w:rPr>
    </w:lvl>
    <w:lvl w:ilvl="6" w:tplc="0C0A0001">
      <w:start w:val="1"/>
      <w:numFmt w:val="bullet"/>
      <w:lvlText w:val=""/>
      <w:lvlJc w:val="left"/>
      <w:pPr>
        <w:ind w:left="6601" w:hanging="360"/>
      </w:pPr>
      <w:rPr>
        <w:rFonts w:ascii="Symbol" w:hAnsi="Symbol" w:hint="default"/>
      </w:rPr>
    </w:lvl>
    <w:lvl w:ilvl="7" w:tplc="0C0A0003">
      <w:start w:val="1"/>
      <w:numFmt w:val="bullet"/>
      <w:lvlText w:val="o"/>
      <w:lvlJc w:val="left"/>
      <w:pPr>
        <w:ind w:left="7321" w:hanging="360"/>
      </w:pPr>
      <w:rPr>
        <w:rFonts w:ascii="Courier New" w:hAnsi="Courier New" w:cs="Courier New" w:hint="default"/>
      </w:rPr>
    </w:lvl>
    <w:lvl w:ilvl="8" w:tplc="0C0A0005">
      <w:start w:val="1"/>
      <w:numFmt w:val="bullet"/>
      <w:lvlText w:val=""/>
      <w:lvlJc w:val="left"/>
      <w:pPr>
        <w:ind w:left="8041" w:hanging="360"/>
      </w:pPr>
      <w:rPr>
        <w:rFonts w:ascii="Wingdings" w:hAnsi="Wingdings" w:hint="default"/>
      </w:rPr>
    </w:lvl>
  </w:abstractNum>
  <w:abstractNum w:abstractNumId="169" w15:restartNumberingAfterBreak="0">
    <w:nsid w:val="721A13A2"/>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0" w15:restartNumberingAfterBreak="0">
    <w:nsid w:val="738501F6"/>
    <w:multiLevelType w:val="multilevel"/>
    <w:tmpl w:val="B002C052"/>
    <w:styleLink w:val="WWNum1"/>
    <w:lvl w:ilvl="0">
      <w:numFmt w:val="bullet"/>
      <w:lvlText w:val=""/>
      <w:lvlJc w:val="left"/>
      <w:pPr>
        <w:ind w:left="720" w:hanging="360"/>
      </w:pPr>
      <w:rPr>
        <w:rFonts w:ascii="Times New Roman" w:hAnsi="Times New Roman" w:cs="Symbol"/>
        <w:sz w:val="21"/>
      </w:rPr>
    </w:lvl>
    <w:lvl w:ilvl="1">
      <w:numFmt w:val="bullet"/>
      <w:lvlText w:val="o"/>
      <w:lvlJc w:val="left"/>
      <w:pPr>
        <w:ind w:left="1440" w:hanging="360"/>
      </w:pPr>
      <w:rPr>
        <w:rFonts w:cs="Courier New"/>
        <w:sz w:val="20"/>
      </w:rPr>
    </w:lvl>
    <w:lvl w:ilvl="2">
      <w:numFmt w:val="bullet"/>
      <w:lvlText w:val=""/>
      <w:lvlJc w:val="left"/>
      <w:pPr>
        <w:ind w:left="2160" w:hanging="360"/>
      </w:pPr>
      <w:rPr>
        <w:rFonts w:cs="Wingdings"/>
        <w:sz w:val="20"/>
      </w:rPr>
    </w:lvl>
    <w:lvl w:ilvl="3">
      <w:numFmt w:val="bullet"/>
      <w:lvlText w:val=""/>
      <w:lvlJc w:val="left"/>
      <w:pPr>
        <w:ind w:left="2880" w:hanging="360"/>
      </w:pPr>
      <w:rPr>
        <w:rFonts w:cs="Wingdings"/>
        <w:sz w:val="20"/>
      </w:rPr>
    </w:lvl>
    <w:lvl w:ilvl="4">
      <w:numFmt w:val="bullet"/>
      <w:lvlText w:val=""/>
      <w:lvlJc w:val="left"/>
      <w:pPr>
        <w:ind w:left="3600" w:hanging="360"/>
      </w:pPr>
      <w:rPr>
        <w:rFonts w:cs="Wingdings"/>
        <w:sz w:val="20"/>
      </w:rPr>
    </w:lvl>
    <w:lvl w:ilvl="5">
      <w:numFmt w:val="bullet"/>
      <w:lvlText w:val=""/>
      <w:lvlJc w:val="left"/>
      <w:pPr>
        <w:ind w:left="4320" w:hanging="360"/>
      </w:pPr>
      <w:rPr>
        <w:rFonts w:cs="Wingdings"/>
        <w:sz w:val="20"/>
      </w:rPr>
    </w:lvl>
    <w:lvl w:ilvl="6">
      <w:numFmt w:val="bullet"/>
      <w:lvlText w:val=""/>
      <w:lvlJc w:val="left"/>
      <w:pPr>
        <w:ind w:left="5040" w:hanging="360"/>
      </w:pPr>
      <w:rPr>
        <w:rFonts w:cs="Wingdings"/>
        <w:sz w:val="20"/>
      </w:rPr>
    </w:lvl>
    <w:lvl w:ilvl="7">
      <w:numFmt w:val="bullet"/>
      <w:lvlText w:val=""/>
      <w:lvlJc w:val="left"/>
      <w:pPr>
        <w:ind w:left="5760" w:hanging="360"/>
      </w:pPr>
      <w:rPr>
        <w:rFonts w:cs="Wingdings"/>
        <w:sz w:val="20"/>
      </w:rPr>
    </w:lvl>
    <w:lvl w:ilvl="8">
      <w:numFmt w:val="bullet"/>
      <w:lvlText w:val=""/>
      <w:lvlJc w:val="left"/>
      <w:pPr>
        <w:ind w:left="6480" w:hanging="360"/>
      </w:pPr>
      <w:rPr>
        <w:rFonts w:cs="Wingdings"/>
        <w:sz w:val="20"/>
      </w:rPr>
    </w:lvl>
  </w:abstractNum>
  <w:abstractNum w:abstractNumId="171" w15:restartNumberingAfterBreak="0">
    <w:nsid w:val="73F66A0C"/>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752E31ED"/>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3" w15:restartNumberingAfterBreak="0">
    <w:nsid w:val="75D24693"/>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771A606D"/>
    <w:multiLevelType w:val="hybridMultilevel"/>
    <w:tmpl w:val="A884541E"/>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5" w15:restartNumberingAfterBreak="0">
    <w:nsid w:val="776123B5"/>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77DA341C"/>
    <w:multiLevelType w:val="hybridMultilevel"/>
    <w:tmpl w:val="5EAC5E0C"/>
    <w:lvl w:ilvl="0" w:tplc="FFFFFFFF">
      <w:start w:val="1"/>
      <w:numFmt w:val="decimal"/>
      <w:lvlText w:val="%1ª."/>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785B00B9"/>
    <w:multiLevelType w:val="hybridMultilevel"/>
    <w:tmpl w:val="F3E890B8"/>
    <w:lvl w:ilvl="0" w:tplc="0C0A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79114231"/>
    <w:multiLevelType w:val="hybridMultilevel"/>
    <w:tmpl w:val="406A86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9" w15:restartNumberingAfterBreak="0">
    <w:nsid w:val="797433BC"/>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0" w15:restartNumberingAfterBreak="0">
    <w:nsid w:val="7AB412C5"/>
    <w:multiLevelType w:val="hybridMultilevel"/>
    <w:tmpl w:val="B100FBA2"/>
    <w:lvl w:ilvl="0" w:tplc="7A429C3C">
      <w:start w:val="1"/>
      <w:numFmt w:val="bullet"/>
      <w:lvlText w:val=""/>
      <w:lvlJc w:val="left"/>
      <w:pPr>
        <w:ind w:left="720" w:hanging="360"/>
      </w:pPr>
      <w:rPr>
        <w:rFonts w:ascii="Wingdings" w:hAnsi="Wingdings" w:hint="default"/>
        <w:color w:val="9D2235"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1" w15:restartNumberingAfterBreak="0">
    <w:nsid w:val="7B1536C9"/>
    <w:multiLevelType w:val="hybridMultilevel"/>
    <w:tmpl w:val="41EAF99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2" w15:restartNumberingAfterBreak="0">
    <w:nsid w:val="7B333188"/>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7B4316D2"/>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7C7E2E6A"/>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5" w15:restartNumberingAfterBreak="0">
    <w:nsid w:val="7D4A6190"/>
    <w:multiLevelType w:val="hybridMultilevel"/>
    <w:tmpl w:val="9EC6988A"/>
    <w:lvl w:ilvl="0" w:tplc="FFFFFFFF">
      <w:start w:val="1"/>
      <w:numFmt w:val="decimal"/>
      <w:lvlText w:val="%1ª."/>
      <w:lvlJc w:val="left"/>
      <w:pPr>
        <w:ind w:left="1854" w:hanging="360"/>
      </w:pPr>
      <w:rPr>
        <w:rFonts w:ascii="Arial" w:hAnsi="Arial" w:hint="default"/>
        <w:b w:val="0"/>
        <w:i w:val="0"/>
        <w:sz w:val="21"/>
        <w:szCs w:val="21"/>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186" w15:restartNumberingAfterBreak="0">
    <w:nsid w:val="7E9E480C"/>
    <w:multiLevelType w:val="hybridMultilevel"/>
    <w:tmpl w:val="F3E890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7" w15:restartNumberingAfterBreak="0">
    <w:nsid w:val="7F787F3D"/>
    <w:multiLevelType w:val="hybridMultilevel"/>
    <w:tmpl w:val="158A8E50"/>
    <w:lvl w:ilvl="0" w:tplc="FFFFFFFF">
      <w:start w:val="1"/>
      <w:numFmt w:val="decimal"/>
      <w:lvlText w:val="%1."/>
      <w:lvlJc w:val="left"/>
      <w:pPr>
        <w:ind w:left="720" w:hanging="360"/>
      </w:pPr>
      <w:rPr>
        <w:rFonts w:ascii="Arial" w:hAnsi="Arial" w:cs="Arial" w:hint="default"/>
        <w:b w:val="0"/>
        <w:bCs w:val="0"/>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8" w15:restartNumberingAfterBreak="0">
    <w:nsid w:val="7F8B4B7A"/>
    <w:multiLevelType w:val="hybridMultilevel"/>
    <w:tmpl w:val="7054A030"/>
    <w:lvl w:ilvl="0" w:tplc="C3FE640C">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072309890">
    <w:abstractNumId w:val="15"/>
  </w:num>
  <w:num w:numId="2" w16cid:durableId="90975421">
    <w:abstractNumId w:val="170"/>
  </w:num>
  <w:num w:numId="3" w16cid:durableId="627661414">
    <w:abstractNumId w:val="130"/>
  </w:num>
  <w:num w:numId="4" w16cid:durableId="1494100528">
    <w:abstractNumId w:val="95"/>
  </w:num>
  <w:num w:numId="5" w16cid:durableId="1094862000">
    <w:abstractNumId w:val="57"/>
  </w:num>
  <w:num w:numId="6" w16cid:durableId="532113063">
    <w:abstractNumId w:val="132"/>
  </w:num>
  <w:num w:numId="7" w16cid:durableId="402263064">
    <w:abstractNumId w:val="6"/>
  </w:num>
  <w:num w:numId="8" w16cid:durableId="1061322630">
    <w:abstractNumId w:val="2"/>
  </w:num>
  <w:num w:numId="9" w16cid:durableId="677077536">
    <w:abstractNumId w:val="5"/>
  </w:num>
  <w:num w:numId="10" w16cid:durableId="78405714">
    <w:abstractNumId w:val="32"/>
  </w:num>
  <w:num w:numId="11" w16cid:durableId="1744061518">
    <w:abstractNumId w:val="97"/>
  </w:num>
  <w:num w:numId="12" w16cid:durableId="800077486">
    <w:abstractNumId w:val="114"/>
  </w:num>
  <w:num w:numId="13" w16cid:durableId="714282481">
    <w:abstractNumId w:val="135"/>
  </w:num>
  <w:num w:numId="14" w16cid:durableId="1414014050">
    <w:abstractNumId w:val="40"/>
  </w:num>
  <w:num w:numId="15" w16cid:durableId="1972711867">
    <w:abstractNumId w:val="161"/>
  </w:num>
  <w:num w:numId="16" w16cid:durableId="1146387156">
    <w:abstractNumId w:val="22"/>
  </w:num>
  <w:num w:numId="17" w16cid:durableId="1894609837">
    <w:abstractNumId w:val="16"/>
  </w:num>
  <w:num w:numId="18" w16cid:durableId="1084841018">
    <w:abstractNumId w:val="156"/>
  </w:num>
  <w:num w:numId="19" w16cid:durableId="848757525">
    <w:abstractNumId w:val="126"/>
  </w:num>
  <w:num w:numId="20" w16cid:durableId="1483892742">
    <w:abstractNumId w:val="107"/>
  </w:num>
  <w:num w:numId="21" w16cid:durableId="2051300301">
    <w:abstractNumId w:val="126"/>
  </w:num>
  <w:num w:numId="22" w16cid:durableId="661153868">
    <w:abstractNumId w:val="106"/>
  </w:num>
  <w:num w:numId="23" w16cid:durableId="566721006">
    <w:abstractNumId w:val="3"/>
  </w:num>
  <w:num w:numId="24" w16cid:durableId="1041438043">
    <w:abstractNumId w:val="128"/>
  </w:num>
  <w:num w:numId="25" w16cid:durableId="1613440930">
    <w:abstractNumId w:val="86"/>
  </w:num>
  <w:num w:numId="26" w16cid:durableId="2019235351">
    <w:abstractNumId w:val="58"/>
  </w:num>
  <w:num w:numId="27" w16cid:durableId="1469663379">
    <w:abstractNumId w:val="147"/>
  </w:num>
  <w:num w:numId="28" w16cid:durableId="1729839227">
    <w:abstractNumId w:val="145"/>
  </w:num>
  <w:num w:numId="29" w16cid:durableId="455025559">
    <w:abstractNumId w:val="160"/>
  </w:num>
  <w:num w:numId="30" w16cid:durableId="579217432">
    <w:abstractNumId w:val="31"/>
  </w:num>
  <w:num w:numId="31" w16cid:durableId="1314094084">
    <w:abstractNumId w:val="84"/>
  </w:num>
  <w:num w:numId="32" w16cid:durableId="1098215620">
    <w:abstractNumId w:val="178"/>
  </w:num>
  <w:num w:numId="33" w16cid:durableId="2144615628">
    <w:abstractNumId w:val="177"/>
  </w:num>
  <w:num w:numId="34" w16cid:durableId="2104953449">
    <w:abstractNumId w:val="157"/>
  </w:num>
  <w:num w:numId="35" w16cid:durableId="691224154">
    <w:abstractNumId w:val="168"/>
  </w:num>
  <w:num w:numId="36" w16cid:durableId="2087847686">
    <w:abstractNumId w:val="149"/>
  </w:num>
  <w:num w:numId="37" w16cid:durableId="687104268">
    <w:abstractNumId w:val="81"/>
  </w:num>
  <w:num w:numId="38" w16cid:durableId="1440031420">
    <w:abstractNumId w:val="78"/>
  </w:num>
  <w:num w:numId="39" w16cid:durableId="265038172">
    <w:abstractNumId w:val="18"/>
  </w:num>
  <w:num w:numId="40" w16cid:durableId="1770159290">
    <w:abstractNumId w:val="19"/>
  </w:num>
  <w:num w:numId="41" w16cid:durableId="1166939949">
    <w:abstractNumId w:val="120"/>
  </w:num>
  <w:num w:numId="42" w16cid:durableId="1743790927">
    <w:abstractNumId w:val="138"/>
  </w:num>
  <w:num w:numId="43" w16cid:durableId="2127039511">
    <w:abstractNumId w:val="175"/>
  </w:num>
  <w:num w:numId="44" w16cid:durableId="255478919">
    <w:abstractNumId w:val="173"/>
  </w:num>
  <w:num w:numId="45" w16cid:durableId="590969027">
    <w:abstractNumId w:val="20"/>
  </w:num>
  <w:num w:numId="46" w16cid:durableId="992686102">
    <w:abstractNumId w:val="12"/>
  </w:num>
  <w:num w:numId="47" w16cid:durableId="139738772">
    <w:abstractNumId w:val="36"/>
  </w:num>
  <w:num w:numId="48" w16cid:durableId="1291668733">
    <w:abstractNumId w:val="117"/>
  </w:num>
  <w:num w:numId="49" w16cid:durableId="1763451406">
    <w:abstractNumId w:val="125"/>
  </w:num>
  <w:num w:numId="50" w16cid:durableId="557515811">
    <w:abstractNumId w:val="24"/>
  </w:num>
  <w:num w:numId="51" w16cid:durableId="850679372">
    <w:abstractNumId w:val="91"/>
  </w:num>
  <w:num w:numId="52" w16cid:durableId="1985351910">
    <w:abstractNumId w:val="44"/>
  </w:num>
  <w:num w:numId="53" w16cid:durableId="1070730714">
    <w:abstractNumId w:val="186"/>
  </w:num>
  <w:num w:numId="54" w16cid:durableId="836844988">
    <w:abstractNumId w:val="137"/>
  </w:num>
  <w:num w:numId="55" w16cid:durableId="246307543">
    <w:abstractNumId w:val="62"/>
  </w:num>
  <w:num w:numId="56" w16cid:durableId="1755322664">
    <w:abstractNumId w:val="23"/>
  </w:num>
  <w:num w:numId="57" w16cid:durableId="1385518622">
    <w:abstractNumId w:val="182"/>
  </w:num>
  <w:num w:numId="58" w16cid:durableId="1420322322">
    <w:abstractNumId w:val="154"/>
  </w:num>
  <w:num w:numId="59" w16cid:durableId="989672155">
    <w:abstractNumId w:val="188"/>
  </w:num>
  <w:num w:numId="60" w16cid:durableId="434986236">
    <w:abstractNumId w:val="94"/>
  </w:num>
  <w:num w:numId="61" w16cid:durableId="25059784">
    <w:abstractNumId w:val="113"/>
  </w:num>
  <w:num w:numId="62" w16cid:durableId="514420388">
    <w:abstractNumId w:val="143"/>
  </w:num>
  <w:num w:numId="63" w16cid:durableId="1578175384">
    <w:abstractNumId w:val="70"/>
  </w:num>
  <w:num w:numId="64" w16cid:durableId="1255163545">
    <w:abstractNumId w:val="158"/>
  </w:num>
  <w:num w:numId="65" w16cid:durableId="1773354774">
    <w:abstractNumId w:val="46"/>
  </w:num>
  <w:num w:numId="66" w16cid:durableId="530918397">
    <w:abstractNumId w:val="153"/>
  </w:num>
  <w:num w:numId="67" w16cid:durableId="345788667">
    <w:abstractNumId w:val="119"/>
  </w:num>
  <w:num w:numId="68" w16cid:durableId="1417366742">
    <w:abstractNumId w:val="64"/>
  </w:num>
  <w:num w:numId="69" w16cid:durableId="921452152">
    <w:abstractNumId w:val="169"/>
  </w:num>
  <w:num w:numId="70" w16cid:durableId="1019964712">
    <w:abstractNumId w:val="42"/>
  </w:num>
  <w:num w:numId="71" w16cid:durableId="122043081">
    <w:abstractNumId w:val="144"/>
  </w:num>
  <w:num w:numId="72" w16cid:durableId="911230870">
    <w:abstractNumId w:val="39"/>
  </w:num>
  <w:num w:numId="73" w16cid:durableId="80420102">
    <w:abstractNumId w:val="99"/>
  </w:num>
  <w:num w:numId="74" w16cid:durableId="1183010934">
    <w:abstractNumId w:val="9"/>
  </w:num>
  <w:num w:numId="75" w16cid:durableId="539170117">
    <w:abstractNumId w:val="14"/>
  </w:num>
  <w:num w:numId="76" w16cid:durableId="1784230310">
    <w:abstractNumId w:val="33"/>
  </w:num>
  <w:num w:numId="77" w16cid:durableId="836849237">
    <w:abstractNumId w:val="151"/>
  </w:num>
  <w:num w:numId="78" w16cid:durableId="2122607591">
    <w:abstractNumId w:val="176"/>
  </w:num>
  <w:num w:numId="79" w16cid:durableId="236984957">
    <w:abstractNumId w:val="152"/>
  </w:num>
  <w:num w:numId="80" w16cid:durableId="1070880443">
    <w:abstractNumId w:val="118"/>
  </w:num>
  <w:num w:numId="81" w16cid:durableId="1403680788">
    <w:abstractNumId w:val="123"/>
  </w:num>
  <w:num w:numId="82" w16cid:durableId="315452186">
    <w:abstractNumId w:val="101"/>
  </w:num>
  <w:num w:numId="83" w16cid:durableId="270017316">
    <w:abstractNumId w:val="38"/>
  </w:num>
  <w:num w:numId="84" w16cid:durableId="623535531">
    <w:abstractNumId w:val="43"/>
  </w:num>
  <w:num w:numId="85" w16cid:durableId="891039401">
    <w:abstractNumId w:val="76"/>
  </w:num>
  <w:num w:numId="86" w16cid:durableId="965047290">
    <w:abstractNumId w:val="82"/>
  </w:num>
  <w:num w:numId="87" w16cid:durableId="576287543">
    <w:abstractNumId w:val="150"/>
  </w:num>
  <w:num w:numId="88" w16cid:durableId="538401541">
    <w:abstractNumId w:val="52"/>
  </w:num>
  <w:num w:numId="89" w16cid:durableId="3367240">
    <w:abstractNumId w:val="148"/>
  </w:num>
  <w:num w:numId="90" w16cid:durableId="351686228">
    <w:abstractNumId w:val="30"/>
  </w:num>
  <w:num w:numId="91" w16cid:durableId="1463688589">
    <w:abstractNumId w:val="71"/>
  </w:num>
  <w:num w:numId="92" w16cid:durableId="1070732855">
    <w:abstractNumId w:val="4"/>
  </w:num>
  <w:num w:numId="93" w16cid:durableId="1561866827">
    <w:abstractNumId w:val="87"/>
  </w:num>
  <w:num w:numId="94" w16cid:durableId="89857076">
    <w:abstractNumId w:val="28"/>
  </w:num>
  <w:num w:numId="95" w16cid:durableId="394401827">
    <w:abstractNumId w:val="141"/>
  </w:num>
  <w:num w:numId="96" w16cid:durableId="879905074">
    <w:abstractNumId w:val="69"/>
  </w:num>
  <w:num w:numId="97" w16cid:durableId="236132695">
    <w:abstractNumId w:val="116"/>
  </w:num>
  <w:num w:numId="98" w16cid:durableId="2073890282">
    <w:abstractNumId w:val="37"/>
  </w:num>
  <w:num w:numId="99" w16cid:durableId="569578744">
    <w:abstractNumId w:val="55"/>
  </w:num>
  <w:num w:numId="100" w16cid:durableId="987438858">
    <w:abstractNumId w:val="179"/>
  </w:num>
  <w:num w:numId="101" w16cid:durableId="1071004097">
    <w:abstractNumId w:val="187"/>
  </w:num>
  <w:num w:numId="102" w16cid:durableId="1728412424">
    <w:abstractNumId w:val="100"/>
  </w:num>
  <w:num w:numId="103" w16cid:durableId="1587884205">
    <w:abstractNumId w:val="109"/>
  </w:num>
  <w:num w:numId="104" w16cid:durableId="1749302536">
    <w:abstractNumId w:val="184"/>
  </w:num>
  <w:num w:numId="105" w16cid:durableId="1016034567">
    <w:abstractNumId w:val="162"/>
  </w:num>
  <w:num w:numId="106" w16cid:durableId="1129934651">
    <w:abstractNumId w:val="10"/>
  </w:num>
  <w:num w:numId="107" w16cid:durableId="989746038">
    <w:abstractNumId w:val="34"/>
  </w:num>
  <w:num w:numId="108" w16cid:durableId="442456771">
    <w:abstractNumId w:val="110"/>
  </w:num>
  <w:num w:numId="109" w16cid:durableId="1831747414">
    <w:abstractNumId w:val="146"/>
  </w:num>
  <w:num w:numId="110" w16cid:durableId="1296182307">
    <w:abstractNumId w:val="171"/>
  </w:num>
  <w:num w:numId="111" w16cid:durableId="1044913598">
    <w:abstractNumId w:val="60"/>
  </w:num>
  <w:num w:numId="112" w16cid:durableId="1189178476">
    <w:abstractNumId w:val="80"/>
  </w:num>
  <w:num w:numId="113" w16cid:durableId="1896967526">
    <w:abstractNumId w:val="26"/>
  </w:num>
  <w:num w:numId="114" w16cid:durableId="2030712091">
    <w:abstractNumId w:val="92"/>
  </w:num>
  <w:num w:numId="115" w16cid:durableId="744885802">
    <w:abstractNumId w:val="65"/>
  </w:num>
  <w:num w:numId="116" w16cid:durableId="1616526032">
    <w:abstractNumId w:val="8"/>
  </w:num>
  <w:num w:numId="117" w16cid:durableId="1501852519">
    <w:abstractNumId w:val="166"/>
  </w:num>
  <w:num w:numId="118" w16cid:durableId="1424182309">
    <w:abstractNumId w:val="183"/>
  </w:num>
  <w:num w:numId="119" w16cid:durableId="1241215852">
    <w:abstractNumId w:val="108"/>
  </w:num>
  <w:num w:numId="120" w16cid:durableId="1569144485">
    <w:abstractNumId w:val="79"/>
  </w:num>
  <w:num w:numId="121" w16cid:durableId="1410931177">
    <w:abstractNumId w:val="98"/>
  </w:num>
  <w:num w:numId="122" w16cid:durableId="1390763081">
    <w:abstractNumId w:val="75"/>
  </w:num>
  <w:num w:numId="123" w16cid:durableId="1518277354">
    <w:abstractNumId w:val="140"/>
  </w:num>
  <w:num w:numId="124" w16cid:durableId="755251472">
    <w:abstractNumId w:val="51"/>
  </w:num>
  <w:num w:numId="125" w16cid:durableId="1965653484">
    <w:abstractNumId w:val="7"/>
  </w:num>
  <w:num w:numId="126" w16cid:durableId="1120413934">
    <w:abstractNumId w:val="104"/>
  </w:num>
  <w:num w:numId="127" w16cid:durableId="124783827">
    <w:abstractNumId w:val="17"/>
  </w:num>
  <w:num w:numId="128" w16cid:durableId="1721901920">
    <w:abstractNumId w:val="185"/>
  </w:num>
  <w:num w:numId="129" w16cid:durableId="876232902">
    <w:abstractNumId w:val="172"/>
  </w:num>
  <w:num w:numId="130" w16cid:durableId="930894522">
    <w:abstractNumId w:val="11"/>
  </w:num>
  <w:num w:numId="131" w16cid:durableId="1363703892">
    <w:abstractNumId w:val="53"/>
  </w:num>
  <w:num w:numId="132" w16cid:durableId="336158180">
    <w:abstractNumId w:val="21"/>
  </w:num>
  <w:num w:numId="133" w16cid:durableId="78136783">
    <w:abstractNumId w:val="167"/>
  </w:num>
  <w:num w:numId="134" w16cid:durableId="1836719660">
    <w:abstractNumId w:val="112"/>
  </w:num>
  <w:num w:numId="135" w16cid:durableId="406466127">
    <w:abstractNumId w:val="49"/>
  </w:num>
  <w:num w:numId="136" w16cid:durableId="403113492">
    <w:abstractNumId w:val="103"/>
  </w:num>
  <w:num w:numId="137" w16cid:durableId="1996302150">
    <w:abstractNumId w:val="129"/>
  </w:num>
  <w:num w:numId="138" w16cid:durableId="1014964903">
    <w:abstractNumId w:val="122"/>
  </w:num>
  <w:num w:numId="139" w16cid:durableId="1237400357">
    <w:abstractNumId w:val="47"/>
  </w:num>
  <w:num w:numId="140" w16cid:durableId="326592176">
    <w:abstractNumId w:val="96"/>
  </w:num>
  <w:num w:numId="141" w16cid:durableId="1724018542">
    <w:abstractNumId w:val="89"/>
  </w:num>
  <w:num w:numId="142" w16cid:durableId="1516267174">
    <w:abstractNumId w:val="68"/>
  </w:num>
  <w:num w:numId="143" w16cid:durableId="642319082">
    <w:abstractNumId w:val="72"/>
  </w:num>
  <w:num w:numId="144" w16cid:durableId="990402244">
    <w:abstractNumId w:val="133"/>
  </w:num>
  <w:num w:numId="145" w16cid:durableId="45955867">
    <w:abstractNumId w:val="35"/>
  </w:num>
  <w:num w:numId="146" w16cid:durableId="813062363">
    <w:abstractNumId w:val="131"/>
  </w:num>
  <w:num w:numId="147" w16cid:durableId="1101147331">
    <w:abstractNumId w:val="41"/>
  </w:num>
  <w:num w:numId="148" w16cid:durableId="277682380">
    <w:abstractNumId w:val="63"/>
  </w:num>
  <w:num w:numId="149" w16cid:durableId="1234050091">
    <w:abstractNumId w:val="105"/>
  </w:num>
  <w:num w:numId="150" w16cid:durableId="664211168">
    <w:abstractNumId w:val="163"/>
  </w:num>
  <w:num w:numId="151" w16cid:durableId="1998149207">
    <w:abstractNumId w:val="45"/>
  </w:num>
  <w:num w:numId="152" w16cid:durableId="1051877787">
    <w:abstractNumId w:val="77"/>
  </w:num>
  <w:num w:numId="153" w16cid:durableId="616067154">
    <w:abstractNumId w:val="115"/>
  </w:num>
  <w:num w:numId="154" w16cid:durableId="1318918185">
    <w:abstractNumId w:val="27"/>
  </w:num>
  <w:num w:numId="155" w16cid:durableId="567112529">
    <w:abstractNumId w:val="181"/>
  </w:num>
  <w:num w:numId="156" w16cid:durableId="492061825">
    <w:abstractNumId w:val="73"/>
  </w:num>
  <w:num w:numId="157" w16cid:durableId="518590799">
    <w:abstractNumId w:val="66"/>
  </w:num>
  <w:num w:numId="158" w16cid:durableId="2008552083">
    <w:abstractNumId w:val="134"/>
  </w:num>
  <w:num w:numId="159" w16cid:durableId="183372909">
    <w:abstractNumId w:val="102"/>
  </w:num>
  <w:num w:numId="160" w16cid:durableId="1820998055">
    <w:abstractNumId w:val="88"/>
  </w:num>
  <w:num w:numId="161" w16cid:durableId="1387220033">
    <w:abstractNumId w:val="56"/>
  </w:num>
  <w:num w:numId="162" w16cid:durableId="733045254">
    <w:abstractNumId w:val="111"/>
  </w:num>
  <w:num w:numId="163" w16cid:durableId="1196888750">
    <w:abstractNumId w:val="159"/>
  </w:num>
  <w:num w:numId="164" w16cid:durableId="1780417203">
    <w:abstractNumId w:val="50"/>
  </w:num>
  <w:num w:numId="165" w16cid:durableId="2039119464">
    <w:abstractNumId w:val="121"/>
  </w:num>
  <w:num w:numId="166" w16cid:durableId="1265764904">
    <w:abstractNumId w:val="29"/>
  </w:num>
  <w:num w:numId="167" w16cid:durableId="64308173">
    <w:abstractNumId w:val="25"/>
  </w:num>
  <w:num w:numId="168" w16cid:durableId="1784181509">
    <w:abstractNumId w:val="165"/>
  </w:num>
  <w:num w:numId="169" w16cid:durableId="1455707365">
    <w:abstractNumId w:val="59"/>
    <w:lvlOverride w:ilvl="0">
      <w:startOverride w:val="1"/>
    </w:lvlOverride>
    <w:lvlOverride w:ilvl="1"/>
    <w:lvlOverride w:ilvl="2"/>
    <w:lvlOverride w:ilvl="3"/>
    <w:lvlOverride w:ilvl="4"/>
    <w:lvlOverride w:ilvl="5"/>
    <w:lvlOverride w:ilvl="6"/>
    <w:lvlOverride w:ilvl="7"/>
    <w:lvlOverride w:ilvl="8"/>
  </w:num>
  <w:num w:numId="170" w16cid:durableId="1219827239">
    <w:abstractNumId w:val="83"/>
  </w:num>
  <w:num w:numId="171" w16cid:durableId="317223881">
    <w:abstractNumId w:val="13"/>
  </w:num>
  <w:num w:numId="172" w16cid:durableId="2131048903">
    <w:abstractNumId w:val="74"/>
  </w:num>
  <w:num w:numId="173" w16cid:durableId="257256170">
    <w:abstractNumId w:val="85"/>
  </w:num>
  <w:num w:numId="174" w16cid:durableId="200939752">
    <w:abstractNumId w:val="127"/>
  </w:num>
  <w:num w:numId="175" w16cid:durableId="1104807042">
    <w:abstractNumId w:val="142"/>
  </w:num>
  <w:num w:numId="176" w16cid:durableId="1135491255">
    <w:abstractNumId w:val="93"/>
  </w:num>
  <w:num w:numId="177" w16cid:durableId="292715373">
    <w:abstractNumId w:val="124"/>
  </w:num>
  <w:num w:numId="178" w16cid:durableId="895705340">
    <w:abstractNumId w:val="139"/>
  </w:num>
  <w:num w:numId="179" w16cid:durableId="1380401181">
    <w:abstractNumId w:val="180"/>
  </w:num>
  <w:num w:numId="180" w16cid:durableId="955529042">
    <w:abstractNumId w:val="155"/>
  </w:num>
  <w:num w:numId="181" w16cid:durableId="279650123">
    <w:abstractNumId w:val="174"/>
  </w:num>
  <w:num w:numId="182" w16cid:durableId="1406731395">
    <w:abstractNumId w:val="54"/>
  </w:num>
  <w:num w:numId="183" w16cid:durableId="2041009367">
    <w:abstractNumId w:val="67"/>
  </w:num>
  <w:num w:numId="184" w16cid:durableId="679889442">
    <w:abstractNumId w:val="48"/>
  </w:num>
  <w:num w:numId="185" w16cid:durableId="779493716">
    <w:abstractNumId w:val="1"/>
  </w:num>
  <w:num w:numId="186" w16cid:durableId="2098287881">
    <w:abstractNumId w:val="61"/>
  </w:num>
  <w:num w:numId="187" w16cid:durableId="1006520715">
    <w:abstractNumId w:val="164"/>
  </w:num>
  <w:num w:numId="188" w16cid:durableId="962735160">
    <w:abstractNumId w:val="90"/>
  </w:num>
  <w:num w:numId="189" w16cid:durableId="73547858">
    <w:abstractNumId w:val="136"/>
  </w:num>
  <w:num w:numId="190" w16cid:durableId="1091663589">
    <w:abstractNumId w:val="164"/>
    <w:lvlOverride w:ilvl="0">
      <w:lvl w:ilvl="0">
        <w:start w:val="6"/>
        <w:numFmt w:val="decimal"/>
        <w:lvlText w:val="%1."/>
        <w:lvlJc w:val="left"/>
        <w:pPr>
          <w:ind w:left="360" w:hanging="360"/>
        </w:pPr>
        <w:rPr>
          <w:rFonts w:hint="default"/>
          <w:b/>
          <w:bCs/>
          <w:color w:val="9D2235" w:themeColor="accent1"/>
          <w:sz w:val="200"/>
          <w:szCs w:val="200"/>
        </w:rPr>
      </w:lvl>
    </w:lvlOverride>
    <w:lvlOverride w:ilvl="1">
      <w:lvl w:ilvl="1">
        <w:start w:val="1"/>
        <w:numFmt w:val="none"/>
        <w:lvlText w:val="6.4."/>
        <w:lvlJc w:val="left"/>
        <w:pPr>
          <w:ind w:left="792" w:hanging="432"/>
        </w:pPr>
        <w:rPr>
          <w:rFonts w:hint="default"/>
        </w:rPr>
      </w:lvl>
    </w:lvlOverride>
    <w:lvlOverride w:ilvl="2">
      <w:lvl w:ilvl="2">
        <w:start w:val="1"/>
        <w:numFmt w:val="none"/>
        <w:lvlText w:val="6.4.2."/>
        <w:lvlJc w:val="left"/>
        <w:pPr>
          <w:tabs>
            <w:tab w:val="num" w:pos="794"/>
          </w:tabs>
          <w:ind w:left="1224" w:hanging="504"/>
        </w:pPr>
        <w:rPr>
          <w:rFonts w:hint="default"/>
          <w:b/>
          <w:bCs/>
          <w:color w:val="9D2235" w:themeColor="accent1"/>
          <w:sz w:val="28"/>
          <w:szCs w:val="28"/>
        </w:rPr>
      </w:lvl>
    </w:lvlOverride>
    <w:lvlOverride w:ilvl="3">
      <w:lvl w:ilvl="3">
        <w:start w:val="1"/>
        <w:numFmt w:val="none"/>
        <w:lvlText w:val="6.4.2.1."/>
        <w:lvlJc w:val="left"/>
        <w:pPr>
          <w:ind w:left="1728" w:hanging="648"/>
        </w:pPr>
        <w:rPr>
          <w:rFonts w:hint="default"/>
        </w:rPr>
      </w:lvl>
    </w:lvlOverride>
    <w:lvlOverride w:ilvl="4">
      <w:lvl w:ilvl="4">
        <w:start w:val="1"/>
        <w:numFmt w:val="none"/>
        <w:lvlRestart w:val="3"/>
        <w:lvlText w:val="6.4.2.1.1."/>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91" w16cid:durableId="885221429">
    <w:abstractNumId w:val="1"/>
    <w:lvlOverride w:ilvl="0">
      <w:lvl w:ilvl="0">
        <w:start w:val="6"/>
        <w:numFmt w:val="decimal"/>
        <w:lvlText w:val="%1."/>
        <w:lvlJc w:val="left"/>
        <w:pPr>
          <w:ind w:left="360" w:hanging="360"/>
        </w:pPr>
        <w:rPr>
          <w:rFonts w:hint="default"/>
          <w:b/>
          <w:bCs/>
          <w:color w:val="9D2235" w:themeColor="accent1"/>
          <w:sz w:val="200"/>
          <w:szCs w:val="200"/>
        </w:rPr>
      </w:lvl>
    </w:lvlOverride>
    <w:lvlOverride w:ilvl="1">
      <w:lvl w:ilvl="1">
        <w:start w:val="1"/>
        <w:numFmt w:val="decimal"/>
        <w:lvlText w:val="%1.2."/>
        <w:lvlJc w:val="left"/>
        <w:pPr>
          <w:ind w:left="792" w:hanging="432"/>
        </w:pPr>
        <w:rPr>
          <w:rFonts w:hint="default"/>
        </w:rPr>
      </w:lvl>
    </w:lvlOverride>
    <w:lvlOverride w:ilvl="2">
      <w:lvl w:ilvl="2">
        <w:start w:val="1"/>
        <w:numFmt w:val="none"/>
        <w:lvlText w:val="6.2.1."/>
        <w:lvlJc w:val="left"/>
        <w:pPr>
          <w:tabs>
            <w:tab w:val="num" w:pos="794"/>
          </w:tabs>
          <w:ind w:left="1224" w:hanging="504"/>
        </w:pPr>
        <w:rPr>
          <w:rFonts w:hint="default"/>
          <w:b/>
          <w:bCs/>
          <w:color w:val="9D2235" w:themeColor="accent1"/>
          <w:sz w:val="28"/>
          <w:szCs w:val="28"/>
        </w:rPr>
      </w:lvl>
    </w:lvlOverride>
    <w:lvlOverride w:ilvl="3">
      <w:lvl w:ilvl="3">
        <w:start w:val="1"/>
        <w:numFmt w:val="none"/>
        <w:lvlText w:val="6.2.1.1."/>
        <w:lvlJc w:val="left"/>
        <w:pPr>
          <w:ind w:left="1728" w:hanging="648"/>
        </w:pPr>
        <w:rPr>
          <w:rFonts w:hint="default"/>
        </w:rPr>
      </w:lvl>
    </w:lvlOverride>
    <w:lvlOverride w:ilvl="4">
      <w:lvl w:ilvl="4">
        <w:start w:val="1"/>
        <w:numFmt w:val="none"/>
        <w:lvlRestart w:val="3"/>
        <w:lvlText w:val="6.2.1.1.1."/>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92" w16cid:durableId="1987974454">
    <w:abstractNumId w:val="1"/>
    <w:lvlOverride w:ilvl="0">
      <w:lvl w:ilvl="0">
        <w:start w:val="6"/>
        <w:numFmt w:val="decimal"/>
        <w:lvlText w:val="%1."/>
        <w:lvlJc w:val="left"/>
        <w:pPr>
          <w:ind w:left="360" w:hanging="360"/>
        </w:pPr>
        <w:rPr>
          <w:rFonts w:hint="default"/>
          <w:b/>
          <w:bCs/>
          <w:color w:val="9D2235" w:themeColor="accent1"/>
          <w:sz w:val="200"/>
          <w:szCs w:val="200"/>
        </w:rPr>
      </w:lvl>
    </w:lvlOverride>
    <w:lvlOverride w:ilvl="1">
      <w:lvl w:ilvl="1">
        <w:start w:val="1"/>
        <w:numFmt w:val="decimal"/>
        <w:lvlText w:val="%1.2."/>
        <w:lvlJc w:val="left"/>
        <w:pPr>
          <w:ind w:left="792" w:hanging="432"/>
        </w:pPr>
        <w:rPr>
          <w:rFonts w:hint="default"/>
        </w:rPr>
      </w:lvl>
    </w:lvlOverride>
    <w:lvlOverride w:ilvl="2">
      <w:lvl w:ilvl="2">
        <w:start w:val="1"/>
        <w:numFmt w:val="none"/>
        <w:lvlText w:val="6.2.1."/>
        <w:lvlJc w:val="left"/>
        <w:pPr>
          <w:tabs>
            <w:tab w:val="num" w:pos="794"/>
          </w:tabs>
          <w:ind w:left="1224" w:hanging="504"/>
        </w:pPr>
        <w:rPr>
          <w:rFonts w:hint="default"/>
          <w:b/>
          <w:bCs/>
          <w:color w:val="9D2235" w:themeColor="accent1"/>
          <w:sz w:val="28"/>
          <w:szCs w:val="28"/>
        </w:rPr>
      </w:lvl>
    </w:lvlOverride>
    <w:lvlOverride w:ilvl="3">
      <w:lvl w:ilvl="3">
        <w:start w:val="1"/>
        <w:numFmt w:val="none"/>
        <w:lvlText w:val="6.2.1.1."/>
        <w:lvlJc w:val="left"/>
        <w:pPr>
          <w:ind w:left="1728" w:hanging="648"/>
        </w:pPr>
        <w:rPr>
          <w:rFonts w:hint="default"/>
        </w:rPr>
      </w:lvl>
    </w:lvlOverride>
    <w:lvlOverride w:ilvl="4">
      <w:lvl w:ilvl="4">
        <w:start w:val="1"/>
        <w:numFmt w:val="none"/>
        <w:lvlRestart w:val="3"/>
        <w:lvlText w:val="6.2.1.1.1."/>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93" w16cid:durableId="1513303601">
    <w:abstractNumId w:val="1"/>
    <w:lvlOverride w:ilvl="0">
      <w:lvl w:ilvl="0">
        <w:start w:val="6"/>
        <w:numFmt w:val="decimal"/>
        <w:lvlText w:val="%1."/>
        <w:lvlJc w:val="left"/>
        <w:pPr>
          <w:ind w:left="360" w:hanging="360"/>
        </w:pPr>
        <w:rPr>
          <w:rFonts w:hint="default"/>
          <w:b/>
          <w:bCs/>
          <w:color w:val="9D2235" w:themeColor="accent1"/>
          <w:sz w:val="200"/>
          <w:szCs w:val="200"/>
        </w:rPr>
      </w:lvl>
    </w:lvlOverride>
    <w:lvlOverride w:ilvl="1">
      <w:lvl w:ilvl="1">
        <w:start w:val="1"/>
        <w:numFmt w:val="decimal"/>
        <w:lvlText w:val="%1.2."/>
        <w:lvlJc w:val="left"/>
        <w:pPr>
          <w:ind w:left="792" w:hanging="432"/>
        </w:pPr>
        <w:rPr>
          <w:rFonts w:hint="default"/>
        </w:rPr>
      </w:lvl>
    </w:lvlOverride>
    <w:lvlOverride w:ilvl="2">
      <w:lvl w:ilvl="2">
        <w:start w:val="1"/>
        <w:numFmt w:val="none"/>
        <w:lvlText w:val="6.2.2."/>
        <w:lvlJc w:val="left"/>
        <w:pPr>
          <w:tabs>
            <w:tab w:val="num" w:pos="794"/>
          </w:tabs>
          <w:ind w:left="1224" w:hanging="504"/>
        </w:pPr>
        <w:rPr>
          <w:rFonts w:hint="default"/>
          <w:b/>
          <w:bCs/>
          <w:color w:val="9D2235" w:themeColor="accent1"/>
          <w:sz w:val="28"/>
          <w:szCs w:val="28"/>
        </w:rPr>
      </w:lvl>
    </w:lvlOverride>
    <w:lvlOverride w:ilvl="3">
      <w:lvl w:ilvl="3">
        <w:start w:val="1"/>
        <w:numFmt w:val="none"/>
        <w:lvlText w:val="6.2.2.1."/>
        <w:lvlJc w:val="left"/>
        <w:pPr>
          <w:ind w:left="1728" w:hanging="648"/>
        </w:pPr>
        <w:rPr>
          <w:rFonts w:hint="default"/>
        </w:rPr>
      </w:lvl>
    </w:lvlOverride>
    <w:lvlOverride w:ilvl="4">
      <w:lvl w:ilvl="4">
        <w:start w:val="1"/>
        <w:numFmt w:val="none"/>
        <w:lvlRestart w:val="3"/>
        <w:lvlText w:val="6.2.2.1.1."/>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defaultTabStop w:val="1701"/>
  <w:hyphenationZone w:val="425"/>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2A66"/>
    <w:rsid w:val="00000A80"/>
    <w:rsid w:val="00000C8F"/>
    <w:rsid w:val="00000D1F"/>
    <w:rsid w:val="00000E5A"/>
    <w:rsid w:val="000012C7"/>
    <w:rsid w:val="000015C0"/>
    <w:rsid w:val="00002AB1"/>
    <w:rsid w:val="00002F0E"/>
    <w:rsid w:val="000041FC"/>
    <w:rsid w:val="0000467C"/>
    <w:rsid w:val="00005696"/>
    <w:rsid w:val="00005E44"/>
    <w:rsid w:val="00006459"/>
    <w:rsid w:val="00007375"/>
    <w:rsid w:val="00010F24"/>
    <w:rsid w:val="00012862"/>
    <w:rsid w:val="00012999"/>
    <w:rsid w:val="00012B49"/>
    <w:rsid w:val="00012EBE"/>
    <w:rsid w:val="000139EB"/>
    <w:rsid w:val="000140B9"/>
    <w:rsid w:val="0001427B"/>
    <w:rsid w:val="0001473E"/>
    <w:rsid w:val="00015D03"/>
    <w:rsid w:val="00016F15"/>
    <w:rsid w:val="000174F6"/>
    <w:rsid w:val="00017634"/>
    <w:rsid w:val="0001775B"/>
    <w:rsid w:val="00017E5E"/>
    <w:rsid w:val="000204AF"/>
    <w:rsid w:val="00022C2D"/>
    <w:rsid w:val="0002300D"/>
    <w:rsid w:val="00024070"/>
    <w:rsid w:val="00026A22"/>
    <w:rsid w:val="00026EE3"/>
    <w:rsid w:val="00031ACF"/>
    <w:rsid w:val="0003243A"/>
    <w:rsid w:val="00032B97"/>
    <w:rsid w:val="00032E8A"/>
    <w:rsid w:val="00035167"/>
    <w:rsid w:val="00035A91"/>
    <w:rsid w:val="0003678B"/>
    <w:rsid w:val="00036D8C"/>
    <w:rsid w:val="00036E52"/>
    <w:rsid w:val="00040C04"/>
    <w:rsid w:val="00040D5E"/>
    <w:rsid w:val="000421D3"/>
    <w:rsid w:val="000421F5"/>
    <w:rsid w:val="00042757"/>
    <w:rsid w:val="000434D0"/>
    <w:rsid w:val="000435A4"/>
    <w:rsid w:val="0004391F"/>
    <w:rsid w:val="00043C15"/>
    <w:rsid w:val="00044E77"/>
    <w:rsid w:val="0004647D"/>
    <w:rsid w:val="000502E8"/>
    <w:rsid w:val="0005287A"/>
    <w:rsid w:val="00052DFE"/>
    <w:rsid w:val="00053B23"/>
    <w:rsid w:val="0005467A"/>
    <w:rsid w:val="00054DEE"/>
    <w:rsid w:val="000553A3"/>
    <w:rsid w:val="0005575F"/>
    <w:rsid w:val="00055E39"/>
    <w:rsid w:val="000607A6"/>
    <w:rsid w:val="0006276C"/>
    <w:rsid w:val="00065886"/>
    <w:rsid w:val="00066092"/>
    <w:rsid w:val="0006698A"/>
    <w:rsid w:val="00067CB8"/>
    <w:rsid w:val="000703E7"/>
    <w:rsid w:val="00071C02"/>
    <w:rsid w:val="00071D35"/>
    <w:rsid w:val="00072D60"/>
    <w:rsid w:val="0007304E"/>
    <w:rsid w:val="000744C3"/>
    <w:rsid w:val="000747E1"/>
    <w:rsid w:val="00074E2D"/>
    <w:rsid w:val="000757A1"/>
    <w:rsid w:val="00076B71"/>
    <w:rsid w:val="00076BFE"/>
    <w:rsid w:val="00077BD5"/>
    <w:rsid w:val="000806A1"/>
    <w:rsid w:val="000809AE"/>
    <w:rsid w:val="0008123D"/>
    <w:rsid w:val="00081B6A"/>
    <w:rsid w:val="00082030"/>
    <w:rsid w:val="000826AD"/>
    <w:rsid w:val="00085F7F"/>
    <w:rsid w:val="000867FC"/>
    <w:rsid w:val="00086FD4"/>
    <w:rsid w:val="00087531"/>
    <w:rsid w:val="000915ED"/>
    <w:rsid w:val="00092AEE"/>
    <w:rsid w:val="00093E0F"/>
    <w:rsid w:val="00094228"/>
    <w:rsid w:val="000942D1"/>
    <w:rsid w:val="000952B8"/>
    <w:rsid w:val="00095E60"/>
    <w:rsid w:val="00096249"/>
    <w:rsid w:val="00096F00"/>
    <w:rsid w:val="00096F55"/>
    <w:rsid w:val="000A0A89"/>
    <w:rsid w:val="000A0A9B"/>
    <w:rsid w:val="000A1323"/>
    <w:rsid w:val="000A445F"/>
    <w:rsid w:val="000A6829"/>
    <w:rsid w:val="000A6A2E"/>
    <w:rsid w:val="000A793B"/>
    <w:rsid w:val="000B03F9"/>
    <w:rsid w:val="000B14EB"/>
    <w:rsid w:val="000B1807"/>
    <w:rsid w:val="000B30C2"/>
    <w:rsid w:val="000B390D"/>
    <w:rsid w:val="000B45E2"/>
    <w:rsid w:val="000B6315"/>
    <w:rsid w:val="000B71C5"/>
    <w:rsid w:val="000B796F"/>
    <w:rsid w:val="000C047E"/>
    <w:rsid w:val="000C060B"/>
    <w:rsid w:val="000C13D5"/>
    <w:rsid w:val="000C2B89"/>
    <w:rsid w:val="000C499C"/>
    <w:rsid w:val="000C6DA4"/>
    <w:rsid w:val="000C701C"/>
    <w:rsid w:val="000C746A"/>
    <w:rsid w:val="000C7CAC"/>
    <w:rsid w:val="000D0217"/>
    <w:rsid w:val="000D0EE6"/>
    <w:rsid w:val="000D1769"/>
    <w:rsid w:val="000D1B4F"/>
    <w:rsid w:val="000D3A46"/>
    <w:rsid w:val="000D576F"/>
    <w:rsid w:val="000D5E0B"/>
    <w:rsid w:val="000D65F7"/>
    <w:rsid w:val="000D660B"/>
    <w:rsid w:val="000D6D22"/>
    <w:rsid w:val="000D7A07"/>
    <w:rsid w:val="000D7C6B"/>
    <w:rsid w:val="000E0B67"/>
    <w:rsid w:val="000E2A30"/>
    <w:rsid w:val="000E2A66"/>
    <w:rsid w:val="000E2E5F"/>
    <w:rsid w:val="000E3216"/>
    <w:rsid w:val="000E39C0"/>
    <w:rsid w:val="000E4182"/>
    <w:rsid w:val="000E5FE5"/>
    <w:rsid w:val="000E6355"/>
    <w:rsid w:val="000E688E"/>
    <w:rsid w:val="000E7209"/>
    <w:rsid w:val="000F065A"/>
    <w:rsid w:val="000F0D13"/>
    <w:rsid w:val="000F0D81"/>
    <w:rsid w:val="000F1A4A"/>
    <w:rsid w:val="000F2343"/>
    <w:rsid w:val="000F2EA1"/>
    <w:rsid w:val="000F31CB"/>
    <w:rsid w:val="000F347B"/>
    <w:rsid w:val="000F3C76"/>
    <w:rsid w:val="000F4B9E"/>
    <w:rsid w:val="000F6BC7"/>
    <w:rsid w:val="000F7CDB"/>
    <w:rsid w:val="001002CB"/>
    <w:rsid w:val="0010148E"/>
    <w:rsid w:val="00102F05"/>
    <w:rsid w:val="00103139"/>
    <w:rsid w:val="0010504D"/>
    <w:rsid w:val="00106031"/>
    <w:rsid w:val="0010776D"/>
    <w:rsid w:val="00110326"/>
    <w:rsid w:val="00112709"/>
    <w:rsid w:val="00113BEC"/>
    <w:rsid w:val="00113FE8"/>
    <w:rsid w:val="00114187"/>
    <w:rsid w:val="001151F0"/>
    <w:rsid w:val="00117BAE"/>
    <w:rsid w:val="00120A09"/>
    <w:rsid w:val="00120F0F"/>
    <w:rsid w:val="00121BDF"/>
    <w:rsid w:val="001221CA"/>
    <w:rsid w:val="00122921"/>
    <w:rsid w:val="00122F19"/>
    <w:rsid w:val="001239E5"/>
    <w:rsid w:val="00124099"/>
    <w:rsid w:val="00125D5B"/>
    <w:rsid w:val="001267F7"/>
    <w:rsid w:val="00126AD7"/>
    <w:rsid w:val="00127219"/>
    <w:rsid w:val="00127F3E"/>
    <w:rsid w:val="00130C46"/>
    <w:rsid w:val="00130CF5"/>
    <w:rsid w:val="00131110"/>
    <w:rsid w:val="00134151"/>
    <w:rsid w:val="00135383"/>
    <w:rsid w:val="001363E8"/>
    <w:rsid w:val="00136B6D"/>
    <w:rsid w:val="00136D0D"/>
    <w:rsid w:val="00136E45"/>
    <w:rsid w:val="001374AD"/>
    <w:rsid w:val="0014011E"/>
    <w:rsid w:val="001417E2"/>
    <w:rsid w:val="00141BE0"/>
    <w:rsid w:val="00143DB0"/>
    <w:rsid w:val="00145DAC"/>
    <w:rsid w:val="00146336"/>
    <w:rsid w:val="00147E20"/>
    <w:rsid w:val="0015081D"/>
    <w:rsid w:val="00152A36"/>
    <w:rsid w:val="001538B4"/>
    <w:rsid w:val="00153921"/>
    <w:rsid w:val="001539F3"/>
    <w:rsid w:val="0015488E"/>
    <w:rsid w:val="00154F9C"/>
    <w:rsid w:val="00156DAB"/>
    <w:rsid w:val="00157218"/>
    <w:rsid w:val="00157568"/>
    <w:rsid w:val="00157679"/>
    <w:rsid w:val="001577C7"/>
    <w:rsid w:val="00157A8B"/>
    <w:rsid w:val="00157BB9"/>
    <w:rsid w:val="00160032"/>
    <w:rsid w:val="00160A47"/>
    <w:rsid w:val="0016286E"/>
    <w:rsid w:val="00162EA4"/>
    <w:rsid w:val="00162F3C"/>
    <w:rsid w:val="001653F9"/>
    <w:rsid w:val="00165E46"/>
    <w:rsid w:val="001669C1"/>
    <w:rsid w:val="00167686"/>
    <w:rsid w:val="00170207"/>
    <w:rsid w:val="00171D00"/>
    <w:rsid w:val="001723C3"/>
    <w:rsid w:val="00172A5B"/>
    <w:rsid w:val="00172D07"/>
    <w:rsid w:val="00175395"/>
    <w:rsid w:val="00176040"/>
    <w:rsid w:val="0017604D"/>
    <w:rsid w:val="00176FCA"/>
    <w:rsid w:val="001772C2"/>
    <w:rsid w:val="001774E0"/>
    <w:rsid w:val="0018001F"/>
    <w:rsid w:val="00180BD2"/>
    <w:rsid w:val="001814C5"/>
    <w:rsid w:val="00181707"/>
    <w:rsid w:val="001818E7"/>
    <w:rsid w:val="001838FA"/>
    <w:rsid w:val="00183A63"/>
    <w:rsid w:val="0018429C"/>
    <w:rsid w:val="00184CC4"/>
    <w:rsid w:val="00184E85"/>
    <w:rsid w:val="00186784"/>
    <w:rsid w:val="001867E5"/>
    <w:rsid w:val="00187762"/>
    <w:rsid w:val="001878B6"/>
    <w:rsid w:val="001900B6"/>
    <w:rsid w:val="001903FA"/>
    <w:rsid w:val="0019049A"/>
    <w:rsid w:val="001908A2"/>
    <w:rsid w:val="001924CE"/>
    <w:rsid w:val="0019430F"/>
    <w:rsid w:val="001949E4"/>
    <w:rsid w:val="001A1C66"/>
    <w:rsid w:val="001A2421"/>
    <w:rsid w:val="001A34D9"/>
    <w:rsid w:val="001A5ABB"/>
    <w:rsid w:val="001A6313"/>
    <w:rsid w:val="001A6842"/>
    <w:rsid w:val="001A6B05"/>
    <w:rsid w:val="001B0029"/>
    <w:rsid w:val="001B1422"/>
    <w:rsid w:val="001B1B07"/>
    <w:rsid w:val="001B264C"/>
    <w:rsid w:val="001B2790"/>
    <w:rsid w:val="001B2B95"/>
    <w:rsid w:val="001B5A72"/>
    <w:rsid w:val="001B6518"/>
    <w:rsid w:val="001B7D0D"/>
    <w:rsid w:val="001C25F3"/>
    <w:rsid w:val="001C2A13"/>
    <w:rsid w:val="001C2ABB"/>
    <w:rsid w:val="001C41EC"/>
    <w:rsid w:val="001C4A23"/>
    <w:rsid w:val="001D06D6"/>
    <w:rsid w:val="001D098E"/>
    <w:rsid w:val="001D0A43"/>
    <w:rsid w:val="001D10D9"/>
    <w:rsid w:val="001D19F9"/>
    <w:rsid w:val="001D2055"/>
    <w:rsid w:val="001D30AE"/>
    <w:rsid w:val="001D3848"/>
    <w:rsid w:val="001D3907"/>
    <w:rsid w:val="001D50B4"/>
    <w:rsid w:val="001D52FD"/>
    <w:rsid w:val="001D610B"/>
    <w:rsid w:val="001D7357"/>
    <w:rsid w:val="001E0358"/>
    <w:rsid w:val="001E0DFA"/>
    <w:rsid w:val="001E295B"/>
    <w:rsid w:val="001E2BED"/>
    <w:rsid w:val="001E304B"/>
    <w:rsid w:val="001E4352"/>
    <w:rsid w:val="001F0520"/>
    <w:rsid w:val="001F0B05"/>
    <w:rsid w:val="001F15B9"/>
    <w:rsid w:val="001F17F7"/>
    <w:rsid w:val="001F2E8A"/>
    <w:rsid w:val="001F4201"/>
    <w:rsid w:val="001F5FA5"/>
    <w:rsid w:val="001F6C7C"/>
    <w:rsid w:val="001F736B"/>
    <w:rsid w:val="001F7C08"/>
    <w:rsid w:val="001F7CEA"/>
    <w:rsid w:val="001F7E9F"/>
    <w:rsid w:val="00200805"/>
    <w:rsid w:val="002010D7"/>
    <w:rsid w:val="002027E9"/>
    <w:rsid w:val="00203A68"/>
    <w:rsid w:val="00204EC8"/>
    <w:rsid w:val="00205E54"/>
    <w:rsid w:val="00205EDD"/>
    <w:rsid w:val="002061A4"/>
    <w:rsid w:val="00206A06"/>
    <w:rsid w:val="00206A23"/>
    <w:rsid w:val="00206AFA"/>
    <w:rsid w:val="002109CB"/>
    <w:rsid w:val="00211B02"/>
    <w:rsid w:val="00211D4C"/>
    <w:rsid w:val="00211FE5"/>
    <w:rsid w:val="00212E69"/>
    <w:rsid w:val="00214179"/>
    <w:rsid w:val="00214E1D"/>
    <w:rsid w:val="00214F74"/>
    <w:rsid w:val="00220772"/>
    <w:rsid w:val="00220FFE"/>
    <w:rsid w:val="002212A9"/>
    <w:rsid w:val="00222B79"/>
    <w:rsid w:val="00225635"/>
    <w:rsid w:val="0022592B"/>
    <w:rsid w:val="00227E41"/>
    <w:rsid w:val="00231D61"/>
    <w:rsid w:val="00234697"/>
    <w:rsid w:val="00235800"/>
    <w:rsid w:val="00236910"/>
    <w:rsid w:val="00237860"/>
    <w:rsid w:val="002378CD"/>
    <w:rsid w:val="002406F8"/>
    <w:rsid w:val="00240878"/>
    <w:rsid w:val="00241DA2"/>
    <w:rsid w:val="002421B6"/>
    <w:rsid w:val="002431F6"/>
    <w:rsid w:val="002432B6"/>
    <w:rsid w:val="00243562"/>
    <w:rsid w:val="00243A1D"/>
    <w:rsid w:val="00244558"/>
    <w:rsid w:val="002464C1"/>
    <w:rsid w:val="002473FC"/>
    <w:rsid w:val="002505A5"/>
    <w:rsid w:val="002516FB"/>
    <w:rsid w:val="0025307A"/>
    <w:rsid w:val="0025363D"/>
    <w:rsid w:val="002539DC"/>
    <w:rsid w:val="00253ED4"/>
    <w:rsid w:val="00257CD4"/>
    <w:rsid w:val="002601BF"/>
    <w:rsid w:val="00262BE0"/>
    <w:rsid w:val="00262F77"/>
    <w:rsid w:val="00263D20"/>
    <w:rsid w:val="00264D99"/>
    <w:rsid w:val="00264EC2"/>
    <w:rsid w:val="002656F9"/>
    <w:rsid w:val="00265AF0"/>
    <w:rsid w:val="002677DA"/>
    <w:rsid w:val="00267C42"/>
    <w:rsid w:val="00267D64"/>
    <w:rsid w:val="00270BC0"/>
    <w:rsid w:val="00270D4B"/>
    <w:rsid w:val="002722A7"/>
    <w:rsid w:val="00274233"/>
    <w:rsid w:val="00274396"/>
    <w:rsid w:val="00274807"/>
    <w:rsid w:val="00274AE4"/>
    <w:rsid w:val="00276A50"/>
    <w:rsid w:val="00277437"/>
    <w:rsid w:val="0027764E"/>
    <w:rsid w:val="00280120"/>
    <w:rsid w:val="00281220"/>
    <w:rsid w:val="002812FE"/>
    <w:rsid w:val="00281B23"/>
    <w:rsid w:val="00282D81"/>
    <w:rsid w:val="00287119"/>
    <w:rsid w:val="0029094F"/>
    <w:rsid w:val="00291289"/>
    <w:rsid w:val="00291609"/>
    <w:rsid w:val="002923DF"/>
    <w:rsid w:val="002949C6"/>
    <w:rsid w:val="00294CA2"/>
    <w:rsid w:val="002960AB"/>
    <w:rsid w:val="00296A81"/>
    <w:rsid w:val="00296BB3"/>
    <w:rsid w:val="00297B34"/>
    <w:rsid w:val="002A000A"/>
    <w:rsid w:val="002A1357"/>
    <w:rsid w:val="002A1E9E"/>
    <w:rsid w:val="002A2F80"/>
    <w:rsid w:val="002A3144"/>
    <w:rsid w:val="002A3533"/>
    <w:rsid w:val="002A3818"/>
    <w:rsid w:val="002A4453"/>
    <w:rsid w:val="002A47AA"/>
    <w:rsid w:val="002A4D52"/>
    <w:rsid w:val="002A5A3A"/>
    <w:rsid w:val="002A5CF7"/>
    <w:rsid w:val="002A794E"/>
    <w:rsid w:val="002A7F01"/>
    <w:rsid w:val="002B0793"/>
    <w:rsid w:val="002B23F8"/>
    <w:rsid w:val="002B2AC3"/>
    <w:rsid w:val="002B3393"/>
    <w:rsid w:val="002B43E6"/>
    <w:rsid w:val="002B4668"/>
    <w:rsid w:val="002B637B"/>
    <w:rsid w:val="002B6FB5"/>
    <w:rsid w:val="002B7805"/>
    <w:rsid w:val="002C0BEF"/>
    <w:rsid w:val="002C0DE6"/>
    <w:rsid w:val="002C15DE"/>
    <w:rsid w:val="002C1799"/>
    <w:rsid w:val="002C1BFB"/>
    <w:rsid w:val="002C2770"/>
    <w:rsid w:val="002C3B22"/>
    <w:rsid w:val="002C66A2"/>
    <w:rsid w:val="002D0F7F"/>
    <w:rsid w:val="002D0FF9"/>
    <w:rsid w:val="002D0FFD"/>
    <w:rsid w:val="002D16E3"/>
    <w:rsid w:val="002D1C6B"/>
    <w:rsid w:val="002D3AF5"/>
    <w:rsid w:val="002D3B30"/>
    <w:rsid w:val="002D40BA"/>
    <w:rsid w:val="002D5550"/>
    <w:rsid w:val="002D5AA4"/>
    <w:rsid w:val="002D6F91"/>
    <w:rsid w:val="002D7EF4"/>
    <w:rsid w:val="002E0389"/>
    <w:rsid w:val="002E0A25"/>
    <w:rsid w:val="002E12D5"/>
    <w:rsid w:val="002E1B48"/>
    <w:rsid w:val="002E203E"/>
    <w:rsid w:val="002E2E83"/>
    <w:rsid w:val="002E302A"/>
    <w:rsid w:val="002E3249"/>
    <w:rsid w:val="002E37BB"/>
    <w:rsid w:val="002E4DAA"/>
    <w:rsid w:val="002E56BF"/>
    <w:rsid w:val="002E5FE9"/>
    <w:rsid w:val="002F239E"/>
    <w:rsid w:val="002F34A6"/>
    <w:rsid w:val="002F36BA"/>
    <w:rsid w:val="002F4ECF"/>
    <w:rsid w:val="002F6080"/>
    <w:rsid w:val="002F7944"/>
    <w:rsid w:val="00300DFC"/>
    <w:rsid w:val="00301115"/>
    <w:rsid w:val="003024D8"/>
    <w:rsid w:val="00303793"/>
    <w:rsid w:val="00305021"/>
    <w:rsid w:val="00306B13"/>
    <w:rsid w:val="00310412"/>
    <w:rsid w:val="00311B42"/>
    <w:rsid w:val="00312716"/>
    <w:rsid w:val="00312C14"/>
    <w:rsid w:val="003135D0"/>
    <w:rsid w:val="00313AD3"/>
    <w:rsid w:val="003141B3"/>
    <w:rsid w:val="00316401"/>
    <w:rsid w:val="00317289"/>
    <w:rsid w:val="0031790B"/>
    <w:rsid w:val="00321B23"/>
    <w:rsid w:val="00321C8E"/>
    <w:rsid w:val="0032279D"/>
    <w:rsid w:val="003234BE"/>
    <w:rsid w:val="003240D6"/>
    <w:rsid w:val="003257AB"/>
    <w:rsid w:val="00326C20"/>
    <w:rsid w:val="00327CBB"/>
    <w:rsid w:val="00330E85"/>
    <w:rsid w:val="0033436A"/>
    <w:rsid w:val="00336E76"/>
    <w:rsid w:val="003408CE"/>
    <w:rsid w:val="00340E47"/>
    <w:rsid w:val="003416AE"/>
    <w:rsid w:val="00342586"/>
    <w:rsid w:val="00342C45"/>
    <w:rsid w:val="00343A29"/>
    <w:rsid w:val="00343E49"/>
    <w:rsid w:val="003472DE"/>
    <w:rsid w:val="003504BA"/>
    <w:rsid w:val="00350C7E"/>
    <w:rsid w:val="003530AE"/>
    <w:rsid w:val="00353C4E"/>
    <w:rsid w:val="00355147"/>
    <w:rsid w:val="003556A2"/>
    <w:rsid w:val="003558F0"/>
    <w:rsid w:val="00355E68"/>
    <w:rsid w:val="00356B91"/>
    <w:rsid w:val="00356F1E"/>
    <w:rsid w:val="00357ED3"/>
    <w:rsid w:val="00360A2E"/>
    <w:rsid w:val="00360DCC"/>
    <w:rsid w:val="003614B5"/>
    <w:rsid w:val="00362069"/>
    <w:rsid w:val="003621D6"/>
    <w:rsid w:val="00363DC5"/>
    <w:rsid w:val="00364B3C"/>
    <w:rsid w:val="003659C7"/>
    <w:rsid w:val="00365C02"/>
    <w:rsid w:val="00365DC2"/>
    <w:rsid w:val="00366233"/>
    <w:rsid w:val="003663F8"/>
    <w:rsid w:val="00367282"/>
    <w:rsid w:val="00370473"/>
    <w:rsid w:val="00370995"/>
    <w:rsid w:val="00370DEE"/>
    <w:rsid w:val="00372BD9"/>
    <w:rsid w:val="003737DD"/>
    <w:rsid w:val="003746F3"/>
    <w:rsid w:val="00374AC9"/>
    <w:rsid w:val="0037557B"/>
    <w:rsid w:val="003762B2"/>
    <w:rsid w:val="00376615"/>
    <w:rsid w:val="00377F12"/>
    <w:rsid w:val="003803CD"/>
    <w:rsid w:val="00380577"/>
    <w:rsid w:val="00381ECA"/>
    <w:rsid w:val="0038226A"/>
    <w:rsid w:val="003834B9"/>
    <w:rsid w:val="00383DA4"/>
    <w:rsid w:val="00384B48"/>
    <w:rsid w:val="00385080"/>
    <w:rsid w:val="00385573"/>
    <w:rsid w:val="00391094"/>
    <w:rsid w:val="00391D7B"/>
    <w:rsid w:val="0039254B"/>
    <w:rsid w:val="00392F00"/>
    <w:rsid w:val="003935DA"/>
    <w:rsid w:val="00393AD1"/>
    <w:rsid w:val="00393B26"/>
    <w:rsid w:val="0039426D"/>
    <w:rsid w:val="00394FC5"/>
    <w:rsid w:val="00395D08"/>
    <w:rsid w:val="003961C3"/>
    <w:rsid w:val="0039675B"/>
    <w:rsid w:val="00396C04"/>
    <w:rsid w:val="003A05C5"/>
    <w:rsid w:val="003A2F42"/>
    <w:rsid w:val="003A38AE"/>
    <w:rsid w:val="003A6060"/>
    <w:rsid w:val="003A60FD"/>
    <w:rsid w:val="003A6A3F"/>
    <w:rsid w:val="003A6E34"/>
    <w:rsid w:val="003A7CAA"/>
    <w:rsid w:val="003B06CF"/>
    <w:rsid w:val="003B0C74"/>
    <w:rsid w:val="003B10CC"/>
    <w:rsid w:val="003B28A6"/>
    <w:rsid w:val="003B298B"/>
    <w:rsid w:val="003B38E5"/>
    <w:rsid w:val="003B3BB4"/>
    <w:rsid w:val="003B5B2D"/>
    <w:rsid w:val="003B6B04"/>
    <w:rsid w:val="003B7E9D"/>
    <w:rsid w:val="003C28C4"/>
    <w:rsid w:val="003C2B52"/>
    <w:rsid w:val="003C2FAB"/>
    <w:rsid w:val="003C3EFA"/>
    <w:rsid w:val="003C4EAD"/>
    <w:rsid w:val="003C6B36"/>
    <w:rsid w:val="003C7F9D"/>
    <w:rsid w:val="003D0116"/>
    <w:rsid w:val="003D107F"/>
    <w:rsid w:val="003D1E71"/>
    <w:rsid w:val="003D46E8"/>
    <w:rsid w:val="003D47F7"/>
    <w:rsid w:val="003D491A"/>
    <w:rsid w:val="003D52CE"/>
    <w:rsid w:val="003D573A"/>
    <w:rsid w:val="003D6956"/>
    <w:rsid w:val="003D6EA0"/>
    <w:rsid w:val="003D7843"/>
    <w:rsid w:val="003E0AA3"/>
    <w:rsid w:val="003E1722"/>
    <w:rsid w:val="003E333A"/>
    <w:rsid w:val="003E7826"/>
    <w:rsid w:val="003E7E1B"/>
    <w:rsid w:val="003F06BB"/>
    <w:rsid w:val="003F171F"/>
    <w:rsid w:val="003F2F5A"/>
    <w:rsid w:val="003F536E"/>
    <w:rsid w:val="003F6E28"/>
    <w:rsid w:val="003F6F4B"/>
    <w:rsid w:val="00400971"/>
    <w:rsid w:val="00400C5A"/>
    <w:rsid w:val="00400F81"/>
    <w:rsid w:val="00404BFF"/>
    <w:rsid w:val="004063ED"/>
    <w:rsid w:val="00411176"/>
    <w:rsid w:val="00411604"/>
    <w:rsid w:val="0041345C"/>
    <w:rsid w:val="00413C3C"/>
    <w:rsid w:val="0041498B"/>
    <w:rsid w:val="004149CE"/>
    <w:rsid w:val="0041639B"/>
    <w:rsid w:val="00417226"/>
    <w:rsid w:val="00417A14"/>
    <w:rsid w:val="00421EEC"/>
    <w:rsid w:val="0042236D"/>
    <w:rsid w:val="00422848"/>
    <w:rsid w:val="00422C6A"/>
    <w:rsid w:val="0042522B"/>
    <w:rsid w:val="004313D1"/>
    <w:rsid w:val="004334A2"/>
    <w:rsid w:val="00433C7A"/>
    <w:rsid w:val="00435A7D"/>
    <w:rsid w:val="00435D08"/>
    <w:rsid w:val="00436174"/>
    <w:rsid w:val="00436B6D"/>
    <w:rsid w:val="00437A56"/>
    <w:rsid w:val="00442A94"/>
    <w:rsid w:val="00442FDF"/>
    <w:rsid w:val="00443257"/>
    <w:rsid w:val="00443C88"/>
    <w:rsid w:val="004442BD"/>
    <w:rsid w:val="00445B03"/>
    <w:rsid w:val="004464D3"/>
    <w:rsid w:val="00446E4D"/>
    <w:rsid w:val="00451926"/>
    <w:rsid w:val="004522FD"/>
    <w:rsid w:val="004530CB"/>
    <w:rsid w:val="00454255"/>
    <w:rsid w:val="00455425"/>
    <w:rsid w:val="0045549E"/>
    <w:rsid w:val="0045757F"/>
    <w:rsid w:val="00457ACE"/>
    <w:rsid w:val="00460042"/>
    <w:rsid w:val="00460454"/>
    <w:rsid w:val="004613C8"/>
    <w:rsid w:val="00461E42"/>
    <w:rsid w:val="0046272B"/>
    <w:rsid w:val="004637FA"/>
    <w:rsid w:val="004646E9"/>
    <w:rsid w:val="00464872"/>
    <w:rsid w:val="00464ED7"/>
    <w:rsid w:val="00464F09"/>
    <w:rsid w:val="00465DB0"/>
    <w:rsid w:val="00466344"/>
    <w:rsid w:val="004668A5"/>
    <w:rsid w:val="00466A25"/>
    <w:rsid w:val="00470094"/>
    <w:rsid w:val="00470B50"/>
    <w:rsid w:val="00471246"/>
    <w:rsid w:val="00474B97"/>
    <w:rsid w:val="004750AA"/>
    <w:rsid w:val="004764B3"/>
    <w:rsid w:val="004767CC"/>
    <w:rsid w:val="00476BC1"/>
    <w:rsid w:val="004774DA"/>
    <w:rsid w:val="00477A10"/>
    <w:rsid w:val="004807A2"/>
    <w:rsid w:val="00480863"/>
    <w:rsid w:val="00480A7D"/>
    <w:rsid w:val="00480CC8"/>
    <w:rsid w:val="004831FD"/>
    <w:rsid w:val="00483669"/>
    <w:rsid w:val="00483E19"/>
    <w:rsid w:val="0048558D"/>
    <w:rsid w:val="00486EA0"/>
    <w:rsid w:val="004878B0"/>
    <w:rsid w:val="004904D8"/>
    <w:rsid w:val="00490A74"/>
    <w:rsid w:val="004927C3"/>
    <w:rsid w:val="0049285A"/>
    <w:rsid w:val="0049312F"/>
    <w:rsid w:val="00495113"/>
    <w:rsid w:val="0049550C"/>
    <w:rsid w:val="004969E6"/>
    <w:rsid w:val="00497324"/>
    <w:rsid w:val="004A06EE"/>
    <w:rsid w:val="004A122B"/>
    <w:rsid w:val="004A12F6"/>
    <w:rsid w:val="004A14D1"/>
    <w:rsid w:val="004A1573"/>
    <w:rsid w:val="004A2723"/>
    <w:rsid w:val="004A3C1B"/>
    <w:rsid w:val="004A48B1"/>
    <w:rsid w:val="004A4D64"/>
    <w:rsid w:val="004A5499"/>
    <w:rsid w:val="004A5C0E"/>
    <w:rsid w:val="004A5F93"/>
    <w:rsid w:val="004A5FF4"/>
    <w:rsid w:val="004A64E1"/>
    <w:rsid w:val="004A6A9C"/>
    <w:rsid w:val="004A764D"/>
    <w:rsid w:val="004B0B5D"/>
    <w:rsid w:val="004B1A16"/>
    <w:rsid w:val="004B1B68"/>
    <w:rsid w:val="004B3AB2"/>
    <w:rsid w:val="004B442C"/>
    <w:rsid w:val="004B45BE"/>
    <w:rsid w:val="004B4FD1"/>
    <w:rsid w:val="004B55F8"/>
    <w:rsid w:val="004B5FFE"/>
    <w:rsid w:val="004B657A"/>
    <w:rsid w:val="004B6A48"/>
    <w:rsid w:val="004B6FD8"/>
    <w:rsid w:val="004B7EE2"/>
    <w:rsid w:val="004C06FF"/>
    <w:rsid w:val="004C14BF"/>
    <w:rsid w:val="004C21BE"/>
    <w:rsid w:val="004C2326"/>
    <w:rsid w:val="004C2F5A"/>
    <w:rsid w:val="004C557F"/>
    <w:rsid w:val="004C6841"/>
    <w:rsid w:val="004C75D4"/>
    <w:rsid w:val="004D135D"/>
    <w:rsid w:val="004D15AF"/>
    <w:rsid w:val="004D194D"/>
    <w:rsid w:val="004D292C"/>
    <w:rsid w:val="004D2F80"/>
    <w:rsid w:val="004D358C"/>
    <w:rsid w:val="004D416C"/>
    <w:rsid w:val="004D44AB"/>
    <w:rsid w:val="004D45E0"/>
    <w:rsid w:val="004D474C"/>
    <w:rsid w:val="004D4DD4"/>
    <w:rsid w:val="004D5777"/>
    <w:rsid w:val="004D6055"/>
    <w:rsid w:val="004E0292"/>
    <w:rsid w:val="004E039B"/>
    <w:rsid w:val="004E0A16"/>
    <w:rsid w:val="004E137A"/>
    <w:rsid w:val="004E1F04"/>
    <w:rsid w:val="004E2065"/>
    <w:rsid w:val="004E256D"/>
    <w:rsid w:val="004E3452"/>
    <w:rsid w:val="004E3614"/>
    <w:rsid w:val="004E3698"/>
    <w:rsid w:val="004E4C56"/>
    <w:rsid w:val="004E54C2"/>
    <w:rsid w:val="004E5BF6"/>
    <w:rsid w:val="004E6659"/>
    <w:rsid w:val="004F2FD1"/>
    <w:rsid w:val="004F3165"/>
    <w:rsid w:val="004F44E3"/>
    <w:rsid w:val="004F52BA"/>
    <w:rsid w:val="004F5C13"/>
    <w:rsid w:val="004F6A7A"/>
    <w:rsid w:val="004F75D8"/>
    <w:rsid w:val="004F7A0A"/>
    <w:rsid w:val="0050097D"/>
    <w:rsid w:val="00500BAB"/>
    <w:rsid w:val="00501D8D"/>
    <w:rsid w:val="00502CCD"/>
    <w:rsid w:val="005037C3"/>
    <w:rsid w:val="00503C19"/>
    <w:rsid w:val="00504666"/>
    <w:rsid w:val="0050483D"/>
    <w:rsid w:val="005053ED"/>
    <w:rsid w:val="00510684"/>
    <w:rsid w:val="00510CA3"/>
    <w:rsid w:val="0051203D"/>
    <w:rsid w:val="005125D1"/>
    <w:rsid w:val="00512A03"/>
    <w:rsid w:val="00513197"/>
    <w:rsid w:val="0051366A"/>
    <w:rsid w:val="00513B39"/>
    <w:rsid w:val="00513E97"/>
    <w:rsid w:val="00514089"/>
    <w:rsid w:val="005156A0"/>
    <w:rsid w:val="0051643D"/>
    <w:rsid w:val="005174F7"/>
    <w:rsid w:val="005202FE"/>
    <w:rsid w:val="005211E0"/>
    <w:rsid w:val="005227EB"/>
    <w:rsid w:val="00522ED7"/>
    <w:rsid w:val="0052432F"/>
    <w:rsid w:val="00524F7D"/>
    <w:rsid w:val="0052530F"/>
    <w:rsid w:val="00525CFA"/>
    <w:rsid w:val="00527631"/>
    <w:rsid w:val="00527A0D"/>
    <w:rsid w:val="005306E1"/>
    <w:rsid w:val="005308FD"/>
    <w:rsid w:val="0053165B"/>
    <w:rsid w:val="00531FF5"/>
    <w:rsid w:val="00532873"/>
    <w:rsid w:val="005339ED"/>
    <w:rsid w:val="00533AD8"/>
    <w:rsid w:val="00533C0E"/>
    <w:rsid w:val="00533CA5"/>
    <w:rsid w:val="00534257"/>
    <w:rsid w:val="00534909"/>
    <w:rsid w:val="00536293"/>
    <w:rsid w:val="0053673F"/>
    <w:rsid w:val="00537E8B"/>
    <w:rsid w:val="005401CB"/>
    <w:rsid w:val="00540E08"/>
    <w:rsid w:val="00541D7E"/>
    <w:rsid w:val="005423C8"/>
    <w:rsid w:val="00542F05"/>
    <w:rsid w:val="005453C5"/>
    <w:rsid w:val="00545957"/>
    <w:rsid w:val="00545B5D"/>
    <w:rsid w:val="00546F33"/>
    <w:rsid w:val="0054708D"/>
    <w:rsid w:val="00547698"/>
    <w:rsid w:val="00554244"/>
    <w:rsid w:val="00557760"/>
    <w:rsid w:val="00557C6D"/>
    <w:rsid w:val="00560CDD"/>
    <w:rsid w:val="00561C3B"/>
    <w:rsid w:val="00561F04"/>
    <w:rsid w:val="005631AC"/>
    <w:rsid w:val="00563D14"/>
    <w:rsid w:val="00563DE9"/>
    <w:rsid w:val="005648FC"/>
    <w:rsid w:val="005667AF"/>
    <w:rsid w:val="00567ED4"/>
    <w:rsid w:val="00571318"/>
    <w:rsid w:val="005718E7"/>
    <w:rsid w:val="00571C59"/>
    <w:rsid w:val="00574750"/>
    <w:rsid w:val="005758B1"/>
    <w:rsid w:val="005759FE"/>
    <w:rsid w:val="00575AA9"/>
    <w:rsid w:val="0057607F"/>
    <w:rsid w:val="005761A2"/>
    <w:rsid w:val="005767F5"/>
    <w:rsid w:val="00576D57"/>
    <w:rsid w:val="00576FB9"/>
    <w:rsid w:val="005772E4"/>
    <w:rsid w:val="00577844"/>
    <w:rsid w:val="00580B0A"/>
    <w:rsid w:val="005811F0"/>
    <w:rsid w:val="00583150"/>
    <w:rsid w:val="0058362A"/>
    <w:rsid w:val="00584F69"/>
    <w:rsid w:val="0058590E"/>
    <w:rsid w:val="00586007"/>
    <w:rsid w:val="005865D2"/>
    <w:rsid w:val="005877CF"/>
    <w:rsid w:val="0058792D"/>
    <w:rsid w:val="005914CE"/>
    <w:rsid w:val="00592456"/>
    <w:rsid w:val="00592E9A"/>
    <w:rsid w:val="005941CB"/>
    <w:rsid w:val="005945CC"/>
    <w:rsid w:val="00595084"/>
    <w:rsid w:val="0059556D"/>
    <w:rsid w:val="00596074"/>
    <w:rsid w:val="0059736F"/>
    <w:rsid w:val="005976FC"/>
    <w:rsid w:val="005A025D"/>
    <w:rsid w:val="005A06D1"/>
    <w:rsid w:val="005A0A8D"/>
    <w:rsid w:val="005A1A6A"/>
    <w:rsid w:val="005A2CA0"/>
    <w:rsid w:val="005A3A30"/>
    <w:rsid w:val="005A4C72"/>
    <w:rsid w:val="005A6312"/>
    <w:rsid w:val="005A6AE0"/>
    <w:rsid w:val="005A7684"/>
    <w:rsid w:val="005B0E90"/>
    <w:rsid w:val="005B31B6"/>
    <w:rsid w:val="005B389C"/>
    <w:rsid w:val="005B3E0E"/>
    <w:rsid w:val="005B415E"/>
    <w:rsid w:val="005B4E6D"/>
    <w:rsid w:val="005B50E5"/>
    <w:rsid w:val="005B60D4"/>
    <w:rsid w:val="005B6B32"/>
    <w:rsid w:val="005B7648"/>
    <w:rsid w:val="005C0353"/>
    <w:rsid w:val="005C0572"/>
    <w:rsid w:val="005C143D"/>
    <w:rsid w:val="005C1EF1"/>
    <w:rsid w:val="005C38E0"/>
    <w:rsid w:val="005C39F5"/>
    <w:rsid w:val="005C3F91"/>
    <w:rsid w:val="005C58D5"/>
    <w:rsid w:val="005C599D"/>
    <w:rsid w:val="005C75BC"/>
    <w:rsid w:val="005C7C25"/>
    <w:rsid w:val="005D17AD"/>
    <w:rsid w:val="005D277B"/>
    <w:rsid w:val="005D344D"/>
    <w:rsid w:val="005D34B3"/>
    <w:rsid w:val="005D3809"/>
    <w:rsid w:val="005D4180"/>
    <w:rsid w:val="005D6104"/>
    <w:rsid w:val="005D6A9A"/>
    <w:rsid w:val="005D6D8B"/>
    <w:rsid w:val="005D7508"/>
    <w:rsid w:val="005D7606"/>
    <w:rsid w:val="005D7B04"/>
    <w:rsid w:val="005D7D14"/>
    <w:rsid w:val="005E047E"/>
    <w:rsid w:val="005E0B71"/>
    <w:rsid w:val="005E1908"/>
    <w:rsid w:val="005E54A9"/>
    <w:rsid w:val="005E5A02"/>
    <w:rsid w:val="005E7459"/>
    <w:rsid w:val="005E7993"/>
    <w:rsid w:val="005E7B93"/>
    <w:rsid w:val="005E7D6C"/>
    <w:rsid w:val="005F0A1F"/>
    <w:rsid w:val="005F230F"/>
    <w:rsid w:val="005F2C30"/>
    <w:rsid w:val="005F51CF"/>
    <w:rsid w:val="005F6432"/>
    <w:rsid w:val="005F661D"/>
    <w:rsid w:val="005F7331"/>
    <w:rsid w:val="00600083"/>
    <w:rsid w:val="006021BC"/>
    <w:rsid w:val="006046AD"/>
    <w:rsid w:val="0060478B"/>
    <w:rsid w:val="006049F0"/>
    <w:rsid w:val="00610826"/>
    <w:rsid w:val="00611512"/>
    <w:rsid w:val="00612F9F"/>
    <w:rsid w:val="006133A7"/>
    <w:rsid w:val="00614457"/>
    <w:rsid w:val="006148F6"/>
    <w:rsid w:val="0061695D"/>
    <w:rsid w:val="006169C3"/>
    <w:rsid w:val="00620189"/>
    <w:rsid w:val="00620D7D"/>
    <w:rsid w:val="00621044"/>
    <w:rsid w:val="00621157"/>
    <w:rsid w:val="0062597C"/>
    <w:rsid w:val="00626413"/>
    <w:rsid w:val="006269DA"/>
    <w:rsid w:val="0062720F"/>
    <w:rsid w:val="006300FA"/>
    <w:rsid w:val="00630108"/>
    <w:rsid w:val="00630471"/>
    <w:rsid w:val="00630BEE"/>
    <w:rsid w:val="00631EAC"/>
    <w:rsid w:val="00632A52"/>
    <w:rsid w:val="0063341B"/>
    <w:rsid w:val="006336E7"/>
    <w:rsid w:val="006345AA"/>
    <w:rsid w:val="00636294"/>
    <w:rsid w:val="00636FA2"/>
    <w:rsid w:val="0063751F"/>
    <w:rsid w:val="00637696"/>
    <w:rsid w:val="00637DEE"/>
    <w:rsid w:val="0064026B"/>
    <w:rsid w:val="00640AAC"/>
    <w:rsid w:val="0064124A"/>
    <w:rsid w:val="006415EB"/>
    <w:rsid w:val="00641861"/>
    <w:rsid w:val="0064260A"/>
    <w:rsid w:val="0064368C"/>
    <w:rsid w:val="00644597"/>
    <w:rsid w:val="0064509F"/>
    <w:rsid w:val="00645A7A"/>
    <w:rsid w:val="00645E88"/>
    <w:rsid w:val="00651116"/>
    <w:rsid w:val="0065452B"/>
    <w:rsid w:val="0065513B"/>
    <w:rsid w:val="00655177"/>
    <w:rsid w:val="0065585D"/>
    <w:rsid w:val="00655953"/>
    <w:rsid w:val="006561A3"/>
    <w:rsid w:val="006568B5"/>
    <w:rsid w:val="006578F0"/>
    <w:rsid w:val="0065794C"/>
    <w:rsid w:val="00665F72"/>
    <w:rsid w:val="006668D6"/>
    <w:rsid w:val="00667C3E"/>
    <w:rsid w:val="00667C7A"/>
    <w:rsid w:val="006704B7"/>
    <w:rsid w:val="0067063C"/>
    <w:rsid w:val="00670EC9"/>
    <w:rsid w:val="006719F8"/>
    <w:rsid w:val="00671CE2"/>
    <w:rsid w:val="0067236B"/>
    <w:rsid w:val="00672ABA"/>
    <w:rsid w:val="006757C7"/>
    <w:rsid w:val="00676635"/>
    <w:rsid w:val="006769B2"/>
    <w:rsid w:val="006806FB"/>
    <w:rsid w:val="0068152E"/>
    <w:rsid w:val="00682FAB"/>
    <w:rsid w:val="0068362B"/>
    <w:rsid w:val="006856D4"/>
    <w:rsid w:val="006858FC"/>
    <w:rsid w:val="00687EEE"/>
    <w:rsid w:val="0069034C"/>
    <w:rsid w:val="0069053B"/>
    <w:rsid w:val="00694598"/>
    <w:rsid w:val="00694861"/>
    <w:rsid w:val="00695842"/>
    <w:rsid w:val="006962FB"/>
    <w:rsid w:val="006967F6"/>
    <w:rsid w:val="00696F6D"/>
    <w:rsid w:val="0069728D"/>
    <w:rsid w:val="0069794E"/>
    <w:rsid w:val="006A02E6"/>
    <w:rsid w:val="006A0FF8"/>
    <w:rsid w:val="006A1D4E"/>
    <w:rsid w:val="006A2178"/>
    <w:rsid w:val="006A3D9A"/>
    <w:rsid w:val="006A441C"/>
    <w:rsid w:val="006A4A70"/>
    <w:rsid w:val="006A5366"/>
    <w:rsid w:val="006A69D9"/>
    <w:rsid w:val="006B10D4"/>
    <w:rsid w:val="006B1DDA"/>
    <w:rsid w:val="006B226E"/>
    <w:rsid w:val="006B23D2"/>
    <w:rsid w:val="006B2FEC"/>
    <w:rsid w:val="006B4251"/>
    <w:rsid w:val="006B4FBA"/>
    <w:rsid w:val="006B510A"/>
    <w:rsid w:val="006B65FB"/>
    <w:rsid w:val="006C1394"/>
    <w:rsid w:val="006C2B7D"/>
    <w:rsid w:val="006C393E"/>
    <w:rsid w:val="006C3BF9"/>
    <w:rsid w:val="006C4630"/>
    <w:rsid w:val="006C4A99"/>
    <w:rsid w:val="006C4E9B"/>
    <w:rsid w:val="006C55A1"/>
    <w:rsid w:val="006C7437"/>
    <w:rsid w:val="006C76CB"/>
    <w:rsid w:val="006C787A"/>
    <w:rsid w:val="006D0777"/>
    <w:rsid w:val="006D0B66"/>
    <w:rsid w:val="006D0F5F"/>
    <w:rsid w:val="006D1718"/>
    <w:rsid w:val="006D54A8"/>
    <w:rsid w:val="006D5C3F"/>
    <w:rsid w:val="006D6F89"/>
    <w:rsid w:val="006D7EE6"/>
    <w:rsid w:val="006E0FAD"/>
    <w:rsid w:val="006E2653"/>
    <w:rsid w:val="006E2C41"/>
    <w:rsid w:val="006E30DA"/>
    <w:rsid w:val="006E503C"/>
    <w:rsid w:val="006E67FF"/>
    <w:rsid w:val="006E7084"/>
    <w:rsid w:val="006E70E6"/>
    <w:rsid w:val="006E789F"/>
    <w:rsid w:val="006F0C5C"/>
    <w:rsid w:val="006F136E"/>
    <w:rsid w:val="006F19F5"/>
    <w:rsid w:val="006F286F"/>
    <w:rsid w:val="006F2E33"/>
    <w:rsid w:val="006F3894"/>
    <w:rsid w:val="006F483D"/>
    <w:rsid w:val="006F5661"/>
    <w:rsid w:val="006F5EAA"/>
    <w:rsid w:val="006F6784"/>
    <w:rsid w:val="006F72FA"/>
    <w:rsid w:val="00700270"/>
    <w:rsid w:val="00700DE3"/>
    <w:rsid w:val="0070209B"/>
    <w:rsid w:val="007032E5"/>
    <w:rsid w:val="007049F4"/>
    <w:rsid w:val="00704D59"/>
    <w:rsid w:val="00704D6E"/>
    <w:rsid w:val="007071B3"/>
    <w:rsid w:val="007111DB"/>
    <w:rsid w:val="00712E1B"/>
    <w:rsid w:val="0071349C"/>
    <w:rsid w:val="00714112"/>
    <w:rsid w:val="0071434E"/>
    <w:rsid w:val="00715F9C"/>
    <w:rsid w:val="00720BEB"/>
    <w:rsid w:val="007219D8"/>
    <w:rsid w:val="00722483"/>
    <w:rsid w:val="007226BA"/>
    <w:rsid w:val="0072285A"/>
    <w:rsid w:val="0072308F"/>
    <w:rsid w:val="007238F2"/>
    <w:rsid w:val="00725002"/>
    <w:rsid w:val="00726DCA"/>
    <w:rsid w:val="007272BA"/>
    <w:rsid w:val="00727C60"/>
    <w:rsid w:val="00727D14"/>
    <w:rsid w:val="0073187C"/>
    <w:rsid w:val="00732283"/>
    <w:rsid w:val="007338B3"/>
    <w:rsid w:val="00733E9D"/>
    <w:rsid w:val="0073473E"/>
    <w:rsid w:val="00734D73"/>
    <w:rsid w:val="00735102"/>
    <w:rsid w:val="0073597E"/>
    <w:rsid w:val="007362B3"/>
    <w:rsid w:val="007363ED"/>
    <w:rsid w:val="0073640D"/>
    <w:rsid w:val="007364FF"/>
    <w:rsid w:val="00736813"/>
    <w:rsid w:val="00736BA1"/>
    <w:rsid w:val="00736C6A"/>
    <w:rsid w:val="007370A7"/>
    <w:rsid w:val="007374A2"/>
    <w:rsid w:val="00740962"/>
    <w:rsid w:val="007412E2"/>
    <w:rsid w:val="00741601"/>
    <w:rsid w:val="00742DAA"/>
    <w:rsid w:val="00744490"/>
    <w:rsid w:val="0074607E"/>
    <w:rsid w:val="00747869"/>
    <w:rsid w:val="00747A7D"/>
    <w:rsid w:val="00750722"/>
    <w:rsid w:val="00750783"/>
    <w:rsid w:val="00750944"/>
    <w:rsid w:val="007511DC"/>
    <w:rsid w:val="0075154C"/>
    <w:rsid w:val="007521DD"/>
    <w:rsid w:val="00752504"/>
    <w:rsid w:val="00752633"/>
    <w:rsid w:val="00752795"/>
    <w:rsid w:val="00752FAC"/>
    <w:rsid w:val="007561B1"/>
    <w:rsid w:val="007561FA"/>
    <w:rsid w:val="00757B51"/>
    <w:rsid w:val="00763BD9"/>
    <w:rsid w:val="007642F6"/>
    <w:rsid w:val="007643D5"/>
    <w:rsid w:val="0076534B"/>
    <w:rsid w:val="007661BD"/>
    <w:rsid w:val="007663DF"/>
    <w:rsid w:val="007674D7"/>
    <w:rsid w:val="00770B30"/>
    <w:rsid w:val="00771F5E"/>
    <w:rsid w:val="00773945"/>
    <w:rsid w:val="00774A15"/>
    <w:rsid w:val="00774AAB"/>
    <w:rsid w:val="00775CB6"/>
    <w:rsid w:val="00777EC4"/>
    <w:rsid w:val="00780DB7"/>
    <w:rsid w:val="00781C96"/>
    <w:rsid w:val="0078230B"/>
    <w:rsid w:val="00782994"/>
    <w:rsid w:val="00782E4E"/>
    <w:rsid w:val="00784025"/>
    <w:rsid w:val="00785165"/>
    <w:rsid w:val="007855F0"/>
    <w:rsid w:val="00785C33"/>
    <w:rsid w:val="00785EEA"/>
    <w:rsid w:val="00791897"/>
    <w:rsid w:val="0079209F"/>
    <w:rsid w:val="00792177"/>
    <w:rsid w:val="0079356D"/>
    <w:rsid w:val="00793F00"/>
    <w:rsid w:val="00794287"/>
    <w:rsid w:val="00796025"/>
    <w:rsid w:val="00797294"/>
    <w:rsid w:val="00797DFD"/>
    <w:rsid w:val="00797E9C"/>
    <w:rsid w:val="007A0132"/>
    <w:rsid w:val="007A1751"/>
    <w:rsid w:val="007A3186"/>
    <w:rsid w:val="007A4505"/>
    <w:rsid w:val="007A50FD"/>
    <w:rsid w:val="007A5566"/>
    <w:rsid w:val="007A571E"/>
    <w:rsid w:val="007A5BE0"/>
    <w:rsid w:val="007A75CD"/>
    <w:rsid w:val="007B2D10"/>
    <w:rsid w:val="007B412D"/>
    <w:rsid w:val="007B47D7"/>
    <w:rsid w:val="007B54B5"/>
    <w:rsid w:val="007B55A3"/>
    <w:rsid w:val="007B6339"/>
    <w:rsid w:val="007B6693"/>
    <w:rsid w:val="007C1729"/>
    <w:rsid w:val="007C17EE"/>
    <w:rsid w:val="007C27F4"/>
    <w:rsid w:val="007C4186"/>
    <w:rsid w:val="007C4D4A"/>
    <w:rsid w:val="007C513B"/>
    <w:rsid w:val="007C529F"/>
    <w:rsid w:val="007C64AC"/>
    <w:rsid w:val="007C7258"/>
    <w:rsid w:val="007C7980"/>
    <w:rsid w:val="007D0E23"/>
    <w:rsid w:val="007D13C5"/>
    <w:rsid w:val="007D286C"/>
    <w:rsid w:val="007D386B"/>
    <w:rsid w:val="007D3BE5"/>
    <w:rsid w:val="007D3C02"/>
    <w:rsid w:val="007D3D23"/>
    <w:rsid w:val="007D4081"/>
    <w:rsid w:val="007D4ECE"/>
    <w:rsid w:val="007D6A10"/>
    <w:rsid w:val="007D7616"/>
    <w:rsid w:val="007E246B"/>
    <w:rsid w:val="007E257F"/>
    <w:rsid w:val="007E26E0"/>
    <w:rsid w:val="007E2F3E"/>
    <w:rsid w:val="007E3168"/>
    <w:rsid w:val="007E3D58"/>
    <w:rsid w:val="007E4553"/>
    <w:rsid w:val="007E53EF"/>
    <w:rsid w:val="007E59E7"/>
    <w:rsid w:val="007E6C66"/>
    <w:rsid w:val="007E742A"/>
    <w:rsid w:val="007F1407"/>
    <w:rsid w:val="007F20C4"/>
    <w:rsid w:val="007F3044"/>
    <w:rsid w:val="007F3362"/>
    <w:rsid w:val="007F35C5"/>
    <w:rsid w:val="007F4E1B"/>
    <w:rsid w:val="007F5ACB"/>
    <w:rsid w:val="007F68C1"/>
    <w:rsid w:val="007F6D65"/>
    <w:rsid w:val="007F6F69"/>
    <w:rsid w:val="0080074E"/>
    <w:rsid w:val="00800C7F"/>
    <w:rsid w:val="008011BF"/>
    <w:rsid w:val="00801280"/>
    <w:rsid w:val="008014A6"/>
    <w:rsid w:val="00802962"/>
    <w:rsid w:val="00803DB0"/>
    <w:rsid w:val="008065EF"/>
    <w:rsid w:val="00810491"/>
    <w:rsid w:val="0081074F"/>
    <w:rsid w:val="00812321"/>
    <w:rsid w:val="00813688"/>
    <w:rsid w:val="008145AC"/>
    <w:rsid w:val="00814768"/>
    <w:rsid w:val="008148CA"/>
    <w:rsid w:val="00817290"/>
    <w:rsid w:val="0082047D"/>
    <w:rsid w:val="0082177E"/>
    <w:rsid w:val="00821C90"/>
    <w:rsid w:val="00822761"/>
    <w:rsid w:val="00823763"/>
    <w:rsid w:val="00823AFD"/>
    <w:rsid w:val="00823FDE"/>
    <w:rsid w:val="00824D80"/>
    <w:rsid w:val="008254A6"/>
    <w:rsid w:val="00826954"/>
    <w:rsid w:val="008304FA"/>
    <w:rsid w:val="00831424"/>
    <w:rsid w:val="00834B13"/>
    <w:rsid w:val="00834CAA"/>
    <w:rsid w:val="008352D2"/>
    <w:rsid w:val="00837C34"/>
    <w:rsid w:val="008403D4"/>
    <w:rsid w:val="008412C9"/>
    <w:rsid w:val="0084169B"/>
    <w:rsid w:val="0084208A"/>
    <w:rsid w:val="008429D9"/>
    <w:rsid w:val="008447AD"/>
    <w:rsid w:val="0084642A"/>
    <w:rsid w:val="008501AC"/>
    <w:rsid w:val="00850438"/>
    <w:rsid w:val="00851079"/>
    <w:rsid w:val="00851C2E"/>
    <w:rsid w:val="008523E8"/>
    <w:rsid w:val="0085298F"/>
    <w:rsid w:val="008541FB"/>
    <w:rsid w:val="0085476B"/>
    <w:rsid w:val="00855026"/>
    <w:rsid w:val="00861276"/>
    <w:rsid w:val="00861477"/>
    <w:rsid w:val="0086198F"/>
    <w:rsid w:val="00861BFD"/>
    <w:rsid w:val="00862D5B"/>
    <w:rsid w:val="00863008"/>
    <w:rsid w:val="008637FD"/>
    <w:rsid w:val="00863A86"/>
    <w:rsid w:val="00863CE0"/>
    <w:rsid w:val="008643C9"/>
    <w:rsid w:val="00864B32"/>
    <w:rsid w:val="0086729F"/>
    <w:rsid w:val="00867FE7"/>
    <w:rsid w:val="0087054B"/>
    <w:rsid w:val="00871B6B"/>
    <w:rsid w:val="00872C01"/>
    <w:rsid w:val="00873379"/>
    <w:rsid w:val="008733CD"/>
    <w:rsid w:val="00873AC9"/>
    <w:rsid w:val="008740D0"/>
    <w:rsid w:val="00874585"/>
    <w:rsid w:val="00874FE3"/>
    <w:rsid w:val="00876C89"/>
    <w:rsid w:val="00876D42"/>
    <w:rsid w:val="0087743C"/>
    <w:rsid w:val="00877A02"/>
    <w:rsid w:val="00877BB3"/>
    <w:rsid w:val="00877E93"/>
    <w:rsid w:val="00881FF4"/>
    <w:rsid w:val="008820AF"/>
    <w:rsid w:val="00883152"/>
    <w:rsid w:val="008846F6"/>
    <w:rsid w:val="00884961"/>
    <w:rsid w:val="008865F8"/>
    <w:rsid w:val="00886810"/>
    <w:rsid w:val="00887DF3"/>
    <w:rsid w:val="00890352"/>
    <w:rsid w:val="00890893"/>
    <w:rsid w:val="008917FC"/>
    <w:rsid w:val="00893517"/>
    <w:rsid w:val="0089408D"/>
    <w:rsid w:val="0089514C"/>
    <w:rsid w:val="00896A85"/>
    <w:rsid w:val="008A0A32"/>
    <w:rsid w:val="008A0C4D"/>
    <w:rsid w:val="008A11B7"/>
    <w:rsid w:val="008A1A7A"/>
    <w:rsid w:val="008A21DB"/>
    <w:rsid w:val="008A289E"/>
    <w:rsid w:val="008A2D00"/>
    <w:rsid w:val="008A46E8"/>
    <w:rsid w:val="008A4A1D"/>
    <w:rsid w:val="008A4CB1"/>
    <w:rsid w:val="008A587E"/>
    <w:rsid w:val="008A58B0"/>
    <w:rsid w:val="008A79F8"/>
    <w:rsid w:val="008B176A"/>
    <w:rsid w:val="008B21DA"/>
    <w:rsid w:val="008B2A93"/>
    <w:rsid w:val="008B4303"/>
    <w:rsid w:val="008B474B"/>
    <w:rsid w:val="008B4CD2"/>
    <w:rsid w:val="008B600C"/>
    <w:rsid w:val="008B6528"/>
    <w:rsid w:val="008B6E1F"/>
    <w:rsid w:val="008B7049"/>
    <w:rsid w:val="008B790C"/>
    <w:rsid w:val="008B7F0F"/>
    <w:rsid w:val="008C0C5A"/>
    <w:rsid w:val="008C0E7E"/>
    <w:rsid w:val="008C1068"/>
    <w:rsid w:val="008C10AF"/>
    <w:rsid w:val="008C1237"/>
    <w:rsid w:val="008C1E7A"/>
    <w:rsid w:val="008C22AA"/>
    <w:rsid w:val="008C56BD"/>
    <w:rsid w:val="008C59A3"/>
    <w:rsid w:val="008D3547"/>
    <w:rsid w:val="008D4884"/>
    <w:rsid w:val="008D4F72"/>
    <w:rsid w:val="008D6C98"/>
    <w:rsid w:val="008D6E82"/>
    <w:rsid w:val="008D6F66"/>
    <w:rsid w:val="008D7862"/>
    <w:rsid w:val="008D7F83"/>
    <w:rsid w:val="008E10FF"/>
    <w:rsid w:val="008E130A"/>
    <w:rsid w:val="008E26C2"/>
    <w:rsid w:val="008E4051"/>
    <w:rsid w:val="008E4794"/>
    <w:rsid w:val="008E4B99"/>
    <w:rsid w:val="008E4F09"/>
    <w:rsid w:val="008E6E2C"/>
    <w:rsid w:val="008E786D"/>
    <w:rsid w:val="008E78D2"/>
    <w:rsid w:val="008F158E"/>
    <w:rsid w:val="008F2BF3"/>
    <w:rsid w:val="008F3794"/>
    <w:rsid w:val="008F42A6"/>
    <w:rsid w:val="008F4782"/>
    <w:rsid w:val="008F4D61"/>
    <w:rsid w:val="008F60B9"/>
    <w:rsid w:val="008F610B"/>
    <w:rsid w:val="008F6935"/>
    <w:rsid w:val="008F6CE2"/>
    <w:rsid w:val="008F7449"/>
    <w:rsid w:val="008F7DCF"/>
    <w:rsid w:val="009014F8"/>
    <w:rsid w:val="00901650"/>
    <w:rsid w:val="00901BA1"/>
    <w:rsid w:val="009023C1"/>
    <w:rsid w:val="00903852"/>
    <w:rsid w:val="009040D5"/>
    <w:rsid w:val="00904116"/>
    <w:rsid w:val="009053D9"/>
    <w:rsid w:val="009055CE"/>
    <w:rsid w:val="00905A4A"/>
    <w:rsid w:val="009067B6"/>
    <w:rsid w:val="0091153C"/>
    <w:rsid w:val="00911886"/>
    <w:rsid w:val="00913299"/>
    <w:rsid w:val="00913E83"/>
    <w:rsid w:val="00914062"/>
    <w:rsid w:val="00914492"/>
    <w:rsid w:val="00915D94"/>
    <w:rsid w:val="00916B9D"/>
    <w:rsid w:val="00917F7F"/>
    <w:rsid w:val="009202BF"/>
    <w:rsid w:val="009212DE"/>
    <w:rsid w:val="0092289D"/>
    <w:rsid w:val="00923884"/>
    <w:rsid w:val="00924800"/>
    <w:rsid w:val="009248B1"/>
    <w:rsid w:val="00926E40"/>
    <w:rsid w:val="00927EA9"/>
    <w:rsid w:val="00930274"/>
    <w:rsid w:val="00930EA0"/>
    <w:rsid w:val="00930FCD"/>
    <w:rsid w:val="00931814"/>
    <w:rsid w:val="00934176"/>
    <w:rsid w:val="00934530"/>
    <w:rsid w:val="00934635"/>
    <w:rsid w:val="00934C3C"/>
    <w:rsid w:val="0093524E"/>
    <w:rsid w:val="0093630D"/>
    <w:rsid w:val="00937ED4"/>
    <w:rsid w:val="00941113"/>
    <w:rsid w:val="00941A9D"/>
    <w:rsid w:val="00942F44"/>
    <w:rsid w:val="00944536"/>
    <w:rsid w:val="00944E2A"/>
    <w:rsid w:val="00945BBA"/>
    <w:rsid w:val="00951E78"/>
    <w:rsid w:val="009524CF"/>
    <w:rsid w:val="00952B83"/>
    <w:rsid w:val="009544F0"/>
    <w:rsid w:val="00954A84"/>
    <w:rsid w:val="00955327"/>
    <w:rsid w:val="00955A11"/>
    <w:rsid w:val="00956234"/>
    <w:rsid w:val="009568B0"/>
    <w:rsid w:val="00956A2C"/>
    <w:rsid w:val="0095711F"/>
    <w:rsid w:val="00957D26"/>
    <w:rsid w:val="00961CE5"/>
    <w:rsid w:val="0096250A"/>
    <w:rsid w:val="00963019"/>
    <w:rsid w:val="009642BF"/>
    <w:rsid w:val="009644B3"/>
    <w:rsid w:val="00964BFE"/>
    <w:rsid w:val="00967150"/>
    <w:rsid w:val="009676E7"/>
    <w:rsid w:val="00967F71"/>
    <w:rsid w:val="00970E9C"/>
    <w:rsid w:val="0097167A"/>
    <w:rsid w:val="00973028"/>
    <w:rsid w:val="009732B9"/>
    <w:rsid w:val="00973AB9"/>
    <w:rsid w:val="009743A6"/>
    <w:rsid w:val="00974418"/>
    <w:rsid w:val="0097601A"/>
    <w:rsid w:val="009771BB"/>
    <w:rsid w:val="0097752D"/>
    <w:rsid w:val="00977C9D"/>
    <w:rsid w:val="00980FBC"/>
    <w:rsid w:val="009811CC"/>
    <w:rsid w:val="00982941"/>
    <w:rsid w:val="00982B72"/>
    <w:rsid w:val="00985C53"/>
    <w:rsid w:val="00985EAC"/>
    <w:rsid w:val="00987026"/>
    <w:rsid w:val="00987E03"/>
    <w:rsid w:val="00990A9C"/>
    <w:rsid w:val="00990C46"/>
    <w:rsid w:val="009910CC"/>
    <w:rsid w:val="00992E15"/>
    <w:rsid w:val="00992EC2"/>
    <w:rsid w:val="009953A7"/>
    <w:rsid w:val="009954DA"/>
    <w:rsid w:val="009958A6"/>
    <w:rsid w:val="00995AF6"/>
    <w:rsid w:val="00995BD7"/>
    <w:rsid w:val="00995E26"/>
    <w:rsid w:val="009960E4"/>
    <w:rsid w:val="009966F5"/>
    <w:rsid w:val="0099718B"/>
    <w:rsid w:val="00997C18"/>
    <w:rsid w:val="009A0558"/>
    <w:rsid w:val="009A090E"/>
    <w:rsid w:val="009A0B66"/>
    <w:rsid w:val="009A1BA0"/>
    <w:rsid w:val="009A2FFA"/>
    <w:rsid w:val="009A3487"/>
    <w:rsid w:val="009A360A"/>
    <w:rsid w:val="009A3D76"/>
    <w:rsid w:val="009A4AE1"/>
    <w:rsid w:val="009A5637"/>
    <w:rsid w:val="009A62E1"/>
    <w:rsid w:val="009A6924"/>
    <w:rsid w:val="009B0CDE"/>
    <w:rsid w:val="009B114E"/>
    <w:rsid w:val="009B1269"/>
    <w:rsid w:val="009B1514"/>
    <w:rsid w:val="009B4ADD"/>
    <w:rsid w:val="009B5730"/>
    <w:rsid w:val="009B5C40"/>
    <w:rsid w:val="009B6603"/>
    <w:rsid w:val="009B69A4"/>
    <w:rsid w:val="009B6E99"/>
    <w:rsid w:val="009C0162"/>
    <w:rsid w:val="009C0C7B"/>
    <w:rsid w:val="009C0DE8"/>
    <w:rsid w:val="009C28BF"/>
    <w:rsid w:val="009C34E9"/>
    <w:rsid w:val="009C4C47"/>
    <w:rsid w:val="009C4D4D"/>
    <w:rsid w:val="009C6CA6"/>
    <w:rsid w:val="009D03A6"/>
    <w:rsid w:val="009D0E10"/>
    <w:rsid w:val="009D291F"/>
    <w:rsid w:val="009D2CDB"/>
    <w:rsid w:val="009D2D10"/>
    <w:rsid w:val="009D51B5"/>
    <w:rsid w:val="009D5DD7"/>
    <w:rsid w:val="009D670D"/>
    <w:rsid w:val="009D69C5"/>
    <w:rsid w:val="009D6E85"/>
    <w:rsid w:val="009D7139"/>
    <w:rsid w:val="009E094E"/>
    <w:rsid w:val="009E17E8"/>
    <w:rsid w:val="009E189B"/>
    <w:rsid w:val="009E2AB6"/>
    <w:rsid w:val="009E3459"/>
    <w:rsid w:val="009E34DE"/>
    <w:rsid w:val="009E3CB7"/>
    <w:rsid w:val="009E637F"/>
    <w:rsid w:val="009E6430"/>
    <w:rsid w:val="009F017E"/>
    <w:rsid w:val="009F0AA4"/>
    <w:rsid w:val="009F27B0"/>
    <w:rsid w:val="009F4323"/>
    <w:rsid w:val="009F4910"/>
    <w:rsid w:val="009F60ED"/>
    <w:rsid w:val="009F667E"/>
    <w:rsid w:val="009F67AA"/>
    <w:rsid w:val="009F6CA3"/>
    <w:rsid w:val="009F6D85"/>
    <w:rsid w:val="00A00024"/>
    <w:rsid w:val="00A00829"/>
    <w:rsid w:val="00A01D3B"/>
    <w:rsid w:val="00A0270C"/>
    <w:rsid w:val="00A03789"/>
    <w:rsid w:val="00A03993"/>
    <w:rsid w:val="00A03D96"/>
    <w:rsid w:val="00A04950"/>
    <w:rsid w:val="00A061C2"/>
    <w:rsid w:val="00A06F34"/>
    <w:rsid w:val="00A06F6C"/>
    <w:rsid w:val="00A07BE9"/>
    <w:rsid w:val="00A07E7F"/>
    <w:rsid w:val="00A10292"/>
    <w:rsid w:val="00A10998"/>
    <w:rsid w:val="00A1108C"/>
    <w:rsid w:val="00A1142B"/>
    <w:rsid w:val="00A127BE"/>
    <w:rsid w:val="00A12857"/>
    <w:rsid w:val="00A12C48"/>
    <w:rsid w:val="00A12E01"/>
    <w:rsid w:val="00A1367E"/>
    <w:rsid w:val="00A140F9"/>
    <w:rsid w:val="00A1628A"/>
    <w:rsid w:val="00A164BE"/>
    <w:rsid w:val="00A1699B"/>
    <w:rsid w:val="00A17BF4"/>
    <w:rsid w:val="00A17C2C"/>
    <w:rsid w:val="00A17E7B"/>
    <w:rsid w:val="00A2032B"/>
    <w:rsid w:val="00A212E2"/>
    <w:rsid w:val="00A21AB4"/>
    <w:rsid w:val="00A2227E"/>
    <w:rsid w:val="00A24025"/>
    <w:rsid w:val="00A24229"/>
    <w:rsid w:val="00A259FB"/>
    <w:rsid w:val="00A2723B"/>
    <w:rsid w:val="00A27601"/>
    <w:rsid w:val="00A307DF"/>
    <w:rsid w:val="00A32227"/>
    <w:rsid w:val="00A33290"/>
    <w:rsid w:val="00A366B3"/>
    <w:rsid w:val="00A368DF"/>
    <w:rsid w:val="00A412F9"/>
    <w:rsid w:val="00A41A12"/>
    <w:rsid w:val="00A41BE1"/>
    <w:rsid w:val="00A422A8"/>
    <w:rsid w:val="00A4302C"/>
    <w:rsid w:val="00A432A4"/>
    <w:rsid w:val="00A45C2A"/>
    <w:rsid w:val="00A46175"/>
    <w:rsid w:val="00A46ED8"/>
    <w:rsid w:val="00A510AA"/>
    <w:rsid w:val="00A511D8"/>
    <w:rsid w:val="00A51BD4"/>
    <w:rsid w:val="00A51C35"/>
    <w:rsid w:val="00A52DE3"/>
    <w:rsid w:val="00A52EF7"/>
    <w:rsid w:val="00A531A3"/>
    <w:rsid w:val="00A53239"/>
    <w:rsid w:val="00A54EF9"/>
    <w:rsid w:val="00A55D42"/>
    <w:rsid w:val="00A569F9"/>
    <w:rsid w:val="00A57632"/>
    <w:rsid w:val="00A60721"/>
    <w:rsid w:val="00A620EB"/>
    <w:rsid w:val="00A62193"/>
    <w:rsid w:val="00A652D0"/>
    <w:rsid w:val="00A654A9"/>
    <w:rsid w:val="00A66C94"/>
    <w:rsid w:val="00A70476"/>
    <w:rsid w:val="00A70684"/>
    <w:rsid w:val="00A70AEE"/>
    <w:rsid w:val="00A71C79"/>
    <w:rsid w:val="00A7223F"/>
    <w:rsid w:val="00A72852"/>
    <w:rsid w:val="00A7290B"/>
    <w:rsid w:val="00A7384E"/>
    <w:rsid w:val="00A74380"/>
    <w:rsid w:val="00A7781C"/>
    <w:rsid w:val="00A77E5F"/>
    <w:rsid w:val="00A808CA"/>
    <w:rsid w:val="00A81418"/>
    <w:rsid w:val="00A82453"/>
    <w:rsid w:val="00A83C68"/>
    <w:rsid w:val="00A8537E"/>
    <w:rsid w:val="00A85D33"/>
    <w:rsid w:val="00A86A2C"/>
    <w:rsid w:val="00A9238F"/>
    <w:rsid w:val="00A928E2"/>
    <w:rsid w:val="00A92E0E"/>
    <w:rsid w:val="00A9342B"/>
    <w:rsid w:val="00A935AB"/>
    <w:rsid w:val="00A93D5F"/>
    <w:rsid w:val="00A9580A"/>
    <w:rsid w:val="00A95925"/>
    <w:rsid w:val="00A9611D"/>
    <w:rsid w:val="00A96C80"/>
    <w:rsid w:val="00A97FCC"/>
    <w:rsid w:val="00AA02EA"/>
    <w:rsid w:val="00AA16EE"/>
    <w:rsid w:val="00AA198E"/>
    <w:rsid w:val="00AA43FE"/>
    <w:rsid w:val="00AA4929"/>
    <w:rsid w:val="00AA4A33"/>
    <w:rsid w:val="00AA53EB"/>
    <w:rsid w:val="00AA6212"/>
    <w:rsid w:val="00AA72FB"/>
    <w:rsid w:val="00AA7873"/>
    <w:rsid w:val="00AB0843"/>
    <w:rsid w:val="00AB08BA"/>
    <w:rsid w:val="00AB08D0"/>
    <w:rsid w:val="00AB0C35"/>
    <w:rsid w:val="00AB1BAF"/>
    <w:rsid w:val="00AB1C62"/>
    <w:rsid w:val="00AB2515"/>
    <w:rsid w:val="00AB40A0"/>
    <w:rsid w:val="00AB4B3C"/>
    <w:rsid w:val="00AB4E7B"/>
    <w:rsid w:val="00AB573D"/>
    <w:rsid w:val="00AB7344"/>
    <w:rsid w:val="00AB74DB"/>
    <w:rsid w:val="00AC0845"/>
    <w:rsid w:val="00AC1A12"/>
    <w:rsid w:val="00AC2ACC"/>
    <w:rsid w:val="00AC3278"/>
    <w:rsid w:val="00AC3413"/>
    <w:rsid w:val="00AC35FD"/>
    <w:rsid w:val="00AC413E"/>
    <w:rsid w:val="00AC463D"/>
    <w:rsid w:val="00AC4E4C"/>
    <w:rsid w:val="00AC51DB"/>
    <w:rsid w:val="00AC5E6B"/>
    <w:rsid w:val="00AC600D"/>
    <w:rsid w:val="00AC7531"/>
    <w:rsid w:val="00AC76A4"/>
    <w:rsid w:val="00AC7D1A"/>
    <w:rsid w:val="00AD0570"/>
    <w:rsid w:val="00AD0B4D"/>
    <w:rsid w:val="00AD11CF"/>
    <w:rsid w:val="00AD140C"/>
    <w:rsid w:val="00AD1E24"/>
    <w:rsid w:val="00AD1EF3"/>
    <w:rsid w:val="00AD4E35"/>
    <w:rsid w:val="00AD515B"/>
    <w:rsid w:val="00AD6163"/>
    <w:rsid w:val="00AD6E04"/>
    <w:rsid w:val="00AD7566"/>
    <w:rsid w:val="00AE0A6E"/>
    <w:rsid w:val="00AE10B3"/>
    <w:rsid w:val="00AE17F5"/>
    <w:rsid w:val="00AE18BC"/>
    <w:rsid w:val="00AE1AB3"/>
    <w:rsid w:val="00AE2855"/>
    <w:rsid w:val="00AE29FF"/>
    <w:rsid w:val="00AE3640"/>
    <w:rsid w:val="00AE5A0E"/>
    <w:rsid w:val="00AE766A"/>
    <w:rsid w:val="00AE7E84"/>
    <w:rsid w:val="00AF067D"/>
    <w:rsid w:val="00AF0B7A"/>
    <w:rsid w:val="00AF1161"/>
    <w:rsid w:val="00AF1365"/>
    <w:rsid w:val="00AF2BD8"/>
    <w:rsid w:val="00AF344B"/>
    <w:rsid w:val="00AF48E6"/>
    <w:rsid w:val="00AF5858"/>
    <w:rsid w:val="00AF5B42"/>
    <w:rsid w:val="00AF755F"/>
    <w:rsid w:val="00B00283"/>
    <w:rsid w:val="00B00D16"/>
    <w:rsid w:val="00B00F7A"/>
    <w:rsid w:val="00B057DE"/>
    <w:rsid w:val="00B0639C"/>
    <w:rsid w:val="00B074DB"/>
    <w:rsid w:val="00B07715"/>
    <w:rsid w:val="00B10A8B"/>
    <w:rsid w:val="00B11BFA"/>
    <w:rsid w:val="00B120CB"/>
    <w:rsid w:val="00B120EF"/>
    <w:rsid w:val="00B1220A"/>
    <w:rsid w:val="00B1299D"/>
    <w:rsid w:val="00B12F68"/>
    <w:rsid w:val="00B133EC"/>
    <w:rsid w:val="00B137B4"/>
    <w:rsid w:val="00B13B46"/>
    <w:rsid w:val="00B148E8"/>
    <w:rsid w:val="00B15781"/>
    <w:rsid w:val="00B158CC"/>
    <w:rsid w:val="00B179C0"/>
    <w:rsid w:val="00B17D66"/>
    <w:rsid w:val="00B22A68"/>
    <w:rsid w:val="00B22DC2"/>
    <w:rsid w:val="00B24FF6"/>
    <w:rsid w:val="00B2697F"/>
    <w:rsid w:val="00B2706D"/>
    <w:rsid w:val="00B30380"/>
    <w:rsid w:val="00B33842"/>
    <w:rsid w:val="00B33D8C"/>
    <w:rsid w:val="00B34FCC"/>
    <w:rsid w:val="00B3523C"/>
    <w:rsid w:val="00B35509"/>
    <w:rsid w:val="00B35A8B"/>
    <w:rsid w:val="00B370A5"/>
    <w:rsid w:val="00B370C9"/>
    <w:rsid w:val="00B37E1D"/>
    <w:rsid w:val="00B37FE8"/>
    <w:rsid w:val="00B40E04"/>
    <w:rsid w:val="00B43B0D"/>
    <w:rsid w:val="00B4627F"/>
    <w:rsid w:val="00B46EE6"/>
    <w:rsid w:val="00B474AC"/>
    <w:rsid w:val="00B50800"/>
    <w:rsid w:val="00B51142"/>
    <w:rsid w:val="00B519D5"/>
    <w:rsid w:val="00B52369"/>
    <w:rsid w:val="00B5367E"/>
    <w:rsid w:val="00B53B21"/>
    <w:rsid w:val="00B55693"/>
    <w:rsid w:val="00B55A46"/>
    <w:rsid w:val="00B55BAE"/>
    <w:rsid w:val="00B56474"/>
    <w:rsid w:val="00B565BA"/>
    <w:rsid w:val="00B56D05"/>
    <w:rsid w:val="00B60659"/>
    <w:rsid w:val="00B60772"/>
    <w:rsid w:val="00B60A05"/>
    <w:rsid w:val="00B60FE2"/>
    <w:rsid w:val="00B636A3"/>
    <w:rsid w:val="00B63E26"/>
    <w:rsid w:val="00B65322"/>
    <w:rsid w:val="00B65854"/>
    <w:rsid w:val="00B668DB"/>
    <w:rsid w:val="00B669E9"/>
    <w:rsid w:val="00B67257"/>
    <w:rsid w:val="00B673DC"/>
    <w:rsid w:val="00B67E52"/>
    <w:rsid w:val="00B7074B"/>
    <w:rsid w:val="00B7616C"/>
    <w:rsid w:val="00B7670A"/>
    <w:rsid w:val="00B80316"/>
    <w:rsid w:val="00B81BCD"/>
    <w:rsid w:val="00B81E44"/>
    <w:rsid w:val="00B83635"/>
    <w:rsid w:val="00B8364E"/>
    <w:rsid w:val="00B84DF4"/>
    <w:rsid w:val="00B84F89"/>
    <w:rsid w:val="00B86D2F"/>
    <w:rsid w:val="00B87980"/>
    <w:rsid w:val="00B904A7"/>
    <w:rsid w:val="00B90EA4"/>
    <w:rsid w:val="00B91311"/>
    <w:rsid w:val="00B91AB4"/>
    <w:rsid w:val="00B91CE4"/>
    <w:rsid w:val="00B92728"/>
    <w:rsid w:val="00B9275E"/>
    <w:rsid w:val="00B92B90"/>
    <w:rsid w:val="00B930CE"/>
    <w:rsid w:val="00B95A40"/>
    <w:rsid w:val="00B97692"/>
    <w:rsid w:val="00B97A6B"/>
    <w:rsid w:val="00B97C71"/>
    <w:rsid w:val="00BA1E57"/>
    <w:rsid w:val="00BA202C"/>
    <w:rsid w:val="00BA3C86"/>
    <w:rsid w:val="00BA632E"/>
    <w:rsid w:val="00BB0157"/>
    <w:rsid w:val="00BB091B"/>
    <w:rsid w:val="00BB0FA5"/>
    <w:rsid w:val="00BB1F77"/>
    <w:rsid w:val="00BB2581"/>
    <w:rsid w:val="00BB2B6D"/>
    <w:rsid w:val="00BB34D8"/>
    <w:rsid w:val="00BB35C7"/>
    <w:rsid w:val="00BB3EDF"/>
    <w:rsid w:val="00BB4994"/>
    <w:rsid w:val="00BB5098"/>
    <w:rsid w:val="00BB768F"/>
    <w:rsid w:val="00BB76EE"/>
    <w:rsid w:val="00BB7F2B"/>
    <w:rsid w:val="00BC2BF3"/>
    <w:rsid w:val="00BC351A"/>
    <w:rsid w:val="00BC431A"/>
    <w:rsid w:val="00BC43AB"/>
    <w:rsid w:val="00BC49FD"/>
    <w:rsid w:val="00BC50D2"/>
    <w:rsid w:val="00BC510D"/>
    <w:rsid w:val="00BC62B3"/>
    <w:rsid w:val="00BC6C8F"/>
    <w:rsid w:val="00BD32F1"/>
    <w:rsid w:val="00BD4018"/>
    <w:rsid w:val="00BD562D"/>
    <w:rsid w:val="00BD750A"/>
    <w:rsid w:val="00BD78E6"/>
    <w:rsid w:val="00BD7FC3"/>
    <w:rsid w:val="00BE0A56"/>
    <w:rsid w:val="00BE10AE"/>
    <w:rsid w:val="00BE12B9"/>
    <w:rsid w:val="00BE23CA"/>
    <w:rsid w:val="00BE3839"/>
    <w:rsid w:val="00BE3E56"/>
    <w:rsid w:val="00BE4083"/>
    <w:rsid w:val="00BE47E2"/>
    <w:rsid w:val="00BE511F"/>
    <w:rsid w:val="00BE748C"/>
    <w:rsid w:val="00BE7ADD"/>
    <w:rsid w:val="00BF0B3A"/>
    <w:rsid w:val="00BF139A"/>
    <w:rsid w:val="00BF3B5B"/>
    <w:rsid w:val="00BF432C"/>
    <w:rsid w:val="00BF43A5"/>
    <w:rsid w:val="00BF5A7F"/>
    <w:rsid w:val="00BF5C4E"/>
    <w:rsid w:val="00BF5F8C"/>
    <w:rsid w:val="00BF72F5"/>
    <w:rsid w:val="00C00BC7"/>
    <w:rsid w:val="00C035F8"/>
    <w:rsid w:val="00C04A22"/>
    <w:rsid w:val="00C04BB6"/>
    <w:rsid w:val="00C04E09"/>
    <w:rsid w:val="00C052D8"/>
    <w:rsid w:val="00C0591F"/>
    <w:rsid w:val="00C1024A"/>
    <w:rsid w:val="00C11706"/>
    <w:rsid w:val="00C11C07"/>
    <w:rsid w:val="00C12B0A"/>
    <w:rsid w:val="00C1460B"/>
    <w:rsid w:val="00C167E4"/>
    <w:rsid w:val="00C23F9B"/>
    <w:rsid w:val="00C24397"/>
    <w:rsid w:val="00C24960"/>
    <w:rsid w:val="00C300DB"/>
    <w:rsid w:val="00C302FB"/>
    <w:rsid w:val="00C30650"/>
    <w:rsid w:val="00C3108A"/>
    <w:rsid w:val="00C326C0"/>
    <w:rsid w:val="00C33E35"/>
    <w:rsid w:val="00C34875"/>
    <w:rsid w:val="00C3618B"/>
    <w:rsid w:val="00C374F5"/>
    <w:rsid w:val="00C37CC9"/>
    <w:rsid w:val="00C41108"/>
    <w:rsid w:val="00C41CFD"/>
    <w:rsid w:val="00C4339B"/>
    <w:rsid w:val="00C440A7"/>
    <w:rsid w:val="00C44CC0"/>
    <w:rsid w:val="00C45D7F"/>
    <w:rsid w:val="00C45F62"/>
    <w:rsid w:val="00C4667E"/>
    <w:rsid w:val="00C47EE3"/>
    <w:rsid w:val="00C511CF"/>
    <w:rsid w:val="00C52CBF"/>
    <w:rsid w:val="00C5316A"/>
    <w:rsid w:val="00C54EA9"/>
    <w:rsid w:val="00C561B0"/>
    <w:rsid w:val="00C56FE1"/>
    <w:rsid w:val="00C573DE"/>
    <w:rsid w:val="00C57B6C"/>
    <w:rsid w:val="00C61126"/>
    <w:rsid w:val="00C615F5"/>
    <w:rsid w:val="00C6190C"/>
    <w:rsid w:val="00C62647"/>
    <w:rsid w:val="00C6342F"/>
    <w:rsid w:val="00C63EB4"/>
    <w:rsid w:val="00C64191"/>
    <w:rsid w:val="00C64615"/>
    <w:rsid w:val="00C649A9"/>
    <w:rsid w:val="00C654C7"/>
    <w:rsid w:val="00C65D36"/>
    <w:rsid w:val="00C66AF3"/>
    <w:rsid w:val="00C67269"/>
    <w:rsid w:val="00C7034C"/>
    <w:rsid w:val="00C71D87"/>
    <w:rsid w:val="00C72AFC"/>
    <w:rsid w:val="00C73F90"/>
    <w:rsid w:val="00C75A98"/>
    <w:rsid w:val="00C76D42"/>
    <w:rsid w:val="00C772A3"/>
    <w:rsid w:val="00C77E89"/>
    <w:rsid w:val="00C809B3"/>
    <w:rsid w:val="00C81111"/>
    <w:rsid w:val="00C81646"/>
    <w:rsid w:val="00C82386"/>
    <w:rsid w:val="00C82A24"/>
    <w:rsid w:val="00C82C72"/>
    <w:rsid w:val="00C8322B"/>
    <w:rsid w:val="00C83890"/>
    <w:rsid w:val="00C847DF"/>
    <w:rsid w:val="00C84C47"/>
    <w:rsid w:val="00C868B7"/>
    <w:rsid w:val="00C86A56"/>
    <w:rsid w:val="00C86CD4"/>
    <w:rsid w:val="00C87B3E"/>
    <w:rsid w:val="00C87DEA"/>
    <w:rsid w:val="00C90232"/>
    <w:rsid w:val="00C914B0"/>
    <w:rsid w:val="00C91A96"/>
    <w:rsid w:val="00C92777"/>
    <w:rsid w:val="00C930EE"/>
    <w:rsid w:val="00C94C0F"/>
    <w:rsid w:val="00C9771B"/>
    <w:rsid w:val="00C97A9B"/>
    <w:rsid w:val="00C97DC9"/>
    <w:rsid w:val="00CA00A9"/>
    <w:rsid w:val="00CA0FAA"/>
    <w:rsid w:val="00CA14EC"/>
    <w:rsid w:val="00CA183B"/>
    <w:rsid w:val="00CA234C"/>
    <w:rsid w:val="00CA2521"/>
    <w:rsid w:val="00CA3DCA"/>
    <w:rsid w:val="00CA55F3"/>
    <w:rsid w:val="00CA7035"/>
    <w:rsid w:val="00CA70B0"/>
    <w:rsid w:val="00CA7374"/>
    <w:rsid w:val="00CA793A"/>
    <w:rsid w:val="00CA79CA"/>
    <w:rsid w:val="00CB09D9"/>
    <w:rsid w:val="00CB1647"/>
    <w:rsid w:val="00CB1947"/>
    <w:rsid w:val="00CB1EC3"/>
    <w:rsid w:val="00CB2011"/>
    <w:rsid w:val="00CB24A2"/>
    <w:rsid w:val="00CB36A3"/>
    <w:rsid w:val="00CB3B7D"/>
    <w:rsid w:val="00CB3D31"/>
    <w:rsid w:val="00CB3DFD"/>
    <w:rsid w:val="00CB4BD6"/>
    <w:rsid w:val="00CB4D5E"/>
    <w:rsid w:val="00CB5309"/>
    <w:rsid w:val="00CB5851"/>
    <w:rsid w:val="00CB5946"/>
    <w:rsid w:val="00CB7157"/>
    <w:rsid w:val="00CC0315"/>
    <w:rsid w:val="00CC099B"/>
    <w:rsid w:val="00CC2939"/>
    <w:rsid w:val="00CC3445"/>
    <w:rsid w:val="00CC4453"/>
    <w:rsid w:val="00CC4CD5"/>
    <w:rsid w:val="00CC5D5C"/>
    <w:rsid w:val="00CC5ECA"/>
    <w:rsid w:val="00CC6B7D"/>
    <w:rsid w:val="00CC7691"/>
    <w:rsid w:val="00CD0682"/>
    <w:rsid w:val="00CD1A1C"/>
    <w:rsid w:val="00CD2111"/>
    <w:rsid w:val="00CD255F"/>
    <w:rsid w:val="00CD25FA"/>
    <w:rsid w:val="00CD2641"/>
    <w:rsid w:val="00CD3862"/>
    <w:rsid w:val="00CD3E94"/>
    <w:rsid w:val="00CD4107"/>
    <w:rsid w:val="00CD5027"/>
    <w:rsid w:val="00CD5F6C"/>
    <w:rsid w:val="00CD68E2"/>
    <w:rsid w:val="00CD7663"/>
    <w:rsid w:val="00CD7A5C"/>
    <w:rsid w:val="00CE0348"/>
    <w:rsid w:val="00CE05D3"/>
    <w:rsid w:val="00CE05ED"/>
    <w:rsid w:val="00CE1008"/>
    <w:rsid w:val="00CE2D15"/>
    <w:rsid w:val="00CE2DC9"/>
    <w:rsid w:val="00CE3428"/>
    <w:rsid w:val="00CE4BFC"/>
    <w:rsid w:val="00CE56FC"/>
    <w:rsid w:val="00CE78B2"/>
    <w:rsid w:val="00CE79BF"/>
    <w:rsid w:val="00CE7B25"/>
    <w:rsid w:val="00CE7DF5"/>
    <w:rsid w:val="00CF04AA"/>
    <w:rsid w:val="00CF0839"/>
    <w:rsid w:val="00CF0D5C"/>
    <w:rsid w:val="00CF1001"/>
    <w:rsid w:val="00CF118D"/>
    <w:rsid w:val="00CF32E4"/>
    <w:rsid w:val="00CF523A"/>
    <w:rsid w:val="00CF5B2C"/>
    <w:rsid w:val="00CF5FA3"/>
    <w:rsid w:val="00CF7179"/>
    <w:rsid w:val="00CF721F"/>
    <w:rsid w:val="00D00826"/>
    <w:rsid w:val="00D00DBA"/>
    <w:rsid w:val="00D01BCD"/>
    <w:rsid w:val="00D02A2F"/>
    <w:rsid w:val="00D02D2D"/>
    <w:rsid w:val="00D03188"/>
    <w:rsid w:val="00D0355F"/>
    <w:rsid w:val="00D04751"/>
    <w:rsid w:val="00D059AA"/>
    <w:rsid w:val="00D05B08"/>
    <w:rsid w:val="00D075FF"/>
    <w:rsid w:val="00D1080F"/>
    <w:rsid w:val="00D11125"/>
    <w:rsid w:val="00D13678"/>
    <w:rsid w:val="00D13AB4"/>
    <w:rsid w:val="00D14767"/>
    <w:rsid w:val="00D15B66"/>
    <w:rsid w:val="00D15CE6"/>
    <w:rsid w:val="00D1615E"/>
    <w:rsid w:val="00D16448"/>
    <w:rsid w:val="00D1711A"/>
    <w:rsid w:val="00D172B0"/>
    <w:rsid w:val="00D17764"/>
    <w:rsid w:val="00D17D41"/>
    <w:rsid w:val="00D201B5"/>
    <w:rsid w:val="00D2082F"/>
    <w:rsid w:val="00D224AD"/>
    <w:rsid w:val="00D23DD0"/>
    <w:rsid w:val="00D244D3"/>
    <w:rsid w:val="00D256F0"/>
    <w:rsid w:val="00D30120"/>
    <w:rsid w:val="00D3072E"/>
    <w:rsid w:val="00D314A2"/>
    <w:rsid w:val="00D34F12"/>
    <w:rsid w:val="00D35A13"/>
    <w:rsid w:val="00D36422"/>
    <w:rsid w:val="00D36963"/>
    <w:rsid w:val="00D36DE1"/>
    <w:rsid w:val="00D37276"/>
    <w:rsid w:val="00D41B64"/>
    <w:rsid w:val="00D41D9E"/>
    <w:rsid w:val="00D42A91"/>
    <w:rsid w:val="00D42E2E"/>
    <w:rsid w:val="00D43C55"/>
    <w:rsid w:val="00D43D31"/>
    <w:rsid w:val="00D44465"/>
    <w:rsid w:val="00D455F3"/>
    <w:rsid w:val="00D457C5"/>
    <w:rsid w:val="00D45FAB"/>
    <w:rsid w:val="00D4618C"/>
    <w:rsid w:val="00D4748C"/>
    <w:rsid w:val="00D477AC"/>
    <w:rsid w:val="00D50256"/>
    <w:rsid w:val="00D50971"/>
    <w:rsid w:val="00D50B19"/>
    <w:rsid w:val="00D52956"/>
    <w:rsid w:val="00D53037"/>
    <w:rsid w:val="00D53288"/>
    <w:rsid w:val="00D532D0"/>
    <w:rsid w:val="00D53DAD"/>
    <w:rsid w:val="00D55884"/>
    <w:rsid w:val="00D55E9F"/>
    <w:rsid w:val="00D56217"/>
    <w:rsid w:val="00D56953"/>
    <w:rsid w:val="00D56DCC"/>
    <w:rsid w:val="00D570C1"/>
    <w:rsid w:val="00D572EA"/>
    <w:rsid w:val="00D60C98"/>
    <w:rsid w:val="00D625CE"/>
    <w:rsid w:val="00D62D25"/>
    <w:rsid w:val="00D63FBF"/>
    <w:rsid w:val="00D640F2"/>
    <w:rsid w:val="00D65425"/>
    <w:rsid w:val="00D655BA"/>
    <w:rsid w:val="00D663F0"/>
    <w:rsid w:val="00D66C3F"/>
    <w:rsid w:val="00D70BB7"/>
    <w:rsid w:val="00D70F8E"/>
    <w:rsid w:val="00D72B72"/>
    <w:rsid w:val="00D731CE"/>
    <w:rsid w:val="00D75F2C"/>
    <w:rsid w:val="00D81371"/>
    <w:rsid w:val="00D81BCB"/>
    <w:rsid w:val="00D82154"/>
    <w:rsid w:val="00D833CC"/>
    <w:rsid w:val="00D8386A"/>
    <w:rsid w:val="00D83CA9"/>
    <w:rsid w:val="00D83D1A"/>
    <w:rsid w:val="00D8434E"/>
    <w:rsid w:val="00D8468F"/>
    <w:rsid w:val="00D855AA"/>
    <w:rsid w:val="00D858AA"/>
    <w:rsid w:val="00D86338"/>
    <w:rsid w:val="00D865DB"/>
    <w:rsid w:val="00D865E8"/>
    <w:rsid w:val="00D86712"/>
    <w:rsid w:val="00D91060"/>
    <w:rsid w:val="00D92018"/>
    <w:rsid w:val="00D92658"/>
    <w:rsid w:val="00D93A24"/>
    <w:rsid w:val="00D944CA"/>
    <w:rsid w:val="00D95B07"/>
    <w:rsid w:val="00D9626F"/>
    <w:rsid w:val="00D968EB"/>
    <w:rsid w:val="00D97ABC"/>
    <w:rsid w:val="00DA27AF"/>
    <w:rsid w:val="00DA280C"/>
    <w:rsid w:val="00DA5647"/>
    <w:rsid w:val="00DA5809"/>
    <w:rsid w:val="00DA6F41"/>
    <w:rsid w:val="00DA6FD1"/>
    <w:rsid w:val="00DA7680"/>
    <w:rsid w:val="00DB0C9A"/>
    <w:rsid w:val="00DB1B8B"/>
    <w:rsid w:val="00DB322D"/>
    <w:rsid w:val="00DB4451"/>
    <w:rsid w:val="00DB5078"/>
    <w:rsid w:val="00DB6D5E"/>
    <w:rsid w:val="00DB7148"/>
    <w:rsid w:val="00DB7855"/>
    <w:rsid w:val="00DB79B6"/>
    <w:rsid w:val="00DB7BB4"/>
    <w:rsid w:val="00DC1603"/>
    <w:rsid w:val="00DC1B01"/>
    <w:rsid w:val="00DC1D02"/>
    <w:rsid w:val="00DC24FA"/>
    <w:rsid w:val="00DC2E00"/>
    <w:rsid w:val="00DC3B3A"/>
    <w:rsid w:val="00DC4E57"/>
    <w:rsid w:val="00DC5A6F"/>
    <w:rsid w:val="00DC6480"/>
    <w:rsid w:val="00DC6631"/>
    <w:rsid w:val="00DC76B3"/>
    <w:rsid w:val="00DC77CB"/>
    <w:rsid w:val="00DD05E7"/>
    <w:rsid w:val="00DD0CB6"/>
    <w:rsid w:val="00DD15BF"/>
    <w:rsid w:val="00DD3A2C"/>
    <w:rsid w:val="00DD3EAB"/>
    <w:rsid w:val="00DD5D78"/>
    <w:rsid w:val="00DD6820"/>
    <w:rsid w:val="00DD694C"/>
    <w:rsid w:val="00DD6F16"/>
    <w:rsid w:val="00DE1D6B"/>
    <w:rsid w:val="00DE29D5"/>
    <w:rsid w:val="00DE2FED"/>
    <w:rsid w:val="00DE48CC"/>
    <w:rsid w:val="00DE4C34"/>
    <w:rsid w:val="00DE5694"/>
    <w:rsid w:val="00DE6456"/>
    <w:rsid w:val="00DE6B10"/>
    <w:rsid w:val="00DE7467"/>
    <w:rsid w:val="00DE7D2E"/>
    <w:rsid w:val="00DE7ED5"/>
    <w:rsid w:val="00DF08F8"/>
    <w:rsid w:val="00DF0B92"/>
    <w:rsid w:val="00DF1A6B"/>
    <w:rsid w:val="00DF2A56"/>
    <w:rsid w:val="00DF2F1F"/>
    <w:rsid w:val="00DF32D9"/>
    <w:rsid w:val="00DF380A"/>
    <w:rsid w:val="00DF3811"/>
    <w:rsid w:val="00DF3EAE"/>
    <w:rsid w:val="00DF3F6B"/>
    <w:rsid w:val="00DF7467"/>
    <w:rsid w:val="00DF7646"/>
    <w:rsid w:val="00DF7749"/>
    <w:rsid w:val="00DF78B1"/>
    <w:rsid w:val="00DF7E6B"/>
    <w:rsid w:val="00E01250"/>
    <w:rsid w:val="00E02292"/>
    <w:rsid w:val="00E02FEC"/>
    <w:rsid w:val="00E052D7"/>
    <w:rsid w:val="00E05509"/>
    <w:rsid w:val="00E06489"/>
    <w:rsid w:val="00E069EF"/>
    <w:rsid w:val="00E1011A"/>
    <w:rsid w:val="00E1158C"/>
    <w:rsid w:val="00E12E92"/>
    <w:rsid w:val="00E12EB4"/>
    <w:rsid w:val="00E13485"/>
    <w:rsid w:val="00E13947"/>
    <w:rsid w:val="00E1484A"/>
    <w:rsid w:val="00E15938"/>
    <w:rsid w:val="00E15DC4"/>
    <w:rsid w:val="00E1751D"/>
    <w:rsid w:val="00E20C59"/>
    <w:rsid w:val="00E21018"/>
    <w:rsid w:val="00E22355"/>
    <w:rsid w:val="00E232A8"/>
    <w:rsid w:val="00E239E0"/>
    <w:rsid w:val="00E23A07"/>
    <w:rsid w:val="00E24B87"/>
    <w:rsid w:val="00E24E26"/>
    <w:rsid w:val="00E25620"/>
    <w:rsid w:val="00E302B2"/>
    <w:rsid w:val="00E30A08"/>
    <w:rsid w:val="00E3127D"/>
    <w:rsid w:val="00E317D4"/>
    <w:rsid w:val="00E321C8"/>
    <w:rsid w:val="00E325CA"/>
    <w:rsid w:val="00E330B1"/>
    <w:rsid w:val="00E337B0"/>
    <w:rsid w:val="00E340E8"/>
    <w:rsid w:val="00E34DF2"/>
    <w:rsid w:val="00E3562C"/>
    <w:rsid w:val="00E3780A"/>
    <w:rsid w:val="00E40A4A"/>
    <w:rsid w:val="00E42FBA"/>
    <w:rsid w:val="00E432A9"/>
    <w:rsid w:val="00E433F5"/>
    <w:rsid w:val="00E43E48"/>
    <w:rsid w:val="00E46283"/>
    <w:rsid w:val="00E46311"/>
    <w:rsid w:val="00E46707"/>
    <w:rsid w:val="00E46A28"/>
    <w:rsid w:val="00E47AE6"/>
    <w:rsid w:val="00E47C8A"/>
    <w:rsid w:val="00E501D4"/>
    <w:rsid w:val="00E51203"/>
    <w:rsid w:val="00E5131F"/>
    <w:rsid w:val="00E51418"/>
    <w:rsid w:val="00E522BD"/>
    <w:rsid w:val="00E54ACC"/>
    <w:rsid w:val="00E552BF"/>
    <w:rsid w:val="00E56E07"/>
    <w:rsid w:val="00E60EF7"/>
    <w:rsid w:val="00E62917"/>
    <w:rsid w:val="00E62BD1"/>
    <w:rsid w:val="00E6334C"/>
    <w:rsid w:val="00E64D27"/>
    <w:rsid w:val="00E65939"/>
    <w:rsid w:val="00E65EA6"/>
    <w:rsid w:val="00E66420"/>
    <w:rsid w:val="00E671DC"/>
    <w:rsid w:val="00E70006"/>
    <w:rsid w:val="00E70BA2"/>
    <w:rsid w:val="00E71133"/>
    <w:rsid w:val="00E71B50"/>
    <w:rsid w:val="00E7278F"/>
    <w:rsid w:val="00E729AA"/>
    <w:rsid w:val="00E7339A"/>
    <w:rsid w:val="00E73C03"/>
    <w:rsid w:val="00E74AA5"/>
    <w:rsid w:val="00E74ACD"/>
    <w:rsid w:val="00E74F89"/>
    <w:rsid w:val="00E760C2"/>
    <w:rsid w:val="00E7714E"/>
    <w:rsid w:val="00E81991"/>
    <w:rsid w:val="00E8361A"/>
    <w:rsid w:val="00E8375C"/>
    <w:rsid w:val="00E83778"/>
    <w:rsid w:val="00E83D86"/>
    <w:rsid w:val="00E8664D"/>
    <w:rsid w:val="00E8719A"/>
    <w:rsid w:val="00E878CC"/>
    <w:rsid w:val="00E9031B"/>
    <w:rsid w:val="00E9154C"/>
    <w:rsid w:val="00E9159F"/>
    <w:rsid w:val="00E928EE"/>
    <w:rsid w:val="00E92932"/>
    <w:rsid w:val="00E93270"/>
    <w:rsid w:val="00E94104"/>
    <w:rsid w:val="00E9433B"/>
    <w:rsid w:val="00E963F0"/>
    <w:rsid w:val="00E973F1"/>
    <w:rsid w:val="00EA0E82"/>
    <w:rsid w:val="00EA12D7"/>
    <w:rsid w:val="00EA24A8"/>
    <w:rsid w:val="00EA4A2D"/>
    <w:rsid w:val="00EA4CB9"/>
    <w:rsid w:val="00EA4E12"/>
    <w:rsid w:val="00EA4E71"/>
    <w:rsid w:val="00EA5676"/>
    <w:rsid w:val="00EA60A1"/>
    <w:rsid w:val="00EA6AA2"/>
    <w:rsid w:val="00EA6FFF"/>
    <w:rsid w:val="00EA7252"/>
    <w:rsid w:val="00EB3515"/>
    <w:rsid w:val="00EB35E0"/>
    <w:rsid w:val="00EB49DF"/>
    <w:rsid w:val="00EB4EB7"/>
    <w:rsid w:val="00EB59C9"/>
    <w:rsid w:val="00EB5F44"/>
    <w:rsid w:val="00EB6031"/>
    <w:rsid w:val="00EC05D7"/>
    <w:rsid w:val="00EC073F"/>
    <w:rsid w:val="00EC09F7"/>
    <w:rsid w:val="00EC2324"/>
    <w:rsid w:val="00EC259E"/>
    <w:rsid w:val="00EC27A7"/>
    <w:rsid w:val="00EC2D47"/>
    <w:rsid w:val="00EC3041"/>
    <w:rsid w:val="00EC3120"/>
    <w:rsid w:val="00EC41E4"/>
    <w:rsid w:val="00EC444F"/>
    <w:rsid w:val="00EC46CF"/>
    <w:rsid w:val="00EC5D9A"/>
    <w:rsid w:val="00ED1FEB"/>
    <w:rsid w:val="00ED3211"/>
    <w:rsid w:val="00ED337E"/>
    <w:rsid w:val="00ED6F04"/>
    <w:rsid w:val="00ED7F0D"/>
    <w:rsid w:val="00EE17CF"/>
    <w:rsid w:val="00EE1D0B"/>
    <w:rsid w:val="00EE41DA"/>
    <w:rsid w:val="00EE5B9D"/>
    <w:rsid w:val="00EE623C"/>
    <w:rsid w:val="00EE64F7"/>
    <w:rsid w:val="00EE6E8C"/>
    <w:rsid w:val="00EE6ED6"/>
    <w:rsid w:val="00EF0C19"/>
    <w:rsid w:val="00EF230B"/>
    <w:rsid w:val="00EF2AD6"/>
    <w:rsid w:val="00EF3007"/>
    <w:rsid w:val="00EF354F"/>
    <w:rsid w:val="00EF6585"/>
    <w:rsid w:val="00EF65C8"/>
    <w:rsid w:val="00EF6BC9"/>
    <w:rsid w:val="00EF6CCD"/>
    <w:rsid w:val="00EF6FE7"/>
    <w:rsid w:val="00EF73A5"/>
    <w:rsid w:val="00EF752C"/>
    <w:rsid w:val="00F00FE6"/>
    <w:rsid w:val="00F02199"/>
    <w:rsid w:val="00F02CF3"/>
    <w:rsid w:val="00F03718"/>
    <w:rsid w:val="00F05B05"/>
    <w:rsid w:val="00F065AC"/>
    <w:rsid w:val="00F10861"/>
    <w:rsid w:val="00F11285"/>
    <w:rsid w:val="00F113B5"/>
    <w:rsid w:val="00F11CF5"/>
    <w:rsid w:val="00F14525"/>
    <w:rsid w:val="00F17878"/>
    <w:rsid w:val="00F20B33"/>
    <w:rsid w:val="00F21D37"/>
    <w:rsid w:val="00F24200"/>
    <w:rsid w:val="00F24615"/>
    <w:rsid w:val="00F24A42"/>
    <w:rsid w:val="00F24AAF"/>
    <w:rsid w:val="00F25FE3"/>
    <w:rsid w:val="00F261F3"/>
    <w:rsid w:val="00F27008"/>
    <w:rsid w:val="00F30EA5"/>
    <w:rsid w:val="00F314AB"/>
    <w:rsid w:val="00F324D2"/>
    <w:rsid w:val="00F32DB7"/>
    <w:rsid w:val="00F33456"/>
    <w:rsid w:val="00F36189"/>
    <w:rsid w:val="00F37940"/>
    <w:rsid w:val="00F40DF4"/>
    <w:rsid w:val="00F40F25"/>
    <w:rsid w:val="00F410BF"/>
    <w:rsid w:val="00F4121D"/>
    <w:rsid w:val="00F41913"/>
    <w:rsid w:val="00F41DFF"/>
    <w:rsid w:val="00F430E2"/>
    <w:rsid w:val="00F43152"/>
    <w:rsid w:val="00F4725D"/>
    <w:rsid w:val="00F47A77"/>
    <w:rsid w:val="00F502CD"/>
    <w:rsid w:val="00F5091A"/>
    <w:rsid w:val="00F5379F"/>
    <w:rsid w:val="00F543D5"/>
    <w:rsid w:val="00F5441D"/>
    <w:rsid w:val="00F549D1"/>
    <w:rsid w:val="00F5708C"/>
    <w:rsid w:val="00F60AF9"/>
    <w:rsid w:val="00F61CAF"/>
    <w:rsid w:val="00F639BB"/>
    <w:rsid w:val="00F63FD5"/>
    <w:rsid w:val="00F70424"/>
    <w:rsid w:val="00F70C70"/>
    <w:rsid w:val="00F70FB2"/>
    <w:rsid w:val="00F71B93"/>
    <w:rsid w:val="00F71FB7"/>
    <w:rsid w:val="00F722B5"/>
    <w:rsid w:val="00F73122"/>
    <w:rsid w:val="00F73F0B"/>
    <w:rsid w:val="00F74FA8"/>
    <w:rsid w:val="00F75BE8"/>
    <w:rsid w:val="00F76BA2"/>
    <w:rsid w:val="00F76C44"/>
    <w:rsid w:val="00F77342"/>
    <w:rsid w:val="00F8009B"/>
    <w:rsid w:val="00F81A62"/>
    <w:rsid w:val="00F81F90"/>
    <w:rsid w:val="00F8203B"/>
    <w:rsid w:val="00F82AAF"/>
    <w:rsid w:val="00F835CF"/>
    <w:rsid w:val="00F843C1"/>
    <w:rsid w:val="00F84839"/>
    <w:rsid w:val="00F84B8B"/>
    <w:rsid w:val="00F84E97"/>
    <w:rsid w:val="00F851FB"/>
    <w:rsid w:val="00F85300"/>
    <w:rsid w:val="00F860C9"/>
    <w:rsid w:val="00F86BCD"/>
    <w:rsid w:val="00F8714B"/>
    <w:rsid w:val="00F8720B"/>
    <w:rsid w:val="00F87FF6"/>
    <w:rsid w:val="00F906FF"/>
    <w:rsid w:val="00F90BFF"/>
    <w:rsid w:val="00F92225"/>
    <w:rsid w:val="00F92E20"/>
    <w:rsid w:val="00F930E4"/>
    <w:rsid w:val="00F930E7"/>
    <w:rsid w:val="00F947A8"/>
    <w:rsid w:val="00F9499C"/>
    <w:rsid w:val="00F94CC1"/>
    <w:rsid w:val="00F95832"/>
    <w:rsid w:val="00F966B3"/>
    <w:rsid w:val="00F96C13"/>
    <w:rsid w:val="00F96F9C"/>
    <w:rsid w:val="00F9743D"/>
    <w:rsid w:val="00F9795C"/>
    <w:rsid w:val="00F97FB5"/>
    <w:rsid w:val="00FA02C2"/>
    <w:rsid w:val="00FA0724"/>
    <w:rsid w:val="00FA15F4"/>
    <w:rsid w:val="00FA197D"/>
    <w:rsid w:val="00FA1DE0"/>
    <w:rsid w:val="00FA25B1"/>
    <w:rsid w:val="00FA4531"/>
    <w:rsid w:val="00FA46E6"/>
    <w:rsid w:val="00FA5C7D"/>
    <w:rsid w:val="00FA6182"/>
    <w:rsid w:val="00FA6F43"/>
    <w:rsid w:val="00FB0024"/>
    <w:rsid w:val="00FB02FA"/>
    <w:rsid w:val="00FB04CF"/>
    <w:rsid w:val="00FB2571"/>
    <w:rsid w:val="00FB263D"/>
    <w:rsid w:val="00FB2C6D"/>
    <w:rsid w:val="00FB30A0"/>
    <w:rsid w:val="00FB3592"/>
    <w:rsid w:val="00FB3598"/>
    <w:rsid w:val="00FB3706"/>
    <w:rsid w:val="00FB43B6"/>
    <w:rsid w:val="00FB43B8"/>
    <w:rsid w:val="00FB44DE"/>
    <w:rsid w:val="00FB47F7"/>
    <w:rsid w:val="00FB5C54"/>
    <w:rsid w:val="00FB6342"/>
    <w:rsid w:val="00FB6915"/>
    <w:rsid w:val="00FB6C28"/>
    <w:rsid w:val="00FB6E01"/>
    <w:rsid w:val="00FC03E5"/>
    <w:rsid w:val="00FC10D6"/>
    <w:rsid w:val="00FC1996"/>
    <w:rsid w:val="00FC3167"/>
    <w:rsid w:val="00FC45E8"/>
    <w:rsid w:val="00FC478F"/>
    <w:rsid w:val="00FC50E5"/>
    <w:rsid w:val="00FC73D2"/>
    <w:rsid w:val="00FC788F"/>
    <w:rsid w:val="00FC7BA3"/>
    <w:rsid w:val="00FC7E01"/>
    <w:rsid w:val="00FD1114"/>
    <w:rsid w:val="00FD11C9"/>
    <w:rsid w:val="00FD13E7"/>
    <w:rsid w:val="00FD2DAE"/>
    <w:rsid w:val="00FD36E1"/>
    <w:rsid w:val="00FD3708"/>
    <w:rsid w:val="00FD3713"/>
    <w:rsid w:val="00FD39A5"/>
    <w:rsid w:val="00FD51F3"/>
    <w:rsid w:val="00FD5832"/>
    <w:rsid w:val="00FD5EF2"/>
    <w:rsid w:val="00FD6786"/>
    <w:rsid w:val="00FD7950"/>
    <w:rsid w:val="00FD7AAB"/>
    <w:rsid w:val="00FE0BF8"/>
    <w:rsid w:val="00FE0DEC"/>
    <w:rsid w:val="00FE1738"/>
    <w:rsid w:val="00FE278B"/>
    <w:rsid w:val="00FE288E"/>
    <w:rsid w:val="00FE3803"/>
    <w:rsid w:val="00FE41A1"/>
    <w:rsid w:val="00FE4BF2"/>
    <w:rsid w:val="00FE5DDE"/>
    <w:rsid w:val="00FE5EA0"/>
    <w:rsid w:val="00FE79D7"/>
    <w:rsid w:val="00FF0E96"/>
    <w:rsid w:val="00FF15E1"/>
    <w:rsid w:val="00FF18BC"/>
    <w:rsid w:val="00FF1CEA"/>
    <w:rsid w:val="00FF2067"/>
    <w:rsid w:val="00FF22C9"/>
    <w:rsid w:val="00FF2B87"/>
    <w:rsid w:val="00FF3CA1"/>
    <w:rsid w:val="00FF3E33"/>
    <w:rsid w:val="00FF4864"/>
    <w:rsid w:val="00FF5544"/>
    <w:rsid w:val="00FF582F"/>
    <w:rsid w:val="00FF5D48"/>
    <w:rsid w:val="00FF779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95335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qFormat="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qFormat="1"/>
    <w:lsdException w:name="Smart Link" w:semiHidden="1" w:unhideWhenUsed="1"/>
  </w:latentStyles>
  <w:style w:type="paragraph" w:default="1" w:styleId="Normal">
    <w:name w:val="Normal"/>
    <w:qFormat/>
    <w:rsid w:val="00FD13E7"/>
  </w:style>
  <w:style w:type="paragraph" w:styleId="Ttulo1">
    <w:name w:val="heading 1"/>
    <w:basedOn w:val="Normal"/>
    <w:next w:val="Normal"/>
    <w:link w:val="Ttulo1Car"/>
    <w:uiPriority w:val="9"/>
    <w:qFormat/>
    <w:rsid w:val="00B474AC"/>
    <w:pPr>
      <w:keepNext/>
      <w:keepLines/>
      <w:spacing w:before="400" w:after="40" w:line="240" w:lineRule="auto"/>
      <w:outlineLvl w:val="0"/>
    </w:pPr>
    <w:rPr>
      <w:rFonts w:asciiTheme="majorHAnsi" w:eastAsiaTheme="majorEastAsia" w:hAnsiTheme="majorHAnsi" w:cstheme="majorBidi"/>
      <w:color w:val="4E111A" w:themeColor="accent1" w:themeShade="80"/>
      <w:sz w:val="36"/>
      <w:szCs w:val="36"/>
    </w:rPr>
  </w:style>
  <w:style w:type="paragraph" w:styleId="Ttulo2">
    <w:name w:val="heading 2"/>
    <w:basedOn w:val="Normal"/>
    <w:next w:val="Normal"/>
    <w:link w:val="Ttulo2Car"/>
    <w:uiPriority w:val="9"/>
    <w:unhideWhenUsed/>
    <w:qFormat/>
    <w:rsid w:val="00B474AC"/>
    <w:pPr>
      <w:keepNext/>
      <w:keepLines/>
      <w:spacing w:before="40" w:after="0" w:line="240" w:lineRule="auto"/>
      <w:outlineLvl w:val="1"/>
    </w:pPr>
    <w:rPr>
      <w:rFonts w:asciiTheme="majorHAnsi" w:eastAsiaTheme="majorEastAsia" w:hAnsiTheme="majorHAnsi" w:cstheme="majorBidi"/>
      <w:color w:val="751927" w:themeColor="accent1" w:themeShade="BF"/>
      <w:sz w:val="32"/>
      <w:szCs w:val="32"/>
    </w:rPr>
  </w:style>
  <w:style w:type="paragraph" w:styleId="Ttulo3">
    <w:name w:val="heading 3"/>
    <w:basedOn w:val="Normal"/>
    <w:next w:val="Normal"/>
    <w:link w:val="Ttulo3Car"/>
    <w:uiPriority w:val="9"/>
    <w:unhideWhenUsed/>
    <w:qFormat/>
    <w:rsid w:val="00B474AC"/>
    <w:pPr>
      <w:keepNext/>
      <w:keepLines/>
      <w:spacing w:before="40" w:after="0" w:line="240" w:lineRule="auto"/>
      <w:outlineLvl w:val="2"/>
    </w:pPr>
    <w:rPr>
      <w:rFonts w:asciiTheme="majorHAnsi" w:eastAsiaTheme="majorEastAsia" w:hAnsiTheme="majorHAnsi" w:cstheme="majorBidi"/>
      <w:color w:val="751927" w:themeColor="accent1" w:themeShade="BF"/>
      <w:sz w:val="28"/>
      <w:szCs w:val="28"/>
    </w:rPr>
  </w:style>
  <w:style w:type="paragraph" w:styleId="Ttulo4">
    <w:name w:val="heading 4"/>
    <w:basedOn w:val="Normal"/>
    <w:next w:val="Normal"/>
    <w:link w:val="Ttulo4Car"/>
    <w:uiPriority w:val="9"/>
    <w:unhideWhenUsed/>
    <w:qFormat/>
    <w:rsid w:val="00B474AC"/>
    <w:pPr>
      <w:keepNext/>
      <w:keepLines/>
      <w:spacing w:before="40" w:after="0"/>
      <w:outlineLvl w:val="3"/>
    </w:pPr>
    <w:rPr>
      <w:rFonts w:asciiTheme="majorHAnsi" w:eastAsiaTheme="majorEastAsia" w:hAnsiTheme="majorHAnsi" w:cstheme="majorBidi"/>
      <w:color w:val="751927" w:themeColor="accent1" w:themeShade="BF"/>
      <w:sz w:val="24"/>
      <w:szCs w:val="24"/>
    </w:rPr>
  </w:style>
  <w:style w:type="paragraph" w:styleId="Ttulo5">
    <w:name w:val="heading 5"/>
    <w:basedOn w:val="Normal"/>
    <w:next w:val="Normal"/>
    <w:link w:val="Ttulo5Car"/>
    <w:uiPriority w:val="9"/>
    <w:unhideWhenUsed/>
    <w:qFormat/>
    <w:rsid w:val="00B474AC"/>
    <w:pPr>
      <w:keepNext/>
      <w:keepLines/>
      <w:spacing w:before="40" w:after="0"/>
      <w:outlineLvl w:val="4"/>
    </w:pPr>
    <w:rPr>
      <w:rFonts w:asciiTheme="majorHAnsi" w:eastAsiaTheme="majorEastAsia" w:hAnsiTheme="majorHAnsi" w:cstheme="majorBidi"/>
      <w:caps/>
      <w:color w:val="751927" w:themeColor="accent1" w:themeShade="BF"/>
    </w:rPr>
  </w:style>
  <w:style w:type="paragraph" w:styleId="Ttulo6">
    <w:name w:val="heading 6"/>
    <w:basedOn w:val="Normal"/>
    <w:next w:val="Normal"/>
    <w:link w:val="Ttulo6Car"/>
    <w:uiPriority w:val="9"/>
    <w:semiHidden/>
    <w:unhideWhenUsed/>
    <w:qFormat/>
    <w:rsid w:val="00B474AC"/>
    <w:pPr>
      <w:keepNext/>
      <w:keepLines/>
      <w:spacing w:before="40" w:after="0"/>
      <w:outlineLvl w:val="5"/>
    </w:pPr>
    <w:rPr>
      <w:rFonts w:asciiTheme="majorHAnsi" w:eastAsiaTheme="majorEastAsia" w:hAnsiTheme="majorHAnsi" w:cstheme="majorBidi"/>
      <w:i/>
      <w:iCs/>
      <w:caps/>
      <w:color w:val="4E111A" w:themeColor="accent1" w:themeShade="80"/>
    </w:rPr>
  </w:style>
  <w:style w:type="paragraph" w:styleId="Ttulo7">
    <w:name w:val="heading 7"/>
    <w:basedOn w:val="Normal"/>
    <w:next w:val="Normal"/>
    <w:link w:val="Ttulo7Car"/>
    <w:uiPriority w:val="9"/>
    <w:semiHidden/>
    <w:unhideWhenUsed/>
    <w:qFormat/>
    <w:rsid w:val="00B474AC"/>
    <w:pPr>
      <w:keepNext/>
      <w:keepLines/>
      <w:spacing w:before="40" w:after="0"/>
      <w:outlineLvl w:val="6"/>
    </w:pPr>
    <w:rPr>
      <w:rFonts w:asciiTheme="majorHAnsi" w:eastAsiaTheme="majorEastAsia" w:hAnsiTheme="majorHAnsi" w:cstheme="majorBidi"/>
      <w:b/>
      <w:bCs/>
      <w:color w:val="4E111A" w:themeColor="accent1" w:themeShade="80"/>
    </w:rPr>
  </w:style>
  <w:style w:type="paragraph" w:styleId="Ttulo8">
    <w:name w:val="heading 8"/>
    <w:basedOn w:val="Normal"/>
    <w:next w:val="Normal"/>
    <w:link w:val="Ttulo8Car"/>
    <w:uiPriority w:val="9"/>
    <w:semiHidden/>
    <w:unhideWhenUsed/>
    <w:qFormat/>
    <w:rsid w:val="00B474AC"/>
    <w:pPr>
      <w:keepNext/>
      <w:keepLines/>
      <w:spacing w:before="40" w:after="0"/>
      <w:outlineLvl w:val="7"/>
    </w:pPr>
    <w:rPr>
      <w:rFonts w:asciiTheme="majorHAnsi" w:eastAsiaTheme="majorEastAsia" w:hAnsiTheme="majorHAnsi" w:cstheme="majorBidi"/>
      <w:b/>
      <w:bCs/>
      <w:i/>
      <w:iCs/>
      <w:color w:val="4E111A" w:themeColor="accent1" w:themeShade="80"/>
    </w:rPr>
  </w:style>
  <w:style w:type="paragraph" w:styleId="Ttulo9">
    <w:name w:val="heading 9"/>
    <w:basedOn w:val="Normal"/>
    <w:next w:val="Normal"/>
    <w:link w:val="Ttulo9Car"/>
    <w:uiPriority w:val="9"/>
    <w:semiHidden/>
    <w:unhideWhenUsed/>
    <w:qFormat/>
    <w:rsid w:val="00B474AC"/>
    <w:pPr>
      <w:keepNext/>
      <w:keepLines/>
      <w:spacing w:before="40" w:after="0"/>
      <w:outlineLvl w:val="8"/>
    </w:pPr>
    <w:rPr>
      <w:rFonts w:asciiTheme="majorHAnsi" w:eastAsiaTheme="majorEastAsia" w:hAnsiTheme="majorHAnsi" w:cstheme="majorBidi"/>
      <w:i/>
      <w:iCs/>
      <w:color w:val="4E111A"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qFormat/>
    <w:rsid w:val="000E2A66"/>
    <w:pPr>
      <w:spacing w:before="100" w:beforeAutospacing="1" w:after="142" w:line="288"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0E2A66"/>
    <w:rPr>
      <w:color w:val="000080"/>
      <w:u w:val="single"/>
    </w:rPr>
  </w:style>
  <w:style w:type="paragraph" w:styleId="Encabezado">
    <w:name w:val="header"/>
    <w:basedOn w:val="Normal"/>
    <w:link w:val="EncabezadoCar"/>
    <w:uiPriority w:val="99"/>
    <w:unhideWhenUsed/>
    <w:qFormat/>
    <w:rsid w:val="000E2A6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qFormat/>
    <w:rsid w:val="000E2A66"/>
  </w:style>
  <w:style w:type="paragraph" w:styleId="Piedepgina">
    <w:name w:val="footer"/>
    <w:basedOn w:val="Normal"/>
    <w:link w:val="PiedepginaCar"/>
    <w:uiPriority w:val="99"/>
    <w:unhideWhenUsed/>
    <w:qFormat/>
    <w:rsid w:val="000E2A6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qFormat/>
    <w:rsid w:val="000E2A66"/>
  </w:style>
  <w:style w:type="paragraph" w:styleId="Prrafodelista">
    <w:name w:val="List Paragraph"/>
    <w:basedOn w:val="Normal"/>
    <w:qFormat/>
    <w:rsid w:val="00A46175"/>
    <w:pPr>
      <w:ind w:left="720"/>
      <w:contextualSpacing/>
    </w:pPr>
  </w:style>
  <w:style w:type="paragraph" w:styleId="Sinespaciado">
    <w:name w:val="No Spacing"/>
    <w:link w:val="SinespaciadoCar"/>
    <w:uiPriority w:val="1"/>
    <w:qFormat/>
    <w:rsid w:val="00B474AC"/>
    <w:pPr>
      <w:spacing w:after="0" w:line="240" w:lineRule="auto"/>
    </w:pPr>
  </w:style>
  <w:style w:type="character" w:customStyle="1" w:styleId="SinespaciadoCar">
    <w:name w:val="Sin espaciado Car"/>
    <w:basedOn w:val="Fuentedeprrafopredeter"/>
    <w:link w:val="Sinespaciado"/>
    <w:uiPriority w:val="1"/>
    <w:rsid w:val="008846F6"/>
  </w:style>
  <w:style w:type="character" w:customStyle="1" w:styleId="Ttulo1Car">
    <w:name w:val="Título 1 Car"/>
    <w:basedOn w:val="Fuentedeprrafopredeter"/>
    <w:link w:val="Ttulo1"/>
    <w:uiPriority w:val="9"/>
    <w:qFormat/>
    <w:rsid w:val="00B474AC"/>
    <w:rPr>
      <w:rFonts w:asciiTheme="majorHAnsi" w:eastAsiaTheme="majorEastAsia" w:hAnsiTheme="majorHAnsi" w:cstheme="majorBidi"/>
      <w:color w:val="4E111A" w:themeColor="accent1" w:themeShade="80"/>
      <w:sz w:val="36"/>
      <w:szCs w:val="36"/>
    </w:rPr>
  </w:style>
  <w:style w:type="character" w:customStyle="1" w:styleId="Ttulo2Car">
    <w:name w:val="Título 2 Car"/>
    <w:basedOn w:val="Fuentedeprrafopredeter"/>
    <w:link w:val="Ttulo2"/>
    <w:uiPriority w:val="9"/>
    <w:qFormat/>
    <w:rsid w:val="00B474AC"/>
    <w:rPr>
      <w:rFonts w:asciiTheme="majorHAnsi" w:eastAsiaTheme="majorEastAsia" w:hAnsiTheme="majorHAnsi" w:cstheme="majorBidi"/>
      <w:color w:val="751927" w:themeColor="accent1" w:themeShade="BF"/>
      <w:sz w:val="32"/>
      <w:szCs w:val="32"/>
    </w:rPr>
  </w:style>
  <w:style w:type="character" w:customStyle="1" w:styleId="Ttulo3Car">
    <w:name w:val="Título 3 Car"/>
    <w:basedOn w:val="Fuentedeprrafopredeter"/>
    <w:link w:val="Ttulo3"/>
    <w:uiPriority w:val="9"/>
    <w:qFormat/>
    <w:rsid w:val="00B474AC"/>
    <w:rPr>
      <w:rFonts w:asciiTheme="majorHAnsi" w:eastAsiaTheme="majorEastAsia" w:hAnsiTheme="majorHAnsi" w:cstheme="majorBidi"/>
      <w:color w:val="751927" w:themeColor="accent1" w:themeShade="BF"/>
      <w:sz w:val="28"/>
      <w:szCs w:val="28"/>
    </w:rPr>
  </w:style>
  <w:style w:type="character" w:customStyle="1" w:styleId="Ttulo4Car">
    <w:name w:val="Título 4 Car"/>
    <w:basedOn w:val="Fuentedeprrafopredeter"/>
    <w:link w:val="Ttulo4"/>
    <w:uiPriority w:val="9"/>
    <w:qFormat/>
    <w:rsid w:val="00B474AC"/>
    <w:rPr>
      <w:rFonts w:asciiTheme="majorHAnsi" w:eastAsiaTheme="majorEastAsia" w:hAnsiTheme="majorHAnsi" w:cstheme="majorBidi"/>
      <w:color w:val="751927" w:themeColor="accent1" w:themeShade="BF"/>
      <w:sz w:val="24"/>
      <w:szCs w:val="24"/>
    </w:rPr>
  </w:style>
  <w:style w:type="character" w:customStyle="1" w:styleId="Ttulo5Car">
    <w:name w:val="Título 5 Car"/>
    <w:basedOn w:val="Fuentedeprrafopredeter"/>
    <w:link w:val="Ttulo5"/>
    <w:uiPriority w:val="9"/>
    <w:qFormat/>
    <w:rsid w:val="00B474AC"/>
    <w:rPr>
      <w:rFonts w:asciiTheme="majorHAnsi" w:eastAsiaTheme="majorEastAsia" w:hAnsiTheme="majorHAnsi" w:cstheme="majorBidi"/>
      <w:caps/>
      <w:color w:val="751927" w:themeColor="accent1" w:themeShade="BF"/>
    </w:rPr>
  </w:style>
  <w:style w:type="character" w:customStyle="1" w:styleId="Ttulo6Car">
    <w:name w:val="Título 6 Car"/>
    <w:basedOn w:val="Fuentedeprrafopredeter"/>
    <w:link w:val="Ttulo6"/>
    <w:uiPriority w:val="9"/>
    <w:semiHidden/>
    <w:qFormat/>
    <w:rsid w:val="00B474AC"/>
    <w:rPr>
      <w:rFonts w:asciiTheme="majorHAnsi" w:eastAsiaTheme="majorEastAsia" w:hAnsiTheme="majorHAnsi" w:cstheme="majorBidi"/>
      <w:i/>
      <w:iCs/>
      <w:caps/>
      <w:color w:val="4E111A" w:themeColor="accent1" w:themeShade="80"/>
    </w:rPr>
  </w:style>
  <w:style w:type="character" w:customStyle="1" w:styleId="Ttulo7Car">
    <w:name w:val="Título 7 Car"/>
    <w:basedOn w:val="Fuentedeprrafopredeter"/>
    <w:link w:val="Ttulo7"/>
    <w:uiPriority w:val="9"/>
    <w:semiHidden/>
    <w:qFormat/>
    <w:rsid w:val="00B474AC"/>
    <w:rPr>
      <w:rFonts w:asciiTheme="majorHAnsi" w:eastAsiaTheme="majorEastAsia" w:hAnsiTheme="majorHAnsi" w:cstheme="majorBidi"/>
      <w:b/>
      <w:bCs/>
      <w:color w:val="4E111A" w:themeColor="accent1" w:themeShade="80"/>
    </w:rPr>
  </w:style>
  <w:style w:type="character" w:customStyle="1" w:styleId="Ttulo8Car">
    <w:name w:val="Título 8 Car"/>
    <w:basedOn w:val="Fuentedeprrafopredeter"/>
    <w:link w:val="Ttulo8"/>
    <w:uiPriority w:val="9"/>
    <w:semiHidden/>
    <w:qFormat/>
    <w:rsid w:val="00B474AC"/>
    <w:rPr>
      <w:rFonts w:asciiTheme="majorHAnsi" w:eastAsiaTheme="majorEastAsia" w:hAnsiTheme="majorHAnsi" w:cstheme="majorBidi"/>
      <w:b/>
      <w:bCs/>
      <w:i/>
      <w:iCs/>
      <w:color w:val="4E111A" w:themeColor="accent1" w:themeShade="80"/>
    </w:rPr>
  </w:style>
  <w:style w:type="character" w:customStyle="1" w:styleId="Ttulo9Car">
    <w:name w:val="Título 9 Car"/>
    <w:basedOn w:val="Fuentedeprrafopredeter"/>
    <w:link w:val="Ttulo9"/>
    <w:uiPriority w:val="9"/>
    <w:semiHidden/>
    <w:qFormat/>
    <w:rsid w:val="00B474AC"/>
    <w:rPr>
      <w:rFonts w:asciiTheme="majorHAnsi" w:eastAsiaTheme="majorEastAsia" w:hAnsiTheme="majorHAnsi" w:cstheme="majorBidi"/>
      <w:i/>
      <w:iCs/>
      <w:color w:val="4E111A" w:themeColor="accent1" w:themeShade="80"/>
    </w:rPr>
  </w:style>
  <w:style w:type="paragraph" w:styleId="Descripcin">
    <w:name w:val="caption"/>
    <w:basedOn w:val="Normal"/>
    <w:next w:val="Normal"/>
    <w:uiPriority w:val="35"/>
    <w:unhideWhenUsed/>
    <w:qFormat/>
    <w:rsid w:val="00B474AC"/>
    <w:pPr>
      <w:spacing w:line="240" w:lineRule="auto"/>
    </w:pPr>
    <w:rPr>
      <w:b/>
      <w:bCs/>
      <w:smallCaps/>
      <w:color w:val="39302A" w:themeColor="text2"/>
    </w:rPr>
  </w:style>
  <w:style w:type="paragraph" w:styleId="Ttulo">
    <w:name w:val="Title"/>
    <w:basedOn w:val="Normal"/>
    <w:next w:val="Normal"/>
    <w:link w:val="TtuloCar"/>
    <w:uiPriority w:val="10"/>
    <w:qFormat/>
    <w:rsid w:val="00B474AC"/>
    <w:pPr>
      <w:spacing w:after="0" w:line="204" w:lineRule="auto"/>
      <w:contextualSpacing/>
    </w:pPr>
    <w:rPr>
      <w:rFonts w:asciiTheme="majorHAnsi" w:eastAsiaTheme="majorEastAsia" w:hAnsiTheme="majorHAnsi" w:cstheme="majorBidi"/>
      <w:caps/>
      <w:color w:val="39302A" w:themeColor="text2"/>
      <w:spacing w:val="-15"/>
      <w:sz w:val="72"/>
      <w:szCs w:val="72"/>
    </w:rPr>
  </w:style>
  <w:style w:type="character" w:customStyle="1" w:styleId="TtuloCar">
    <w:name w:val="Título Car"/>
    <w:basedOn w:val="Fuentedeprrafopredeter"/>
    <w:link w:val="Ttulo"/>
    <w:uiPriority w:val="10"/>
    <w:qFormat/>
    <w:rsid w:val="00B474AC"/>
    <w:rPr>
      <w:rFonts w:asciiTheme="majorHAnsi" w:eastAsiaTheme="majorEastAsia" w:hAnsiTheme="majorHAnsi" w:cstheme="majorBidi"/>
      <w:caps/>
      <w:color w:val="39302A" w:themeColor="text2"/>
      <w:spacing w:val="-15"/>
      <w:sz w:val="72"/>
      <w:szCs w:val="72"/>
    </w:rPr>
  </w:style>
  <w:style w:type="paragraph" w:styleId="Subttulo">
    <w:name w:val="Subtitle"/>
    <w:basedOn w:val="Normal"/>
    <w:next w:val="Normal"/>
    <w:link w:val="SubttuloCar"/>
    <w:uiPriority w:val="11"/>
    <w:qFormat/>
    <w:rsid w:val="00B474AC"/>
    <w:pPr>
      <w:numPr>
        <w:ilvl w:val="1"/>
      </w:numPr>
      <w:spacing w:after="240" w:line="240" w:lineRule="auto"/>
    </w:pPr>
    <w:rPr>
      <w:rFonts w:asciiTheme="majorHAnsi" w:eastAsiaTheme="majorEastAsia" w:hAnsiTheme="majorHAnsi" w:cstheme="majorBidi"/>
      <w:color w:val="9D2235" w:themeColor="accent1"/>
      <w:sz w:val="28"/>
      <w:szCs w:val="28"/>
    </w:rPr>
  </w:style>
  <w:style w:type="character" w:customStyle="1" w:styleId="SubttuloCar">
    <w:name w:val="Subtítulo Car"/>
    <w:basedOn w:val="Fuentedeprrafopredeter"/>
    <w:link w:val="Subttulo"/>
    <w:uiPriority w:val="11"/>
    <w:qFormat/>
    <w:rsid w:val="00B474AC"/>
    <w:rPr>
      <w:rFonts w:asciiTheme="majorHAnsi" w:eastAsiaTheme="majorEastAsia" w:hAnsiTheme="majorHAnsi" w:cstheme="majorBidi"/>
      <w:color w:val="9D2235" w:themeColor="accent1"/>
      <w:sz w:val="28"/>
      <w:szCs w:val="28"/>
    </w:rPr>
  </w:style>
  <w:style w:type="character" w:styleId="Textoennegrita">
    <w:name w:val="Strong"/>
    <w:basedOn w:val="Fuentedeprrafopredeter"/>
    <w:uiPriority w:val="22"/>
    <w:qFormat/>
    <w:rsid w:val="00B474AC"/>
    <w:rPr>
      <w:b/>
      <w:bCs/>
    </w:rPr>
  </w:style>
  <w:style w:type="character" w:styleId="nfasis">
    <w:name w:val="Emphasis"/>
    <w:basedOn w:val="Fuentedeprrafopredeter"/>
    <w:qFormat/>
    <w:rsid w:val="00B474AC"/>
    <w:rPr>
      <w:i/>
      <w:iCs/>
    </w:rPr>
  </w:style>
  <w:style w:type="paragraph" w:styleId="Cita">
    <w:name w:val="Quote"/>
    <w:basedOn w:val="Normal"/>
    <w:next w:val="Normal"/>
    <w:link w:val="CitaCar"/>
    <w:uiPriority w:val="29"/>
    <w:qFormat/>
    <w:rsid w:val="00B474AC"/>
    <w:pPr>
      <w:spacing w:before="120" w:after="120"/>
      <w:ind w:left="720"/>
    </w:pPr>
    <w:rPr>
      <w:color w:val="39302A" w:themeColor="text2"/>
      <w:sz w:val="24"/>
      <w:szCs w:val="24"/>
    </w:rPr>
  </w:style>
  <w:style w:type="character" w:customStyle="1" w:styleId="CitaCar">
    <w:name w:val="Cita Car"/>
    <w:basedOn w:val="Fuentedeprrafopredeter"/>
    <w:link w:val="Cita"/>
    <w:uiPriority w:val="29"/>
    <w:qFormat/>
    <w:rsid w:val="00B474AC"/>
    <w:rPr>
      <w:color w:val="39302A" w:themeColor="text2"/>
      <w:sz w:val="24"/>
      <w:szCs w:val="24"/>
    </w:rPr>
  </w:style>
  <w:style w:type="paragraph" w:styleId="Citadestacada">
    <w:name w:val="Intense Quote"/>
    <w:basedOn w:val="Normal"/>
    <w:next w:val="Normal"/>
    <w:link w:val="CitadestacadaCar"/>
    <w:uiPriority w:val="30"/>
    <w:qFormat/>
    <w:rsid w:val="00B474AC"/>
    <w:pPr>
      <w:spacing w:before="100" w:beforeAutospacing="1" w:after="240" w:line="240" w:lineRule="auto"/>
      <w:ind w:left="720"/>
      <w:jc w:val="center"/>
    </w:pPr>
    <w:rPr>
      <w:rFonts w:asciiTheme="majorHAnsi" w:eastAsiaTheme="majorEastAsia" w:hAnsiTheme="majorHAnsi" w:cstheme="majorBidi"/>
      <w:color w:val="39302A" w:themeColor="text2"/>
      <w:spacing w:val="-6"/>
      <w:sz w:val="32"/>
      <w:szCs w:val="32"/>
    </w:rPr>
  </w:style>
  <w:style w:type="character" w:customStyle="1" w:styleId="CitadestacadaCar">
    <w:name w:val="Cita destacada Car"/>
    <w:basedOn w:val="Fuentedeprrafopredeter"/>
    <w:link w:val="Citadestacada"/>
    <w:uiPriority w:val="30"/>
    <w:qFormat/>
    <w:rsid w:val="00B474AC"/>
    <w:rPr>
      <w:rFonts w:asciiTheme="majorHAnsi" w:eastAsiaTheme="majorEastAsia" w:hAnsiTheme="majorHAnsi" w:cstheme="majorBidi"/>
      <w:color w:val="39302A" w:themeColor="text2"/>
      <w:spacing w:val="-6"/>
      <w:sz w:val="32"/>
      <w:szCs w:val="32"/>
    </w:rPr>
  </w:style>
  <w:style w:type="character" w:styleId="nfasissutil">
    <w:name w:val="Subtle Emphasis"/>
    <w:basedOn w:val="Fuentedeprrafopredeter"/>
    <w:uiPriority w:val="19"/>
    <w:qFormat/>
    <w:rsid w:val="00B474AC"/>
    <w:rPr>
      <w:i/>
      <w:iCs/>
      <w:color w:val="595959" w:themeColor="text1" w:themeTint="A6"/>
    </w:rPr>
  </w:style>
  <w:style w:type="character" w:styleId="nfasisintenso">
    <w:name w:val="Intense Emphasis"/>
    <w:basedOn w:val="Fuentedeprrafopredeter"/>
    <w:uiPriority w:val="21"/>
    <w:qFormat/>
    <w:rsid w:val="00B474AC"/>
    <w:rPr>
      <w:b/>
      <w:bCs/>
      <w:i/>
      <w:iCs/>
    </w:rPr>
  </w:style>
  <w:style w:type="character" w:styleId="Referenciasutil">
    <w:name w:val="Subtle Reference"/>
    <w:basedOn w:val="Fuentedeprrafopredeter"/>
    <w:uiPriority w:val="31"/>
    <w:qFormat/>
    <w:rsid w:val="00B474AC"/>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B474AC"/>
    <w:rPr>
      <w:b/>
      <w:bCs/>
      <w:smallCaps/>
      <w:color w:val="39302A" w:themeColor="text2"/>
      <w:u w:val="single"/>
    </w:rPr>
  </w:style>
  <w:style w:type="character" w:styleId="Ttulodellibro">
    <w:name w:val="Book Title"/>
    <w:basedOn w:val="Fuentedeprrafopredeter"/>
    <w:uiPriority w:val="33"/>
    <w:qFormat/>
    <w:rsid w:val="00B474AC"/>
    <w:rPr>
      <w:b/>
      <w:bCs/>
      <w:smallCaps/>
      <w:spacing w:val="10"/>
    </w:rPr>
  </w:style>
  <w:style w:type="paragraph" w:styleId="TtuloTDC">
    <w:name w:val="TOC Heading"/>
    <w:basedOn w:val="Ttulo1"/>
    <w:next w:val="Normal"/>
    <w:link w:val="TtuloTDCCar"/>
    <w:uiPriority w:val="39"/>
    <w:unhideWhenUsed/>
    <w:qFormat/>
    <w:rsid w:val="00B474AC"/>
    <w:pPr>
      <w:outlineLvl w:val="9"/>
    </w:pPr>
  </w:style>
  <w:style w:type="table" w:styleId="Tablaconcuadrcula">
    <w:name w:val="Table Grid"/>
    <w:basedOn w:val="Tablanormal"/>
    <w:uiPriority w:val="39"/>
    <w:rsid w:val="007226B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7226B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CB1947"/>
  </w:style>
  <w:style w:type="character" w:customStyle="1" w:styleId="EnlacedeInternet">
    <w:name w:val="Enlace de Internet"/>
    <w:rsid w:val="00CB1947"/>
    <w:rPr>
      <w:color w:val="000080"/>
      <w:u w:val="single"/>
    </w:rPr>
  </w:style>
  <w:style w:type="paragraph" w:styleId="Textodeglobo">
    <w:name w:val="Balloon Text"/>
    <w:basedOn w:val="Normal"/>
    <w:link w:val="TextodegloboCar"/>
    <w:uiPriority w:val="99"/>
    <w:semiHidden/>
    <w:unhideWhenUsed/>
    <w:qFormat/>
    <w:rsid w:val="00CB1947"/>
    <w:pPr>
      <w:spacing w:after="0" w:line="240" w:lineRule="auto"/>
    </w:pPr>
    <w:rPr>
      <w:rFonts w:ascii="Tahoma" w:eastAsia="NSimSun" w:hAnsi="Tahoma" w:cs="Mangal"/>
      <w:kern w:val="2"/>
      <w:sz w:val="16"/>
      <w:szCs w:val="14"/>
      <w:lang w:eastAsia="zh-CN" w:bidi="hi-IN"/>
    </w:rPr>
  </w:style>
  <w:style w:type="character" w:customStyle="1" w:styleId="TextodegloboCar">
    <w:name w:val="Texto de globo Car"/>
    <w:basedOn w:val="Fuentedeprrafopredeter"/>
    <w:link w:val="Textodeglobo"/>
    <w:uiPriority w:val="99"/>
    <w:semiHidden/>
    <w:qFormat/>
    <w:rsid w:val="00CB1947"/>
    <w:rPr>
      <w:rFonts w:ascii="Tahoma" w:eastAsia="NSimSun" w:hAnsi="Tahoma" w:cs="Mangal"/>
      <w:kern w:val="2"/>
      <w:sz w:val="16"/>
      <w:szCs w:val="14"/>
      <w:lang w:eastAsia="zh-CN" w:bidi="hi-IN"/>
    </w:rPr>
  </w:style>
  <w:style w:type="paragraph" w:styleId="Textoindependiente">
    <w:name w:val="Body Text"/>
    <w:basedOn w:val="Normal"/>
    <w:link w:val="TextoindependienteCar"/>
    <w:qFormat/>
    <w:rsid w:val="00CB1947"/>
    <w:pPr>
      <w:spacing w:after="140" w:line="276" w:lineRule="auto"/>
    </w:pPr>
    <w:rPr>
      <w:rFonts w:ascii="Open Sans" w:eastAsia="NSimSun" w:hAnsi="Open Sans" w:cs="Arial"/>
      <w:kern w:val="2"/>
      <w:sz w:val="24"/>
      <w:szCs w:val="24"/>
      <w:lang w:eastAsia="zh-CN" w:bidi="hi-IN"/>
    </w:rPr>
  </w:style>
  <w:style w:type="character" w:customStyle="1" w:styleId="TextoindependienteCar">
    <w:name w:val="Texto independiente Car"/>
    <w:basedOn w:val="Fuentedeprrafopredeter"/>
    <w:link w:val="Textoindependiente"/>
    <w:qFormat/>
    <w:rsid w:val="00CB1947"/>
    <w:rPr>
      <w:rFonts w:ascii="Open Sans" w:eastAsia="NSimSun" w:hAnsi="Open Sans" w:cs="Arial"/>
      <w:kern w:val="2"/>
      <w:sz w:val="24"/>
      <w:szCs w:val="24"/>
      <w:lang w:eastAsia="zh-CN" w:bidi="hi-IN"/>
    </w:rPr>
  </w:style>
  <w:style w:type="paragraph" w:customStyle="1" w:styleId="western">
    <w:name w:val="western"/>
    <w:basedOn w:val="Normal"/>
    <w:qFormat/>
    <w:rsid w:val="00A21AB4"/>
    <w:pPr>
      <w:spacing w:before="100" w:beforeAutospacing="1" w:after="142" w:line="276" w:lineRule="auto"/>
    </w:pPr>
    <w:rPr>
      <w:rFonts w:ascii="Calibri" w:eastAsia="Times New Roman" w:hAnsi="Calibri" w:cs="Calibri"/>
      <w:color w:val="000000"/>
      <w:lang w:eastAsia="es-ES"/>
    </w:rPr>
  </w:style>
  <w:style w:type="character" w:customStyle="1" w:styleId="WW8Num1z0">
    <w:name w:val="WW8Num1z0"/>
    <w:qFormat/>
    <w:rsid w:val="00671CE2"/>
  </w:style>
  <w:style w:type="character" w:customStyle="1" w:styleId="WW8Num1z1">
    <w:name w:val="WW8Num1z1"/>
    <w:qFormat/>
    <w:rsid w:val="00671CE2"/>
  </w:style>
  <w:style w:type="character" w:customStyle="1" w:styleId="WW8Num1z2">
    <w:name w:val="WW8Num1z2"/>
    <w:qFormat/>
    <w:rsid w:val="00671CE2"/>
  </w:style>
  <w:style w:type="character" w:customStyle="1" w:styleId="WW8Num1z3">
    <w:name w:val="WW8Num1z3"/>
    <w:qFormat/>
    <w:rsid w:val="00671CE2"/>
  </w:style>
  <w:style w:type="character" w:customStyle="1" w:styleId="WW8Num1z4">
    <w:name w:val="WW8Num1z4"/>
    <w:qFormat/>
    <w:rsid w:val="00671CE2"/>
  </w:style>
  <w:style w:type="character" w:customStyle="1" w:styleId="WW8Num1z5">
    <w:name w:val="WW8Num1z5"/>
    <w:qFormat/>
    <w:rsid w:val="00671CE2"/>
  </w:style>
  <w:style w:type="character" w:customStyle="1" w:styleId="WW8Num1z6">
    <w:name w:val="WW8Num1z6"/>
    <w:qFormat/>
    <w:rsid w:val="00671CE2"/>
  </w:style>
  <w:style w:type="character" w:customStyle="1" w:styleId="WW8Num1z7">
    <w:name w:val="WW8Num1z7"/>
    <w:qFormat/>
    <w:rsid w:val="00671CE2"/>
  </w:style>
  <w:style w:type="character" w:customStyle="1" w:styleId="WW8Num1z8">
    <w:name w:val="WW8Num1z8"/>
    <w:qFormat/>
    <w:rsid w:val="00671CE2"/>
  </w:style>
  <w:style w:type="character" w:customStyle="1" w:styleId="WW8Num2z0">
    <w:name w:val="WW8Num2z0"/>
    <w:qFormat/>
    <w:rsid w:val="00671CE2"/>
    <w:rPr>
      <w:rFonts w:ascii="Symbol" w:hAnsi="Symbol" w:cs="Symbol"/>
      <w:sz w:val="20"/>
    </w:rPr>
  </w:style>
  <w:style w:type="character" w:customStyle="1" w:styleId="WW8Num2z1">
    <w:name w:val="WW8Num2z1"/>
    <w:qFormat/>
    <w:rsid w:val="00671CE2"/>
    <w:rPr>
      <w:rFonts w:ascii="Courier New" w:hAnsi="Courier New" w:cs="Courier New"/>
      <w:sz w:val="20"/>
    </w:rPr>
  </w:style>
  <w:style w:type="character" w:customStyle="1" w:styleId="WW8Num2z2">
    <w:name w:val="WW8Num2z2"/>
    <w:qFormat/>
    <w:rsid w:val="00671CE2"/>
    <w:rPr>
      <w:rFonts w:ascii="Wingdings" w:hAnsi="Wingdings" w:cs="Wingdings"/>
      <w:sz w:val="20"/>
    </w:rPr>
  </w:style>
  <w:style w:type="character" w:customStyle="1" w:styleId="WW8Num3z0">
    <w:name w:val="WW8Num3z0"/>
    <w:qFormat/>
    <w:rsid w:val="00671CE2"/>
    <w:rPr>
      <w:rFonts w:ascii="Symbol" w:hAnsi="Symbol" w:cs="Symbol"/>
      <w:sz w:val="20"/>
    </w:rPr>
  </w:style>
  <w:style w:type="character" w:customStyle="1" w:styleId="WW8Num3z1">
    <w:name w:val="WW8Num3z1"/>
    <w:qFormat/>
    <w:rsid w:val="00671CE2"/>
    <w:rPr>
      <w:rFonts w:ascii="Courier New" w:hAnsi="Courier New" w:cs="Courier New"/>
      <w:sz w:val="20"/>
    </w:rPr>
  </w:style>
  <w:style w:type="character" w:customStyle="1" w:styleId="WW8Num3z2">
    <w:name w:val="WW8Num3z2"/>
    <w:qFormat/>
    <w:rsid w:val="00671CE2"/>
    <w:rPr>
      <w:rFonts w:ascii="Wingdings" w:hAnsi="Wingdings" w:cs="Wingdings"/>
      <w:sz w:val="20"/>
    </w:rPr>
  </w:style>
  <w:style w:type="character" w:customStyle="1" w:styleId="WW8Num4z0">
    <w:name w:val="WW8Num4z0"/>
    <w:qFormat/>
    <w:rsid w:val="00671CE2"/>
    <w:rPr>
      <w:rFonts w:ascii="Symbol" w:hAnsi="Symbol" w:cs="Symbol"/>
      <w:sz w:val="20"/>
      <w:szCs w:val="24"/>
      <w:lang w:eastAsia="es-ES"/>
    </w:rPr>
  </w:style>
  <w:style w:type="character" w:customStyle="1" w:styleId="WW8Num4z1">
    <w:name w:val="WW8Num4z1"/>
    <w:qFormat/>
    <w:rsid w:val="00671CE2"/>
    <w:rPr>
      <w:rFonts w:ascii="Courier New" w:hAnsi="Courier New" w:cs="Courier New"/>
      <w:sz w:val="20"/>
    </w:rPr>
  </w:style>
  <w:style w:type="character" w:customStyle="1" w:styleId="WW8Num4z2">
    <w:name w:val="WW8Num4z2"/>
    <w:qFormat/>
    <w:rsid w:val="00671CE2"/>
    <w:rPr>
      <w:rFonts w:ascii="Wingdings" w:hAnsi="Wingdings" w:cs="Wingdings"/>
      <w:sz w:val="20"/>
    </w:rPr>
  </w:style>
  <w:style w:type="character" w:customStyle="1" w:styleId="WW8Num5z0">
    <w:name w:val="WW8Num5z0"/>
    <w:qFormat/>
    <w:rsid w:val="00671CE2"/>
    <w:rPr>
      <w:rFonts w:ascii="Symbol" w:hAnsi="Symbol" w:cs="Symbol"/>
      <w:sz w:val="20"/>
    </w:rPr>
  </w:style>
  <w:style w:type="character" w:customStyle="1" w:styleId="WW8Num5z1">
    <w:name w:val="WW8Num5z1"/>
    <w:qFormat/>
    <w:rsid w:val="00671CE2"/>
    <w:rPr>
      <w:rFonts w:ascii="Courier New" w:hAnsi="Courier New" w:cs="Courier New"/>
      <w:sz w:val="20"/>
    </w:rPr>
  </w:style>
  <w:style w:type="character" w:customStyle="1" w:styleId="WW8Num5z2">
    <w:name w:val="WW8Num5z2"/>
    <w:qFormat/>
    <w:rsid w:val="00671CE2"/>
    <w:rPr>
      <w:rFonts w:ascii="Wingdings" w:hAnsi="Wingdings" w:cs="Wingdings"/>
      <w:sz w:val="20"/>
    </w:rPr>
  </w:style>
  <w:style w:type="character" w:customStyle="1" w:styleId="WW8Num6z0">
    <w:name w:val="WW8Num6z0"/>
    <w:qFormat/>
    <w:rsid w:val="00671CE2"/>
    <w:rPr>
      <w:rFonts w:ascii="Symbol" w:hAnsi="Symbol" w:cs="Symbol"/>
      <w:sz w:val="20"/>
    </w:rPr>
  </w:style>
  <w:style w:type="character" w:customStyle="1" w:styleId="WW8Num6z1">
    <w:name w:val="WW8Num6z1"/>
    <w:qFormat/>
    <w:rsid w:val="00671CE2"/>
    <w:rPr>
      <w:rFonts w:ascii="Courier New" w:hAnsi="Courier New" w:cs="Courier New"/>
      <w:sz w:val="20"/>
    </w:rPr>
  </w:style>
  <w:style w:type="character" w:customStyle="1" w:styleId="WW8Num6z2">
    <w:name w:val="WW8Num6z2"/>
    <w:qFormat/>
    <w:rsid w:val="00671CE2"/>
    <w:rPr>
      <w:rFonts w:ascii="Wingdings" w:hAnsi="Wingdings" w:cs="Wingdings"/>
      <w:sz w:val="20"/>
    </w:rPr>
  </w:style>
  <w:style w:type="character" w:customStyle="1" w:styleId="WW8Num7z0">
    <w:name w:val="WW8Num7z0"/>
    <w:qFormat/>
    <w:rsid w:val="00671CE2"/>
    <w:rPr>
      <w:rFonts w:ascii="Symbol" w:eastAsia="Times New Roman" w:hAnsi="Symbol" w:cs="Symbol"/>
      <w:color w:val="C9211E"/>
      <w:sz w:val="20"/>
      <w:szCs w:val="24"/>
      <w:lang w:eastAsia="es-ES"/>
    </w:rPr>
  </w:style>
  <w:style w:type="character" w:customStyle="1" w:styleId="WW8Num7z1">
    <w:name w:val="WW8Num7z1"/>
    <w:qFormat/>
    <w:rsid w:val="00671CE2"/>
    <w:rPr>
      <w:rFonts w:ascii="Courier New" w:hAnsi="Courier New" w:cs="Courier New"/>
      <w:sz w:val="20"/>
    </w:rPr>
  </w:style>
  <w:style w:type="character" w:customStyle="1" w:styleId="WW8Num7z2">
    <w:name w:val="WW8Num7z2"/>
    <w:qFormat/>
    <w:rsid w:val="00671CE2"/>
    <w:rPr>
      <w:rFonts w:ascii="Wingdings" w:hAnsi="Wingdings" w:cs="Wingdings"/>
      <w:sz w:val="20"/>
    </w:rPr>
  </w:style>
  <w:style w:type="character" w:customStyle="1" w:styleId="WW8Num8z0">
    <w:name w:val="WW8Num8z0"/>
    <w:qFormat/>
    <w:rsid w:val="00671CE2"/>
    <w:rPr>
      <w:rFonts w:ascii="Symbol" w:hAnsi="Symbol" w:cs="OpenSymbol;Arial Unicode MS"/>
      <w:strike w:val="0"/>
      <w:dstrike w:val="0"/>
      <w:color w:val="000000"/>
      <w:sz w:val="21"/>
      <w:szCs w:val="21"/>
    </w:rPr>
  </w:style>
  <w:style w:type="character" w:customStyle="1" w:styleId="WW8Num8z1">
    <w:name w:val="WW8Num8z1"/>
    <w:qFormat/>
    <w:rsid w:val="00671CE2"/>
    <w:rPr>
      <w:rFonts w:ascii="OpenSymbol;Arial Unicode MS" w:hAnsi="OpenSymbol;Arial Unicode MS" w:cs="OpenSymbol;Arial Unicode MS"/>
    </w:rPr>
  </w:style>
  <w:style w:type="character" w:customStyle="1" w:styleId="WW8Num9z0">
    <w:name w:val="WW8Num9z0"/>
    <w:qFormat/>
    <w:rsid w:val="00671CE2"/>
    <w:rPr>
      <w:rFonts w:ascii="Symbol" w:hAnsi="Symbol" w:cs="OpenSymbol;Arial Unicode MS"/>
      <w:sz w:val="21"/>
      <w:szCs w:val="21"/>
    </w:rPr>
  </w:style>
  <w:style w:type="character" w:customStyle="1" w:styleId="WW8Num9z1">
    <w:name w:val="WW8Num9z1"/>
    <w:qFormat/>
    <w:rsid w:val="00671CE2"/>
    <w:rPr>
      <w:rFonts w:ascii="OpenSymbol;Arial Unicode MS" w:hAnsi="OpenSymbol;Arial Unicode MS" w:cs="OpenSymbol;Arial Unicode MS"/>
    </w:rPr>
  </w:style>
  <w:style w:type="character" w:customStyle="1" w:styleId="WW8Num10z0">
    <w:name w:val="WW8Num10z0"/>
    <w:qFormat/>
    <w:rsid w:val="00671CE2"/>
    <w:rPr>
      <w:rFonts w:ascii="Symbol" w:hAnsi="Symbol" w:cs="OpenSymbol;Arial Unicode MS"/>
      <w:sz w:val="21"/>
      <w:szCs w:val="21"/>
    </w:rPr>
  </w:style>
  <w:style w:type="character" w:customStyle="1" w:styleId="WW8Num10z1">
    <w:name w:val="WW8Num10z1"/>
    <w:qFormat/>
    <w:rsid w:val="00671CE2"/>
    <w:rPr>
      <w:rFonts w:ascii="OpenSymbol;Arial Unicode MS" w:hAnsi="OpenSymbol;Arial Unicode MS" w:cs="OpenSymbol;Arial Unicode MS"/>
    </w:rPr>
  </w:style>
  <w:style w:type="character" w:customStyle="1" w:styleId="WW8Num11z0">
    <w:name w:val="WW8Num11z0"/>
    <w:qFormat/>
    <w:rsid w:val="00671CE2"/>
    <w:rPr>
      <w:rFonts w:ascii="Symbol" w:hAnsi="Symbol" w:cs="OpenSymbol;Arial Unicode MS"/>
      <w:color w:val="000000"/>
      <w:sz w:val="21"/>
      <w:szCs w:val="21"/>
    </w:rPr>
  </w:style>
  <w:style w:type="character" w:customStyle="1" w:styleId="WW8Num11z1">
    <w:name w:val="WW8Num11z1"/>
    <w:qFormat/>
    <w:rsid w:val="00671CE2"/>
    <w:rPr>
      <w:rFonts w:ascii="OpenSymbol;Arial Unicode MS" w:hAnsi="OpenSymbol;Arial Unicode MS" w:cs="OpenSymbol;Arial Unicode MS"/>
    </w:rPr>
  </w:style>
  <w:style w:type="character" w:customStyle="1" w:styleId="WW8Num12z0">
    <w:name w:val="WW8Num12z0"/>
    <w:qFormat/>
    <w:rsid w:val="00671CE2"/>
    <w:rPr>
      <w:rFonts w:ascii="Symbol" w:hAnsi="Symbol" w:cs="OpenSymbol;Arial Unicode MS"/>
      <w:color w:val="000000"/>
      <w:sz w:val="21"/>
      <w:szCs w:val="21"/>
    </w:rPr>
  </w:style>
  <w:style w:type="character" w:customStyle="1" w:styleId="WW8Num12z1">
    <w:name w:val="WW8Num12z1"/>
    <w:qFormat/>
    <w:rsid w:val="00671CE2"/>
    <w:rPr>
      <w:rFonts w:ascii="OpenSymbol;Arial Unicode MS" w:hAnsi="OpenSymbol;Arial Unicode MS" w:cs="OpenSymbol;Arial Unicode MS"/>
    </w:rPr>
  </w:style>
  <w:style w:type="character" w:customStyle="1" w:styleId="WW8Num13z0">
    <w:name w:val="WW8Num13z0"/>
    <w:qFormat/>
    <w:rsid w:val="00671CE2"/>
    <w:rPr>
      <w:rFonts w:ascii="Symbol" w:hAnsi="Symbol" w:cs="OpenSymbol;Arial Unicode MS"/>
      <w:color w:val="000000"/>
      <w:sz w:val="21"/>
      <w:szCs w:val="21"/>
    </w:rPr>
  </w:style>
  <w:style w:type="character" w:customStyle="1" w:styleId="WW8Num13z1">
    <w:name w:val="WW8Num13z1"/>
    <w:qFormat/>
    <w:rsid w:val="00671CE2"/>
    <w:rPr>
      <w:rFonts w:ascii="OpenSymbol;Arial Unicode MS" w:hAnsi="OpenSymbol;Arial Unicode MS" w:cs="OpenSymbol;Arial Unicode MS"/>
    </w:rPr>
  </w:style>
  <w:style w:type="character" w:customStyle="1" w:styleId="WW8Num14z0">
    <w:name w:val="WW8Num14z0"/>
    <w:qFormat/>
    <w:rsid w:val="00671CE2"/>
    <w:rPr>
      <w:rFonts w:ascii="Symbol" w:hAnsi="Symbol" w:cs="OpenSymbol;Arial Unicode MS"/>
      <w:color w:val="000000"/>
      <w:sz w:val="21"/>
      <w:szCs w:val="21"/>
    </w:rPr>
  </w:style>
  <w:style w:type="character" w:customStyle="1" w:styleId="WW8Num14z1">
    <w:name w:val="WW8Num14z1"/>
    <w:qFormat/>
    <w:rsid w:val="00671CE2"/>
    <w:rPr>
      <w:rFonts w:ascii="OpenSymbol;Arial Unicode MS" w:hAnsi="OpenSymbol;Arial Unicode MS" w:cs="OpenSymbol;Arial Unicode MS"/>
    </w:rPr>
  </w:style>
  <w:style w:type="character" w:customStyle="1" w:styleId="WW8Num15z0">
    <w:name w:val="WW8Num15z0"/>
    <w:qFormat/>
    <w:rsid w:val="00671CE2"/>
    <w:rPr>
      <w:rFonts w:ascii="Symbol" w:hAnsi="Symbol" w:cs="OpenSymbol;Arial Unicode MS"/>
      <w:color w:val="000000"/>
      <w:sz w:val="21"/>
      <w:szCs w:val="21"/>
    </w:rPr>
  </w:style>
  <w:style w:type="character" w:customStyle="1" w:styleId="WW8Num15z1">
    <w:name w:val="WW8Num15z1"/>
    <w:qFormat/>
    <w:rsid w:val="00671CE2"/>
    <w:rPr>
      <w:rFonts w:ascii="OpenSymbol;Arial Unicode MS" w:hAnsi="OpenSymbol;Arial Unicode MS" w:cs="OpenSymbol;Arial Unicode MS"/>
    </w:rPr>
  </w:style>
  <w:style w:type="character" w:customStyle="1" w:styleId="WW8Num16z0">
    <w:name w:val="WW8Num16z0"/>
    <w:qFormat/>
    <w:rsid w:val="00671CE2"/>
    <w:rPr>
      <w:rFonts w:ascii="Symbol" w:hAnsi="Symbol" w:cs="OpenSymbol;Arial Unicode MS"/>
      <w:color w:val="000000"/>
      <w:sz w:val="21"/>
      <w:szCs w:val="21"/>
    </w:rPr>
  </w:style>
  <w:style w:type="character" w:customStyle="1" w:styleId="WW8Num16z1">
    <w:name w:val="WW8Num16z1"/>
    <w:qFormat/>
    <w:rsid w:val="00671CE2"/>
    <w:rPr>
      <w:rFonts w:ascii="OpenSymbol;Arial Unicode MS" w:hAnsi="OpenSymbol;Arial Unicode MS" w:cs="OpenSymbol;Arial Unicode MS"/>
    </w:rPr>
  </w:style>
  <w:style w:type="character" w:customStyle="1" w:styleId="WW8Num17z0">
    <w:name w:val="WW8Num17z0"/>
    <w:qFormat/>
    <w:rsid w:val="00671CE2"/>
    <w:rPr>
      <w:rFonts w:ascii="Symbol" w:hAnsi="Symbol" w:cs="OpenSymbol;Arial Unicode MS"/>
      <w:color w:val="000000"/>
      <w:sz w:val="21"/>
      <w:szCs w:val="21"/>
    </w:rPr>
  </w:style>
  <w:style w:type="character" w:customStyle="1" w:styleId="WW8Num17z1">
    <w:name w:val="WW8Num17z1"/>
    <w:qFormat/>
    <w:rsid w:val="00671CE2"/>
    <w:rPr>
      <w:rFonts w:ascii="OpenSymbol;Arial Unicode MS" w:hAnsi="OpenSymbol;Arial Unicode MS" w:cs="OpenSymbol;Arial Unicode MS"/>
    </w:rPr>
  </w:style>
  <w:style w:type="character" w:customStyle="1" w:styleId="WW8Num18z0">
    <w:name w:val="WW8Num18z0"/>
    <w:qFormat/>
    <w:rsid w:val="00671CE2"/>
    <w:rPr>
      <w:rFonts w:ascii="Symbol" w:hAnsi="Symbol" w:cs="OpenSymbol;Arial Unicode MS"/>
      <w:strike w:val="0"/>
      <w:dstrike w:val="0"/>
      <w:color w:val="000000"/>
      <w:sz w:val="21"/>
      <w:szCs w:val="21"/>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8z1">
    <w:name w:val="WW8Num18z1"/>
    <w:qFormat/>
    <w:rsid w:val="00671CE2"/>
    <w:rPr>
      <w:rFonts w:ascii="OpenSymbol;Arial Unicode MS" w:hAnsi="OpenSymbol;Arial Unicode MS" w:cs="OpenSymbol;Arial Unicode MS"/>
    </w:rPr>
  </w:style>
  <w:style w:type="character" w:customStyle="1" w:styleId="WW8Num19z0">
    <w:name w:val="WW8Num19z0"/>
    <w:qFormat/>
    <w:rsid w:val="00671CE2"/>
    <w:rPr>
      <w:rFonts w:ascii="Symbol" w:hAnsi="Symbol" w:cs="OpenSymbol;Arial Unicode MS"/>
      <w:strike w:val="0"/>
      <w:dstrike w:val="0"/>
      <w:color w:val="000000"/>
      <w:sz w:val="21"/>
      <w:szCs w:val="21"/>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9z1">
    <w:name w:val="WW8Num19z1"/>
    <w:qFormat/>
    <w:rsid w:val="00671CE2"/>
    <w:rPr>
      <w:rFonts w:ascii="OpenSymbol;Arial Unicode MS" w:hAnsi="OpenSymbol;Arial Unicode MS" w:cs="OpenSymbol;Arial Unicode MS"/>
    </w:rPr>
  </w:style>
  <w:style w:type="character" w:customStyle="1" w:styleId="WW8Num20z0">
    <w:name w:val="WW8Num20z0"/>
    <w:qFormat/>
    <w:rsid w:val="00671CE2"/>
    <w:rPr>
      <w:rFonts w:ascii="Symbol" w:hAnsi="Symbol" w:cs="OpenSymbol;Arial Unicode MS"/>
      <w:color w:val="000000"/>
      <w:sz w:val="21"/>
      <w:szCs w:val="21"/>
    </w:rPr>
  </w:style>
  <w:style w:type="character" w:customStyle="1" w:styleId="WW8Num20z1">
    <w:name w:val="WW8Num20z1"/>
    <w:qFormat/>
    <w:rsid w:val="00671CE2"/>
    <w:rPr>
      <w:rFonts w:ascii="OpenSymbol;Arial Unicode MS" w:hAnsi="OpenSymbol;Arial Unicode MS" w:cs="OpenSymbol;Arial Unicode MS"/>
    </w:rPr>
  </w:style>
  <w:style w:type="character" w:customStyle="1" w:styleId="WW8Num21z0">
    <w:name w:val="WW8Num21z0"/>
    <w:qFormat/>
    <w:rsid w:val="00671CE2"/>
    <w:rPr>
      <w:rFonts w:ascii="Symbol" w:hAnsi="Symbol" w:cs="OpenSymbol;Arial Unicode MS"/>
      <w:color w:val="000000"/>
      <w:sz w:val="21"/>
      <w:szCs w:val="21"/>
    </w:rPr>
  </w:style>
  <w:style w:type="character" w:customStyle="1" w:styleId="WW8Num21z1">
    <w:name w:val="WW8Num21z1"/>
    <w:qFormat/>
    <w:rsid w:val="00671CE2"/>
    <w:rPr>
      <w:rFonts w:ascii="OpenSymbol;Arial Unicode MS" w:hAnsi="OpenSymbol;Arial Unicode MS" w:cs="OpenSymbol;Arial Unicode MS"/>
    </w:rPr>
  </w:style>
  <w:style w:type="character" w:customStyle="1" w:styleId="WW8Num22z0">
    <w:name w:val="WW8Num22z0"/>
    <w:qFormat/>
    <w:rsid w:val="00671CE2"/>
    <w:rPr>
      <w:rFonts w:ascii="Symbol" w:hAnsi="Symbol" w:cs="OpenSymbol;Arial Unicode MS"/>
      <w:color w:val="000000"/>
      <w:sz w:val="21"/>
      <w:szCs w:val="21"/>
    </w:rPr>
  </w:style>
  <w:style w:type="character" w:customStyle="1" w:styleId="WW8Num22z1">
    <w:name w:val="WW8Num22z1"/>
    <w:qFormat/>
    <w:rsid w:val="00671CE2"/>
    <w:rPr>
      <w:rFonts w:ascii="OpenSymbol;Arial Unicode MS" w:hAnsi="OpenSymbol;Arial Unicode MS" w:cs="OpenSymbol;Arial Unicode MS"/>
    </w:rPr>
  </w:style>
  <w:style w:type="character" w:customStyle="1" w:styleId="WW8Num23z0">
    <w:name w:val="WW8Num23z0"/>
    <w:qFormat/>
    <w:rsid w:val="00671CE2"/>
    <w:rPr>
      <w:rFonts w:ascii="Symbol" w:hAnsi="Symbol" w:cs="OpenSymbol;Arial Unicode MS"/>
      <w:color w:val="000000"/>
      <w:sz w:val="21"/>
      <w:szCs w:val="21"/>
    </w:rPr>
  </w:style>
  <w:style w:type="character" w:customStyle="1" w:styleId="WW8Num23z1">
    <w:name w:val="WW8Num23z1"/>
    <w:qFormat/>
    <w:rsid w:val="00671CE2"/>
    <w:rPr>
      <w:rFonts w:ascii="OpenSymbol;Arial Unicode MS" w:hAnsi="OpenSymbol;Arial Unicode MS" w:cs="OpenSymbol;Arial Unicode MS"/>
    </w:rPr>
  </w:style>
  <w:style w:type="character" w:customStyle="1" w:styleId="WW8Num24z0">
    <w:name w:val="WW8Num24z0"/>
    <w:qFormat/>
    <w:rsid w:val="00671CE2"/>
    <w:rPr>
      <w:rFonts w:ascii="Symbol" w:hAnsi="Symbol" w:cs="OpenSymbol;Arial Unicode MS"/>
      <w:color w:val="000000"/>
      <w:sz w:val="21"/>
      <w:szCs w:val="21"/>
    </w:rPr>
  </w:style>
  <w:style w:type="character" w:customStyle="1" w:styleId="WW8Num24z1">
    <w:name w:val="WW8Num24z1"/>
    <w:qFormat/>
    <w:rsid w:val="00671CE2"/>
    <w:rPr>
      <w:rFonts w:ascii="OpenSymbol;Arial Unicode MS" w:hAnsi="OpenSymbol;Arial Unicode MS" w:cs="OpenSymbol;Arial Unicode MS"/>
    </w:rPr>
  </w:style>
  <w:style w:type="character" w:customStyle="1" w:styleId="WW8Num25z0">
    <w:name w:val="WW8Num25z0"/>
    <w:qFormat/>
    <w:rsid w:val="00671CE2"/>
    <w:rPr>
      <w:rFonts w:ascii="Symbol" w:hAnsi="Symbol" w:cs="OpenSymbol;Arial Unicode MS"/>
      <w:color w:val="000000"/>
      <w:sz w:val="21"/>
      <w:szCs w:val="21"/>
    </w:rPr>
  </w:style>
  <w:style w:type="character" w:customStyle="1" w:styleId="WW8Num25z1">
    <w:name w:val="WW8Num25z1"/>
    <w:qFormat/>
    <w:rsid w:val="00671CE2"/>
    <w:rPr>
      <w:rFonts w:ascii="OpenSymbol;Arial Unicode MS" w:hAnsi="OpenSymbol;Arial Unicode MS" w:cs="OpenSymbol;Arial Unicode MS"/>
    </w:rPr>
  </w:style>
  <w:style w:type="character" w:customStyle="1" w:styleId="WW8Num26z0">
    <w:name w:val="WW8Num26z0"/>
    <w:qFormat/>
    <w:rsid w:val="00671CE2"/>
    <w:rPr>
      <w:rFonts w:ascii="Symbol" w:hAnsi="Symbol" w:cs="OpenSymbol;Arial Unicode MS"/>
      <w:color w:val="000000"/>
      <w:sz w:val="21"/>
      <w:szCs w:val="21"/>
    </w:rPr>
  </w:style>
  <w:style w:type="character" w:customStyle="1" w:styleId="WW8Num26z1">
    <w:name w:val="WW8Num26z1"/>
    <w:qFormat/>
    <w:rsid w:val="00671CE2"/>
    <w:rPr>
      <w:rFonts w:ascii="OpenSymbol;Arial Unicode MS" w:hAnsi="OpenSymbol;Arial Unicode MS" w:cs="OpenSymbol;Arial Unicode MS"/>
    </w:rPr>
  </w:style>
  <w:style w:type="character" w:customStyle="1" w:styleId="WW8Num27z0">
    <w:name w:val="WW8Num27z0"/>
    <w:qFormat/>
    <w:rsid w:val="00671CE2"/>
    <w:rPr>
      <w:rFonts w:ascii="Symbol" w:hAnsi="Symbol" w:cs="OpenSymbol;Arial Unicode MS"/>
      <w:color w:val="000000"/>
      <w:sz w:val="21"/>
      <w:szCs w:val="21"/>
    </w:rPr>
  </w:style>
  <w:style w:type="character" w:customStyle="1" w:styleId="WW8Num27z1">
    <w:name w:val="WW8Num27z1"/>
    <w:qFormat/>
    <w:rsid w:val="00671CE2"/>
    <w:rPr>
      <w:rFonts w:ascii="OpenSymbol;Arial Unicode MS" w:hAnsi="OpenSymbol;Arial Unicode MS" w:cs="OpenSymbol;Arial Unicode MS"/>
    </w:rPr>
  </w:style>
  <w:style w:type="character" w:customStyle="1" w:styleId="WW8Num28z0">
    <w:name w:val="WW8Num28z0"/>
    <w:qFormat/>
    <w:rsid w:val="00671CE2"/>
    <w:rPr>
      <w:rFonts w:ascii="Symbol" w:hAnsi="Symbol" w:cs="OpenSymbol;Arial Unicode MS"/>
      <w:color w:val="000000"/>
      <w:sz w:val="21"/>
      <w:szCs w:val="21"/>
    </w:rPr>
  </w:style>
  <w:style w:type="character" w:customStyle="1" w:styleId="WW8Num28z1">
    <w:name w:val="WW8Num28z1"/>
    <w:qFormat/>
    <w:rsid w:val="00671CE2"/>
    <w:rPr>
      <w:rFonts w:ascii="OpenSymbol;Arial Unicode MS" w:hAnsi="OpenSymbol;Arial Unicode MS" w:cs="OpenSymbol;Arial Unicode MS"/>
    </w:rPr>
  </w:style>
  <w:style w:type="character" w:customStyle="1" w:styleId="WW8Num29z0">
    <w:name w:val="WW8Num29z0"/>
    <w:qFormat/>
    <w:rsid w:val="00671CE2"/>
    <w:rPr>
      <w:rFonts w:ascii="Symbol" w:hAnsi="Symbol" w:cs="OpenSymbol;Arial Unicode MS"/>
      <w:color w:val="000000"/>
      <w:sz w:val="21"/>
      <w:szCs w:val="21"/>
    </w:rPr>
  </w:style>
  <w:style w:type="character" w:customStyle="1" w:styleId="WW8Num29z1">
    <w:name w:val="WW8Num29z1"/>
    <w:qFormat/>
    <w:rsid w:val="00671CE2"/>
    <w:rPr>
      <w:rFonts w:ascii="OpenSymbol;Arial Unicode MS" w:hAnsi="OpenSymbol;Arial Unicode MS" w:cs="OpenSymbol;Arial Unicode MS"/>
    </w:rPr>
  </w:style>
  <w:style w:type="character" w:customStyle="1" w:styleId="WW8Num30z0">
    <w:name w:val="WW8Num30z0"/>
    <w:qFormat/>
    <w:rsid w:val="00671CE2"/>
    <w:rPr>
      <w:rFonts w:ascii="Symbol" w:hAnsi="Symbol" w:cs="OpenSymbol;Arial Unicode MS"/>
      <w:caps w:val="0"/>
      <w:smallCaps w:val="0"/>
      <w:color w:val="000000"/>
      <w:spacing w:val="0"/>
      <w:sz w:val="21"/>
      <w:szCs w:val="21"/>
    </w:rPr>
  </w:style>
  <w:style w:type="character" w:customStyle="1" w:styleId="WW8Num30z1">
    <w:name w:val="WW8Num30z1"/>
    <w:qFormat/>
    <w:rsid w:val="00671CE2"/>
    <w:rPr>
      <w:rFonts w:ascii="OpenSymbol;Arial Unicode MS" w:hAnsi="OpenSymbol;Arial Unicode MS" w:cs="OpenSymbol;Arial Unicode MS"/>
    </w:rPr>
  </w:style>
  <w:style w:type="character" w:customStyle="1" w:styleId="WW8Num31z0">
    <w:name w:val="WW8Num31z0"/>
    <w:qFormat/>
    <w:rsid w:val="00671CE2"/>
    <w:rPr>
      <w:rFonts w:ascii="Symbol" w:hAnsi="Symbol" w:cs="OpenSymbol;Arial Unicode MS"/>
      <w:color w:val="000000"/>
      <w:sz w:val="21"/>
      <w:szCs w:val="21"/>
    </w:rPr>
  </w:style>
  <w:style w:type="character" w:customStyle="1" w:styleId="WW8Num31z1">
    <w:name w:val="WW8Num31z1"/>
    <w:qFormat/>
    <w:rsid w:val="00671CE2"/>
    <w:rPr>
      <w:rFonts w:ascii="OpenSymbol;Arial Unicode MS" w:hAnsi="OpenSymbol;Arial Unicode MS" w:cs="OpenSymbol;Arial Unicode MS"/>
    </w:rPr>
  </w:style>
  <w:style w:type="character" w:customStyle="1" w:styleId="WW8Num32z0">
    <w:name w:val="WW8Num32z0"/>
    <w:qFormat/>
    <w:rsid w:val="00671CE2"/>
    <w:rPr>
      <w:rFonts w:ascii="Symbol" w:eastAsia="Times New Roman" w:hAnsi="Symbol" w:cs="OpenSymbol;Arial Unicode MS"/>
      <w:color w:val="000000"/>
      <w:sz w:val="21"/>
      <w:szCs w:val="21"/>
      <w:lang w:eastAsia="es-ES"/>
    </w:rPr>
  </w:style>
  <w:style w:type="character" w:customStyle="1" w:styleId="WW8Num8z2">
    <w:name w:val="WW8Num8z2"/>
    <w:qFormat/>
    <w:rsid w:val="00671CE2"/>
    <w:rPr>
      <w:rFonts w:ascii="Wingdings" w:hAnsi="Wingdings" w:cs="Wingdings"/>
      <w:sz w:val="20"/>
    </w:rPr>
  </w:style>
  <w:style w:type="character" w:customStyle="1" w:styleId="WW8Num9z2">
    <w:name w:val="WW8Num9z2"/>
    <w:qFormat/>
    <w:rsid w:val="00671CE2"/>
  </w:style>
  <w:style w:type="character" w:customStyle="1" w:styleId="WW8Num9z3">
    <w:name w:val="WW8Num9z3"/>
    <w:qFormat/>
    <w:rsid w:val="00671CE2"/>
  </w:style>
  <w:style w:type="character" w:customStyle="1" w:styleId="WW8Num9z4">
    <w:name w:val="WW8Num9z4"/>
    <w:qFormat/>
    <w:rsid w:val="00671CE2"/>
  </w:style>
  <w:style w:type="character" w:customStyle="1" w:styleId="WW8Num9z5">
    <w:name w:val="WW8Num9z5"/>
    <w:qFormat/>
    <w:rsid w:val="00671CE2"/>
  </w:style>
  <w:style w:type="character" w:customStyle="1" w:styleId="WW8Num9z6">
    <w:name w:val="WW8Num9z6"/>
    <w:qFormat/>
    <w:rsid w:val="00671CE2"/>
  </w:style>
  <w:style w:type="character" w:customStyle="1" w:styleId="WW8Num9z7">
    <w:name w:val="WW8Num9z7"/>
    <w:qFormat/>
    <w:rsid w:val="00671CE2"/>
  </w:style>
  <w:style w:type="character" w:customStyle="1" w:styleId="WW8Num9z8">
    <w:name w:val="WW8Num9z8"/>
    <w:qFormat/>
    <w:rsid w:val="00671CE2"/>
  </w:style>
  <w:style w:type="character" w:customStyle="1" w:styleId="WW8Num10z2">
    <w:name w:val="WW8Num10z2"/>
    <w:qFormat/>
    <w:rsid w:val="00671CE2"/>
    <w:rPr>
      <w:rFonts w:ascii="Wingdings" w:hAnsi="Wingdings" w:cs="Wingdings"/>
      <w:sz w:val="20"/>
    </w:rPr>
  </w:style>
  <w:style w:type="character" w:customStyle="1" w:styleId="WW8Num11z2">
    <w:name w:val="WW8Num11z2"/>
    <w:qFormat/>
    <w:rsid w:val="00671CE2"/>
    <w:rPr>
      <w:rFonts w:ascii="Wingdings" w:hAnsi="Wingdings" w:cs="Wingdings"/>
      <w:sz w:val="20"/>
    </w:rPr>
  </w:style>
  <w:style w:type="character" w:customStyle="1" w:styleId="WW8Num12z2">
    <w:name w:val="WW8Num12z2"/>
    <w:qFormat/>
    <w:rsid w:val="00671CE2"/>
    <w:rPr>
      <w:rFonts w:ascii="Wingdings" w:hAnsi="Wingdings" w:cs="Wingdings"/>
      <w:sz w:val="20"/>
    </w:rPr>
  </w:style>
  <w:style w:type="character" w:customStyle="1" w:styleId="WW8Num13z2">
    <w:name w:val="WW8Num13z2"/>
    <w:qFormat/>
    <w:rsid w:val="00671CE2"/>
    <w:rPr>
      <w:rFonts w:ascii="Wingdings" w:hAnsi="Wingdings" w:cs="Wingdings"/>
      <w:sz w:val="20"/>
    </w:rPr>
  </w:style>
  <w:style w:type="character" w:customStyle="1" w:styleId="WW8Num14z2">
    <w:name w:val="WW8Num14z2"/>
    <w:qFormat/>
    <w:rsid w:val="00671CE2"/>
    <w:rPr>
      <w:rFonts w:ascii="Wingdings" w:hAnsi="Wingdings" w:cs="Wingdings"/>
      <w:sz w:val="20"/>
    </w:rPr>
  </w:style>
  <w:style w:type="character" w:customStyle="1" w:styleId="WW8Num6z3">
    <w:name w:val="WW8Num6z3"/>
    <w:qFormat/>
    <w:rsid w:val="00671CE2"/>
  </w:style>
  <w:style w:type="character" w:customStyle="1" w:styleId="WW8Num6z4">
    <w:name w:val="WW8Num6z4"/>
    <w:qFormat/>
    <w:rsid w:val="00671CE2"/>
  </w:style>
  <w:style w:type="character" w:customStyle="1" w:styleId="WW8Num6z5">
    <w:name w:val="WW8Num6z5"/>
    <w:qFormat/>
    <w:rsid w:val="00671CE2"/>
  </w:style>
  <w:style w:type="character" w:customStyle="1" w:styleId="WW8Num6z6">
    <w:name w:val="WW8Num6z6"/>
    <w:qFormat/>
    <w:rsid w:val="00671CE2"/>
  </w:style>
  <w:style w:type="character" w:customStyle="1" w:styleId="WW8Num6z7">
    <w:name w:val="WW8Num6z7"/>
    <w:qFormat/>
    <w:rsid w:val="00671CE2"/>
  </w:style>
  <w:style w:type="character" w:customStyle="1" w:styleId="WW8Num6z8">
    <w:name w:val="WW8Num6z8"/>
    <w:qFormat/>
    <w:rsid w:val="00671CE2"/>
  </w:style>
  <w:style w:type="character" w:customStyle="1" w:styleId="WW8Num7z3">
    <w:name w:val="WW8Num7z3"/>
    <w:qFormat/>
    <w:rsid w:val="00671CE2"/>
  </w:style>
  <w:style w:type="character" w:customStyle="1" w:styleId="WW8Num7z4">
    <w:name w:val="WW8Num7z4"/>
    <w:qFormat/>
    <w:rsid w:val="00671CE2"/>
  </w:style>
  <w:style w:type="character" w:customStyle="1" w:styleId="WW8Num7z5">
    <w:name w:val="WW8Num7z5"/>
    <w:qFormat/>
    <w:rsid w:val="00671CE2"/>
  </w:style>
  <w:style w:type="character" w:customStyle="1" w:styleId="WW8Num7z6">
    <w:name w:val="WW8Num7z6"/>
    <w:qFormat/>
    <w:rsid w:val="00671CE2"/>
  </w:style>
  <w:style w:type="character" w:customStyle="1" w:styleId="WW8Num7z7">
    <w:name w:val="WW8Num7z7"/>
    <w:qFormat/>
    <w:rsid w:val="00671CE2"/>
  </w:style>
  <w:style w:type="character" w:customStyle="1" w:styleId="WW8Num7z8">
    <w:name w:val="WW8Num7z8"/>
    <w:qFormat/>
    <w:rsid w:val="00671CE2"/>
  </w:style>
  <w:style w:type="character" w:customStyle="1" w:styleId="WW8Num10z3">
    <w:name w:val="WW8Num10z3"/>
    <w:qFormat/>
    <w:rsid w:val="00671CE2"/>
  </w:style>
  <w:style w:type="character" w:customStyle="1" w:styleId="WW8Num10z4">
    <w:name w:val="WW8Num10z4"/>
    <w:qFormat/>
    <w:rsid w:val="00671CE2"/>
  </w:style>
  <w:style w:type="character" w:customStyle="1" w:styleId="WW8Num10z5">
    <w:name w:val="WW8Num10z5"/>
    <w:qFormat/>
    <w:rsid w:val="00671CE2"/>
  </w:style>
  <w:style w:type="character" w:customStyle="1" w:styleId="WW8Num10z6">
    <w:name w:val="WW8Num10z6"/>
    <w:qFormat/>
    <w:rsid w:val="00671CE2"/>
  </w:style>
  <w:style w:type="character" w:customStyle="1" w:styleId="WW8Num10z7">
    <w:name w:val="WW8Num10z7"/>
    <w:qFormat/>
    <w:rsid w:val="00671CE2"/>
  </w:style>
  <w:style w:type="character" w:customStyle="1" w:styleId="WW8Num10z8">
    <w:name w:val="WW8Num10z8"/>
    <w:qFormat/>
    <w:rsid w:val="00671CE2"/>
  </w:style>
  <w:style w:type="character" w:customStyle="1" w:styleId="WW8Num11z3">
    <w:name w:val="WW8Num11z3"/>
    <w:qFormat/>
    <w:rsid w:val="00671CE2"/>
  </w:style>
  <w:style w:type="character" w:customStyle="1" w:styleId="WW8Num11z4">
    <w:name w:val="WW8Num11z4"/>
    <w:qFormat/>
    <w:rsid w:val="00671CE2"/>
  </w:style>
  <w:style w:type="character" w:customStyle="1" w:styleId="WW8Num11z5">
    <w:name w:val="WW8Num11z5"/>
    <w:qFormat/>
    <w:rsid w:val="00671CE2"/>
  </w:style>
  <w:style w:type="character" w:customStyle="1" w:styleId="WW8Num11z6">
    <w:name w:val="WW8Num11z6"/>
    <w:qFormat/>
    <w:rsid w:val="00671CE2"/>
  </w:style>
  <w:style w:type="character" w:customStyle="1" w:styleId="WW8Num11z7">
    <w:name w:val="WW8Num11z7"/>
    <w:qFormat/>
    <w:rsid w:val="00671CE2"/>
  </w:style>
  <w:style w:type="character" w:customStyle="1" w:styleId="WW8Num11z8">
    <w:name w:val="WW8Num11z8"/>
    <w:qFormat/>
    <w:rsid w:val="00671CE2"/>
  </w:style>
  <w:style w:type="character" w:customStyle="1" w:styleId="WW8Num12z3">
    <w:name w:val="WW8Num12z3"/>
    <w:qFormat/>
    <w:rsid w:val="00671CE2"/>
  </w:style>
  <w:style w:type="character" w:customStyle="1" w:styleId="WW8Num12z4">
    <w:name w:val="WW8Num12z4"/>
    <w:qFormat/>
    <w:rsid w:val="00671CE2"/>
  </w:style>
  <w:style w:type="character" w:customStyle="1" w:styleId="WW8Num12z5">
    <w:name w:val="WW8Num12z5"/>
    <w:qFormat/>
    <w:rsid w:val="00671CE2"/>
  </w:style>
  <w:style w:type="character" w:customStyle="1" w:styleId="WW8Num12z6">
    <w:name w:val="WW8Num12z6"/>
    <w:qFormat/>
    <w:rsid w:val="00671CE2"/>
  </w:style>
  <w:style w:type="character" w:customStyle="1" w:styleId="WW8Num12z7">
    <w:name w:val="WW8Num12z7"/>
    <w:qFormat/>
    <w:rsid w:val="00671CE2"/>
  </w:style>
  <w:style w:type="character" w:customStyle="1" w:styleId="WW8Num12z8">
    <w:name w:val="WW8Num12z8"/>
    <w:qFormat/>
    <w:rsid w:val="00671CE2"/>
  </w:style>
  <w:style w:type="character" w:customStyle="1" w:styleId="WW8Num15z2">
    <w:name w:val="WW8Num15z2"/>
    <w:qFormat/>
    <w:rsid w:val="00671CE2"/>
    <w:rPr>
      <w:rFonts w:ascii="Wingdings" w:hAnsi="Wingdings" w:cs="Wingdings"/>
      <w:sz w:val="20"/>
    </w:rPr>
  </w:style>
  <w:style w:type="character" w:customStyle="1" w:styleId="WW8Num16z2">
    <w:name w:val="WW8Num16z2"/>
    <w:qFormat/>
    <w:rsid w:val="00671CE2"/>
    <w:rPr>
      <w:rFonts w:ascii="Wingdings" w:hAnsi="Wingdings" w:cs="Wingdings"/>
      <w:sz w:val="20"/>
    </w:rPr>
  </w:style>
  <w:style w:type="character" w:customStyle="1" w:styleId="WW8Num17z2">
    <w:name w:val="WW8Num17z2"/>
    <w:qFormat/>
    <w:rsid w:val="00671CE2"/>
    <w:rPr>
      <w:rFonts w:ascii="Wingdings" w:hAnsi="Wingdings" w:cs="Wingdings"/>
      <w:sz w:val="20"/>
    </w:rPr>
  </w:style>
  <w:style w:type="character" w:customStyle="1" w:styleId="Fuentedeprrafopredeter1">
    <w:name w:val="Fuente de párrafo predeter.1"/>
    <w:qFormat/>
    <w:rsid w:val="00671CE2"/>
  </w:style>
  <w:style w:type="character" w:customStyle="1" w:styleId="EnlacedeInternetvisitado">
    <w:name w:val="Enlace de Internet visitado"/>
    <w:rsid w:val="00671CE2"/>
    <w:rPr>
      <w:color w:val="800000"/>
      <w:u w:val="single"/>
    </w:rPr>
  </w:style>
  <w:style w:type="character" w:customStyle="1" w:styleId="Muydestacado">
    <w:name w:val="Muy destacado"/>
    <w:qFormat/>
    <w:rsid w:val="00671CE2"/>
    <w:rPr>
      <w:b/>
      <w:bCs/>
    </w:rPr>
  </w:style>
  <w:style w:type="character" w:customStyle="1" w:styleId="Destacado">
    <w:name w:val="Destacado"/>
    <w:qFormat/>
    <w:rsid w:val="00671CE2"/>
    <w:rPr>
      <w:i/>
      <w:iCs/>
    </w:rPr>
  </w:style>
  <w:style w:type="character" w:customStyle="1" w:styleId="Vietas">
    <w:name w:val="Viñetas"/>
    <w:qFormat/>
    <w:rsid w:val="00671CE2"/>
    <w:rPr>
      <w:rFonts w:ascii="OpenSymbol;Arial Unicode MS" w:eastAsia="OpenSymbol;Arial Unicode MS" w:hAnsi="OpenSymbol;Arial Unicode MS" w:cs="OpenSymbol;Arial Unicode MS"/>
    </w:rPr>
  </w:style>
  <w:style w:type="character" w:customStyle="1" w:styleId="ListLabel53">
    <w:name w:val="ListLabel 53"/>
    <w:qFormat/>
    <w:rsid w:val="00671CE2"/>
    <w:rPr>
      <w:b/>
      <w:sz w:val="20"/>
    </w:rPr>
  </w:style>
  <w:style w:type="character" w:customStyle="1" w:styleId="Tipusdelletraperdefectedelpargraf">
    <w:name w:val="Tipus de lletra per defecte del paràgraf"/>
    <w:qFormat/>
    <w:rsid w:val="00671CE2"/>
  </w:style>
  <w:style w:type="character" w:customStyle="1" w:styleId="Fuentedeprrafopredeter2">
    <w:name w:val="Fuente de párrafo predeter.2"/>
    <w:qFormat/>
    <w:rsid w:val="00671CE2"/>
  </w:style>
  <w:style w:type="character" w:customStyle="1" w:styleId="WWCharLFO2LVL1">
    <w:name w:val="WW_CharLFO2LVL1"/>
    <w:qFormat/>
    <w:rsid w:val="00671CE2"/>
    <w:rPr>
      <w:rFonts w:ascii="OpenSymbol" w:eastAsia="OpenSymbol" w:hAnsi="OpenSymbol" w:cs="OpenSymbol"/>
      <w:color w:val="993333"/>
    </w:rPr>
  </w:style>
  <w:style w:type="character" w:customStyle="1" w:styleId="WWCharLFO2LVL2">
    <w:name w:val="WW_CharLFO2LVL2"/>
    <w:qFormat/>
    <w:rsid w:val="00671CE2"/>
    <w:rPr>
      <w:rFonts w:ascii="OpenSymbol" w:eastAsia="OpenSymbol" w:hAnsi="OpenSymbol" w:cs="OpenSymbol"/>
      <w:color w:val="993333"/>
    </w:rPr>
  </w:style>
  <w:style w:type="character" w:customStyle="1" w:styleId="WWCharLFO2LVL3">
    <w:name w:val="WW_CharLFO2LVL3"/>
    <w:qFormat/>
    <w:rsid w:val="00671CE2"/>
    <w:rPr>
      <w:rFonts w:ascii="OpenSymbol" w:eastAsia="OpenSymbol" w:hAnsi="OpenSymbol" w:cs="OpenSymbol"/>
      <w:color w:val="993333"/>
    </w:rPr>
  </w:style>
  <w:style w:type="character" w:customStyle="1" w:styleId="WWCharLFO2LVL4">
    <w:name w:val="WW_CharLFO2LVL4"/>
    <w:qFormat/>
    <w:rsid w:val="00671CE2"/>
    <w:rPr>
      <w:rFonts w:ascii="OpenSymbol" w:eastAsia="OpenSymbol" w:hAnsi="OpenSymbol" w:cs="OpenSymbol"/>
      <w:color w:val="993333"/>
    </w:rPr>
  </w:style>
  <w:style w:type="character" w:customStyle="1" w:styleId="WWCharLFO2LVL5">
    <w:name w:val="WW_CharLFO2LVL5"/>
    <w:qFormat/>
    <w:rsid w:val="00671CE2"/>
    <w:rPr>
      <w:rFonts w:ascii="OpenSymbol" w:eastAsia="OpenSymbol" w:hAnsi="OpenSymbol" w:cs="OpenSymbol"/>
      <w:color w:val="993333"/>
    </w:rPr>
  </w:style>
  <w:style w:type="character" w:customStyle="1" w:styleId="WWCharLFO2LVL6">
    <w:name w:val="WW_CharLFO2LVL6"/>
    <w:qFormat/>
    <w:rsid w:val="00671CE2"/>
    <w:rPr>
      <w:rFonts w:ascii="OpenSymbol" w:eastAsia="OpenSymbol" w:hAnsi="OpenSymbol" w:cs="OpenSymbol"/>
      <w:color w:val="993333"/>
    </w:rPr>
  </w:style>
  <w:style w:type="character" w:customStyle="1" w:styleId="WWCharLFO2LVL7">
    <w:name w:val="WW_CharLFO2LVL7"/>
    <w:qFormat/>
    <w:rsid w:val="00671CE2"/>
    <w:rPr>
      <w:rFonts w:ascii="OpenSymbol" w:eastAsia="OpenSymbol" w:hAnsi="OpenSymbol" w:cs="OpenSymbol"/>
      <w:color w:val="993333"/>
    </w:rPr>
  </w:style>
  <w:style w:type="character" w:customStyle="1" w:styleId="WWCharLFO2LVL8">
    <w:name w:val="WW_CharLFO2LVL8"/>
    <w:qFormat/>
    <w:rsid w:val="00671CE2"/>
    <w:rPr>
      <w:rFonts w:ascii="OpenSymbol" w:eastAsia="OpenSymbol" w:hAnsi="OpenSymbol" w:cs="OpenSymbol"/>
      <w:color w:val="993333"/>
    </w:rPr>
  </w:style>
  <w:style w:type="character" w:customStyle="1" w:styleId="WWCharLFO2LVL9">
    <w:name w:val="WW_CharLFO2LVL9"/>
    <w:qFormat/>
    <w:rsid w:val="00671CE2"/>
    <w:rPr>
      <w:rFonts w:ascii="OpenSymbol" w:eastAsia="OpenSymbol" w:hAnsi="OpenSymbol" w:cs="OpenSymbol"/>
      <w:color w:val="993333"/>
    </w:rPr>
  </w:style>
  <w:style w:type="character" w:customStyle="1" w:styleId="WWCharLFO3LVL1">
    <w:name w:val="WW_CharLFO3LVL1"/>
    <w:qFormat/>
    <w:rsid w:val="00671CE2"/>
    <w:rPr>
      <w:rFonts w:ascii="OpenSymbol" w:eastAsia="OpenSymbol" w:hAnsi="OpenSymbol" w:cs="OpenSymbol"/>
      <w:color w:val="993333"/>
    </w:rPr>
  </w:style>
  <w:style w:type="character" w:customStyle="1" w:styleId="WWCharLFO3LVL2">
    <w:name w:val="WW_CharLFO3LVL2"/>
    <w:qFormat/>
    <w:rsid w:val="00671CE2"/>
    <w:rPr>
      <w:rFonts w:ascii="OpenSymbol" w:eastAsia="OpenSymbol" w:hAnsi="OpenSymbol" w:cs="OpenSymbol"/>
      <w:color w:val="993333"/>
    </w:rPr>
  </w:style>
  <w:style w:type="character" w:customStyle="1" w:styleId="WWCharLFO3LVL3">
    <w:name w:val="WW_CharLFO3LVL3"/>
    <w:qFormat/>
    <w:rsid w:val="00671CE2"/>
    <w:rPr>
      <w:rFonts w:ascii="OpenSymbol" w:eastAsia="OpenSymbol" w:hAnsi="OpenSymbol" w:cs="OpenSymbol"/>
      <w:color w:val="993333"/>
    </w:rPr>
  </w:style>
  <w:style w:type="character" w:customStyle="1" w:styleId="WWCharLFO3LVL4">
    <w:name w:val="WW_CharLFO3LVL4"/>
    <w:qFormat/>
    <w:rsid w:val="00671CE2"/>
    <w:rPr>
      <w:rFonts w:ascii="OpenSymbol" w:eastAsia="OpenSymbol" w:hAnsi="OpenSymbol" w:cs="OpenSymbol"/>
      <w:color w:val="993333"/>
    </w:rPr>
  </w:style>
  <w:style w:type="character" w:customStyle="1" w:styleId="WWCharLFO3LVL5">
    <w:name w:val="WW_CharLFO3LVL5"/>
    <w:qFormat/>
    <w:rsid w:val="00671CE2"/>
    <w:rPr>
      <w:rFonts w:ascii="OpenSymbol" w:eastAsia="OpenSymbol" w:hAnsi="OpenSymbol" w:cs="OpenSymbol"/>
      <w:color w:val="993333"/>
    </w:rPr>
  </w:style>
  <w:style w:type="character" w:customStyle="1" w:styleId="WWCharLFO3LVL6">
    <w:name w:val="WW_CharLFO3LVL6"/>
    <w:qFormat/>
    <w:rsid w:val="00671CE2"/>
    <w:rPr>
      <w:rFonts w:ascii="OpenSymbol" w:eastAsia="OpenSymbol" w:hAnsi="OpenSymbol" w:cs="OpenSymbol"/>
      <w:color w:val="993333"/>
    </w:rPr>
  </w:style>
  <w:style w:type="character" w:customStyle="1" w:styleId="WWCharLFO3LVL7">
    <w:name w:val="WW_CharLFO3LVL7"/>
    <w:qFormat/>
    <w:rsid w:val="00671CE2"/>
    <w:rPr>
      <w:rFonts w:ascii="OpenSymbol" w:eastAsia="OpenSymbol" w:hAnsi="OpenSymbol" w:cs="OpenSymbol"/>
      <w:color w:val="993333"/>
    </w:rPr>
  </w:style>
  <w:style w:type="character" w:customStyle="1" w:styleId="WWCharLFO3LVL8">
    <w:name w:val="WW_CharLFO3LVL8"/>
    <w:qFormat/>
    <w:rsid w:val="00671CE2"/>
    <w:rPr>
      <w:rFonts w:ascii="OpenSymbol" w:eastAsia="OpenSymbol" w:hAnsi="OpenSymbol" w:cs="OpenSymbol"/>
      <w:color w:val="993333"/>
    </w:rPr>
  </w:style>
  <w:style w:type="character" w:customStyle="1" w:styleId="WWCharLFO3LVL9">
    <w:name w:val="WW_CharLFO3LVL9"/>
    <w:qFormat/>
    <w:rsid w:val="00671CE2"/>
    <w:rPr>
      <w:rFonts w:ascii="OpenSymbol" w:eastAsia="OpenSymbol" w:hAnsi="OpenSymbol" w:cs="OpenSymbol"/>
      <w:color w:val="993333"/>
    </w:rPr>
  </w:style>
  <w:style w:type="paragraph" w:styleId="Lista">
    <w:name w:val="List"/>
    <w:basedOn w:val="Textoindependiente"/>
    <w:uiPriority w:val="99"/>
    <w:qFormat/>
    <w:rsid w:val="00671CE2"/>
    <w:pPr>
      <w:suppressAutoHyphens/>
    </w:pPr>
    <w:rPr>
      <w:rFonts w:ascii="Calibri" w:eastAsia="Calibri" w:hAnsi="Calibri"/>
      <w:kern w:val="0"/>
      <w:sz w:val="22"/>
      <w:szCs w:val="22"/>
      <w:lang w:bidi="ar-SA"/>
    </w:rPr>
  </w:style>
  <w:style w:type="paragraph" w:customStyle="1" w:styleId="ndice">
    <w:name w:val="Índice"/>
    <w:basedOn w:val="Normal"/>
    <w:uiPriority w:val="99"/>
    <w:qFormat/>
    <w:rsid w:val="00671CE2"/>
    <w:pPr>
      <w:suppressLineNumbers/>
      <w:suppressAutoHyphens/>
      <w:spacing w:line="252" w:lineRule="auto"/>
    </w:pPr>
    <w:rPr>
      <w:rFonts w:ascii="Calibri" w:eastAsia="Calibri" w:hAnsi="Calibri" w:cs="Arial"/>
      <w:lang w:eastAsia="zh-CN"/>
    </w:rPr>
  </w:style>
  <w:style w:type="paragraph" w:customStyle="1" w:styleId="Ttulo10">
    <w:name w:val="Título1"/>
    <w:basedOn w:val="Normal"/>
    <w:next w:val="Textoindependiente"/>
    <w:uiPriority w:val="99"/>
    <w:qFormat/>
    <w:rsid w:val="00671CE2"/>
    <w:pPr>
      <w:keepNext/>
      <w:suppressAutoHyphens/>
      <w:spacing w:before="240" w:after="120" w:line="252" w:lineRule="auto"/>
    </w:pPr>
    <w:rPr>
      <w:rFonts w:ascii="Liberation Sans;Arial" w:eastAsia="Microsoft YaHei" w:hAnsi="Liberation Sans;Arial" w:cs="Arial"/>
      <w:sz w:val="28"/>
      <w:szCs w:val="28"/>
      <w:lang w:eastAsia="zh-CN"/>
    </w:rPr>
  </w:style>
  <w:style w:type="paragraph" w:customStyle="1" w:styleId="msonormal0">
    <w:name w:val="msonormal"/>
    <w:basedOn w:val="Normal"/>
    <w:qFormat/>
    <w:rsid w:val="00671CE2"/>
    <w:pPr>
      <w:suppressAutoHyphens/>
      <w:spacing w:before="280" w:after="142" w:line="288" w:lineRule="auto"/>
    </w:pPr>
    <w:rPr>
      <w:rFonts w:ascii="Times New Roman" w:eastAsia="Times New Roman" w:hAnsi="Times New Roman" w:cs="Times New Roman"/>
      <w:sz w:val="24"/>
      <w:szCs w:val="24"/>
      <w:lang w:eastAsia="zh-CN"/>
    </w:rPr>
  </w:style>
  <w:style w:type="paragraph" w:customStyle="1" w:styleId="Default">
    <w:name w:val="Default"/>
    <w:qFormat/>
    <w:rsid w:val="00671CE2"/>
    <w:pPr>
      <w:widowControl w:val="0"/>
      <w:suppressAutoHyphens/>
      <w:spacing w:after="0" w:line="240" w:lineRule="auto"/>
    </w:pPr>
    <w:rPr>
      <w:rFonts w:ascii="Arial" w:eastAsia="NSimSun" w:hAnsi="Arial" w:cs="Arial"/>
      <w:color w:val="000000"/>
      <w:sz w:val="24"/>
      <w:szCs w:val="24"/>
      <w:lang w:eastAsia="zh-CN" w:bidi="hi-IN"/>
    </w:rPr>
  </w:style>
  <w:style w:type="paragraph" w:customStyle="1" w:styleId="Contenidodelatabla">
    <w:name w:val="Contenido de la tabla"/>
    <w:basedOn w:val="Normal"/>
    <w:qFormat/>
    <w:rsid w:val="00671CE2"/>
    <w:pPr>
      <w:suppressLineNumbers/>
      <w:suppressAutoHyphens/>
      <w:spacing w:line="252" w:lineRule="auto"/>
    </w:pPr>
    <w:rPr>
      <w:rFonts w:ascii="Calibri" w:eastAsia="Calibri" w:hAnsi="Calibri" w:cs="Calibri"/>
      <w:lang w:eastAsia="zh-CN"/>
    </w:rPr>
  </w:style>
  <w:style w:type="paragraph" w:customStyle="1" w:styleId="ndicedeusuario4">
    <w:name w:val="Índice de usuario 4"/>
    <w:basedOn w:val="ndice"/>
    <w:uiPriority w:val="99"/>
    <w:qFormat/>
    <w:rsid w:val="00671CE2"/>
    <w:pPr>
      <w:tabs>
        <w:tab w:val="right" w:leader="dot" w:pos="8789"/>
      </w:tabs>
      <w:ind w:left="849"/>
    </w:pPr>
  </w:style>
  <w:style w:type="paragraph" w:customStyle="1" w:styleId="Standard">
    <w:name w:val="Standard"/>
    <w:qFormat/>
    <w:rsid w:val="00671CE2"/>
    <w:pPr>
      <w:widowControl w:val="0"/>
      <w:suppressAutoHyphens/>
      <w:spacing w:after="0" w:line="240" w:lineRule="auto"/>
      <w:textAlignment w:val="baseline"/>
    </w:pPr>
    <w:rPr>
      <w:rFonts w:ascii="Liberation Serif" w:eastAsia="NSimSun" w:hAnsi="Liberation Serif" w:cs="Arial"/>
      <w:sz w:val="24"/>
      <w:szCs w:val="24"/>
      <w:lang w:eastAsia="zh-CN" w:bidi="hi-IN"/>
    </w:rPr>
  </w:style>
  <w:style w:type="paragraph" w:customStyle="1" w:styleId="Textbody">
    <w:name w:val="Text body"/>
    <w:basedOn w:val="Standard"/>
    <w:qFormat/>
    <w:rsid w:val="00671CE2"/>
    <w:pPr>
      <w:spacing w:after="140" w:line="288" w:lineRule="auto"/>
    </w:pPr>
  </w:style>
  <w:style w:type="paragraph" w:customStyle="1" w:styleId="ndicedeusuario3">
    <w:name w:val="Índice de usuario 3"/>
    <w:basedOn w:val="ndice"/>
    <w:uiPriority w:val="99"/>
    <w:qFormat/>
    <w:rsid w:val="00671CE2"/>
    <w:pPr>
      <w:tabs>
        <w:tab w:val="right" w:leader="dot" w:pos="9072"/>
      </w:tabs>
      <w:ind w:left="566"/>
    </w:pPr>
  </w:style>
  <w:style w:type="numbering" w:customStyle="1" w:styleId="WW8Num1">
    <w:name w:val="WW8Num1"/>
    <w:qFormat/>
    <w:rsid w:val="00671CE2"/>
  </w:style>
  <w:style w:type="numbering" w:customStyle="1" w:styleId="WW8Num2">
    <w:name w:val="WW8Num2"/>
    <w:qFormat/>
    <w:rsid w:val="00671CE2"/>
  </w:style>
  <w:style w:type="numbering" w:customStyle="1" w:styleId="WW8Num3">
    <w:name w:val="WW8Num3"/>
    <w:qFormat/>
    <w:rsid w:val="00671CE2"/>
    <w:pPr>
      <w:numPr>
        <w:numId w:val="20"/>
      </w:numPr>
    </w:pPr>
  </w:style>
  <w:style w:type="numbering" w:customStyle="1" w:styleId="WW8Num4">
    <w:name w:val="WW8Num4"/>
    <w:qFormat/>
    <w:rsid w:val="00671CE2"/>
  </w:style>
  <w:style w:type="numbering" w:customStyle="1" w:styleId="WW8Num5">
    <w:name w:val="WW8Num5"/>
    <w:qFormat/>
    <w:rsid w:val="00671CE2"/>
  </w:style>
  <w:style w:type="numbering" w:customStyle="1" w:styleId="WW8Num6">
    <w:name w:val="WW8Num6"/>
    <w:qFormat/>
    <w:rsid w:val="00671CE2"/>
  </w:style>
  <w:style w:type="numbering" w:customStyle="1" w:styleId="WW8Num7">
    <w:name w:val="WW8Num7"/>
    <w:qFormat/>
    <w:rsid w:val="00671CE2"/>
  </w:style>
  <w:style w:type="numbering" w:customStyle="1" w:styleId="WW8Num8">
    <w:name w:val="WW8Num8"/>
    <w:qFormat/>
    <w:rsid w:val="00671CE2"/>
  </w:style>
  <w:style w:type="numbering" w:customStyle="1" w:styleId="WW8Num9">
    <w:name w:val="WW8Num9"/>
    <w:qFormat/>
    <w:rsid w:val="00671CE2"/>
  </w:style>
  <w:style w:type="numbering" w:customStyle="1" w:styleId="WW8Num10">
    <w:name w:val="WW8Num10"/>
    <w:qFormat/>
    <w:rsid w:val="00671CE2"/>
  </w:style>
  <w:style w:type="numbering" w:customStyle="1" w:styleId="WW8Num11">
    <w:name w:val="WW8Num11"/>
    <w:qFormat/>
    <w:rsid w:val="00671CE2"/>
  </w:style>
  <w:style w:type="numbering" w:customStyle="1" w:styleId="WW8Num12">
    <w:name w:val="WW8Num12"/>
    <w:qFormat/>
    <w:rsid w:val="00671CE2"/>
  </w:style>
  <w:style w:type="numbering" w:customStyle="1" w:styleId="WW8Num13">
    <w:name w:val="WW8Num13"/>
    <w:qFormat/>
    <w:rsid w:val="00671CE2"/>
  </w:style>
  <w:style w:type="numbering" w:customStyle="1" w:styleId="WW8Num14">
    <w:name w:val="WW8Num14"/>
    <w:qFormat/>
    <w:rsid w:val="00671CE2"/>
  </w:style>
  <w:style w:type="numbering" w:customStyle="1" w:styleId="WW8Num15">
    <w:name w:val="WW8Num15"/>
    <w:qFormat/>
    <w:rsid w:val="00671CE2"/>
  </w:style>
  <w:style w:type="numbering" w:customStyle="1" w:styleId="WW8Num16">
    <w:name w:val="WW8Num16"/>
    <w:qFormat/>
    <w:rsid w:val="00671CE2"/>
  </w:style>
  <w:style w:type="numbering" w:customStyle="1" w:styleId="WW8Num17">
    <w:name w:val="WW8Num17"/>
    <w:qFormat/>
    <w:rsid w:val="00671CE2"/>
  </w:style>
  <w:style w:type="numbering" w:customStyle="1" w:styleId="WW8Num18">
    <w:name w:val="WW8Num18"/>
    <w:qFormat/>
    <w:rsid w:val="00671CE2"/>
  </w:style>
  <w:style w:type="numbering" w:customStyle="1" w:styleId="WW8Num19">
    <w:name w:val="WW8Num19"/>
    <w:qFormat/>
    <w:rsid w:val="00671CE2"/>
  </w:style>
  <w:style w:type="numbering" w:customStyle="1" w:styleId="WW8Num20">
    <w:name w:val="WW8Num20"/>
    <w:qFormat/>
    <w:rsid w:val="00671CE2"/>
  </w:style>
  <w:style w:type="numbering" w:customStyle="1" w:styleId="WW8Num21">
    <w:name w:val="WW8Num21"/>
    <w:qFormat/>
    <w:rsid w:val="00671CE2"/>
  </w:style>
  <w:style w:type="numbering" w:customStyle="1" w:styleId="WW8Num22">
    <w:name w:val="WW8Num22"/>
    <w:qFormat/>
    <w:rsid w:val="00671CE2"/>
  </w:style>
  <w:style w:type="numbering" w:customStyle="1" w:styleId="WW8Num23">
    <w:name w:val="WW8Num23"/>
    <w:qFormat/>
    <w:rsid w:val="00671CE2"/>
  </w:style>
  <w:style w:type="numbering" w:customStyle="1" w:styleId="WW8Num24">
    <w:name w:val="WW8Num24"/>
    <w:qFormat/>
    <w:rsid w:val="00671CE2"/>
  </w:style>
  <w:style w:type="numbering" w:customStyle="1" w:styleId="WW8Num25">
    <w:name w:val="WW8Num25"/>
    <w:qFormat/>
    <w:rsid w:val="00671CE2"/>
  </w:style>
  <w:style w:type="numbering" w:customStyle="1" w:styleId="WW8Num26">
    <w:name w:val="WW8Num26"/>
    <w:qFormat/>
    <w:rsid w:val="00671CE2"/>
  </w:style>
  <w:style w:type="numbering" w:customStyle="1" w:styleId="WW8Num27">
    <w:name w:val="WW8Num27"/>
    <w:qFormat/>
    <w:rsid w:val="00671CE2"/>
  </w:style>
  <w:style w:type="numbering" w:customStyle="1" w:styleId="WW8Num28">
    <w:name w:val="WW8Num28"/>
    <w:qFormat/>
    <w:rsid w:val="00671CE2"/>
  </w:style>
  <w:style w:type="numbering" w:customStyle="1" w:styleId="WW8Num29">
    <w:name w:val="WW8Num29"/>
    <w:qFormat/>
    <w:rsid w:val="00671CE2"/>
  </w:style>
  <w:style w:type="numbering" w:customStyle="1" w:styleId="WW8Num30">
    <w:name w:val="WW8Num30"/>
    <w:qFormat/>
    <w:rsid w:val="00671CE2"/>
  </w:style>
  <w:style w:type="numbering" w:customStyle="1" w:styleId="WW8Num31">
    <w:name w:val="WW8Num31"/>
    <w:qFormat/>
    <w:rsid w:val="00671CE2"/>
  </w:style>
  <w:style w:type="numbering" w:customStyle="1" w:styleId="WW8Num32">
    <w:name w:val="WW8Num32"/>
    <w:qFormat/>
    <w:rsid w:val="00671CE2"/>
  </w:style>
  <w:style w:type="table" w:customStyle="1" w:styleId="Tablaconcuadrcula2">
    <w:name w:val="Tabla con cuadrícula2"/>
    <w:basedOn w:val="Tablanormal"/>
    <w:next w:val="Tablaconcuadrcula"/>
    <w:uiPriority w:val="39"/>
    <w:rsid w:val="0080128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9568B0"/>
  </w:style>
  <w:style w:type="numbering" w:customStyle="1" w:styleId="Sinlista3">
    <w:name w:val="Sin lista3"/>
    <w:next w:val="Sinlista"/>
    <w:uiPriority w:val="99"/>
    <w:semiHidden/>
    <w:unhideWhenUsed/>
    <w:rsid w:val="000952B8"/>
  </w:style>
  <w:style w:type="character" w:styleId="Mencinsinresolver">
    <w:name w:val="Unresolved Mention"/>
    <w:basedOn w:val="Fuentedeprrafopredeter"/>
    <w:uiPriority w:val="99"/>
    <w:semiHidden/>
    <w:unhideWhenUsed/>
    <w:qFormat/>
    <w:rsid w:val="000952B8"/>
    <w:rPr>
      <w:color w:val="605E5C"/>
      <w:shd w:val="clear" w:color="auto" w:fill="E1DFDD"/>
    </w:rPr>
  </w:style>
  <w:style w:type="character" w:customStyle="1" w:styleId="ListLabel1">
    <w:name w:val="ListLabel 1"/>
    <w:qFormat/>
    <w:rsid w:val="000952B8"/>
    <w:rPr>
      <w:rFonts w:ascii="Times New Roman" w:hAnsi="Times New Roman"/>
      <w:sz w:val="24"/>
    </w:rPr>
  </w:style>
  <w:style w:type="character" w:customStyle="1" w:styleId="ListLabel2">
    <w:name w:val="ListLabel 2"/>
    <w:qFormat/>
    <w:rsid w:val="000952B8"/>
    <w:rPr>
      <w:sz w:val="20"/>
    </w:rPr>
  </w:style>
  <w:style w:type="character" w:customStyle="1" w:styleId="ListLabel3">
    <w:name w:val="ListLabel 3"/>
    <w:qFormat/>
    <w:rsid w:val="000952B8"/>
    <w:rPr>
      <w:sz w:val="20"/>
    </w:rPr>
  </w:style>
  <w:style w:type="character" w:customStyle="1" w:styleId="ListLabel4">
    <w:name w:val="ListLabel 4"/>
    <w:qFormat/>
    <w:rsid w:val="000952B8"/>
    <w:rPr>
      <w:sz w:val="20"/>
    </w:rPr>
  </w:style>
  <w:style w:type="character" w:customStyle="1" w:styleId="ListLabel5">
    <w:name w:val="ListLabel 5"/>
    <w:qFormat/>
    <w:rsid w:val="000952B8"/>
    <w:rPr>
      <w:sz w:val="20"/>
    </w:rPr>
  </w:style>
  <w:style w:type="character" w:customStyle="1" w:styleId="ListLabel6">
    <w:name w:val="ListLabel 6"/>
    <w:qFormat/>
    <w:rsid w:val="000952B8"/>
    <w:rPr>
      <w:sz w:val="20"/>
    </w:rPr>
  </w:style>
  <w:style w:type="character" w:customStyle="1" w:styleId="ListLabel7">
    <w:name w:val="ListLabel 7"/>
    <w:qFormat/>
    <w:rsid w:val="000952B8"/>
    <w:rPr>
      <w:sz w:val="20"/>
    </w:rPr>
  </w:style>
  <w:style w:type="character" w:customStyle="1" w:styleId="ListLabel8">
    <w:name w:val="ListLabel 8"/>
    <w:qFormat/>
    <w:rsid w:val="000952B8"/>
    <w:rPr>
      <w:sz w:val="20"/>
    </w:rPr>
  </w:style>
  <w:style w:type="character" w:customStyle="1" w:styleId="ListLabel9">
    <w:name w:val="ListLabel 9"/>
    <w:qFormat/>
    <w:rsid w:val="000952B8"/>
    <w:rPr>
      <w:sz w:val="20"/>
    </w:rPr>
  </w:style>
  <w:style w:type="character" w:customStyle="1" w:styleId="ListLabel10">
    <w:name w:val="ListLabel 10"/>
    <w:qFormat/>
    <w:rsid w:val="000952B8"/>
    <w:rPr>
      <w:rFonts w:ascii="Times New Roman" w:hAnsi="Times New Roman"/>
      <w:sz w:val="24"/>
    </w:rPr>
  </w:style>
  <w:style w:type="character" w:customStyle="1" w:styleId="ListLabel11">
    <w:name w:val="ListLabel 11"/>
    <w:qFormat/>
    <w:rsid w:val="000952B8"/>
    <w:rPr>
      <w:sz w:val="20"/>
    </w:rPr>
  </w:style>
  <w:style w:type="character" w:customStyle="1" w:styleId="ListLabel12">
    <w:name w:val="ListLabel 12"/>
    <w:qFormat/>
    <w:rsid w:val="000952B8"/>
    <w:rPr>
      <w:sz w:val="20"/>
    </w:rPr>
  </w:style>
  <w:style w:type="character" w:customStyle="1" w:styleId="ListLabel13">
    <w:name w:val="ListLabel 13"/>
    <w:qFormat/>
    <w:rsid w:val="000952B8"/>
    <w:rPr>
      <w:sz w:val="20"/>
    </w:rPr>
  </w:style>
  <w:style w:type="character" w:customStyle="1" w:styleId="ListLabel14">
    <w:name w:val="ListLabel 14"/>
    <w:qFormat/>
    <w:rsid w:val="000952B8"/>
    <w:rPr>
      <w:sz w:val="20"/>
    </w:rPr>
  </w:style>
  <w:style w:type="character" w:customStyle="1" w:styleId="ListLabel15">
    <w:name w:val="ListLabel 15"/>
    <w:qFormat/>
    <w:rsid w:val="000952B8"/>
    <w:rPr>
      <w:sz w:val="20"/>
    </w:rPr>
  </w:style>
  <w:style w:type="character" w:customStyle="1" w:styleId="ListLabel16">
    <w:name w:val="ListLabel 16"/>
    <w:qFormat/>
    <w:rsid w:val="000952B8"/>
    <w:rPr>
      <w:sz w:val="20"/>
    </w:rPr>
  </w:style>
  <w:style w:type="character" w:customStyle="1" w:styleId="ListLabel17">
    <w:name w:val="ListLabel 17"/>
    <w:qFormat/>
    <w:rsid w:val="000952B8"/>
    <w:rPr>
      <w:sz w:val="20"/>
    </w:rPr>
  </w:style>
  <w:style w:type="character" w:customStyle="1" w:styleId="ListLabel18">
    <w:name w:val="ListLabel 18"/>
    <w:qFormat/>
    <w:rsid w:val="000952B8"/>
    <w:rPr>
      <w:sz w:val="20"/>
    </w:rPr>
  </w:style>
  <w:style w:type="character" w:customStyle="1" w:styleId="ListLabel19">
    <w:name w:val="ListLabel 19"/>
    <w:qFormat/>
    <w:rsid w:val="000952B8"/>
    <w:rPr>
      <w:rFonts w:ascii="Times New Roman" w:hAnsi="Times New Roman"/>
      <w:sz w:val="24"/>
    </w:rPr>
  </w:style>
  <w:style w:type="character" w:customStyle="1" w:styleId="ListLabel20">
    <w:name w:val="ListLabel 20"/>
    <w:qFormat/>
    <w:rsid w:val="000952B8"/>
    <w:rPr>
      <w:sz w:val="20"/>
    </w:rPr>
  </w:style>
  <w:style w:type="character" w:customStyle="1" w:styleId="ListLabel21">
    <w:name w:val="ListLabel 21"/>
    <w:qFormat/>
    <w:rsid w:val="000952B8"/>
    <w:rPr>
      <w:sz w:val="20"/>
    </w:rPr>
  </w:style>
  <w:style w:type="character" w:customStyle="1" w:styleId="ListLabel22">
    <w:name w:val="ListLabel 22"/>
    <w:qFormat/>
    <w:rsid w:val="000952B8"/>
    <w:rPr>
      <w:sz w:val="20"/>
    </w:rPr>
  </w:style>
  <w:style w:type="character" w:customStyle="1" w:styleId="ListLabel23">
    <w:name w:val="ListLabel 23"/>
    <w:qFormat/>
    <w:rsid w:val="000952B8"/>
    <w:rPr>
      <w:sz w:val="20"/>
    </w:rPr>
  </w:style>
  <w:style w:type="character" w:customStyle="1" w:styleId="ListLabel24">
    <w:name w:val="ListLabel 24"/>
    <w:qFormat/>
    <w:rsid w:val="000952B8"/>
    <w:rPr>
      <w:sz w:val="20"/>
    </w:rPr>
  </w:style>
  <w:style w:type="character" w:customStyle="1" w:styleId="ListLabel25">
    <w:name w:val="ListLabel 25"/>
    <w:qFormat/>
    <w:rsid w:val="000952B8"/>
    <w:rPr>
      <w:sz w:val="20"/>
    </w:rPr>
  </w:style>
  <w:style w:type="character" w:customStyle="1" w:styleId="ListLabel26">
    <w:name w:val="ListLabel 26"/>
    <w:qFormat/>
    <w:rsid w:val="000952B8"/>
    <w:rPr>
      <w:sz w:val="20"/>
    </w:rPr>
  </w:style>
  <w:style w:type="character" w:customStyle="1" w:styleId="ListLabel27">
    <w:name w:val="ListLabel 27"/>
    <w:qFormat/>
    <w:rsid w:val="000952B8"/>
    <w:rPr>
      <w:sz w:val="20"/>
    </w:rPr>
  </w:style>
  <w:style w:type="character" w:customStyle="1" w:styleId="ListLabel28">
    <w:name w:val="ListLabel 28"/>
    <w:qFormat/>
    <w:rsid w:val="000952B8"/>
    <w:rPr>
      <w:rFonts w:ascii="Open Sans" w:eastAsia="Times New Roman" w:hAnsi="Open Sans" w:cs="Open Sans"/>
      <w:color w:val="000080"/>
      <w:sz w:val="20"/>
      <w:szCs w:val="20"/>
      <w:u w:val="single"/>
      <w:lang w:val="ca-ES-valencia" w:eastAsia="es-ES"/>
    </w:rPr>
  </w:style>
  <w:style w:type="character" w:styleId="Refdecomentario">
    <w:name w:val="annotation reference"/>
    <w:basedOn w:val="Fuentedeprrafopredeter"/>
    <w:uiPriority w:val="99"/>
    <w:semiHidden/>
    <w:unhideWhenUsed/>
    <w:qFormat/>
    <w:rsid w:val="000952B8"/>
    <w:rPr>
      <w:sz w:val="16"/>
      <w:szCs w:val="16"/>
    </w:rPr>
  </w:style>
  <w:style w:type="character" w:customStyle="1" w:styleId="TextocomentarioCar">
    <w:name w:val="Texto comentario Car"/>
    <w:basedOn w:val="Fuentedeprrafopredeter"/>
    <w:link w:val="Textocomentario"/>
    <w:qFormat/>
    <w:rsid w:val="000952B8"/>
    <w:rPr>
      <w:sz w:val="20"/>
      <w:szCs w:val="20"/>
    </w:rPr>
  </w:style>
  <w:style w:type="character" w:customStyle="1" w:styleId="AsuntodelcomentarioCar">
    <w:name w:val="Asunto del comentario Car"/>
    <w:basedOn w:val="TextocomentarioCar"/>
    <w:link w:val="Asuntodelcomentario"/>
    <w:uiPriority w:val="99"/>
    <w:semiHidden/>
    <w:qFormat/>
    <w:rsid w:val="000952B8"/>
    <w:rPr>
      <w:b/>
      <w:bCs/>
      <w:sz w:val="20"/>
      <w:szCs w:val="20"/>
    </w:rPr>
  </w:style>
  <w:style w:type="character" w:customStyle="1" w:styleId="ListLabel29">
    <w:name w:val="ListLabel 29"/>
    <w:qFormat/>
    <w:rsid w:val="000952B8"/>
    <w:rPr>
      <w:rFonts w:ascii="Times New Roman" w:hAnsi="Times New Roman" w:cs="Symbol"/>
      <w:sz w:val="24"/>
    </w:rPr>
  </w:style>
  <w:style w:type="character" w:customStyle="1" w:styleId="ListLabel30">
    <w:name w:val="ListLabel 30"/>
    <w:qFormat/>
    <w:rsid w:val="000952B8"/>
    <w:rPr>
      <w:rFonts w:cs="Courier New"/>
      <w:sz w:val="20"/>
    </w:rPr>
  </w:style>
  <w:style w:type="character" w:customStyle="1" w:styleId="ListLabel31">
    <w:name w:val="ListLabel 31"/>
    <w:qFormat/>
    <w:rsid w:val="000952B8"/>
    <w:rPr>
      <w:rFonts w:cs="Wingdings"/>
      <w:sz w:val="20"/>
    </w:rPr>
  </w:style>
  <w:style w:type="character" w:customStyle="1" w:styleId="ListLabel32">
    <w:name w:val="ListLabel 32"/>
    <w:qFormat/>
    <w:rsid w:val="000952B8"/>
    <w:rPr>
      <w:rFonts w:cs="Wingdings"/>
      <w:sz w:val="20"/>
    </w:rPr>
  </w:style>
  <w:style w:type="character" w:customStyle="1" w:styleId="ListLabel33">
    <w:name w:val="ListLabel 33"/>
    <w:qFormat/>
    <w:rsid w:val="000952B8"/>
    <w:rPr>
      <w:rFonts w:cs="Wingdings"/>
      <w:sz w:val="20"/>
    </w:rPr>
  </w:style>
  <w:style w:type="character" w:customStyle="1" w:styleId="ListLabel34">
    <w:name w:val="ListLabel 34"/>
    <w:qFormat/>
    <w:rsid w:val="000952B8"/>
    <w:rPr>
      <w:rFonts w:cs="Wingdings"/>
      <w:sz w:val="20"/>
    </w:rPr>
  </w:style>
  <w:style w:type="character" w:customStyle="1" w:styleId="ListLabel35">
    <w:name w:val="ListLabel 35"/>
    <w:qFormat/>
    <w:rsid w:val="000952B8"/>
    <w:rPr>
      <w:rFonts w:cs="Wingdings"/>
      <w:sz w:val="20"/>
    </w:rPr>
  </w:style>
  <w:style w:type="character" w:customStyle="1" w:styleId="ListLabel36">
    <w:name w:val="ListLabel 36"/>
    <w:qFormat/>
    <w:rsid w:val="000952B8"/>
    <w:rPr>
      <w:rFonts w:cs="Wingdings"/>
      <w:sz w:val="20"/>
    </w:rPr>
  </w:style>
  <w:style w:type="character" w:customStyle="1" w:styleId="ListLabel37">
    <w:name w:val="ListLabel 37"/>
    <w:qFormat/>
    <w:rsid w:val="000952B8"/>
    <w:rPr>
      <w:rFonts w:cs="Wingdings"/>
      <w:sz w:val="20"/>
    </w:rPr>
  </w:style>
  <w:style w:type="character" w:customStyle="1" w:styleId="ListLabel38">
    <w:name w:val="ListLabel 38"/>
    <w:qFormat/>
    <w:rsid w:val="000952B8"/>
    <w:rPr>
      <w:rFonts w:ascii="Times New Roman" w:hAnsi="Times New Roman" w:cs="Symbol"/>
      <w:sz w:val="24"/>
    </w:rPr>
  </w:style>
  <w:style w:type="character" w:customStyle="1" w:styleId="ListLabel39">
    <w:name w:val="ListLabel 39"/>
    <w:qFormat/>
    <w:rsid w:val="000952B8"/>
    <w:rPr>
      <w:rFonts w:cs="Courier New"/>
      <w:sz w:val="20"/>
    </w:rPr>
  </w:style>
  <w:style w:type="character" w:customStyle="1" w:styleId="ListLabel40">
    <w:name w:val="ListLabel 40"/>
    <w:qFormat/>
    <w:rsid w:val="000952B8"/>
    <w:rPr>
      <w:rFonts w:cs="Wingdings"/>
      <w:sz w:val="20"/>
    </w:rPr>
  </w:style>
  <w:style w:type="character" w:customStyle="1" w:styleId="ListLabel41">
    <w:name w:val="ListLabel 41"/>
    <w:qFormat/>
    <w:rsid w:val="000952B8"/>
    <w:rPr>
      <w:rFonts w:cs="Wingdings"/>
      <w:sz w:val="20"/>
    </w:rPr>
  </w:style>
  <w:style w:type="character" w:customStyle="1" w:styleId="ListLabel42">
    <w:name w:val="ListLabel 42"/>
    <w:qFormat/>
    <w:rsid w:val="000952B8"/>
    <w:rPr>
      <w:rFonts w:cs="Wingdings"/>
      <w:sz w:val="20"/>
    </w:rPr>
  </w:style>
  <w:style w:type="character" w:customStyle="1" w:styleId="ListLabel43">
    <w:name w:val="ListLabel 43"/>
    <w:qFormat/>
    <w:rsid w:val="000952B8"/>
    <w:rPr>
      <w:rFonts w:cs="Wingdings"/>
      <w:sz w:val="20"/>
    </w:rPr>
  </w:style>
  <w:style w:type="character" w:customStyle="1" w:styleId="ListLabel44">
    <w:name w:val="ListLabel 44"/>
    <w:qFormat/>
    <w:rsid w:val="000952B8"/>
    <w:rPr>
      <w:rFonts w:cs="Wingdings"/>
      <w:sz w:val="20"/>
    </w:rPr>
  </w:style>
  <w:style w:type="character" w:customStyle="1" w:styleId="ListLabel45">
    <w:name w:val="ListLabel 45"/>
    <w:qFormat/>
    <w:rsid w:val="000952B8"/>
    <w:rPr>
      <w:rFonts w:cs="Wingdings"/>
      <w:sz w:val="20"/>
    </w:rPr>
  </w:style>
  <w:style w:type="character" w:customStyle="1" w:styleId="ListLabel46">
    <w:name w:val="ListLabel 46"/>
    <w:qFormat/>
    <w:rsid w:val="000952B8"/>
    <w:rPr>
      <w:rFonts w:cs="Wingdings"/>
      <w:sz w:val="20"/>
    </w:rPr>
  </w:style>
  <w:style w:type="character" w:customStyle="1" w:styleId="ListLabel47">
    <w:name w:val="ListLabel 47"/>
    <w:qFormat/>
    <w:rsid w:val="000952B8"/>
    <w:rPr>
      <w:rFonts w:ascii="Times New Roman" w:hAnsi="Times New Roman" w:cs="Symbol"/>
      <w:sz w:val="24"/>
    </w:rPr>
  </w:style>
  <w:style w:type="character" w:customStyle="1" w:styleId="ListLabel48">
    <w:name w:val="ListLabel 48"/>
    <w:qFormat/>
    <w:rsid w:val="000952B8"/>
    <w:rPr>
      <w:rFonts w:cs="Courier New"/>
      <w:sz w:val="20"/>
    </w:rPr>
  </w:style>
  <w:style w:type="character" w:customStyle="1" w:styleId="ListLabel49">
    <w:name w:val="ListLabel 49"/>
    <w:qFormat/>
    <w:rsid w:val="000952B8"/>
    <w:rPr>
      <w:rFonts w:cs="Wingdings"/>
      <w:sz w:val="20"/>
    </w:rPr>
  </w:style>
  <w:style w:type="character" w:customStyle="1" w:styleId="ListLabel50">
    <w:name w:val="ListLabel 50"/>
    <w:qFormat/>
    <w:rsid w:val="000952B8"/>
    <w:rPr>
      <w:rFonts w:cs="Wingdings"/>
      <w:sz w:val="20"/>
    </w:rPr>
  </w:style>
  <w:style w:type="character" w:customStyle="1" w:styleId="ListLabel51">
    <w:name w:val="ListLabel 51"/>
    <w:qFormat/>
    <w:rsid w:val="000952B8"/>
    <w:rPr>
      <w:rFonts w:cs="Wingdings"/>
      <w:sz w:val="20"/>
    </w:rPr>
  </w:style>
  <w:style w:type="character" w:customStyle="1" w:styleId="ListLabel52">
    <w:name w:val="ListLabel 52"/>
    <w:qFormat/>
    <w:rsid w:val="000952B8"/>
    <w:rPr>
      <w:rFonts w:cs="Wingdings"/>
      <w:sz w:val="20"/>
    </w:rPr>
  </w:style>
  <w:style w:type="character" w:customStyle="1" w:styleId="ListLabel54">
    <w:name w:val="ListLabel 54"/>
    <w:qFormat/>
    <w:rsid w:val="000952B8"/>
    <w:rPr>
      <w:rFonts w:cs="Wingdings"/>
      <w:sz w:val="20"/>
    </w:rPr>
  </w:style>
  <w:style w:type="character" w:customStyle="1" w:styleId="ListLabel55">
    <w:name w:val="ListLabel 55"/>
    <w:qFormat/>
    <w:rsid w:val="000952B8"/>
    <w:rPr>
      <w:rFonts w:cs="Wingdings"/>
      <w:sz w:val="20"/>
    </w:rPr>
  </w:style>
  <w:style w:type="character" w:customStyle="1" w:styleId="ListLabel56">
    <w:name w:val="ListLabel 56"/>
    <w:qFormat/>
    <w:rsid w:val="000952B8"/>
  </w:style>
  <w:style w:type="character" w:customStyle="1" w:styleId="ListLabel57">
    <w:name w:val="ListLabel 57"/>
    <w:qFormat/>
    <w:rsid w:val="000952B8"/>
    <w:rPr>
      <w:rFonts w:cs="Symbol"/>
      <w:sz w:val="24"/>
    </w:rPr>
  </w:style>
  <w:style w:type="character" w:customStyle="1" w:styleId="ListLabel58">
    <w:name w:val="ListLabel 58"/>
    <w:qFormat/>
    <w:rsid w:val="000952B8"/>
    <w:rPr>
      <w:rFonts w:cs="Courier New"/>
      <w:sz w:val="20"/>
    </w:rPr>
  </w:style>
  <w:style w:type="character" w:customStyle="1" w:styleId="ListLabel59">
    <w:name w:val="ListLabel 59"/>
    <w:qFormat/>
    <w:rsid w:val="000952B8"/>
    <w:rPr>
      <w:rFonts w:cs="Wingdings"/>
      <w:sz w:val="20"/>
    </w:rPr>
  </w:style>
  <w:style w:type="character" w:customStyle="1" w:styleId="ListLabel60">
    <w:name w:val="ListLabel 60"/>
    <w:qFormat/>
    <w:rsid w:val="000952B8"/>
    <w:rPr>
      <w:rFonts w:cs="Wingdings"/>
      <w:sz w:val="20"/>
    </w:rPr>
  </w:style>
  <w:style w:type="character" w:customStyle="1" w:styleId="ListLabel61">
    <w:name w:val="ListLabel 61"/>
    <w:qFormat/>
    <w:rsid w:val="000952B8"/>
    <w:rPr>
      <w:rFonts w:cs="Wingdings"/>
      <w:sz w:val="20"/>
    </w:rPr>
  </w:style>
  <w:style w:type="character" w:customStyle="1" w:styleId="ListLabel62">
    <w:name w:val="ListLabel 62"/>
    <w:qFormat/>
    <w:rsid w:val="000952B8"/>
    <w:rPr>
      <w:rFonts w:cs="Wingdings"/>
      <w:sz w:val="20"/>
    </w:rPr>
  </w:style>
  <w:style w:type="character" w:customStyle="1" w:styleId="ListLabel63">
    <w:name w:val="ListLabel 63"/>
    <w:qFormat/>
    <w:rsid w:val="000952B8"/>
    <w:rPr>
      <w:rFonts w:cs="Wingdings"/>
      <w:sz w:val="20"/>
    </w:rPr>
  </w:style>
  <w:style w:type="character" w:customStyle="1" w:styleId="ListLabel64">
    <w:name w:val="ListLabel 64"/>
    <w:qFormat/>
    <w:rsid w:val="000952B8"/>
    <w:rPr>
      <w:rFonts w:cs="Wingdings"/>
      <w:sz w:val="20"/>
    </w:rPr>
  </w:style>
  <w:style w:type="character" w:customStyle="1" w:styleId="ListLabel65">
    <w:name w:val="ListLabel 65"/>
    <w:qFormat/>
    <w:rsid w:val="000952B8"/>
    <w:rPr>
      <w:rFonts w:cs="Wingdings"/>
      <w:sz w:val="20"/>
    </w:rPr>
  </w:style>
  <w:style w:type="character" w:customStyle="1" w:styleId="ListLabel66">
    <w:name w:val="ListLabel 66"/>
    <w:qFormat/>
    <w:rsid w:val="000952B8"/>
    <w:rPr>
      <w:rFonts w:ascii="Open Sans" w:hAnsi="Open Sans" w:cs="Symbol"/>
      <w:sz w:val="20"/>
    </w:rPr>
  </w:style>
  <w:style w:type="character" w:customStyle="1" w:styleId="ListLabel67">
    <w:name w:val="ListLabel 67"/>
    <w:qFormat/>
    <w:rsid w:val="000952B8"/>
    <w:rPr>
      <w:rFonts w:cs="Courier New"/>
      <w:sz w:val="20"/>
    </w:rPr>
  </w:style>
  <w:style w:type="character" w:customStyle="1" w:styleId="ListLabel68">
    <w:name w:val="ListLabel 68"/>
    <w:qFormat/>
    <w:rsid w:val="000952B8"/>
    <w:rPr>
      <w:rFonts w:cs="Wingdings"/>
      <w:sz w:val="20"/>
    </w:rPr>
  </w:style>
  <w:style w:type="character" w:customStyle="1" w:styleId="ListLabel69">
    <w:name w:val="ListLabel 69"/>
    <w:qFormat/>
    <w:rsid w:val="000952B8"/>
    <w:rPr>
      <w:rFonts w:cs="Wingdings"/>
      <w:sz w:val="20"/>
    </w:rPr>
  </w:style>
  <w:style w:type="character" w:customStyle="1" w:styleId="ListLabel70">
    <w:name w:val="ListLabel 70"/>
    <w:qFormat/>
    <w:rsid w:val="000952B8"/>
    <w:rPr>
      <w:rFonts w:cs="Wingdings"/>
      <w:sz w:val="20"/>
    </w:rPr>
  </w:style>
  <w:style w:type="character" w:customStyle="1" w:styleId="ListLabel71">
    <w:name w:val="ListLabel 71"/>
    <w:qFormat/>
    <w:rsid w:val="000952B8"/>
    <w:rPr>
      <w:rFonts w:cs="Wingdings"/>
      <w:sz w:val="20"/>
    </w:rPr>
  </w:style>
  <w:style w:type="character" w:customStyle="1" w:styleId="ListLabel72">
    <w:name w:val="ListLabel 72"/>
    <w:qFormat/>
    <w:rsid w:val="000952B8"/>
    <w:rPr>
      <w:rFonts w:cs="Wingdings"/>
      <w:sz w:val="20"/>
    </w:rPr>
  </w:style>
  <w:style w:type="character" w:customStyle="1" w:styleId="ListLabel73">
    <w:name w:val="ListLabel 73"/>
    <w:qFormat/>
    <w:rsid w:val="000952B8"/>
    <w:rPr>
      <w:rFonts w:cs="Wingdings"/>
      <w:sz w:val="20"/>
    </w:rPr>
  </w:style>
  <w:style w:type="character" w:customStyle="1" w:styleId="ListLabel74">
    <w:name w:val="ListLabel 74"/>
    <w:qFormat/>
    <w:rsid w:val="000952B8"/>
    <w:rPr>
      <w:rFonts w:cs="Wingdings"/>
      <w:sz w:val="20"/>
    </w:rPr>
  </w:style>
  <w:style w:type="character" w:customStyle="1" w:styleId="ListLabel75">
    <w:name w:val="ListLabel 75"/>
    <w:qFormat/>
    <w:rsid w:val="000952B8"/>
    <w:rPr>
      <w:rFonts w:ascii="Times New Roman" w:hAnsi="Times New Roman" w:cs="Symbol"/>
      <w:sz w:val="24"/>
    </w:rPr>
  </w:style>
  <w:style w:type="character" w:customStyle="1" w:styleId="ListLabel76">
    <w:name w:val="ListLabel 76"/>
    <w:qFormat/>
    <w:rsid w:val="000952B8"/>
    <w:rPr>
      <w:rFonts w:cs="Courier New"/>
      <w:sz w:val="20"/>
    </w:rPr>
  </w:style>
  <w:style w:type="character" w:customStyle="1" w:styleId="ListLabel77">
    <w:name w:val="ListLabel 77"/>
    <w:qFormat/>
    <w:rsid w:val="000952B8"/>
    <w:rPr>
      <w:rFonts w:cs="Wingdings"/>
      <w:sz w:val="20"/>
    </w:rPr>
  </w:style>
  <w:style w:type="character" w:customStyle="1" w:styleId="ListLabel78">
    <w:name w:val="ListLabel 78"/>
    <w:qFormat/>
    <w:rsid w:val="000952B8"/>
    <w:rPr>
      <w:rFonts w:cs="Wingdings"/>
      <w:sz w:val="20"/>
    </w:rPr>
  </w:style>
  <w:style w:type="character" w:customStyle="1" w:styleId="ListLabel79">
    <w:name w:val="ListLabel 79"/>
    <w:qFormat/>
    <w:rsid w:val="000952B8"/>
    <w:rPr>
      <w:rFonts w:cs="Wingdings"/>
      <w:sz w:val="20"/>
    </w:rPr>
  </w:style>
  <w:style w:type="character" w:customStyle="1" w:styleId="ListLabel80">
    <w:name w:val="ListLabel 80"/>
    <w:qFormat/>
    <w:rsid w:val="000952B8"/>
    <w:rPr>
      <w:rFonts w:cs="Wingdings"/>
      <w:sz w:val="20"/>
    </w:rPr>
  </w:style>
  <w:style w:type="character" w:customStyle="1" w:styleId="ListLabel81">
    <w:name w:val="ListLabel 81"/>
    <w:qFormat/>
    <w:rsid w:val="000952B8"/>
    <w:rPr>
      <w:rFonts w:cs="Wingdings"/>
      <w:sz w:val="20"/>
    </w:rPr>
  </w:style>
  <w:style w:type="character" w:customStyle="1" w:styleId="ListLabel82">
    <w:name w:val="ListLabel 82"/>
    <w:qFormat/>
    <w:rsid w:val="000952B8"/>
    <w:rPr>
      <w:rFonts w:cs="Wingdings"/>
      <w:sz w:val="20"/>
    </w:rPr>
  </w:style>
  <w:style w:type="character" w:customStyle="1" w:styleId="ListLabel83">
    <w:name w:val="ListLabel 83"/>
    <w:qFormat/>
    <w:rsid w:val="000952B8"/>
    <w:rPr>
      <w:rFonts w:cs="Wingdings"/>
      <w:sz w:val="20"/>
    </w:rPr>
  </w:style>
  <w:style w:type="character" w:customStyle="1" w:styleId="ListLabel84">
    <w:name w:val="ListLabel 84"/>
    <w:qFormat/>
    <w:rsid w:val="000952B8"/>
    <w:rPr>
      <w:rFonts w:eastAsia="Times New Roman" w:cs="Open Sans"/>
      <w:color w:val="000000"/>
      <w:sz w:val="20"/>
    </w:rPr>
  </w:style>
  <w:style w:type="character" w:customStyle="1" w:styleId="ListLabel85">
    <w:name w:val="ListLabel 85"/>
    <w:qFormat/>
    <w:rsid w:val="000952B8"/>
    <w:rPr>
      <w:rFonts w:cs="Courier New"/>
    </w:rPr>
  </w:style>
  <w:style w:type="character" w:customStyle="1" w:styleId="ListLabel86">
    <w:name w:val="ListLabel 86"/>
    <w:qFormat/>
    <w:rsid w:val="000952B8"/>
    <w:rPr>
      <w:rFonts w:cs="Courier New"/>
    </w:rPr>
  </w:style>
  <w:style w:type="character" w:customStyle="1" w:styleId="ListLabel87">
    <w:name w:val="ListLabel 87"/>
    <w:qFormat/>
    <w:rsid w:val="000952B8"/>
    <w:rPr>
      <w:rFonts w:cs="Courier New"/>
    </w:rPr>
  </w:style>
  <w:style w:type="character" w:customStyle="1" w:styleId="ListLabel88">
    <w:name w:val="ListLabel 88"/>
    <w:qFormat/>
    <w:rsid w:val="000952B8"/>
    <w:rPr>
      <w:rFonts w:ascii="Open Sans" w:eastAsia="Times New Roman" w:hAnsi="Open Sans" w:cs="Open Sans"/>
      <w:sz w:val="20"/>
    </w:rPr>
  </w:style>
  <w:style w:type="character" w:customStyle="1" w:styleId="ListLabel89">
    <w:name w:val="ListLabel 89"/>
    <w:qFormat/>
    <w:rsid w:val="000952B8"/>
    <w:rPr>
      <w:rFonts w:cs="Courier New"/>
    </w:rPr>
  </w:style>
  <w:style w:type="character" w:customStyle="1" w:styleId="ListLabel90">
    <w:name w:val="ListLabel 90"/>
    <w:qFormat/>
    <w:rsid w:val="000952B8"/>
    <w:rPr>
      <w:rFonts w:cs="Courier New"/>
    </w:rPr>
  </w:style>
  <w:style w:type="character" w:customStyle="1" w:styleId="ListLabel91">
    <w:name w:val="ListLabel 91"/>
    <w:qFormat/>
    <w:rsid w:val="000952B8"/>
    <w:rPr>
      <w:rFonts w:cs="Courier New"/>
    </w:rPr>
  </w:style>
  <w:style w:type="character" w:customStyle="1" w:styleId="ListLabel92">
    <w:name w:val="ListLabel 92"/>
    <w:qFormat/>
    <w:rsid w:val="000952B8"/>
    <w:rPr>
      <w:rFonts w:cs="Courier New"/>
    </w:rPr>
  </w:style>
  <w:style w:type="character" w:customStyle="1" w:styleId="ListLabel93">
    <w:name w:val="ListLabel 93"/>
    <w:qFormat/>
    <w:rsid w:val="000952B8"/>
    <w:rPr>
      <w:rFonts w:cs="Courier New"/>
    </w:rPr>
  </w:style>
  <w:style w:type="character" w:customStyle="1" w:styleId="ListLabel94">
    <w:name w:val="ListLabel 94"/>
    <w:qFormat/>
    <w:rsid w:val="000952B8"/>
    <w:rPr>
      <w:rFonts w:cs="Courier New"/>
    </w:rPr>
  </w:style>
  <w:style w:type="character" w:customStyle="1" w:styleId="ListLabel95">
    <w:name w:val="ListLabel 95"/>
    <w:qFormat/>
    <w:rsid w:val="000952B8"/>
    <w:rPr>
      <w:rFonts w:ascii="Open Sans" w:eastAsia="Times New Roman" w:hAnsi="Open Sans" w:cs="Open Sans"/>
      <w:sz w:val="20"/>
    </w:rPr>
  </w:style>
  <w:style w:type="character" w:customStyle="1" w:styleId="ListLabel96">
    <w:name w:val="ListLabel 96"/>
    <w:qFormat/>
    <w:rsid w:val="000952B8"/>
    <w:rPr>
      <w:rFonts w:cs="Courier New"/>
    </w:rPr>
  </w:style>
  <w:style w:type="character" w:customStyle="1" w:styleId="ListLabel97">
    <w:name w:val="ListLabel 97"/>
    <w:qFormat/>
    <w:rsid w:val="000952B8"/>
    <w:rPr>
      <w:rFonts w:cs="Courier New"/>
    </w:rPr>
  </w:style>
  <w:style w:type="character" w:customStyle="1" w:styleId="ListLabel98">
    <w:name w:val="ListLabel 98"/>
    <w:qFormat/>
    <w:rsid w:val="000952B8"/>
    <w:rPr>
      <w:rFonts w:cs="Courier New"/>
    </w:rPr>
  </w:style>
  <w:style w:type="character" w:customStyle="1" w:styleId="ListLabel99">
    <w:name w:val="ListLabel 99"/>
    <w:qFormat/>
    <w:rsid w:val="000952B8"/>
    <w:rPr>
      <w:rFonts w:eastAsia="Times New Roman" w:cs="Open Sans"/>
    </w:rPr>
  </w:style>
  <w:style w:type="character" w:customStyle="1" w:styleId="ListLabel100">
    <w:name w:val="ListLabel 100"/>
    <w:qFormat/>
    <w:rsid w:val="000952B8"/>
    <w:rPr>
      <w:rFonts w:cs="Courier New"/>
    </w:rPr>
  </w:style>
  <w:style w:type="character" w:customStyle="1" w:styleId="ListLabel101">
    <w:name w:val="ListLabel 101"/>
    <w:qFormat/>
    <w:rsid w:val="000952B8"/>
    <w:rPr>
      <w:rFonts w:cs="Courier New"/>
    </w:rPr>
  </w:style>
  <w:style w:type="character" w:customStyle="1" w:styleId="ListLabel102">
    <w:name w:val="ListLabel 102"/>
    <w:qFormat/>
    <w:rsid w:val="000952B8"/>
    <w:rPr>
      <w:rFonts w:cs="Courier New"/>
    </w:rPr>
  </w:style>
  <w:style w:type="character" w:customStyle="1" w:styleId="ListLabel103">
    <w:name w:val="ListLabel 103"/>
    <w:qFormat/>
    <w:rsid w:val="000952B8"/>
    <w:rPr>
      <w:rFonts w:eastAsia="Calibri"/>
      <w:lang w:val="ca-ES"/>
    </w:rPr>
  </w:style>
  <w:style w:type="character" w:customStyle="1" w:styleId="Hipervnculovisitado1">
    <w:name w:val="Hipervínculo visitado1"/>
    <w:basedOn w:val="Fuentedeprrafopredeter"/>
    <w:uiPriority w:val="99"/>
    <w:semiHidden/>
    <w:unhideWhenUsed/>
    <w:qFormat/>
    <w:rsid w:val="000952B8"/>
    <w:rPr>
      <w:color w:val="954F72"/>
      <w:u w:val="single"/>
    </w:rPr>
  </w:style>
  <w:style w:type="character" w:customStyle="1" w:styleId="ListLabel104">
    <w:name w:val="ListLabel 104"/>
    <w:qFormat/>
    <w:rsid w:val="000952B8"/>
    <w:rPr>
      <w:rFonts w:ascii="Open Sans" w:hAnsi="Open Sans" w:cs="Symbol"/>
      <w:sz w:val="20"/>
    </w:rPr>
  </w:style>
  <w:style w:type="character" w:customStyle="1" w:styleId="ListLabel105">
    <w:name w:val="ListLabel 105"/>
    <w:qFormat/>
    <w:rsid w:val="000952B8"/>
    <w:rPr>
      <w:rFonts w:cs="Courier New"/>
      <w:sz w:val="20"/>
    </w:rPr>
  </w:style>
  <w:style w:type="character" w:customStyle="1" w:styleId="ListLabel106">
    <w:name w:val="ListLabel 106"/>
    <w:qFormat/>
    <w:rsid w:val="000952B8"/>
    <w:rPr>
      <w:rFonts w:cs="Wingdings"/>
      <w:sz w:val="20"/>
    </w:rPr>
  </w:style>
  <w:style w:type="character" w:customStyle="1" w:styleId="ListLabel107">
    <w:name w:val="ListLabel 107"/>
    <w:qFormat/>
    <w:rsid w:val="000952B8"/>
    <w:rPr>
      <w:rFonts w:cs="Wingdings"/>
      <w:sz w:val="20"/>
    </w:rPr>
  </w:style>
  <w:style w:type="character" w:customStyle="1" w:styleId="ListLabel108">
    <w:name w:val="ListLabel 108"/>
    <w:qFormat/>
    <w:rsid w:val="000952B8"/>
    <w:rPr>
      <w:rFonts w:cs="Wingdings"/>
      <w:sz w:val="20"/>
    </w:rPr>
  </w:style>
  <w:style w:type="character" w:customStyle="1" w:styleId="ListLabel109">
    <w:name w:val="ListLabel 109"/>
    <w:qFormat/>
    <w:rsid w:val="000952B8"/>
    <w:rPr>
      <w:rFonts w:cs="Wingdings"/>
      <w:sz w:val="20"/>
    </w:rPr>
  </w:style>
  <w:style w:type="character" w:customStyle="1" w:styleId="ListLabel110">
    <w:name w:val="ListLabel 110"/>
    <w:qFormat/>
    <w:rsid w:val="000952B8"/>
    <w:rPr>
      <w:rFonts w:cs="Wingdings"/>
      <w:sz w:val="20"/>
    </w:rPr>
  </w:style>
  <w:style w:type="character" w:customStyle="1" w:styleId="ListLabel111">
    <w:name w:val="ListLabel 111"/>
    <w:qFormat/>
    <w:rsid w:val="000952B8"/>
    <w:rPr>
      <w:rFonts w:cs="Wingdings"/>
      <w:sz w:val="20"/>
    </w:rPr>
  </w:style>
  <w:style w:type="character" w:customStyle="1" w:styleId="ListLabel112">
    <w:name w:val="ListLabel 112"/>
    <w:qFormat/>
    <w:rsid w:val="000952B8"/>
    <w:rPr>
      <w:rFonts w:cs="Wingdings"/>
      <w:sz w:val="20"/>
    </w:rPr>
  </w:style>
  <w:style w:type="character" w:customStyle="1" w:styleId="ListLabel113">
    <w:name w:val="ListLabel 113"/>
    <w:qFormat/>
    <w:rsid w:val="000952B8"/>
    <w:rPr>
      <w:rFonts w:cs="Symbol"/>
      <w:sz w:val="24"/>
    </w:rPr>
  </w:style>
  <w:style w:type="character" w:customStyle="1" w:styleId="ListLabel114">
    <w:name w:val="ListLabel 114"/>
    <w:qFormat/>
    <w:rsid w:val="000952B8"/>
    <w:rPr>
      <w:rFonts w:cs="Courier New"/>
      <w:sz w:val="20"/>
    </w:rPr>
  </w:style>
  <w:style w:type="character" w:customStyle="1" w:styleId="ListLabel115">
    <w:name w:val="ListLabel 115"/>
    <w:qFormat/>
    <w:rsid w:val="000952B8"/>
    <w:rPr>
      <w:rFonts w:cs="Wingdings"/>
      <w:sz w:val="20"/>
    </w:rPr>
  </w:style>
  <w:style w:type="character" w:customStyle="1" w:styleId="ListLabel116">
    <w:name w:val="ListLabel 116"/>
    <w:qFormat/>
    <w:rsid w:val="000952B8"/>
    <w:rPr>
      <w:rFonts w:cs="Wingdings"/>
      <w:sz w:val="20"/>
    </w:rPr>
  </w:style>
  <w:style w:type="character" w:customStyle="1" w:styleId="ListLabel117">
    <w:name w:val="ListLabel 117"/>
    <w:qFormat/>
    <w:rsid w:val="000952B8"/>
    <w:rPr>
      <w:rFonts w:cs="Wingdings"/>
      <w:sz w:val="20"/>
    </w:rPr>
  </w:style>
  <w:style w:type="character" w:customStyle="1" w:styleId="ListLabel118">
    <w:name w:val="ListLabel 118"/>
    <w:qFormat/>
    <w:rsid w:val="000952B8"/>
    <w:rPr>
      <w:rFonts w:cs="Wingdings"/>
      <w:sz w:val="20"/>
    </w:rPr>
  </w:style>
  <w:style w:type="character" w:customStyle="1" w:styleId="ListLabel119">
    <w:name w:val="ListLabel 119"/>
    <w:qFormat/>
    <w:rsid w:val="000952B8"/>
    <w:rPr>
      <w:rFonts w:cs="Wingdings"/>
      <w:sz w:val="20"/>
    </w:rPr>
  </w:style>
  <w:style w:type="character" w:customStyle="1" w:styleId="ListLabel120">
    <w:name w:val="ListLabel 120"/>
    <w:qFormat/>
    <w:rsid w:val="000952B8"/>
    <w:rPr>
      <w:rFonts w:cs="Wingdings"/>
      <w:sz w:val="20"/>
    </w:rPr>
  </w:style>
  <w:style w:type="character" w:customStyle="1" w:styleId="ListLabel121">
    <w:name w:val="ListLabel 121"/>
    <w:qFormat/>
    <w:rsid w:val="000952B8"/>
    <w:rPr>
      <w:rFonts w:cs="Wingdings"/>
      <w:sz w:val="20"/>
    </w:rPr>
  </w:style>
  <w:style w:type="character" w:customStyle="1" w:styleId="ListLabel122">
    <w:name w:val="ListLabel 122"/>
    <w:qFormat/>
    <w:rsid w:val="000952B8"/>
    <w:rPr>
      <w:rFonts w:ascii="Open Sans" w:hAnsi="Open Sans" w:cs="Open Sans"/>
      <w:sz w:val="20"/>
    </w:rPr>
  </w:style>
  <w:style w:type="character" w:customStyle="1" w:styleId="ListLabel123">
    <w:name w:val="ListLabel 123"/>
    <w:qFormat/>
    <w:rsid w:val="000952B8"/>
    <w:rPr>
      <w:rFonts w:cs="Courier New"/>
    </w:rPr>
  </w:style>
  <w:style w:type="character" w:customStyle="1" w:styleId="ListLabel124">
    <w:name w:val="ListLabel 124"/>
    <w:qFormat/>
    <w:rsid w:val="000952B8"/>
    <w:rPr>
      <w:rFonts w:cs="Wingdings"/>
    </w:rPr>
  </w:style>
  <w:style w:type="character" w:customStyle="1" w:styleId="ListLabel125">
    <w:name w:val="ListLabel 125"/>
    <w:qFormat/>
    <w:rsid w:val="000952B8"/>
    <w:rPr>
      <w:rFonts w:cs="Symbol"/>
    </w:rPr>
  </w:style>
  <w:style w:type="character" w:customStyle="1" w:styleId="ListLabel126">
    <w:name w:val="ListLabel 126"/>
    <w:qFormat/>
    <w:rsid w:val="000952B8"/>
    <w:rPr>
      <w:rFonts w:cs="Courier New"/>
    </w:rPr>
  </w:style>
  <w:style w:type="character" w:customStyle="1" w:styleId="ListLabel127">
    <w:name w:val="ListLabel 127"/>
    <w:qFormat/>
    <w:rsid w:val="000952B8"/>
    <w:rPr>
      <w:rFonts w:cs="Wingdings"/>
    </w:rPr>
  </w:style>
  <w:style w:type="character" w:customStyle="1" w:styleId="ListLabel128">
    <w:name w:val="ListLabel 128"/>
    <w:qFormat/>
    <w:rsid w:val="000952B8"/>
    <w:rPr>
      <w:rFonts w:cs="Symbol"/>
    </w:rPr>
  </w:style>
  <w:style w:type="character" w:customStyle="1" w:styleId="ListLabel129">
    <w:name w:val="ListLabel 129"/>
    <w:qFormat/>
    <w:rsid w:val="000952B8"/>
    <w:rPr>
      <w:rFonts w:cs="Courier New"/>
    </w:rPr>
  </w:style>
  <w:style w:type="character" w:customStyle="1" w:styleId="ListLabel130">
    <w:name w:val="ListLabel 130"/>
    <w:qFormat/>
    <w:rsid w:val="000952B8"/>
    <w:rPr>
      <w:rFonts w:cs="Wingdings"/>
    </w:rPr>
  </w:style>
  <w:style w:type="character" w:customStyle="1" w:styleId="ListLabel131">
    <w:name w:val="ListLabel 131"/>
    <w:qFormat/>
    <w:rsid w:val="000952B8"/>
    <w:rPr>
      <w:rFonts w:cs="Open Sans"/>
      <w:sz w:val="20"/>
    </w:rPr>
  </w:style>
  <w:style w:type="character" w:customStyle="1" w:styleId="ListLabel132">
    <w:name w:val="ListLabel 132"/>
    <w:qFormat/>
    <w:rsid w:val="000952B8"/>
    <w:rPr>
      <w:rFonts w:cs="Courier New"/>
    </w:rPr>
  </w:style>
  <w:style w:type="character" w:customStyle="1" w:styleId="ListLabel133">
    <w:name w:val="ListLabel 133"/>
    <w:qFormat/>
    <w:rsid w:val="000952B8"/>
    <w:rPr>
      <w:rFonts w:cs="Wingdings"/>
    </w:rPr>
  </w:style>
  <w:style w:type="character" w:customStyle="1" w:styleId="ListLabel134">
    <w:name w:val="ListLabel 134"/>
    <w:qFormat/>
    <w:rsid w:val="000952B8"/>
    <w:rPr>
      <w:rFonts w:cs="Symbol"/>
    </w:rPr>
  </w:style>
  <w:style w:type="character" w:customStyle="1" w:styleId="ListLabel135">
    <w:name w:val="ListLabel 135"/>
    <w:qFormat/>
    <w:rsid w:val="000952B8"/>
    <w:rPr>
      <w:rFonts w:cs="Courier New"/>
    </w:rPr>
  </w:style>
  <w:style w:type="character" w:customStyle="1" w:styleId="ListLabel136">
    <w:name w:val="ListLabel 136"/>
    <w:qFormat/>
    <w:rsid w:val="000952B8"/>
    <w:rPr>
      <w:rFonts w:cs="Wingdings"/>
    </w:rPr>
  </w:style>
  <w:style w:type="character" w:customStyle="1" w:styleId="ListLabel137">
    <w:name w:val="ListLabel 137"/>
    <w:qFormat/>
    <w:rsid w:val="000952B8"/>
    <w:rPr>
      <w:rFonts w:cs="Symbol"/>
    </w:rPr>
  </w:style>
  <w:style w:type="character" w:customStyle="1" w:styleId="ListLabel138">
    <w:name w:val="ListLabel 138"/>
    <w:qFormat/>
    <w:rsid w:val="000952B8"/>
    <w:rPr>
      <w:rFonts w:cs="Courier New"/>
    </w:rPr>
  </w:style>
  <w:style w:type="character" w:customStyle="1" w:styleId="ListLabel139">
    <w:name w:val="ListLabel 139"/>
    <w:qFormat/>
    <w:rsid w:val="000952B8"/>
    <w:rPr>
      <w:rFonts w:cs="Wingdings"/>
    </w:rPr>
  </w:style>
  <w:style w:type="character" w:customStyle="1" w:styleId="ListLabel140">
    <w:name w:val="ListLabel 140"/>
    <w:qFormat/>
    <w:rsid w:val="000952B8"/>
    <w:rPr>
      <w:rFonts w:eastAsia="Times New Roman" w:cs="Open Sans"/>
    </w:rPr>
  </w:style>
  <w:style w:type="character" w:customStyle="1" w:styleId="ListLabel141">
    <w:name w:val="ListLabel 141"/>
    <w:qFormat/>
    <w:rsid w:val="000952B8"/>
    <w:rPr>
      <w:rFonts w:cs="Courier New"/>
    </w:rPr>
  </w:style>
  <w:style w:type="character" w:customStyle="1" w:styleId="ListLabel142">
    <w:name w:val="ListLabel 142"/>
    <w:qFormat/>
    <w:rsid w:val="000952B8"/>
    <w:rPr>
      <w:rFonts w:cs="Courier New"/>
    </w:rPr>
  </w:style>
  <w:style w:type="character" w:customStyle="1" w:styleId="ListLabel143">
    <w:name w:val="ListLabel 143"/>
    <w:qFormat/>
    <w:rsid w:val="000952B8"/>
    <w:rPr>
      <w:rFonts w:ascii="Open Sans" w:eastAsia="Times New Roman" w:hAnsi="Open Sans" w:cs="Open Sans"/>
      <w:b/>
      <w:sz w:val="18"/>
      <w:szCs w:val="18"/>
      <w:lang w:eastAsia="es-ES"/>
    </w:rPr>
  </w:style>
  <w:style w:type="character" w:customStyle="1" w:styleId="ListLabel144">
    <w:name w:val="ListLabel 144"/>
    <w:qFormat/>
    <w:rsid w:val="000952B8"/>
    <w:rPr>
      <w:rFonts w:ascii="Open Sans" w:eastAsia="Times New Roman" w:hAnsi="Open Sans" w:cs="Open Sans"/>
      <w:sz w:val="18"/>
      <w:szCs w:val="18"/>
      <w:lang w:eastAsia="es-ES"/>
    </w:rPr>
  </w:style>
  <w:style w:type="character" w:customStyle="1" w:styleId="ListLabel145">
    <w:name w:val="ListLabel 145"/>
    <w:qFormat/>
    <w:rsid w:val="000952B8"/>
    <w:rPr>
      <w:rFonts w:ascii="Open Sans" w:hAnsi="Open Sans" w:cs="Open Sans"/>
      <w:b/>
    </w:rPr>
  </w:style>
  <w:style w:type="character" w:customStyle="1" w:styleId="ListLabel146">
    <w:name w:val="ListLabel 146"/>
    <w:qFormat/>
    <w:rsid w:val="000952B8"/>
    <w:rPr>
      <w:rFonts w:ascii="Open Sans" w:eastAsia="Times New Roman" w:hAnsi="Open Sans" w:cs="Open Sans"/>
      <w:sz w:val="20"/>
      <w:szCs w:val="20"/>
      <w:lang w:eastAsia="es-ES"/>
    </w:rPr>
  </w:style>
  <w:style w:type="character" w:customStyle="1" w:styleId="ListLabel147">
    <w:name w:val="ListLabel 147"/>
    <w:qFormat/>
    <w:rsid w:val="000952B8"/>
    <w:rPr>
      <w:rFonts w:ascii="Open Sans" w:eastAsia="Times New Roman" w:hAnsi="Open Sans" w:cs="Open Sans"/>
      <w:i/>
      <w:sz w:val="18"/>
      <w:szCs w:val="18"/>
      <w:lang w:eastAsia="es-ES"/>
    </w:rPr>
  </w:style>
  <w:style w:type="character" w:customStyle="1" w:styleId="ListLabel148">
    <w:name w:val="ListLabel 148"/>
    <w:qFormat/>
    <w:rsid w:val="000952B8"/>
    <w:rPr>
      <w:rFonts w:ascii="Open Sans" w:hAnsi="Open Sans" w:cs="Open Sans"/>
    </w:rPr>
  </w:style>
  <w:style w:type="character" w:customStyle="1" w:styleId="ListLabel149">
    <w:name w:val="ListLabel 149"/>
    <w:qFormat/>
    <w:rsid w:val="000952B8"/>
    <w:rPr>
      <w:rFonts w:ascii="Open Sans" w:hAnsi="Open Sans" w:cs="Open Sans"/>
    </w:rPr>
  </w:style>
  <w:style w:type="character" w:customStyle="1" w:styleId="ListLabel150">
    <w:name w:val="ListLabel 150"/>
    <w:qFormat/>
    <w:rsid w:val="000952B8"/>
    <w:rPr>
      <w:rFonts w:ascii="Open Sans" w:hAnsi="Open Sans" w:cs="Symbol"/>
      <w:sz w:val="21"/>
    </w:rPr>
  </w:style>
  <w:style w:type="character" w:customStyle="1" w:styleId="ListLabel151">
    <w:name w:val="ListLabel 151"/>
    <w:qFormat/>
    <w:rsid w:val="000952B8"/>
    <w:rPr>
      <w:rFonts w:cs="Courier New"/>
      <w:sz w:val="20"/>
    </w:rPr>
  </w:style>
  <w:style w:type="character" w:customStyle="1" w:styleId="ListLabel152">
    <w:name w:val="ListLabel 152"/>
    <w:qFormat/>
    <w:rsid w:val="000952B8"/>
    <w:rPr>
      <w:rFonts w:cs="Wingdings"/>
      <w:sz w:val="20"/>
    </w:rPr>
  </w:style>
  <w:style w:type="character" w:customStyle="1" w:styleId="ListLabel153">
    <w:name w:val="ListLabel 153"/>
    <w:qFormat/>
    <w:rsid w:val="000952B8"/>
    <w:rPr>
      <w:rFonts w:cs="Wingdings"/>
      <w:sz w:val="20"/>
    </w:rPr>
  </w:style>
  <w:style w:type="character" w:customStyle="1" w:styleId="ListLabel154">
    <w:name w:val="ListLabel 154"/>
    <w:qFormat/>
    <w:rsid w:val="000952B8"/>
    <w:rPr>
      <w:rFonts w:cs="Wingdings"/>
      <w:sz w:val="20"/>
    </w:rPr>
  </w:style>
  <w:style w:type="character" w:customStyle="1" w:styleId="ListLabel155">
    <w:name w:val="ListLabel 155"/>
    <w:qFormat/>
    <w:rsid w:val="000952B8"/>
    <w:rPr>
      <w:rFonts w:cs="Wingdings"/>
      <w:sz w:val="20"/>
    </w:rPr>
  </w:style>
  <w:style w:type="character" w:customStyle="1" w:styleId="ListLabel156">
    <w:name w:val="ListLabel 156"/>
    <w:qFormat/>
    <w:rsid w:val="000952B8"/>
    <w:rPr>
      <w:rFonts w:cs="Wingdings"/>
      <w:sz w:val="20"/>
    </w:rPr>
  </w:style>
  <w:style w:type="character" w:customStyle="1" w:styleId="ListLabel157">
    <w:name w:val="ListLabel 157"/>
    <w:qFormat/>
    <w:rsid w:val="000952B8"/>
    <w:rPr>
      <w:rFonts w:cs="Wingdings"/>
      <w:sz w:val="20"/>
    </w:rPr>
  </w:style>
  <w:style w:type="character" w:customStyle="1" w:styleId="ListLabel158">
    <w:name w:val="ListLabel 158"/>
    <w:qFormat/>
    <w:rsid w:val="000952B8"/>
    <w:rPr>
      <w:rFonts w:cs="Wingdings"/>
      <w:sz w:val="20"/>
    </w:rPr>
  </w:style>
  <w:style w:type="character" w:customStyle="1" w:styleId="ListLabel159">
    <w:name w:val="ListLabel 159"/>
    <w:qFormat/>
    <w:rsid w:val="000952B8"/>
    <w:rPr>
      <w:rFonts w:ascii="Open Sans" w:hAnsi="Open Sans" w:cs="Open Sans"/>
      <w:sz w:val="21"/>
    </w:rPr>
  </w:style>
  <w:style w:type="character" w:customStyle="1" w:styleId="ListLabel160">
    <w:name w:val="ListLabel 160"/>
    <w:qFormat/>
    <w:rsid w:val="000952B8"/>
    <w:rPr>
      <w:rFonts w:cs="Courier New"/>
    </w:rPr>
  </w:style>
  <w:style w:type="character" w:customStyle="1" w:styleId="ListLabel161">
    <w:name w:val="ListLabel 161"/>
    <w:qFormat/>
    <w:rsid w:val="000952B8"/>
    <w:rPr>
      <w:rFonts w:cs="Wingdings"/>
    </w:rPr>
  </w:style>
  <w:style w:type="character" w:customStyle="1" w:styleId="ListLabel162">
    <w:name w:val="ListLabel 162"/>
    <w:qFormat/>
    <w:rsid w:val="000952B8"/>
    <w:rPr>
      <w:rFonts w:cs="Symbol"/>
    </w:rPr>
  </w:style>
  <w:style w:type="character" w:customStyle="1" w:styleId="ListLabel163">
    <w:name w:val="ListLabel 163"/>
    <w:qFormat/>
    <w:rsid w:val="000952B8"/>
    <w:rPr>
      <w:rFonts w:cs="Courier New"/>
    </w:rPr>
  </w:style>
  <w:style w:type="character" w:customStyle="1" w:styleId="ListLabel164">
    <w:name w:val="ListLabel 164"/>
    <w:qFormat/>
    <w:rsid w:val="000952B8"/>
    <w:rPr>
      <w:rFonts w:cs="Wingdings"/>
    </w:rPr>
  </w:style>
  <w:style w:type="character" w:customStyle="1" w:styleId="ListLabel165">
    <w:name w:val="ListLabel 165"/>
    <w:qFormat/>
    <w:rsid w:val="000952B8"/>
    <w:rPr>
      <w:rFonts w:cs="Symbol"/>
    </w:rPr>
  </w:style>
  <w:style w:type="character" w:customStyle="1" w:styleId="ListLabel166">
    <w:name w:val="ListLabel 166"/>
    <w:qFormat/>
    <w:rsid w:val="000952B8"/>
    <w:rPr>
      <w:rFonts w:cs="Courier New"/>
    </w:rPr>
  </w:style>
  <w:style w:type="character" w:customStyle="1" w:styleId="ListLabel167">
    <w:name w:val="ListLabel 167"/>
    <w:qFormat/>
    <w:rsid w:val="000952B8"/>
    <w:rPr>
      <w:rFonts w:cs="Wingdings"/>
    </w:rPr>
  </w:style>
  <w:style w:type="character" w:customStyle="1" w:styleId="ListLabel168">
    <w:name w:val="ListLabel 168"/>
    <w:qFormat/>
    <w:rsid w:val="000952B8"/>
    <w:rPr>
      <w:rFonts w:ascii="Open Sans" w:hAnsi="Open Sans" w:cs="Symbol"/>
      <w:sz w:val="21"/>
    </w:rPr>
  </w:style>
  <w:style w:type="character" w:customStyle="1" w:styleId="ListLabel169">
    <w:name w:val="ListLabel 169"/>
    <w:qFormat/>
    <w:rsid w:val="000952B8"/>
    <w:rPr>
      <w:rFonts w:cs="Open Sans"/>
    </w:rPr>
  </w:style>
  <w:style w:type="character" w:customStyle="1" w:styleId="ListLabel170">
    <w:name w:val="ListLabel 170"/>
    <w:qFormat/>
    <w:rsid w:val="000952B8"/>
    <w:rPr>
      <w:rFonts w:cs="Wingdings"/>
    </w:rPr>
  </w:style>
  <w:style w:type="character" w:customStyle="1" w:styleId="ListLabel171">
    <w:name w:val="ListLabel 171"/>
    <w:qFormat/>
    <w:rsid w:val="000952B8"/>
    <w:rPr>
      <w:rFonts w:cs="Symbol"/>
    </w:rPr>
  </w:style>
  <w:style w:type="character" w:customStyle="1" w:styleId="ListLabel172">
    <w:name w:val="ListLabel 172"/>
    <w:qFormat/>
    <w:rsid w:val="000952B8"/>
    <w:rPr>
      <w:rFonts w:cs="Courier New"/>
    </w:rPr>
  </w:style>
  <w:style w:type="character" w:customStyle="1" w:styleId="ListLabel173">
    <w:name w:val="ListLabel 173"/>
    <w:qFormat/>
    <w:rsid w:val="000952B8"/>
    <w:rPr>
      <w:rFonts w:cs="Wingdings"/>
    </w:rPr>
  </w:style>
  <w:style w:type="character" w:customStyle="1" w:styleId="ListLabel174">
    <w:name w:val="ListLabel 174"/>
    <w:qFormat/>
    <w:rsid w:val="000952B8"/>
    <w:rPr>
      <w:rFonts w:cs="Symbol"/>
    </w:rPr>
  </w:style>
  <w:style w:type="character" w:customStyle="1" w:styleId="ListLabel175">
    <w:name w:val="ListLabel 175"/>
    <w:qFormat/>
    <w:rsid w:val="000952B8"/>
    <w:rPr>
      <w:rFonts w:cs="Courier New"/>
    </w:rPr>
  </w:style>
  <w:style w:type="character" w:customStyle="1" w:styleId="ListLabel176">
    <w:name w:val="ListLabel 176"/>
    <w:qFormat/>
    <w:rsid w:val="000952B8"/>
    <w:rPr>
      <w:rFonts w:cs="Wingdings"/>
    </w:rPr>
  </w:style>
  <w:style w:type="character" w:customStyle="1" w:styleId="ListLabel177">
    <w:name w:val="ListLabel 177"/>
    <w:qFormat/>
    <w:rsid w:val="000952B8"/>
    <w:rPr>
      <w:rFonts w:cs="Courier New"/>
    </w:rPr>
  </w:style>
  <w:style w:type="character" w:customStyle="1" w:styleId="ListLabel178">
    <w:name w:val="ListLabel 178"/>
    <w:qFormat/>
    <w:rsid w:val="000952B8"/>
    <w:rPr>
      <w:rFonts w:cs="Courier New"/>
    </w:rPr>
  </w:style>
  <w:style w:type="character" w:customStyle="1" w:styleId="ListLabel179">
    <w:name w:val="ListLabel 179"/>
    <w:qFormat/>
    <w:rsid w:val="000952B8"/>
    <w:rPr>
      <w:rFonts w:cs="Courier New"/>
    </w:rPr>
  </w:style>
  <w:style w:type="character" w:customStyle="1" w:styleId="ListLabel180">
    <w:name w:val="ListLabel 180"/>
    <w:qFormat/>
    <w:rsid w:val="000952B8"/>
    <w:rPr>
      <w:rFonts w:cs="Courier New"/>
    </w:rPr>
  </w:style>
  <w:style w:type="character" w:customStyle="1" w:styleId="ListLabel181">
    <w:name w:val="ListLabel 181"/>
    <w:qFormat/>
    <w:rsid w:val="000952B8"/>
    <w:rPr>
      <w:rFonts w:cs="Courier New"/>
    </w:rPr>
  </w:style>
  <w:style w:type="character" w:customStyle="1" w:styleId="ListLabel182">
    <w:name w:val="ListLabel 182"/>
    <w:qFormat/>
    <w:rsid w:val="000952B8"/>
    <w:rPr>
      <w:rFonts w:cs="Courier New"/>
    </w:rPr>
  </w:style>
  <w:style w:type="character" w:customStyle="1" w:styleId="ListLabel183">
    <w:name w:val="ListLabel 183"/>
    <w:qFormat/>
    <w:rsid w:val="000952B8"/>
    <w:rPr>
      <w:rFonts w:ascii="Open Sans" w:eastAsia="Times New Roman" w:hAnsi="Open Sans" w:cs="Open Sans"/>
      <w:b/>
      <w:sz w:val="21"/>
      <w:szCs w:val="21"/>
      <w:lang w:eastAsia="es-ES"/>
    </w:rPr>
  </w:style>
  <w:style w:type="character" w:customStyle="1" w:styleId="ListLabel184">
    <w:name w:val="ListLabel 184"/>
    <w:qFormat/>
    <w:rsid w:val="000952B8"/>
    <w:rPr>
      <w:rFonts w:ascii="Open Sans" w:eastAsia="Times New Roman" w:hAnsi="Open Sans" w:cs="Open Sans"/>
      <w:b/>
      <w:sz w:val="21"/>
      <w:szCs w:val="21"/>
      <w:lang w:eastAsia="es-ES"/>
    </w:rPr>
  </w:style>
  <w:style w:type="character" w:customStyle="1" w:styleId="ListLabel185">
    <w:name w:val="ListLabel 185"/>
    <w:qFormat/>
    <w:rsid w:val="000952B8"/>
    <w:rPr>
      <w:rFonts w:ascii="Open Sans" w:eastAsia="Times New Roman" w:hAnsi="Open Sans" w:cs="Open Sans"/>
      <w:sz w:val="21"/>
      <w:szCs w:val="21"/>
      <w:lang w:eastAsia="es-ES"/>
    </w:rPr>
  </w:style>
  <w:style w:type="character" w:customStyle="1" w:styleId="ListLabel186">
    <w:name w:val="ListLabel 186"/>
    <w:qFormat/>
    <w:rsid w:val="000952B8"/>
    <w:rPr>
      <w:rFonts w:ascii="Open Sans" w:hAnsi="Open Sans" w:cs="Open Sans"/>
      <w:b/>
      <w:sz w:val="21"/>
      <w:szCs w:val="21"/>
    </w:rPr>
  </w:style>
  <w:style w:type="character" w:customStyle="1" w:styleId="ListLabel187">
    <w:name w:val="ListLabel 187"/>
    <w:qFormat/>
    <w:rsid w:val="000952B8"/>
    <w:rPr>
      <w:rFonts w:ascii="Open Sans" w:eastAsia="Times New Roman" w:hAnsi="Open Sans" w:cs="Open Sans"/>
      <w:sz w:val="21"/>
      <w:szCs w:val="21"/>
      <w:lang w:eastAsia="es-ES"/>
    </w:rPr>
  </w:style>
  <w:style w:type="character" w:customStyle="1" w:styleId="ListLabel188">
    <w:name w:val="ListLabel 188"/>
    <w:qFormat/>
    <w:rsid w:val="000952B8"/>
    <w:rPr>
      <w:rFonts w:ascii="Open Sans" w:hAnsi="Open Sans" w:cs="Open Sans"/>
      <w:sz w:val="21"/>
      <w:szCs w:val="21"/>
    </w:rPr>
  </w:style>
  <w:style w:type="character" w:customStyle="1" w:styleId="ListLabel189">
    <w:name w:val="ListLabel 189"/>
    <w:qFormat/>
    <w:rsid w:val="000952B8"/>
    <w:rPr>
      <w:rFonts w:ascii="Open Sans" w:eastAsia="Times New Roman" w:hAnsi="Open Sans" w:cs="Open Sans"/>
      <w:i/>
      <w:sz w:val="21"/>
      <w:szCs w:val="21"/>
      <w:lang w:eastAsia="es-ES"/>
    </w:rPr>
  </w:style>
  <w:style w:type="character" w:customStyle="1" w:styleId="ListLabel190">
    <w:name w:val="ListLabel 190"/>
    <w:qFormat/>
    <w:rsid w:val="000952B8"/>
    <w:rPr>
      <w:rFonts w:eastAsia="Calibri"/>
      <w:sz w:val="21"/>
      <w:szCs w:val="21"/>
    </w:rPr>
  </w:style>
  <w:style w:type="character" w:customStyle="1" w:styleId="ListLabel191">
    <w:name w:val="ListLabel 191"/>
    <w:qFormat/>
    <w:rsid w:val="000952B8"/>
    <w:rPr>
      <w:rFonts w:ascii="Open Sans" w:eastAsia="Times New Roman" w:hAnsi="Open Sans" w:cs="Open Sans"/>
      <w:sz w:val="21"/>
      <w:szCs w:val="21"/>
      <w:u w:val="none"/>
      <w:lang w:eastAsia="es-ES"/>
    </w:rPr>
  </w:style>
  <w:style w:type="character" w:customStyle="1" w:styleId="ListLabel192">
    <w:name w:val="ListLabel 192"/>
    <w:qFormat/>
    <w:rsid w:val="000952B8"/>
    <w:rPr>
      <w:rFonts w:ascii="Open Sans" w:hAnsi="Open Sans" w:cs="Open Sans"/>
      <w:sz w:val="21"/>
      <w:szCs w:val="21"/>
    </w:rPr>
  </w:style>
  <w:style w:type="character" w:customStyle="1" w:styleId="ListLabel193">
    <w:name w:val="ListLabel 193"/>
    <w:qFormat/>
    <w:rsid w:val="000952B8"/>
    <w:rPr>
      <w:rFonts w:ascii="Open Sans" w:hAnsi="Open Sans" w:cs="Symbol"/>
      <w:sz w:val="21"/>
    </w:rPr>
  </w:style>
  <w:style w:type="character" w:customStyle="1" w:styleId="ListLabel194">
    <w:name w:val="ListLabel 194"/>
    <w:qFormat/>
    <w:rsid w:val="000952B8"/>
    <w:rPr>
      <w:rFonts w:cs="Courier New"/>
      <w:sz w:val="20"/>
    </w:rPr>
  </w:style>
  <w:style w:type="character" w:customStyle="1" w:styleId="ListLabel195">
    <w:name w:val="ListLabel 195"/>
    <w:qFormat/>
    <w:rsid w:val="000952B8"/>
    <w:rPr>
      <w:rFonts w:cs="Wingdings"/>
      <w:sz w:val="20"/>
    </w:rPr>
  </w:style>
  <w:style w:type="character" w:customStyle="1" w:styleId="ListLabel196">
    <w:name w:val="ListLabel 196"/>
    <w:qFormat/>
    <w:rsid w:val="000952B8"/>
    <w:rPr>
      <w:rFonts w:cs="Wingdings"/>
      <w:sz w:val="20"/>
    </w:rPr>
  </w:style>
  <w:style w:type="character" w:customStyle="1" w:styleId="ListLabel197">
    <w:name w:val="ListLabel 197"/>
    <w:qFormat/>
    <w:rsid w:val="000952B8"/>
    <w:rPr>
      <w:rFonts w:cs="Wingdings"/>
      <w:sz w:val="20"/>
    </w:rPr>
  </w:style>
  <w:style w:type="character" w:customStyle="1" w:styleId="ListLabel198">
    <w:name w:val="ListLabel 198"/>
    <w:qFormat/>
    <w:rsid w:val="000952B8"/>
    <w:rPr>
      <w:rFonts w:cs="Wingdings"/>
      <w:sz w:val="20"/>
    </w:rPr>
  </w:style>
  <w:style w:type="character" w:customStyle="1" w:styleId="ListLabel199">
    <w:name w:val="ListLabel 199"/>
    <w:qFormat/>
    <w:rsid w:val="000952B8"/>
    <w:rPr>
      <w:rFonts w:cs="Wingdings"/>
      <w:sz w:val="20"/>
    </w:rPr>
  </w:style>
  <w:style w:type="character" w:customStyle="1" w:styleId="ListLabel200">
    <w:name w:val="ListLabel 200"/>
    <w:qFormat/>
    <w:rsid w:val="000952B8"/>
    <w:rPr>
      <w:rFonts w:cs="Wingdings"/>
      <w:sz w:val="20"/>
    </w:rPr>
  </w:style>
  <w:style w:type="character" w:customStyle="1" w:styleId="ListLabel201">
    <w:name w:val="ListLabel 201"/>
    <w:qFormat/>
    <w:rsid w:val="000952B8"/>
    <w:rPr>
      <w:rFonts w:cs="Wingdings"/>
      <w:sz w:val="20"/>
    </w:rPr>
  </w:style>
  <w:style w:type="character" w:customStyle="1" w:styleId="ListLabel202">
    <w:name w:val="ListLabel 202"/>
    <w:qFormat/>
    <w:rsid w:val="000952B8"/>
    <w:rPr>
      <w:rFonts w:ascii="Open Sans" w:hAnsi="Open Sans" w:cs="Open Sans"/>
      <w:sz w:val="21"/>
    </w:rPr>
  </w:style>
  <w:style w:type="character" w:customStyle="1" w:styleId="ListLabel203">
    <w:name w:val="ListLabel 203"/>
    <w:qFormat/>
    <w:rsid w:val="000952B8"/>
    <w:rPr>
      <w:rFonts w:cs="Courier New"/>
    </w:rPr>
  </w:style>
  <w:style w:type="character" w:customStyle="1" w:styleId="ListLabel204">
    <w:name w:val="ListLabel 204"/>
    <w:qFormat/>
    <w:rsid w:val="000952B8"/>
    <w:rPr>
      <w:rFonts w:cs="Wingdings"/>
    </w:rPr>
  </w:style>
  <w:style w:type="character" w:customStyle="1" w:styleId="ListLabel205">
    <w:name w:val="ListLabel 205"/>
    <w:qFormat/>
    <w:rsid w:val="000952B8"/>
    <w:rPr>
      <w:rFonts w:cs="Symbol"/>
    </w:rPr>
  </w:style>
  <w:style w:type="character" w:customStyle="1" w:styleId="ListLabel206">
    <w:name w:val="ListLabel 206"/>
    <w:qFormat/>
    <w:rsid w:val="000952B8"/>
    <w:rPr>
      <w:rFonts w:cs="Courier New"/>
    </w:rPr>
  </w:style>
  <w:style w:type="character" w:customStyle="1" w:styleId="ListLabel207">
    <w:name w:val="ListLabel 207"/>
    <w:qFormat/>
    <w:rsid w:val="000952B8"/>
    <w:rPr>
      <w:rFonts w:cs="Wingdings"/>
    </w:rPr>
  </w:style>
  <w:style w:type="character" w:customStyle="1" w:styleId="ListLabel208">
    <w:name w:val="ListLabel 208"/>
    <w:qFormat/>
    <w:rsid w:val="000952B8"/>
    <w:rPr>
      <w:rFonts w:cs="Symbol"/>
    </w:rPr>
  </w:style>
  <w:style w:type="character" w:customStyle="1" w:styleId="ListLabel209">
    <w:name w:val="ListLabel 209"/>
    <w:qFormat/>
    <w:rsid w:val="000952B8"/>
    <w:rPr>
      <w:rFonts w:cs="Courier New"/>
    </w:rPr>
  </w:style>
  <w:style w:type="character" w:customStyle="1" w:styleId="ListLabel210">
    <w:name w:val="ListLabel 210"/>
    <w:qFormat/>
    <w:rsid w:val="000952B8"/>
    <w:rPr>
      <w:rFonts w:cs="Wingdings"/>
    </w:rPr>
  </w:style>
  <w:style w:type="character" w:customStyle="1" w:styleId="ListLabel211">
    <w:name w:val="ListLabel 211"/>
    <w:qFormat/>
    <w:rsid w:val="000952B8"/>
    <w:rPr>
      <w:rFonts w:ascii="Open Sans" w:hAnsi="Open Sans" w:cs="Symbol"/>
      <w:sz w:val="21"/>
    </w:rPr>
  </w:style>
  <w:style w:type="character" w:customStyle="1" w:styleId="ListLabel212">
    <w:name w:val="ListLabel 212"/>
    <w:qFormat/>
    <w:rsid w:val="000952B8"/>
    <w:rPr>
      <w:rFonts w:cs="Open Sans"/>
    </w:rPr>
  </w:style>
  <w:style w:type="character" w:customStyle="1" w:styleId="ListLabel213">
    <w:name w:val="ListLabel 213"/>
    <w:qFormat/>
    <w:rsid w:val="000952B8"/>
    <w:rPr>
      <w:rFonts w:cs="Wingdings"/>
    </w:rPr>
  </w:style>
  <w:style w:type="character" w:customStyle="1" w:styleId="ListLabel214">
    <w:name w:val="ListLabel 214"/>
    <w:qFormat/>
    <w:rsid w:val="000952B8"/>
    <w:rPr>
      <w:rFonts w:cs="Symbol"/>
    </w:rPr>
  </w:style>
  <w:style w:type="character" w:customStyle="1" w:styleId="ListLabel215">
    <w:name w:val="ListLabel 215"/>
    <w:qFormat/>
    <w:rsid w:val="000952B8"/>
    <w:rPr>
      <w:rFonts w:cs="Courier New"/>
    </w:rPr>
  </w:style>
  <w:style w:type="character" w:customStyle="1" w:styleId="ListLabel216">
    <w:name w:val="ListLabel 216"/>
    <w:qFormat/>
    <w:rsid w:val="000952B8"/>
    <w:rPr>
      <w:rFonts w:cs="Wingdings"/>
    </w:rPr>
  </w:style>
  <w:style w:type="character" w:customStyle="1" w:styleId="ListLabel217">
    <w:name w:val="ListLabel 217"/>
    <w:qFormat/>
    <w:rsid w:val="000952B8"/>
    <w:rPr>
      <w:rFonts w:cs="Symbol"/>
    </w:rPr>
  </w:style>
  <w:style w:type="character" w:customStyle="1" w:styleId="ListLabel218">
    <w:name w:val="ListLabel 218"/>
    <w:qFormat/>
    <w:rsid w:val="000952B8"/>
    <w:rPr>
      <w:rFonts w:cs="Courier New"/>
    </w:rPr>
  </w:style>
  <w:style w:type="character" w:customStyle="1" w:styleId="ListLabel219">
    <w:name w:val="ListLabel 219"/>
    <w:qFormat/>
    <w:rsid w:val="000952B8"/>
    <w:rPr>
      <w:rFonts w:cs="Wingdings"/>
    </w:rPr>
  </w:style>
  <w:style w:type="character" w:customStyle="1" w:styleId="ListLabel220">
    <w:name w:val="ListLabel 220"/>
    <w:qFormat/>
    <w:rsid w:val="000952B8"/>
    <w:rPr>
      <w:rFonts w:cs="Courier New"/>
    </w:rPr>
  </w:style>
  <w:style w:type="character" w:customStyle="1" w:styleId="ListLabel221">
    <w:name w:val="ListLabel 221"/>
    <w:qFormat/>
    <w:rsid w:val="000952B8"/>
    <w:rPr>
      <w:rFonts w:cs="Wingdings"/>
    </w:rPr>
  </w:style>
  <w:style w:type="character" w:customStyle="1" w:styleId="ListLabel222">
    <w:name w:val="ListLabel 222"/>
    <w:qFormat/>
    <w:rsid w:val="000952B8"/>
    <w:rPr>
      <w:rFonts w:cs="Symbol"/>
    </w:rPr>
  </w:style>
  <w:style w:type="character" w:customStyle="1" w:styleId="ListLabel223">
    <w:name w:val="ListLabel 223"/>
    <w:qFormat/>
    <w:rsid w:val="000952B8"/>
    <w:rPr>
      <w:rFonts w:cs="Courier New"/>
    </w:rPr>
  </w:style>
  <w:style w:type="character" w:customStyle="1" w:styleId="ListLabel224">
    <w:name w:val="ListLabel 224"/>
    <w:qFormat/>
    <w:rsid w:val="000952B8"/>
    <w:rPr>
      <w:rFonts w:cs="Wingdings"/>
    </w:rPr>
  </w:style>
  <w:style w:type="character" w:customStyle="1" w:styleId="ListLabel225">
    <w:name w:val="ListLabel 225"/>
    <w:qFormat/>
    <w:rsid w:val="000952B8"/>
    <w:rPr>
      <w:rFonts w:cs="Symbol"/>
    </w:rPr>
  </w:style>
  <w:style w:type="character" w:customStyle="1" w:styleId="ListLabel226">
    <w:name w:val="ListLabel 226"/>
    <w:qFormat/>
    <w:rsid w:val="000952B8"/>
    <w:rPr>
      <w:rFonts w:cs="Courier New"/>
    </w:rPr>
  </w:style>
  <w:style w:type="character" w:customStyle="1" w:styleId="ListLabel227">
    <w:name w:val="ListLabel 227"/>
    <w:qFormat/>
    <w:rsid w:val="000952B8"/>
    <w:rPr>
      <w:rFonts w:cs="Wingdings"/>
    </w:rPr>
  </w:style>
  <w:style w:type="character" w:customStyle="1" w:styleId="ListLabel228">
    <w:name w:val="ListLabel 228"/>
    <w:qFormat/>
    <w:rsid w:val="000952B8"/>
    <w:rPr>
      <w:rFonts w:ascii="Open Sans" w:eastAsia="Times New Roman" w:hAnsi="Open Sans" w:cs="Open Sans"/>
      <w:b/>
      <w:sz w:val="21"/>
      <w:szCs w:val="21"/>
      <w:lang w:eastAsia="es-ES"/>
    </w:rPr>
  </w:style>
  <w:style w:type="character" w:customStyle="1" w:styleId="ListLabel229">
    <w:name w:val="ListLabel 229"/>
    <w:qFormat/>
    <w:rsid w:val="000952B8"/>
    <w:rPr>
      <w:rFonts w:ascii="Open Sans" w:eastAsia="Times New Roman" w:hAnsi="Open Sans" w:cs="Open Sans"/>
      <w:sz w:val="21"/>
      <w:szCs w:val="21"/>
      <w:lang w:eastAsia="es-ES"/>
    </w:rPr>
  </w:style>
  <w:style w:type="character" w:customStyle="1" w:styleId="ListLabel230">
    <w:name w:val="ListLabel 230"/>
    <w:qFormat/>
    <w:rsid w:val="000952B8"/>
    <w:rPr>
      <w:rFonts w:ascii="Open Sans" w:hAnsi="Open Sans" w:cs="Open Sans"/>
      <w:b/>
      <w:sz w:val="21"/>
      <w:szCs w:val="21"/>
    </w:rPr>
  </w:style>
  <w:style w:type="character" w:customStyle="1" w:styleId="ListLabel231">
    <w:name w:val="ListLabel 231"/>
    <w:qFormat/>
    <w:rsid w:val="000952B8"/>
    <w:rPr>
      <w:rFonts w:ascii="Open Sans" w:hAnsi="Open Sans" w:cs="Open Sans"/>
      <w:sz w:val="21"/>
      <w:szCs w:val="21"/>
    </w:rPr>
  </w:style>
  <w:style w:type="character" w:customStyle="1" w:styleId="ListLabel232">
    <w:name w:val="ListLabel 232"/>
    <w:qFormat/>
    <w:rsid w:val="000952B8"/>
    <w:rPr>
      <w:rFonts w:ascii="Open Sans" w:eastAsia="Times New Roman" w:hAnsi="Open Sans" w:cs="Open Sans"/>
      <w:i/>
      <w:sz w:val="21"/>
      <w:szCs w:val="21"/>
      <w:lang w:eastAsia="es-ES"/>
    </w:rPr>
  </w:style>
  <w:style w:type="character" w:customStyle="1" w:styleId="ListLabel233">
    <w:name w:val="ListLabel 233"/>
    <w:qFormat/>
    <w:rsid w:val="000952B8"/>
    <w:rPr>
      <w:rFonts w:eastAsia="Calibri"/>
      <w:sz w:val="21"/>
      <w:szCs w:val="21"/>
    </w:rPr>
  </w:style>
  <w:style w:type="character" w:customStyle="1" w:styleId="ListLabel234">
    <w:name w:val="ListLabel 234"/>
    <w:qFormat/>
    <w:rsid w:val="000952B8"/>
    <w:rPr>
      <w:rFonts w:ascii="Open Sans" w:eastAsia="Times New Roman" w:hAnsi="Open Sans" w:cs="Open Sans"/>
      <w:sz w:val="21"/>
      <w:szCs w:val="21"/>
      <w:u w:val="none"/>
      <w:lang w:eastAsia="es-ES"/>
    </w:rPr>
  </w:style>
  <w:style w:type="character" w:customStyle="1" w:styleId="ListLabel235">
    <w:name w:val="ListLabel 235"/>
    <w:qFormat/>
    <w:rsid w:val="000952B8"/>
    <w:rPr>
      <w:rFonts w:ascii="Open Sans" w:hAnsi="Open Sans" w:cs="Symbol"/>
      <w:sz w:val="21"/>
    </w:rPr>
  </w:style>
  <w:style w:type="character" w:customStyle="1" w:styleId="ListLabel236">
    <w:name w:val="ListLabel 236"/>
    <w:qFormat/>
    <w:rsid w:val="000952B8"/>
    <w:rPr>
      <w:rFonts w:cs="Courier New"/>
      <w:sz w:val="20"/>
    </w:rPr>
  </w:style>
  <w:style w:type="character" w:customStyle="1" w:styleId="ListLabel237">
    <w:name w:val="ListLabel 237"/>
    <w:qFormat/>
    <w:rsid w:val="000952B8"/>
    <w:rPr>
      <w:rFonts w:cs="Wingdings"/>
      <w:sz w:val="20"/>
    </w:rPr>
  </w:style>
  <w:style w:type="character" w:customStyle="1" w:styleId="ListLabel238">
    <w:name w:val="ListLabel 238"/>
    <w:qFormat/>
    <w:rsid w:val="000952B8"/>
    <w:rPr>
      <w:rFonts w:cs="Wingdings"/>
      <w:sz w:val="20"/>
    </w:rPr>
  </w:style>
  <w:style w:type="character" w:customStyle="1" w:styleId="ListLabel239">
    <w:name w:val="ListLabel 239"/>
    <w:qFormat/>
    <w:rsid w:val="000952B8"/>
    <w:rPr>
      <w:rFonts w:cs="Wingdings"/>
      <w:sz w:val="20"/>
    </w:rPr>
  </w:style>
  <w:style w:type="character" w:customStyle="1" w:styleId="ListLabel240">
    <w:name w:val="ListLabel 240"/>
    <w:qFormat/>
    <w:rsid w:val="000952B8"/>
    <w:rPr>
      <w:rFonts w:cs="Wingdings"/>
      <w:sz w:val="20"/>
    </w:rPr>
  </w:style>
  <w:style w:type="character" w:customStyle="1" w:styleId="ListLabel241">
    <w:name w:val="ListLabel 241"/>
    <w:qFormat/>
    <w:rsid w:val="000952B8"/>
    <w:rPr>
      <w:rFonts w:cs="Wingdings"/>
      <w:sz w:val="20"/>
    </w:rPr>
  </w:style>
  <w:style w:type="character" w:customStyle="1" w:styleId="ListLabel242">
    <w:name w:val="ListLabel 242"/>
    <w:qFormat/>
    <w:rsid w:val="000952B8"/>
    <w:rPr>
      <w:rFonts w:cs="Wingdings"/>
      <w:sz w:val="20"/>
    </w:rPr>
  </w:style>
  <w:style w:type="character" w:customStyle="1" w:styleId="ListLabel243">
    <w:name w:val="ListLabel 243"/>
    <w:qFormat/>
    <w:rsid w:val="000952B8"/>
    <w:rPr>
      <w:rFonts w:cs="Wingdings"/>
      <w:sz w:val="20"/>
    </w:rPr>
  </w:style>
  <w:style w:type="character" w:customStyle="1" w:styleId="ListLabel244">
    <w:name w:val="ListLabel 244"/>
    <w:qFormat/>
    <w:rsid w:val="000952B8"/>
    <w:rPr>
      <w:rFonts w:ascii="Open Sans" w:hAnsi="Open Sans" w:cs="Open Sans"/>
      <w:sz w:val="21"/>
    </w:rPr>
  </w:style>
  <w:style w:type="character" w:customStyle="1" w:styleId="ListLabel245">
    <w:name w:val="ListLabel 245"/>
    <w:qFormat/>
    <w:rsid w:val="000952B8"/>
    <w:rPr>
      <w:rFonts w:cs="Courier New"/>
    </w:rPr>
  </w:style>
  <w:style w:type="character" w:customStyle="1" w:styleId="ListLabel246">
    <w:name w:val="ListLabel 246"/>
    <w:qFormat/>
    <w:rsid w:val="000952B8"/>
    <w:rPr>
      <w:rFonts w:cs="Wingdings"/>
    </w:rPr>
  </w:style>
  <w:style w:type="character" w:customStyle="1" w:styleId="ListLabel247">
    <w:name w:val="ListLabel 247"/>
    <w:qFormat/>
    <w:rsid w:val="000952B8"/>
    <w:rPr>
      <w:rFonts w:cs="Symbol"/>
    </w:rPr>
  </w:style>
  <w:style w:type="character" w:customStyle="1" w:styleId="ListLabel248">
    <w:name w:val="ListLabel 248"/>
    <w:qFormat/>
    <w:rsid w:val="000952B8"/>
    <w:rPr>
      <w:rFonts w:cs="Courier New"/>
    </w:rPr>
  </w:style>
  <w:style w:type="character" w:customStyle="1" w:styleId="ListLabel249">
    <w:name w:val="ListLabel 249"/>
    <w:qFormat/>
    <w:rsid w:val="000952B8"/>
    <w:rPr>
      <w:rFonts w:cs="Wingdings"/>
    </w:rPr>
  </w:style>
  <w:style w:type="character" w:customStyle="1" w:styleId="ListLabel250">
    <w:name w:val="ListLabel 250"/>
    <w:qFormat/>
    <w:rsid w:val="000952B8"/>
    <w:rPr>
      <w:rFonts w:cs="Symbol"/>
    </w:rPr>
  </w:style>
  <w:style w:type="character" w:customStyle="1" w:styleId="ListLabel251">
    <w:name w:val="ListLabel 251"/>
    <w:qFormat/>
    <w:rsid w:val="000952B8"/>
    <w:rPr>
      <w:rFonts w:cs="Courier New"/>
    </w:rPr>
  </w:style>
  <w:style w:type="character" w:customStyle="1" w:styleId="ListLabel252">
    <w:name w:val="ListLabel 252"/>
    <w:qFormat/>
    <w:rsid w:val="000952B8"/>
    <w:rPr>
      <w:rFonts w:cs="Wingdings"/>
    </w:rPr>
  </w:style>
  <w:style w:type="character" w:customStyle="1" w:styleId="ListLabel253">
    <w:name w:val="ListLabel 253"/>
    <w:qFormat/>
    <w:rsid w:val="000952B8"/>
    <w:rPr>
      <w:rFonts w:ascii="Open Sans" w:hAnsi="Open Sans" w:cs="Symbol"/>
      <w:sz w:val="21"/>
    </w:rPr>
  </w:style>
  <w:style w:type="character" w:customStyle="1" w:styleId="ListLabel254">
    <w:name w:val="ListLabel 254"/>
    <w:qFormat/>
    <w:rsid w:val="000952B8"/>
    <w:rPr>
      <w:rFonts w:cs="Open Sans"/>
    </w:rPr>
  </w:style>
  <w:style w:type="character" w:customStyle="1" w:styleId="ListLabel255">
    <w:name w:val="ListLabel 255"/>
    <w:qFormat/>
    <w:rsid w:val="000952B8"/>
    <w:rPr>
      <w:rFonts w:cs="Wingdings"/>
    </w:rPr>
  </w:style>
  <w:style w:type="character" w:customStyle="1" w:styleId="ListLabel256">
    <w:name w:val="ListLabel 256"/>
    <w:qFormat/>
    <w:rsid w:val="000952B8"/>
    <w:rPr>
      <w:rFonts w:cs="Symbol"/>
    </w:rPr>
  </w:style>
  <w:style w:type="character" w:customStyle="1" w:styleId="ListLabel257">
    <w:name w:val="ListLabel 257"/>
    <w:qFormat/>
    <w:rsid w:val="000952B8"/>
    <w:rPr>
      <w:rFonts w:cs="Courier New"/>
    </w:rPr>
  </w:style>
  <w:style w:type="character" w:customStyle="1" w:styleId="ListLabel258">
    <w:name w:val="ListLabel 258"/>
    <w:qFormat/>
    <w:rsid w:val="000952B8"/>
    <w:rPr>
      <w:rFonts w:cs="Wingdings"/>
    </w:rPr>
  </w:style>
  <w:style w:type="character" w:customStyle="1" w:styleId="ListLabel259">
    <w:name w:val="ListLabel 259"/>
    <w:qFormat/>
    <w:rsid w:val="000952B8"/>
    <w:rPr>
      <w:rFonts w:cs="Symbol"/>
    </w:rPr>
  </w:style>
  <w:style w:type="character" w:customStyle="1" w:styleId="ListLabel260">
    <w:name w:val="ListLabel 260"/>
    <w:qFormat/>
    <w:rsid w:val="000952B8"/>
    <w:rPr>
      <w:rFonts w:cs="Courier New"/>
    </w:rPr>
  </w:style>
  <w:style w:type="character" w:customStyle="1" w:styleId="ListLabel261">
    <w:name w:val="ListLabel 261"/>
    <w:qFormat/>
    <w:rsid w:val="000952B8"/>
    <w:rPr>
      <w:rFonts w:cs="Wingdings"/>
    </w:rPr>
  </w:style>
  <w:style w:type="character" w:customStyle="1" w:styleId="ListLabel262">
    <w:name w:val="ListLabel 262"/>
    <w:qFormat/>
    <w:rsid w:val="000952B8"/>
    <w:rPr>
      <w:rFonts w:cs="Courier New"/>
    </w:rPr>
  </w:style>
  <w:style w:type="character" w:customStyle="1" w:styleId="ListLabel263">
    <w:name w:val="ListLabel 263"/>
    <w:qFormat/>
    <w:rsid w:val="000952B8"/>
    <w:rPr>
      <w:rFonts w:cs="Wingdings"/>
    </w:rPr>
  </w:style>
  <w:style w:type="character" w:customStyle="1" w:styleId="ListLabel264">
    <w:name w:val="ListLabel 264"/>
    <w:qFormat/>
    <w:rsid w:val="000952B8"/>
    <w:rPr>
      <w:rFonts w:cs="Symbol"/>
    </w:rPr>
  </w:style>
  <w:style w:type="character" w:customStyle="1" w:styleId="ListLabel265">
    <w:name w:val="ListLabel 265"/>
    <w:qFormat/>
    <w:rsid w:val="000952B8"/>
    <w:rPr>
      <w:rFonts w:cs="Courier New"/>
    </w:rPr>
  </w:style>
  <w:style w:type="character" w:customStyle="1" w:styleId="ListLabel266">
    <w:name w:val="ListLabel 266"/>
    <w:qFormat/>
    <w:rsid w:val="000952B8"/>
    <w:rPr>
      <w:rFonts w:cs="Wingdings"/>
    </w:rPr>
  </w:style>
  <w:style w:type="character" w:customStyle="1" w:styleId="ListLabel267">
    <w:name w:val="ListLabel 267"/>
    <w:qFormat/>
    <w:rsid w:val="000952B8"/>
    <w:rPr>
      <w:rFonts w:cs="Symbol"/>
    </w:rPr>
  </w:style>
  <w:style w:type="character" w:customStyle="1" w:styleId="ListLabel268">
    <w:name w:val="ListLabel 268"/>
    <w:qFormat/>
    <w:rsid w:val="000952B8"/>
    <w:rPr>
      <w:rFonts w:cs="Courier New"/>
    </w:rPr>
  </w:style>
  <w:style w:type="character" w:customStyle="1" w:styleId="ListLabel269">
    <w:name w:val="ListLabel 269"/>
    <w:qFormat/>
    <w:rsid w:val="000952B8"/>
    <w:rPr>
      <w:rFonts w:cs="Wingdings"/>
    </w:rPr>
  </w:style>
  <w:style w:type="character" w:customStyle="1" w:styleId="ListLabel270">
    <w:name w:val="ListLabel 270"/>
    <w:qFormat/>
    <w:rsid w:val="000952B8"/>
    <w:rPr>
      <w:rFonts w:cs="Courier New"/>
    </w:rPr>
  </w:style>
  <w:style w:type="character" w:customStyle="1" w:styleId="ListLabel271">
    <w:name w:val="ListLabel 271"/>
    <w:qFormat/>
    <w:rsid w:val="000952B8"/>
    <w:rPr>
      <w:rFonts w:cs="Courier New"/>
    </w:rPr>
  </w:style>
  <w:style w:type="character" w:customStyle="1" w:styleId="ListLabel272">
    <w:name w:val="ListLabel 272"/>
    <w:qFormat/>
    <w:rsid w:val="000952B8"/>
    <w:rPr>
      <w:rFonts w:cs="Courier New"/>
    </w:rPr>
  </w:style>
  <w:style w:type="character" w:customStyle="1" w:styleId="ListLabel273">
    <w:name w:val="ListLabel 273"/>
    <w:qFormat/>
    <w:rsid w:val="000952B8"/>
    <w:rPr>
      <w:rFonts w:ascii="Open Sans" w:eastAsia="Times New Roman" w:hAnsi="Open Sans" w:cs="Open Sans"/>
      <w:b/>
      <w:sz w:val="21"/>
      <w:szCs w:val="21"/>
      <w:lang w:eastAsia="es-ES"/>
    </w:rPr>
  </w:style>
  <w:style w:type="character" w:customStyle="1" w:styleId="ListLabel274">
    <w:name w:val="ListLabel 274"/>
    <w:qFormat/>
    <w:rsid w:val="000952B8"/>
    <w:rPr>
      <w:rFonts w:ascii="Open Sans" w:eastAsia="Times New Roman" w:hAnsi="Open Sans" w:cs="Open Sans"/>
      <w:sz w:val="21"/>
      <w:szCs w:val="21"/>
      <w:lang w:eastAsia="es-ES"/>
    </w:rPr>
  </w:style>
  <w:style w:type="character" w:customStyle="1" w:styleId="ListLabel275">
    <w:name w:val="ListLabel 275"/>
    <w:qFormat/>
    <w:rsid w:val="000952B8"/>
    <w:rPr>
      <w:rFonts w:ascii="Open Sans" w:hAnsi="Open Sans" w:cs="Open Sans"/>
      <w:b/>
      <w:sz w:val="21"/>
      <w:szCs w:val="21"/>
    </w:rPr>
  </w:style>
  <w:style w:type="character" w:customStyle="1" w:styleId="ListLabel276">
    <w:name w:val="ListLabel 276"/>
    <w:qFormat/>
    <w:rsid w:val="000952B8"/>
    <w:rPr>
      <w:rFonts w:ascii="Open Sans" w:hAnsi="Open Sans" w:cs="Open Sans"/>
      <w:sz w:val="21"/>
      <w:szCs w:val="21"/>
    </w:rPr>
  </w:style>
  <w:style w:type="character" w:customStyle="1" w:styleId="ListLabel277">
    <w:name w:val="ListLabel 277"/>
    <w:qFormat/>
    <w:rsid w:val="000952B8"/>
    <w:rPr>
      <w:rFonts w:ascii="Open Sans" w:hAnsi="Open Sans" w:cs="Open Sans"/>
      <w:sz w:val="21"/>
      <w:szCs w:val="21"/>
    </w:rPr>
  </w:style>
  <w:style w:type="character" w:customStyle="1" w:styleId="ListLabel278">
    <w:name w:val="ListLabel 278"/>
    <w:qFormat/>
    <w:rsid w:val="000952B8"/>
    <w:rPr>
      <w:rFonts w:ascii="Open Sans" w:eastAsia="Times New Roman" w:hAnsi="Open Sans" w:cs="Open Sans"/>
      <w:i/>
      <w:sz w:val="21"/>
      <w:szCs w:val="21"/>
      <w:lang w:eastAsia="es-ES"/>
    </w:rPr>
  </w:style>
  <w:style w:type="character" w:customStyle="1" w:styleId="ListLabel279">
    <w:name w:val="ListLabel 279"/>
    <w:qFormat/>
    <w:rsid w:val="000952B8"/>
    <w:rPr>
      <w:rFonts w:eastAsia="Calibri"/>
      <w:sz w:val="21"/>
      <w:szCs w:val="21"/>
    </w:rPr>
  </w:style>
  <w:style w:type="character" w:customStyle="1" w:styleId="ListLabel280">
    <w:name w:val="ListLabel 280"/>
    <w:qFormat/>
    <w:rsid w:val="000952B8"/>
    <w:rPr>
      <w:rFonts w:ascii="Open Sans" w:eastAsia="Times New Roman" w:hAnsi="Open Sans" w:cs="Open Sans"/>
      <w:sz w:val="21"/>
      <w:szCs w:val="21"/>
      <w:u w:val="none"/>
      <w:lang w:eastAsia="es-ES"/>
    </w:rPr>
  </w:style>
  <w:style w:type="character" w:customStyle="1" w:styleId="ListLabel281">
    <w:name w:val="ListLabel 281"/>
    <w:qFormat/>
    <w:rsid w:val="000952B8"/>
    <w:rPr>
      <w:b/>
      <w:color w:val="932224"/>
      <w:sz w:val="21"/>
      <w:szCs w:val="21"/>
      <w:lang w:val="es-ES"/>
    </w:rPr>
  </w:style>
  <w:style w:type="character" w:customStyle="1" w:styleId="ListLabel282">
    <w:name w:val="ListLabel 282"/>
    <w:qFormat/>
    <w:rsid w:val="000952B8"/>
    <w:rPr>
      <w:color w:val="932224"/>
      <w:sz w:val="21"/>
      <w:szCs w:val="21"/>
      <w:shd w:val="clear" w:color="auto" w:fill="FFFFFF"/>
      <w:lang w:val="es-ES"/>
    </w:rPr>
  </w:style>
  <w:style w:type="character" w:customStyle="1" w:styleId="TextocomentarioCar1">
    <w:name w:val="Texto comentario Car1"/>
    <w:basedOn w:val="Fuentedeprrafopredeter"/>
    <w:uiPriority w:val="99"/>
    <w:semiHidden/>
    <w:qFormat/>
    <w:rsid w:val="000952B8"/>
    <w:rPr>
      <w:sz w:val="20"/>
      <w:szCs w:val="20"/>
    </w:rPr>
  </w:style>
  <w:style w:type="character" w:customStyle="1" w:styleId="AsuntodelcomentarioCar1">
    <w:name w:val="Asunto del comentario Car1"/>
    <w:basedOn w:val="TextocomentarioCar1"/>
    <w:uiPriority w:val="99"/>
    <w:semiHidden/>
    <w:qFormat/>
    <w:rsid w:val="000952B8"/>
    <w:rPr>
      <w:b/>
      <w:bCs/>
      <w:sz w:val="20"/>
      <w:szCs w:val="20"/>
    </w:rPr>
  </w:style>
  <w:style w:type="character" w:customStyle="1" w:styleId="TextodegloboCar1">
    <w:name w:val="Texto de globo Car1"/>
    <w:basedOn w:val="Fuentedeprrafopredeter"/>
    <w:uiPriority w:val="99"/>
    <w:semiHidden/>
    <w:qFormat/>
    <w:rsid w:val="000952B8"/>
    <w:rPr>
      <w:rFonts w:ascii="Segoe UI" w:hAnsi="Segoe UI" w:cs="Segoe UI"/>
      <w:sz w:val="18"/>
      <w:szCs w:val="18"/>
    </w:rPr>
  </w:style>
  <w:style w:type="character" w:customStyle="1" w:styleId="ListLabel283">
    <w:name w:val="ListLabel 283"/>
    <w:qFormat/>
    <w:rsid w:val="000952B8"/>
    <w:rPr>
      <w:rFonts w:ascii="Open Sans" w:hAnsi="Open Sans" w:cs="Symbol"/>
      <w:sz w:val="21"/>
    </w:rPr>
  </w:style>
  <w:style w:type="character" w:customStyle="1" w:styleId="ListLabel284">
    <w:name w:val="ListLabel 284"/>
    <w:qFormat/>
    <w:rsid w:val="000952B8"/>
    <w:rPr>
      <w:rFonts w:cs="Courier New"/>
      <w:sz w:val="20"/>
    </w:rPr>
  </w:style>
  <w:style w:type="character" w:customStyle="1" w:styleId="ListLabel285">
    <w:name w:val="ListLabel 285"/>
    <w:qFormat/>
    <w:rsid w:val="000952B8"/>
    <w:rPr>
      <w:rFonts w:cs="Wingdings"/>
      <w:sz w:val="20"/>
    </w:rPr>
  </w:style>
  <w:style w:type="character" w:customStyle="1" w:styleId="ListLabel286">
    <w:name w:val="ListLabel 286"/>
    <w:qFormat/>
    <w:rsid w:val="000952B8"/>
    <w:rPr>
      <w:rFonts w:cs="Wingdings"/>
      <w:sz w:val="20"/>
    </w:rPr>
  </w:style>
  <w:style w:type="character" w:customStyle="1" w:styleId="ListLabel287">
    <w:name w:val="ListLabel 287"/>
    <w:qFormat/>
    <w:rsid w:val="000952B8"/>
    <w:rPr>
      <w:rFonts w:cs="Wingdings"/>
      <w:sz w:val="20"/>
    </w:rPr>
  </w:style>
  <w:style w:type="character" w:customStyle="1" w:styleId="ListLabel288">
    <w:name w:val="ListLabel 288"/>
    <w:qFormat/>
    <w:rsid w:val="000952B8"/>
    <w:rPr>
      <w:rFonts w:cs="Wingdings"/>
      <w:sz w:val="20"/>
    </w:rPr>
  </w:style>
  <w:style w:type="character" w:customStyle="1" w:styleId="ListLabel289">
    <w:name w:val="ListLabel 289"/>
    <w:qFormat/>
    <w:rsid w:val="000952B8"/>
    <w:rPr>
      <w:rFonts w:cs="Wingdings"/>
      <w:sz w:val="20"/>
    </w:rPr>
  </w:style>
  <w:style w:type="character" w:customStyle="1" w:styleId="ListLabel290">
    <w:name w:val="ListLabel 290"/>
    <w:qFormat/>
    <w:rsid w:val="000952B8"/>
    <w:rPr>
      <w:rFonts w:cs="Wingdings"/>
      <w:sz w:val="20"/>
    </w:rPr>
  </w:style>
  <w:style w:type="character" w:customStyle="1" w:styleId="ListLabel291">
    <w:name w:val="ListLabel 291"/>
    <w:qFormat/>
    <w:rsid w:val="000952B8"/>
    <w:rPr>
      <w:rFonts w:cs="Wingdings"/>
      <w:sz w:val="20"/>
    </w:rPr>
  </w:style>
  <w:style w:type="character" w:customStyle="1" w:styleId="ListLabel292">
    <w:name w:val="ListLabel 292"/>
    <w:qFormat/>
    <w:rsid w:val="000952B8"/>
    <w:rPr>
      <w:rFonts w:cs="Open Sans"/>
      <w:sz w:val="21"/>
    </w:rPr>
  </w:style>
  <w:style w:type="character" w:customStyle="1" w:styleId="ListLabel293">
    <w:name w:val="ListLabel 293"/>
    <w:qFormat/>
    <w:rsid w:val="000952B8"/>
    <w:rPr>
      <w:rFonts w:cs="Courier New"/>
    </w:rPr>
  </w:style>
  <w:style w:type="character" w:customStyle="1" w:styleId="ListLabel294">
    <w:name w:val="ListLabel 294"/>
    <w:qFormat/>
    <w:rsid w:val="000952B8"/>
    <w:rPr>
      <w:rFonts w:cs="Wingdings"/>
    </w:rPr>
  </w:style>
  <w:style w:type="character" w:customStyle="1" w:styleId="ListLabel295">
    <w:name w:val="ListLabel 295"/>
    <w:qFormat/>
    <w:rsid w:val="000952B8"/>
    <w:rPr>
      <w:rFonts w:cs="Symbol"/>
    </w:rPr>
  </w:style>
  <w:style w:type="character" w:customStyle="1" w:styleId="ListLabel296">
    <w:name w:val="ListLabel 296"/>
    <w:qFormat/>
    <w:rsid w:val="000952B8"/>
    <w:rPr>
      <w:rFonts w:cs="Courier New"/>
    </w:rPr>
  </w:style>
  <w:style w:type="character" w:customStyle="1" w:styleId="ListLabel297">
    <w:name w:val="ListLabel 297"/>
    <w:qFormat/>
    <w:rsid w:val="000952B8"/>
    <w:rPr>
      <w:rFonts w:cs="Wingdings"/>
    </w:rPr>
  </w:style>
  <w:style w:type="character" w:customStyle="1" w:styleId="ListLabel298">
    <w:name w:val="ListLabel 298"/>
    <w:qFormat/>
    <w:rsid w:val="000952B8"/>
    <w:rPr>
      <w:rFonts w:cs="Symbol"/>
    </w:rPr>
  </w:style>
  <w:style w:type="character" w:customStyle="1" w:styleId="ListLabel299">
    <w:name w:val="ListLabel 299"/>
    <w:qFormat/>
    <w:rsid w:val="000952B8"/>
    <w:rPr>
      <w:rFonts w:cs="Courier New"/>
    </w:rPr>
  </w:style>
  <w:style w:type="character" w:customStyle="1" w:styleId="ListLabel300">
    <w:name w:val="ListLabel 300"/>
    <w:qFormat/>
    <w:rsid w:val="000952B8"/>
    <w:rPr>
      <w:rFonts w:cs="Wingdings"/>
    </w:rPr>
  </w:style>
  <w:style w:type="character" w:customStyle="1" w:styleId="ListLabel301">
    <w:name w:val="ListLabel 301"/>
    <w:qFormat/>
    <w:rsid w:val="000952B8"/>
    <w:rPr>
      <w:rFonts w:ascii="Open Sans" w:hAnsi="Open Sans" w:cs="Symbol"/>
      <w:sz w:val="21"/>
    </w:rPr>
  </w:style>
  <w:style w:type="character" w:customStyle="1" w:styleId="ListLabel302">
    <w:name w:val="ListLabel 302"/>
    <w:qFormat/>
    <w:rsid w:val="000952B8"/>
    <w:rPr>
      <w:rFonts w:cs="Open Sans"/>
    </w:rPr>
  </w:style>
  <w:style w:type="character" w:customStyle="1" w:styleId="ListLabel303">
    <w:name w:val="ListLabel 303"/>
    <w:qFormat/>
    <w:rsid w:val="000952B8"/>
    <w:rPr>
      <w:rFonts w:cs="Wingdings"/>
    </w:rPr>
  </w:style>
  <w:style w:type="character" w:customStyle="1" w:styleId="ListLabel304">
    <w:name w:val="ListLabel 304"/>
    <w:qFormat/>
    <w:rsid w:val="000952B8"/>
    <w:rPr>
      <w:rFonts w:cs="Symbol"/>
    </w:rPr>
  </w:style>
  <w:style w:type="character" w:customStyle="1" w:styleId="ListLabel305">
    <w:name w:val="ListLabel 305"/>
    <w:qFormat/>
    <w:rsid w:val="000952B8"/>
    <w:rPr>
      <w:rFonts w:cs="Courier New"/>
    </w:rPr>
  </w:style>
  <w:style w:type="character" w:customStyle="1" w:styleId="ListLabel306">
    <w:name w:val="ListLabel 306"/>
    <w:qFormat/>
    <w:rsid w:val="000952B8"/>
    <w:rPr>
      <w:rFonts w:cs="Wingdings"/>
    </w:rPr>
  </w:style>
  <w:style w:type="character" w:customStyle="1" w:styleId="ListLabel307">
    <w:name w:val="ListLabel 307"/>
    <w:qFormat/>
    <w:rsid w:val="000952B8"/>
    <w:rPr>
      <w:rFonts w:cs="Symbol"/>
    </w:rPr>
  </w:style>
  <w:style w:type="character" w:customStyle="1" w:styleId="ListLabel308">
    <w:name w:val="ListLabel 308"/>
    <w:qFormat/>
    <w:rsid w:val="000952B8"/>
    <w:rPr>
      <w:rFonts w:cs="Courier New"/>
    </w:rPr>
  </w:style>
  <w:style w:type="character" w:customStyle="1" w:styleId="ListLabel309">
    <w:name w:val="ListLabel 309"/>
    <w:qFormat/>
    <w:rsid w:val="000952B8"/>
    <w:rPr>
      <w:rFonts w:cs="Wingdings"/>
    </w:rPr>
  </w:style>
  <w:style w:type="character" w:customStyle="1" w:styleId="ListLabel310">
    <w:name w:val="ListLabel 310"/>
    <w:qFormat/>
    <w:rsid w:val="000952B8"/>
    <w:rPr>
      <w:rFonts w:cs="Courier New"/>
    </w:rPr>
  </w:style>
  <w:style w:type="character" w:customStyle="1" w:styleId="ListLabel311">
    <w:name w:val="ListLabel 311"/>
    <w:qFormat/>
    <w:rsid w:val="000952B8"/>
    <w:rPr>
      <w:rFonts w:cs="Wingdings"/>
    </w:rPr>
  </w:style>
  <w:style w:type="character" w:customStyle="1" w:styleId="ListLabel312">
    <w:name w:val="ListLabel 312"/>
    <w:qFormat/>
    <w:rsid w:val="000952B8"/>
    <w:rPr>
      <w:rFonts w:cs="Symbol"/>
    </w:rPr>
  </w:style>
  <w:style w:type="character" w:customStyle="1" w:styleId="ListLabel313">
    <w:name w:val="ListLabel 313"/>
    <w:qFormat/>
    <w:rsid w:val="000952B8"/>
    <w:rPr>
      <w:rFonts w:cs="Courier New"/>
    </w:rPr>
  </w:style>
  <w:style w:type="character" w:customStyle="1" w:styleId="ListLabel314">
    <w:name w:val="ListLabel 314"/>
    <w:qFormat/>
    <w:rsid w:val="000952B8"/>
    <w:rPr>
      <w:rFonts w:cs="Wingdings"/>
    </w:rPr>
  </w:style>
  <w:style w:type="character" w:customStyle="1" w:styleId="ListLabel315">
    <w:name w:val="ListLabel 315"/>
    <w:qFormat/>
    <w:rsid w:val="000952B8"/>
    <w:rPr>
      <w:rFonts w:cs="Symbol"/>
    </w:rPr>
  </w:style>
  <w:style w:type="character" w:customStyle="1" w:styleId="ListLabel316">
    <w:name w:val="ListLabel 316"/>
    <w:qFormat/>
    <w:rsid w:val="000952B8"/>
    <w:rPr>
      <w:rFonts w:cs="Courier New"/>
    </w:rPr>
  </w:style>
  <w:style w:type="character" w:customStyle="1" w:styleId="ListLabel317">
    <w:name w:val="ListLabel 317"/>
    <w:qFormat/>
    <w:rsid w:val="000952B8"/>
    <w:rPr>
      <w:rFonts w:cs="Wingdings"/>
    </w:rPr>
  </w:style>
  <w:style w:type="character" w:customStyle="1" w:styleId="ListLabel318">
    <w:name w:val="ListLabel 318"/>
    <w:qFormat/>
    <w:rsid w:val="000952B8"/>
    <w:rPr>
      <w:rFonts w:ascii="Open Sans" w:hAnsi="Open Sans" w:cs="Symbol"/>
      <w:sz w:val="21"/>
    </w:rPr>
  </w:style>
  <w:style w:type="character" w:customStyle="1" w:styleId="ListLabel319">
    <w:name w:val="ListLabel 319"/>
    <w:qFormat/>
    <w:rsid w:val="000952B8"/>
    <w:rPr>
      <w:rFonts w:cs="Courier New"/>
    </w:rPr>
  </w:style>
  <w:style w:type="character" w:customStyle="1" w:styleId="ListLabel320">
    <w:name w:val="ListLabel 320"/>
    <w:qFormat/>
    <w:rsid w:val="000952B8"/>
    <w:rPr>
      <w:rFonts w:cs="Wingdings"/>
    </w:rPr>
  </w:style>
  <w:style w:type="character" w:customStyle="1" w:styleId="ListLabel321">
    <w:name w:val="ListLabel 321"/>
    <w:qFormat/>
    <w:rsid w:val="000952B8"/>
    <w:rPr>
      <w:rFonts w:cs="Symbol"/>
    </w:rPr>
  </w:style>
  <w:style w:type="character" w:customStyle="1" w:styleId="ListLabel322">
    <w:name w:val="ListLabel 322"/>
    <w:qFormat/>
    <w:rsid w:val="000952B8"/>
    <w:rPr>
      <w:rFonts w:cs="Courier New"/>
    </w:rPr>
  </w:style>
  <w:style w:type="character" w:customStyle="1" w:styleId="ListLabel323">
    <w:name w:val="ListLabel 323"/>
    <w:qFormat/>
    <w:rsid w:val="000952B8"/>
    <w:rPr>
      <w:rFonts w:cs="Wingdings"/>
    </w:rPr>
  </w:style>
  <w:style w:type="character" w:customStyle="1" w:styleId="ListLabel324">
    <w:name w:val="ListLabel 324"/>
    <w:qFormat/>
    <w:rsid w:val="000952B8"/>
    <w:rPr>
      <w:rFonts w:cs="Symbol"/>
    </w:rPr>
  </w:style>
  <w:style w:type="character" w:customStyle="1" w:styleId="ListLabel325">
    <w:name w:val="ListLabel 325"/>
    <w:qFormat/>
    <w:rsid w:val="000952B8"/>
    <w:rPr>
      <w:rFonts w:cs="Courier New"/>
    </w:rPr>
  </w:style>
  <w:style w:type="character" w:customStyle="1" w:styleId="ListLabel326">
    <w:name w:val="ListLabel 326"/>
    <w:qFormat/>
    <w:rsid w:val="000952B8"/>
    <w:rPr>
      <w:rFonts w:cs="Wingdings"/>
    </w:rPr>
  </w:style>
  <w:style w:type="character" w:customStyle="1" w:styleId="ListLabel327">
    <w:name w:val="ListLabel 327"/>
    <w:qFormat/>
    <w:rsid w:val="000952B8"/>
    <w:rPr>
      <w:rFonts w:ascii="Open Sans" w:hAnsi="Open Sans"/>
      <w:sz w:val="21"/>
    </w:rPr>
  </w:style>
  <w:style w:type="character" w:customStyle="1" w:styleId="ListLabel328">
    <w:name w:val="ListLabel 328"/>
    <w:qFormat/>
    <w:rsid w:val="000952B8"/>
    <w:rPr>
      <w:rFonts w:cs="Courier New"/>
    </w:rPr>
  </w:style>
  <w:style w:type="character" w:customStyle="1" w:styleId="ListLabel329">
    <w:name w:val="ListLabel 329"/>
    <w:qFormat/>
    <w:rsid w:val="000952B8"/>
    <w:rPr>
      <w:rFonts w:cs="Wingdings"/>
    </w:rPr>
  </w:style>
  <w:style w:type="character" w:customStyle="1" w:styleId="ListLabel330">
    <w:name w:val="ListLabel 330"/>
    <w:qFormat/>
    <w:rsid w:val="000952B8"/>
    <w:rPr>
      <w:rFonts w:cs="Symbol"/>
    </w:rPr>
  </w:style>
  <w:style w:type="character" w:customStyle="1" w:styleId="ListLabel331">
    <w:name w:val="ListLabel 331"/>
    <w:qFormat/>
    <w:rsid w:val="000952B8"/>
    <w:rPr>
      <w:rFonts w:cs="Courier New"/>
    </w:rPr>
  </w:style>
  <w:style w:type="character" w:customStyle="1" w:styleId="ListLabel332">
    <w:name w:val="ListLabel 332"/>
    <w:qFormat/>
    <w:rsid w:val="000952B8"/>
    <w:rPr>
      <w:rFonts w:cs="Wingdings"/>
    </w:rPr>
  </w:style>
  <w:style w:type="character" w:customStyle="1" w:styleId="ListLabel333">
    <w:name w:val="ListLabel 333"/>
    <w:qFormat/>
    <w:rsid w:val="000952B8"/>
    <w:rPr>
      <w:rFonts w:cs="Symbol"/>
    </w:rPr>
  </w:style>
  <w:style w:type="character" w:customStyle="1" w:styleId="ListLabel334">
    <w:name w:val="ListLabel 334"/>
    <w:qFormat/>
    <w:rsid w:val="000952B8"/>
    <w:rPr>
      <w:rFonts w:cs="Courier New"/>
    </w:rPr>
  </w:style>
  <w:style w:type="character" w:customStyle="1" w:styleId="ListLabel335">
    <w:name w:val="ListLabel 335"/>
    <w:qFormat/>
    <w:rsid w:val="000952B8"/>
    <w:rPr>
      <w:rFonts w:cs="Wingdings"/>
    </w:rPr>
  </w:style>
  <w:style w:type="character" w:customStyle="1" w:styleId="ListLabel336">
    <w:name w:val="ListLabel 336"/>
    <w:qFormat/>
    <w:rsid w:val="000952B8"/>
    <w:rPr>
      <w:rFonts w:ascii="Open Sans" w:hAnsi="Open Sans"/>
      <w:sz w:val="21"/>
    </w:rPr>
  </w:style>
  <w:style w:type="character" w:customStyle="1" w:styleId="ListLabel337">
    <w:name w:val="ListLabel 337"/>
    <w:qFormat/>
    <w:rsid w:val="000952B8"/>
    <w:rPr>
      <w:rFonts w:cs="Courier New"/>
    </w:rPr>
  </w:style>
  <w:style w:type="character" w:customStyle="1" w:styleId="ListLabel338">
    <w:name w:val="ListLabel 338"/>
    <w:qFormat/>
    <w:rsid w:val="000952B8"/>
    <w:rPr>
      <w:rFonts w:cs="Wingdings"/>
    </w:rPr>
  </w:style>
  <w:style w:type="character" w:customStyle="1" w:styleId="ListLabel339">
    <w:name w:val="ListLabel 339"/>
    <w:qFormat/>
    <w:rsid w:val="000952B8"/>
    <w:rPr>
      <w:rFonts w:cs="Symbol"/>
    </w:rPr>
  </w:style>
  <w:style w:type="character" w:customStyle="1" w:styleId="ListLabel340">
    <w:name w:val="ListLabel 340"/>
    <w:qFormat/>
    <w:rsid w:val="000952B8"/>
    <w:rPr>
      <w:rFonts w:cs="Courier New"/>
    </w:rPr>
  </w:style>
  <w:style w:type="character" w:customStyle="1" w:styleId="ListLabel341">
    <w:name w:val="ListLabel 341"/>
    <w:qFormat/>
    <w:rsid w:val="000952B8"/>
    <w:rPr>
      <w:rFonts w:cs="Wingdings"/>
    </w:rPr>
  </w:style>
  <w:style w:type="character" w:customStyle="1" w:styleId="ListLabel342">
    <w:name w:val="ListLabel 342"/>
    <w:qFormat/>
    <w:rsid w:val="000952B8"/>
    <w:rPr>
      <w:rFonts w:cs="Symbol"/>
    </w:rPr>
  </w:style>
  <w:style w:type="character" w:customStyle="1" w:styleId="ListLabel343">
    <w:name w:val="ListLabel 343"/>
    <w:qFormat/>
    <w:rsid w:val="000952B8"/>
    <w:rPr>
      <w:rFonts w:cs="Courier New"/>
    </w:rPr>
  </w:style>
  <w:style w:type="character" w:customStyle="1" w:styleId="ListLabel344">
    <w:name w:val="ListLabel 344"/>
    <w:qFormat/>
    <w:rsid w:val="000952B8"/>
    <w:rPr>
      <w:rFonts w:cs="Wingdings"/>
    </w:rPr>
  </w:style>
  <w:style w:type="character" w:customStyle="1" w:styleId="ListLabel345">
    <w:name w:val="ListLabel 345"/>
    <w:qFormat/>
    <w:rsid w:val="000952B8"/>
    <w:rPr>
      <w:rFonts w:ascii="Open Sans" w:eastAsia="Times New Roman" w:hAnsi="Open Sans" w:cs="Open Sans"/>
      <w:b/>
      <w:sz w:val="21"/>
      <w:szCs w:val="21"/>
      <w:lang w:eastAsia="es-ES"/>
    </w:rPr>
  </w:style>
  <w:style w:type="character" w:customStyle="1" w:styleId="ListLabel346">
    <w:name w:val="ListLabel 346"/>
    <w:qFormat/>
    <w:rsid w:val="000952B8"/>
    <w:rPr>
      <w:rFonts w:ascii="Open Sans" w:eastAsia="Times New Roman" w:hAnsi="Open Sans" w:cs="Open Sans"/>
      <w:sz w:val="21"/>
      <w:szCs w:val="21"/>
      <w:lang w:eastAsia="es-ES"/>
    </w:rPr>
  </w:style>
  <w:style w:type="character" w:customStyle="1" w:styleId="ListLabel347">
    <w:name w:val="ListLabel 347"/>
    <w:qFormat/>
    <w:rsid w:val="000952B8"/>
    <w:rPr>
      <w:rFonts w:ascii="Open Sans" w:eastAsia="Times New Roman" w:hAnsi="Open Sans" w:cs="Open Sans"/>
      <w:sz w:val="21"/>
      <w:szCs w:val="21"/>
      <w:lang w:eastAsia="es-ES"/>
    </w:rPr>
  </w:style>
  <w:style w:type="character" w:customStyle="1" w:styleId="ListLabel348">
    <w:name w:val="ListLabel 348"/>
    <w:qFormat/>
    <w:rsid w:val="000952B8"/>
    <w:rPr>
      <w:rFonts w:ascii="Open Sans" w:eastAsia="Times New Roman" w:hAnsi="Open Sans" w:cs="Open Sans"/>
      <w:sz w:val="20"/>
      <w:szCs w:val="20"/>
      <w:lang w:eastAsia="es-ES"/>
    </w:rPr>
  </w:style>
  <w:style w:type="character" w:customStyle="1" w:styleId="ListLabel349">
    <w:name w:val="ListLabel 349"/>
    <w:qFormat/>
    <w:rsid w:val="000952B8"/>
    <w:rPr>
      <w:rFonts w:ascii="Open Sans" w:hAnsi="Open Sans" w:cs="Open Sans"/>
      <w:sz w:val="21"/>
      <w:szCs w:val="21"/>
    </w:rPr>
  </w:style>
  <w:style w:type="character" w:customStyle="1" w:styleId="ListLabel350">
    <w:name w:val="ListLabel 350"/>
    <w:qFormat/>
    <w:rsid w:val="000952B8"/>
    <w:rPr>
      <w:rFonts w:ascii="Open Sans" w:eastAsia="Times New Roman" w:hAnsi="Open Sans" w:cs="Open Sans"/>
      <w:i/>
      <w:sz w:val="21"/>
      <w:szCs w:val="21"/>
      <w:lang w:eastAsia="es-ES"/>
    </w:rPr>
  </w:style>
  <w:style w:type="character" w:customStyle="1" w:styleId="ListLabel351">
    <w:name w:val="ListLabel 351"/>
    <w:qFormat/>
    <w:rsid w:val="000952B8"/>
    <w:rPr>
      <w:rFonts w:eastAsia="Calibri"/>
      <w:sz w:val="21"/>
      <w:szCs w:val="21"/>
    </w:rPr>
  </w:style>
  <w:style w:type="character" w:customStyle="1" w:styleId="ListLabel352">
    <w:name w:val="ListLabel 352"/>
    <w:qFormat/>
    <w:rsid w:val="000952B8"/>
    <w:rPr>
      <w:rFonts w:ascii="Open Sans" w:hAnsi="Open Sans" w:cs="Open Sans"/>
      <w:sz w:val="21"/>
      <w:szCs w:val="21"/>
    </w:rPr>
  </w:style>
  <w:style w:type="character" w:customStyle="1" w:styleId="ListLabel353">
    <w:name w:val="ListLabel 353"/>
    <w:qFormat/>
    <w:rsid w:val="000952B8"/>
  </w:style>
  <w:style w:type="character" w:customStyle="1" w:styleId="ListLabel354">
    <w:name w:val="ListLabel 354"/>
    <w:qFormat/>
    <w:rsid w:val="000952B8"/>
  </w:style>
  <w:style w:type="character" w:customStyle="1" w:styleId="ListLabel355">
    <w:name w:val="ListLabel 355"/>
    <w:qFormat/>
    <w:rsid w:val="000952B8"/>
    <w:rPr>
      <w:rFonts w:ascii="Open Sans" w:hAnsi="Open Sans" w:cs="Symbol"/>
      <w:sz w:val="21"/>
    </w:rPr>
  </w:style>
  <w:style w:type="character" w:customStyle="1" w:styleId="ListLabel356">
    <w:name w:val="ListLabel 356"/>
    <w:qFormat/>
    <w:rsid w:val="000952B8"/>
    <w:rPr>
      <w:rFonts w:cs="Courier New"/>
      <w:sz w:val="20"/>
    </w:rPr>
  </w:style>
  <w:style w:type="character" w:customStyle="1" w:styleId="ListLabel357">
    <w:name w:val="ListLabel 357"/>
    <w:qFormat/>
    <w:rsid w:val="000952B8"/>
    <w:rPr>
      <w:rFonts w:cs="Wingdings"/>
      <w:sz w:val="20"/>
    </w:rPr>
  </w:style>
  <w:style w:type="character" w:customStyle="1" w:styleId="ListLabel358">
    <w:name w:val="ListLabel 358"/>
    <w:qFormat/>
    <w:rsid w:val="000952B8"/>
    <w:rPr>
      <w:rFonts w:cs="Wingdings"/>
      <w:sz w:val="20"/>
    </w:rPr>
  </w:style>
  <w:style w:type="character" w:customStyle="1" w:styleId="ListLabel359">
    <w:name w:val="ListLabel 359"/>
    <w:qFormat/>
    <w:rsid w:val="000952B8"/>
    <w:rPr>
      <w:rFonts w:cs="Wingdings"/>
      <w:sz w:val="20"/>
    </w:rPr>
  </w:style>
  <w:style w:type="character" w:customStyle="1" w:styleId="ListLabel360">
    <w:name w:val="ListLabel 360"/>
    <w:qFormat/>
    <w:rsid w:val="000952B8"/>
    <w:rPr>
      <w:rFonts w:cs="Wingdings"/>
      <w:sz w:val="20"/>
    </w:rPr>
  </w:style>
  <w:style w:type="character" w:customStyle="1" w:styleId="ListLabel361">
    <w:name w:val="ListLabel 361"/>
    <w:qFormat/>
    <w:rsid w:val="000952B8"/>
    <w:rPr>
      <w:rFonts w:cs="Wingdings"/>
      <w:sz w:val="20"/>
    </w:rPr>
  </w:style>
  <w:style w:type="character" w:customStyle="1" w:styleId="ListLabel362">
    <w:name w:val="ListLabel 362"/>
    <w:qFormat/>
    <w:rsid w:val="000952B8"/>
    <w:rPr>
      <w:rFonts w:cs="Wingdings"/>
      <w:sz w:val="20"/>
    </w:rPr>
  </w:style>
  <w:style w:type="character" w:customStyle="1" w:styleId="ListLabel363">
    <w:name w:val="ListLabel 363"/>
    <w:qFormat/>
    <w:rsid w:val="000952B8"/>
    <w:rPr>
      <w:rFonts w:cs="Wingdings"/>
      <w:sz w:val="20"/>
    </w:rPr>
  </w:style>
  <w:style w:type="character" w:customStyle="1" w:styleId="ListLabel364">
    <w:name w:val="ListLabel 364"/>
    <w:qFormat/>
    <w:rsid w:val="000952B8"/>
    <w:rPr>
      <w:rFonts w:ascii="Open Sans" w:hAnsi="Open Sans" w:cs="Symbol"/>
      <w:sz w:val="21"/>
    </w:rPr>
  </w:style>
  <w:style w:type="character" w:customStyle="1" w:styleId="ListLabel365">
    <w:name w:val="ListLabel 365"/>
    <w:qFormat/>
    <w:rsid w:val="000952B8"/>
    <w:rPr>
      <w:rFonts w:cs="Open Sans"/>
    </w:rPr>
  </w:style>
  <w:style w:type="character" w:customStyle="1" w:styleId="ListLabel366">
    <w:name w:val="ListLabel 366"/>
    <w:qFormat/>
    <w:rsid w:val="000952B8"/>
    <w:rPr>
      <w:rFonts w:cs="Wingdings"/>
    </w:rPr>
  </w:style>
  <w:style w:type="character" w:customStyle="1" w:styleId="ListLabel367">
    <w:name w:val="ListLabel 367"/>
    <w:qFormat/>
    <w:rsid w:val="000952B8"/>
    <w:rPr>
      <w:rFonts w:cs="Symbol"/>
    </w:rPr>
  </w:style>
  <w:style w:type="character" w:customStyle="1" w:styleId="ListLabel368">
    <w:name w:val="ListLabel 368"/>
    <w:qFormat/>
    <w:rsid w:val="000952B8"/>
    <w:rPr>
      <w:rFonts w:cs="Courier New"/>
    </w:rPr>
  </w:style>
  <w:style w:type="character" w:customStyle="1" w:styleId="ListLabel369">
    <w:name w:val="ListLabel 369"/>
    <w:qFormat/>
    <w:rsid w:val="000952B8"/>
    <w:rPr>
      <w:rFonts w:cs="Wingdings"/>
    </w:rPr>
  </w:style>
  <w:style w:type="character" w:customStyle="1" w:styleId="ListLabel370">
    <w:name w:val="ListLabel 370"/>
    <w:qFormat/>
    <w:rsid w:val="000952B8"/>
    <w:rPr>
      <w:rFonts w:cs="Symbol"/>
    </w:rPr>
  </w:style>
  <w:style w:type="character" w:customStyle="1" w:styleId="ListLabel371">
    <w:name w:val="ListLabel 371"/>
    <w:qFormat/>
    <w:rsid w:val="000952B8"/>
    <w:rPr>
      <w:rFonts w:cs="Courier New"/>
    </w:rPr>
  </w:style>
  <w:style w:type="character" w:customStyle="1" w:styleId="ListLabel372">
    <w:name w:val="ListLabel 372"/>
    <w:qFormat/>
    <w:rsid w:val="000952B8"/>
    <w:rPr>
      <w:rFonts w:cs="Wingdings"/>
    </w:rPr>
  </w:style>
  <w:style w:type="character" w:customStyle="1" w:styleId="ListLabel373">
    <w:name w:val="ListLabel 373"/>
    <w:qFormat/>
    <w:rsid w:val="000952B8"/>
    <w:rPr>
      <w:rFonts w:ascii="Open Sans" w:hAnsi="Open Sans" w:cs="Symbol"/>
      <w:sz w:val="21"/>
    </w:rPr>
  </w:style>
  <w:style w:type="character" w:customStyle="1" w:styleId="ListLabel374">
    <w:name w:val="ListLabel 374"/>
    <w:qFormat/>
    <w:rsid w:val="000952B8"/>
    <w:rPr>
      <w:rFonts w:cs="Courier New"/>
    </w:rPr>
  </w:style>
  <w:style w:type="character" w:customStyle="1" w:styleId="ListLabel375">
    <w:name w:val="ListLabel 375"/>
    <w:qFormat/>
    <w:rsid w:val="000952B8"/>
    <w:rPr>
      <w:rFonts w:cs="Wingdings"/>
    </w:rPr>
  </w:style>
  <w:style w:type="character" w:customStyle="1" w:styleId="ListLabel376">
    <w:name w:val="ListLabel 376"/>
    <w:qFormat/>
    <w:rsid w:val="000952B8"/>
    <w:rPr>
      <w:rFonts w:cs="Symbol"/>
    </w:rPr>
  </w:style>
  <w:style w:type="character" w:customStyle="1" w:styleId="ListLabel377">
    <w:name w:val="ListLabel 377"/>
    <w:qFormat/>
    <w:rsid w:val="000952B8"/>
    <w:rPr>
      <w:rFonts w:cs="Courier New"/>
    </w:rPr>
  </w:style>
  <w:style w:type="character" w:customStyle="1" w:styleId="ListLabel378">
    <w:name w:val="ListLabel 378"/>
    <w:qFormat/>
    <w:rsid w:val="000952B8"/>
    <w:rPr>
      <w:rFonts w:cs="Wingdings"/>
    </w:rPr>
  </w:style>
  <w:style w:type="character" w:customStyle="1" w:styleId="ListLabel379">
    <w:name w:val="ListLabel 379"/>
    <w:qFormat/>
    <w:rsid w:val="000952B8"/>
    <w:rPr>
      <w:rFonts w:cs="Symbol"/>
    </w:rPr>
  </w:style>
  <w:style w:type="character" w:customStyle="1" w:styleId="ListLabel380">
    <w:name w:val="ListLabel 380"/>
    <w:qFormat/>
    <w:rsid w:val="000952B8"/>
    <w:rPr>
      <w:rFonts w:cs="Courier New"/>
    </w:rPr>
  </w:style>
  <w:style w:type="character" w:customStyle="1" w:styleId="ListLabel381">
    <w:name w:val="ListLabel 381"/>
    <w:qFormat/>
    <w:rsid w:val="000952B8"/>
    <w:rPr>
      <w:rFonts w:cs="Wingdings"/>
    </w:rPr>
  </w:style>
  <w:style w:type="character" w:customStyle="1" w:styleId="ListLabel382">
    <w:name w:val="ListLabel 382"/>
    <w:qFormat/>
    <w:rsid w:val="000952B8"/>
    <w:rPr>
      <w:rFonts w:ascii="Open Sans" w:hAnsi="Open Sans" w:cs="Symbol"/>
      <w:sz w:val="21"/>
    </w:rPr>
  </w:style>
  <w:style w:type="character" w:customStyle="1" w:styleId="ListLabel383">
    <w:name w:val="ListLabel 383"/>
    <w:qFormat/>
    <w:rsid w:val="000952B8"/>
    <w:rPr>
      <w:rFonts w:cs="Courier New"/>
    </w:rPr>
  </w:style>
  <w:style w:type="character" w:customStyle="1" w:styleId="ListLabel384">
    <w:name w:val="ListLabel 384"/>
    <w:qFormat/>
    <w:rsid w:val="000952B8"/>
    <w:rPr>
      <w:rFonts w:cs="Wingdings"/>
    </w:rPr>
  </w:style>
  <w:style w:type="character" w:customStyle="1" w:styleId="ListLabel385">
    <w:name w:val="ListLabel 385"/>
    <w:qFormat/>
    <w:rsid w:val="000952B8"/>
    <w:rPr>
      <w:rFonts w:cs="Symbol"/>
    </w:rPr>
  </w:style>
  <w:style w:type="character" w:customStyle="1" w:styleId="ListLabel386">
    <w:name w:val="ListLabel 386"/>
    <w:qFormat/>
    <w:rsid w:val="000952B8"/>
    <w:rPr>
      <w:rFonts w:cs="Courier New"/>
    </w:rPr>
  </w:style>
  <w:style w:type="character" w:customStyle="1" w:styleId="ListLabel387">
    <w:name w:val="ListLabel 387"/>
    <w:qFormat/>
    <w:rsid w:val="000952B8"/>
    <w:rPr>
      <w:rFonts w:cs="Wingdings"/>
    </w:rPr>
  </w:style>
  <w:style w:type="character" w:customStyle="1" w:styleId="ListLabel388">
    <w:name w:val="ListLabel 388"/>
    <w:qFormat/>
    <w:rsid w:val="000952B8"/>
    <w:rPr>
      <w:rFonts w:cs="Symbol"/>
    </w:rPr>
  </w:style>
  <w:style w:type="character" w:customStyle="1" w:styleId="ListLabel389">
    <w:name w:val="ListLabel 389"/>
    <w:qFormat/>
    <w:rsid w:val="000952B8"/>
    <w:rPr>
      <w:rFonts w:cs="Courier New"/>
    </w:rPr>
  </w:style>
  <w:style w:type="character" w:customStyle="1" w:styleId="ListLabel390">
    <w:name w:val="ListLabel 390"/>
    <w:qFormat/>
    <w:rsid w:val="000952B8"/>
    <w:rPr>
      <w:rFonts w:cs="Wingdings"/>
    </w:rPr>
  </w:style>
  <w:style w:type="character" w:customStyle="1" w:styleId="ListLabel391">
    <w:name w:val="ListLabel 391"/>
    <w:qFormat/>
    <w:rsid w:val="000952B8"/>
    <w:rPr>
      <w:rFonts w:ascii="Open Sans" w:hAnsi="Open Sans" w:cs="Symbol"/>
      <w:sz w:val="21"/>
    </w:rPr>
  </w:style>
  <w:style w:type="character" w:customStyle="1" w:styleId="ListLabel392">
    <w:name w:val="ListLabel 392"/>
    <w:qFormat/>
    <w:rsid w:val="000952B8"/>
    <w:rPr>
      <w:rFonts w:cs="Courier New"/>
    </w:rPr>
  </w:style>
  <w:style w:type="character" w:customStyle="1" w:styleId="ListLabel393">
    <w:name w:val="ListLabel 393"/>
    <w:qFormat/>
    <w:rsid w:val="000952B8"/>
    <w:rPr>
      <w:rFonts w:cs="Wingdings"/>
    </w:rPr>
  </w:style>
  <w:style w:type="character" w:customStyle="1" w:styleId="ListLabel394">
    <w:name w:val="ListLabel 394"/>
    <w:qFormat/>
    <w:rsid w:val="000952B8"/>
    <w:rPr>
      <w:rFonts w:cs="Symbol"/>
    </w:rPr>
  </w:style>
  <w:style w:type="character" w:customStyle="1" w:styleId="ListLabel395">
    <w:name w:val="ListLabel 395"/>
    <w:qFormat/>
    <w:rsid w:val="000952B8"/>
    <w:rPr>
      <w:rFonts w:cs="Courier New"/>
    </w:rPr>
  </w:style>
  <w:style w:type="character" w:customStyle="1" w:styleId="ListLabel396">
    <w:name w:val="ListLabel 396"/>
    <w:qFormat/>
    <w:rsid w:val="000952B8"/>
    <w:rPr>
      <w:rFonts w:cs="Wingdings"/>
    </w:rPr>
  </w:style>
  <w:style w:type="character" w:customStyle="1" w:styleId="ListLabel397">
    <w:name w:val="ListLabel 397"/>
    <w:qFormat/>
    <w:rsid w:val="000952B8"/>
    <w:rPr>
      <w:rFonts w:cs="Symbol"/>
    </w:rPr>
  </w:style>
  <w:style w:type="character" w:customStyle="1" w:styleId="ListLabel398">
    <w:name w:val="ListLabel 398"/>
    <w:qFormat/>
    <w:rsid w:val="000952B8"/>
    <w:rPr>
      <w:rFonts w:cs="Courier New"/>
    </w:rPr>
  </w:style>
  <w:style w:type="character" w:customStyle="1" w:styleId="ListLabel399">
    <w:name w:val="ListLabel 399"/>
    <w:qFormat/>
    <w:rsid w:val="000952B8"/>
    <w:rPr>
      <w:rFonts w:cs="Wingdings"/>
    </w:rPr>
  </w:style>
  <w:style w:type="character" w:customStyle="1" w:styleId="ListLabel400">
    <w:name w:val="ListLabel 400"/>
    <w:qFormat/>
    <w:rsid w:val="000952B8"/>
    <w:rPr>
      <w:rFonts w:ascii="Open Sans" w:eastAsia="Times New Roman" w:hAnsi="Open Sans" w:cs="Open Sans"/>
      <w:b/>
      <w:sz w:val="21"/>
      <w:szCs w:val="21"/>
      <w:lang w:eastAsia="es-ES"/>
    </w:rPr>
  </w:style>
  <w:style w:type="character" w:customStyle="1" w:styleId="ListLabel401">
    <w:name w:val="ListLabel 401"/>
    <w:qFormat/>
    <w:rsid w:val="000952B8"/>
    <w:rPr>
      <w:rFonts w:ascii="Open Sans" w:eastAsia="Times New Roman" w:hAnsi="Open Sans" w:cs="Open Sans"/>
      <w:sz w:val="21"/>
      <w:szCs w:val="21"/>
      <w:lang w:eastAsia="es-ES"/>
    </w:rPr>
  </w:style>
  <w:style w:type="character" w:customStyle="1" w:styleId="ListLabel402">
    <w:name w:val="ListLabel 402"/>
    <w:qFormat/>
    <w:rsid w:val="000952B8"/>
    <w:rPr>
      <w:rFonts w:ascii="Open Sans" w:eastAsia="Times New Roman" w:hAnsi="Open Sans" w:cs="Open Sans"/>
      <w:sz w:val="20"/>
      <w:szCs w:val="20"/>
      <w:lang w:eastAsia="es-ES"/>
    </w:rPr>
  </w:style>
  <w:style w:type="character" w:customStyle="1" w:styleId="ListLabel403">
    <w:name w:val="ListLabel 403"/>
    <w:qFormat/>
    <w:rsid w:val="000952B8"/>
    <w:rPr>
      <w:rFonts w:ascii="Open Sans" w:hAnsi="Open Sans" w:cs="Open Sans"/>
      <w:sz w:val="21"/>
      <w:szCs w:val="21"/>
    </w:rPr>
  </w:style>
  <w:style w:type="character" w:customStyle="1" w:styleId="ListLabel404">
    <w:name w:val="ListLabel 404"/>
    <w:qFormat/>
    <w:rsid w:val="000952B8"/>
    <w:rPr>
      <w:rFonts w:ascii="Open Sans" w:eastAsia="Times New Roman" w:hAnsi="Open Sans" w:cs="Open Sans"/>
      <w:i/>
      <w:sz w:val="21"/>
      <w:szCs w:val="21"/>
      <w:lang w:eastAsia="es-ES"/>
    </w:rPr>
  </w:style>
  <w:style w:type="character" w:customStyle="1" w:styleId="ListLabel405">
    <w:name w:val="ListLabel 405"/>
    <w:qFormat/>
    <w:rsid w:val="000952B8"/>
    <w:rPr>
      <w:rFonts w:eastAsia="Calibri"/>
      <w:sz w:val="21"/>
      <w:szCs w:val="21"/>
    </w:rPr>
  </w:style>
  <w:style w:type="character" w:customStyle="1" w:styleId="ListLabel406">
    <w:name w:val="ListLabel 406"/>
    <w:qFormat/>
    <w:rsid w:val="000952B8"/>
  </w:style>
  <w:style w:type="character" w:customStyle="1" w:styleId="ListLabel407">
    <w:name w:val="ListLabel 407"/>
    <w:qFormat/>
    <w:rsid w:val="000952B8"/>
  </w:style>
  <w:style w:type="character" w:customStyle="1" w:styleId="ListLabel408">
    <w:name w:val="ListLabel 408"/>
    <w:qFormat/>
    <w:rsid w:val="000952B8"/>
    <w:rPr>
      <w:rFonts w:ascii="Open Sans" w:hAnsi="Open Sans" w:cs="Symbol"/>
      <w:sz w:val="21"/>
    </w:rPr>
  </w:style>
  <w:style w:type="character" w:customStyle="1" w:styleId="ListLabel409">
    <w:name w:val="ListLabel 409"/>
    <w:qFormat/>
    <w:rsid w:val="000952B8"/>
    <w:rPr>
      <w:rFonts w:cs="Courier New"/>
      <w:sz w:val="20"/>
    </w:rPr>
  </w:style>
  <w:style w:type="character" w:customStyle="1" w:styleId="ListLabel410">
    <w:name w:val="ListLabel 410"/>
    <w:qFormat/>
    <w:rsid w:val="000952B8"/>
    <w:rPr>
      <w:rFonts w:cs="Wingdings"/>
      <w:sz w:val="20"/>
    </w:rPr>
  </w:style>
  <w:style w:type="character" w:customStyle="1" w:styleId="ListLabel411">
    <w:name w:val="ListLabel 411"/>
    <w:qFormat/>
    <w:rsid w:val="000952B8"/>
    <w:rPr>
      <w:rFonts w:cs="Wingdings"/>
      <w:sz w:val="20"/>
    </w:rPr>
  </w:style>
  <w:style w:type="character" w:customStyle="1" w:styleId="ListLabel412">
    <w:name w:val="ListLabel 412"/>
    <w:qFormat/>
    <w:rsid w:val="000952B8"/>
    <w:rPr>
      <w:rFonts w:cs="Wingdings"/>
      <w:sz w:val="20"/>
    </w:rPr>
  </w:style>
  <w:style w:type="character" w:customStyle="1" w:styleId="ListLabel413">
    <w:name w:val="ListLabel 413"/>
    <w:qFormat/>
    <w:rsid w:val="000952B8"/>
    <w:rPr>
      <w:rFonts w:cs="Wingdings"/>
      <w:sz w:val="20"/>
    </w:rPr>
  </w:style>
  <w:style w:type="character" w:customStyle="1" w:styleId="ListLabel414">
    <w:name w:val="ListLabel 414"/>
    <w:qFormat/>
    <w:rsid w:val="000952B8"/>
    <w:rPr>
      <w:rFonts w:cs="Wingdings"/>
      <w:sz w:val="20"/>
    </w:rPr>
  </w:style>
  <w:style w:type="character" w:customStyle="1" w:styleId="ListLabel415">
    <w:name w:val="ListLabel 415"/>
    <w:qFormat/>
    <w:rsid w:val="000952B8"/>
    <w:rPr>
      <w:rFonts w:cs="Wingdings"/>
      <w:sz w:val="20"/>
    </w:rPr>
  </w:style>
  <w:style w:type="character" w:customStyle="1" w:styleId="ListLabel416">
    <w:name w:val="ListLabel 416"/>
    <w:qFormat/>
    <w:rsid w:val="000952B8"/>
    <w:rPr>
      <w:rFonts w:cs="Wingdings"/>
      <w:sz w:val="20"/>
    </w:rPr>
  </w:style>
  <w:style w:type="character" w:customStyle="1" w:styleId="ListLabel417">
    <w:name w:val="ListLabel 417"/>
    <w:qFormat/>
    <w:rsid w:val="000952B8"/>
    <w:rPr>
      <w:rFonts w:ascii="Open Sans" w:hAnsi="Open Sans" w:cs="Symbol"/>
      <w:sz w:val="21"/>
    </w:rPr>
  </w:style>
  <w:style w:type="character" w:customStyle="1" w:styleId="ListLabel418">
    <w:name w:val="ListLabel 418"/>
    <w:qFormat/>
    <w:rsid w:val="000952B8"/>
    <w:rPr>
      <w:rFonts w:cs="Open Sans"/>
    </w:rPr>
  </w:style>
  <w:style w:type="character" w:customStyle="1" w:styleId="ListLabel419">
    <w:name w:val="ListLabel 419"/>
    <w:qFormat/>
    <w:rsid w:val="000952B8"/>
    <w:rPr>
      <w:rFonts w:cs="Wingdings"/>
    </w:rPr>
  </w:style>
  <w:style w:type="character" w:customStyle="1" w:styleId="ListLabel420">
    <w:name w:val="ListLabel 420"/>
    <w:qFormat/>
    <w:rsid w:val="000952B8"/>
    <w:rPr>
      <w:rFonts w:cs="Symbol"/>
    </w:rPr>
  </w:style>
  <w:style w:type="character" w:customStyle="1" w:styleId="ListLabel421">
    <w:name w:val="ListLabel 421"/>
    <w:qFormat/>
    <w:rsid w:val="000952B8"/>
    <w:rPr>
      <w:rFonts w:cs="Courier New"/>
    </w:rPr>
  </w:style>
  <w:style w:type="character" w:customStyle="1" w:styleId="ListLabel422">
    <w:name w:val="ListLabel 422"/>
    <w:qFormat/>
    <w:rsid w:val="000952B8"/>
    <w:rPr>
      <w:rFonts w:cs="Wingdings"/>
    </w:rPr>
  </w:style>
  <w:style w:type="character" w:customStyle="1" w:styleId="ListLabel423">
    <w:name w:val="ListLabel 423"/>
    <w:qFormat/>
    <w:rsid w:val="000952B8"/>
    <w:rPr>
      <w:rFonts w:cs="Symbol"/>
    </w:rPr>
  </w:style>
  <w:style w:type="character" w:customStyle="1" w:styleId="ListLabel424">
    <w:name w:val="ListLabel 424"/>
    <w:qFormat/>
    <w:rsid w:val="000952B8"/>
    <w:rPr>
      <w:rFonts w:cs="Courier New"/>
    </w:rPr>
  </w:style>
  <w:style w:type="character" w:customStyle="1" w:styleId="ListLabel425">
    <w:name w:val="ListLabel 425"/>
    <w:qFormat/>
    <w:rsid w:val="000952B8"/>
    <w:rPr>
      <w:rFonts w:cs="Wingdings"/>
    </w:rPr>
  </w:style>
  <w:style w:type="character" w:customStyle="1" w:styleId="ListLabel426">
    <w:name w:val="ListLabel 426"/>
    <w:qFormat/>
    <w:rsid w:val="000952B8"/>
    <w:rPr>
      <w:rFonts w:ascii="Open Sans" w:hAnsi="Open Sans" w:cs="Symbol"/>
      <w:sz w:val="21"/>
    </w:rPr>
  </w:style>
  <w:style w:type="character" w:customStyle="1" w:styleId="ListLabel427">
    <w:name w:val="ListLabel 427"/>
    <w:qFormat/>
    <w:rsid w:val="000952B8"/>
    <w:rPr>
      <w:rFonts w:cs="Courier New"/>
    </w:rPr>
  </w:style>
  <w:style w:type="character" w:customStyle="1" w:styleId="ListLabel428">
    <w:name w:val="ListLabel 428"/>
    <w:qFormat/>
    <w:rsid w:val="000952B8"/>
    <w:rPr>
      <w:rFonts w:cs="Wingdings"/>
    </w:rPr>
  </w:style>
  <w:style w:type="character" w:customStyle="1" w:styleId="ListLabel429">
    <w:name w:val="ListLabel 429"/>
    <w:qFormat/>
    <w:rsid w:val="000952B8"/>
    <w:rPr>
      <w:rFonts w:cs="Symbol"/>
    </w:rPr>
  </w:style>
  <w:style w:type="character" w:customStyle="1" w:styleId="ListLabel430">
    <w:name w:val="ListLabel 430"/>
    <w:qFormat/>
    <w:rsid w:val="000952B8"/>
    <w:rPr>
      <w:rFonts w:cs="Courier New"/>
    </w:rPr>
  </w:style>
  <w:style w:type="character" w:customStyle="1" w:styleId="ListLabel431">
    <w:name w:val="ListLabel 431"/>
    <w:qFormat/>
    <w:rsid w:val="000952B8"/>
    <w:rPr>
      <w:rFonts w:cs="Wingdings"/>
    </w:rPr>
  </w:style>
  <w:style w:type="character" w:customStyle="1" w:styleId="ListLabel432">
    <w:name w:val="ListLabel 432"/>
    <w:qFormat/>
    <w:rsid w:val="000952B8"/>
    <w:rPr>
      <w:rFonts w:cs="Symbol"/>
    </w:rPr>
  </w:style>
  <w:style w:type="character" w:customStyle="1" w:styleId="ListLabel433">
    <w:name w:val="ListLabel 433"/>
    <w:qFormat/>
    <w:rsid w:val="000952B8"/>
    <w:rPr>
      <w:rFonts w:cs="Courier New"/>
    </w:rPr>
  </w:style>
  <w:style w:type="character" w:customStyle="1" w:styleId="ListLabel434">
    <w:name w:val="ListLabel 434"/>
    <w:qFormat/>
    <w:rsid w:val="000952B8"/>
    <w:rPr>
      <w:rFonts w:cs="Wingdings"/>
    </w:rPr>
  </w:style>
  <w:style w:type="character" w:customStyle="1" w:styleId="ListLabel435">
    <w:name w:val="ListLabel 435"/>
    <w:qFormat/>
    <w:rsid w:val="000952B8"/>
    <w:rPr>
      <w:rFonts w:ascii="Open Sans" w:hAnsi="Open Sans" w:cs="Symbol"/>
      <w:sz w:val="21"/>
    </w:rPr>
  </w:style>
  <w:style w:type="character" w:customStyle="1" w:styleId="ListLabel436">
    <w:name w:val="ListLabel 436"/>
    <w:qFormat/>
    <w:rsid w:val="000952B8"/>
    <w:rPr>
      <w:rFonts w:cs="Courier New"/>
    </w:rPr>
  </w:style>
  <w:style w:type="character" w:customStyle="1" w:styleId="ListLabel437">
    <w:name w:val="ListLabel 437"/>
    <w:qFormat/>
    <w:rsid w:val="000952B8"/>
    <w:rPr>
      <w:rFonts w:cs="Wingdings"/>
    </w:rPr>
  </w:style>
  <w:style w:type="character" w:customStyle="1" w:styleId="ListLabel438">
    <w:name w:val="ListLabel 438"/>
    <w:qFormat/>
    <w:rsid w:val="000952B8"/>
    <w:rPr>
      <w:rFonts w:cs="Symbol"/>
    </w:rPr>
  </w:style>
  <w:style w:type="character" w:customStyle="1" w:styleId="ListLabel439">
    <w:name w:val="ListLabel 439"/>
    <w:qFormat/>
    <w:rsid w:val="000952B8"/>
    <w:rPr>
      <w:rFonts w:cs="Courier New"/>
    </w:rPr>
  </w:style>
  <w:style w:type="character" w:customStyle="1" w:styleId="ListLabel440">
    <w:name w:val="ListLabel 440"/>
    <w:qFormat/>
    <w:rsid w:val="000952B8"/>
    <w:rPr>
      <w:rFonts w:cs="Wingdings"/>
    </w:rPr>
  </w:style>
  <w:style w:type="character" w:customStyle="1" w:styleId="ListLabel441">
    <w:name w:val="ListLabel 441"/>
    <w:qFormat/>
    <w:rsid w:val="000952B8"/>
    <w:rPr>
      <w:rFonts w:cs="Symbol"/>
    </w:rPr>
  </w:style>
  <w:style w:type="character" w:customStyle="1" w:styleId="ListLabel442">
    <w:name w:val="ListLabel 442"/>
    <w:qFormat/>
    <w:rsid w:val="000952B8"/>
    <w:rPr>
      <w:rFonts w:cs="Courier New"/>
    </w:rPr>
  </w:style>
  <w:style w:type="character" w:customStyle="1" w:styleId="ListLabel443">
    <w:name w:val="ListLabel 443"/>
    <w:qFormat/>
    <w:rsid w:val="000952B8"/>
    <w:rPr>
      <w:rFonts w:cs="Wingdings"/>
    </w:rPr>
  </w:style>
  <w:style w:type="character" w:customStyle="1" w:styleId="ListLabel444">
    <w:name w:val="ListLabel 444"/>
    <w:qFormat/>
    <w:rsid w:val="000952B8"/>
    <w:rPr>
      <w:rFonts w:ascii="Open Sans" w:hAnsi="Open Sans" w:cs="Symbol"/>
      <w:sz w:val="21"/>
    </w:rPr>
  </w:style>
  <w:style w:type="character" w:customStyle="1" w:styleId="ListLabel445">
    <w:name w:val="ListLabel 445"/>
    <w:qFormat/>
    <w:rsid w:val="000952B8"/>
    <w:rPr>
      <w:rFonts w:cs="Courier New"/>
    </w:rPr>
  </w:style>
  <w:style w:type="character" w:customStyle="1" w:styleId="ListLabel446">
    <w:name w:val="ListLabel 446"/>
    <w:qFormat/>
    <w:rsid w:val="000952B8"/>
    <w:rPr>
      <w:rFonts w:cs="Wingdings"/>
    </w:rPr>
  </w:style>
  <w:style w:type="character" w:customStyle="1" w:styleId="ListLabel447">
    <w:name w:val="ListLabel 447"/>
    <w:qFormat/>
    <w:rsid w:val="000952B8"/>
    <w:rPr>
      <w:rFonts w:cs="Symbol"/>
    </w:rPr>
  </w:style>
  <w:style w:type="character" w:customStyle="1" w:styleId="ListLabel448">
    <w:name w:val="ListLabel 448"/>
    <w:qFormat/>
    <w:rsid w:val="000952B8"/>
    <w:rPr>
      <w:rFonts w:cs="Courier New"/>
    </w:rPr>
  </w:style>
  <w:style w:type="character" w:customStyle="1" w:styleId="ListLabel449">
    <w:name w:val="ListLabel 449"/>
    <w:qFormat/>
    <w:rsid w:val="000952B8"/>
    <w:rPr>
      <w:rFonts w:cs="Wingdings"/>
    </w:rPr>
  </w:style>
  <w:style w:type="character" w:customStyle="1" w:styleId="ListLabel450">
    <w:name w:val="ListLabel 450"/>
    <w:qFormat/>
    <w:rsid w:val="000952B8"/>
    <w:rPr>
      <w:rFonts w:cs="Symbol"/>
    </w:rPr>
  </w:style>
  <w:style w:type="character" w:customStyle="1" w:styleId="ListLabel451">
    <w:name w:val="ListLabel 451"/>
    <w:qFormat/>
    <w:rsid w:val="000952B8"/>
    <w:rPr>
      <w:rFonts w:cs="Courier New"/>
    </w:rPr>
  </w:style>
  <w:style w:type="character" w:customStyle="1" w:styleId="ListLabel452">
    <w:name w:val="ListLabel 452"/>
    <w:qFormat/>
    <w:rsid w:val="000952B8"/>
    <w:rPr>
      <w:rFonts w:cs="Wingdings"/>
    </w:rPr>
  </w:style>
  <w:style w:type="character" w:customStyle="1" w:styleId="ListLabel453">
    <w:name w:val="ListLabel 453"/>
    <w:qFormat/>
    <w:rsid w:val="000952B8"/>
    <w:rPr>
      <w:rFonts w:ascii="Open Sans" w:eastAsia="Times New Roman" w:hAnsi="Open Sans" w:cs="Open Sans"/>
      <w:b/>
      <w:sz w:val="21"/>
      <w:szCs w:val="21"/>
      <w:lang w:eastAsia="es-ES"/>
    </w:rPr>
  </w:style>
  <w:style w:type="character" w:customStyle="1" w:styleId="ListLabel454">
    <w:name w:val="ListLabel 454"/>
    <w:qFormat/>
    <w:rsid w:val="000952B8"/>
    <w:rPr>
      <w:rFonts w:ascii="Open Sans" w:eastAsia="Times New Roman" w:hAnsi="Open Sans" w:cs="Open Sans"/>
      <w:sz w:val="21"/>
      <w:szCs w:val="21"/>
      <w:lang w:eastAsia="es-ES"/>
    </w:rPr>
  </w:style>
  <w:style w:type="character" w:customStyle="1" w:styleId="ListLabel455">
    <w:name w:val="ListLabel 455"/>
    <w:qFormat/>
    <w:rsid w:val="000952B8"/>
    <w:rPr>
      <w:rFonts w:ascii="Open Sans" w:eastAsia="Times New Roman" w:hAnsi="Open Sans" w:cs="Open Sans"/>
      <w:sz w:val="20"/>
      <w:szCs w:val="20"/>
      <w:lang w:eastAsia="es-ES"/>
    </w:rPr>
  </w:style>
  <w:style w:type="character" w:customStyle="1" w:styleId="ListLabel456">
    <w:name w:val="ListLabel 456"/>
    <w:qFormat/>
    <w:rsid w:val="000952B8"/>
    <w:rPr>
      <w:rFonts w:ascii="Open Sans" w:hAnsi="Open Sans" w:cs="Open Sans"/>
      <w:sz w:val="21"/>
      <w:szCs w:val="21"/>
    </w:rPr>
  </w:style>
  <w:style w:type="character" w:customStyle="1" w:styleId="ListLabel457">
    <w:name w:val="ListLabel 457"/>
    <w:qFormat/>
    <w:rsid w:val="000952B8"/>
    <w:rPr>
      <w:rFonts w:ascii="Open Sans" w:eastAsia="Times New Roman" w:hAnsi="Open Sans" w:cs="Open Sans"/>
      <w:i/>
      <w:sz w:val="21"/>
      <w:szCs w:val="21"/>
      <w:lang w:eastAsia="es-ES"/>
    </w:rPr>
  </w:style>
  <w:style w:type="character" w:customStyle="1" w:styleId="ListLabel458">
    <w:name w:val="ListLabel 458"/>
    <w:qFormat/>
    <w:rsid w:val="000952B8"/>
    <w:rPr>
      <w:rFonts w:eastAsia="Calibri"/>
      <w:sz w:val="21"/>
      <w:szCs w:val="21"/>
    </w:rPr>
  </w:style>
  <w:style w:type="character" w:customStyle="1" w:styleId="ListLabel459">
    <w:name w:val="ListLabel 459"/>
    <w:qFormat/>
    <w:rsid w:val="000952B8"/>
  </w:style>
  <w:style w:type="character" w:customStyle="1" w:styleId="ListLabel460">
    <w:name w:val="ListLabel 460"/>
    <w:qFormat/>
    <w:rsid w:val="000952B8"/>
  </w:style>
  <w:style w:type="character" w:customStyle="1" w:styleId="ListLabel461">
    <w:name w:val="ListLabel 461"/>
    <w:qFormat/>
    <w:rsid w:val="000952B8"/>
    <w:rPr>
      <w:rFonts w:ascii="Open Sans" w:hAnsi="Open Sans" w:cs="Symbol"/>
      <w:sz w:val="21"/>
    </w:rPr>
  </w:style>
  <w:style w:type="character" w:customStyle="1" w:styleId="ListLabel462">
    <w:name w:val="ListLabel 462"/>
    <w:qFormat/>
    <w:rsid w:val="000952B8"/>
    <w:rPr>
      <w:rFonts w:cs="Courier New"/>
      <w:sz w:val="20"/>
    </w:rPr>
  </w:style>
  <w:style w:type="character" w:customStyle="1" w:styleId="ListLabel463">
    <w:name w:val="ListLabel 463"/>
    <w:qFormat/>
    <w:rsid w:val="000952B8"/>
    <w:rPr>
      <w:rFonts w:cs="Wingdings"/>
      <w:sz w:val="20"/>
    </w:rPr>
  </w:style>
  <w:style w:type="character" w:customStyle="1" w:styleId="ListLabel464">
    <w:name w:val="ListLabel 464"/>
    <w:qFormat/>
    <w:rsid w:val="000952B8"/>
    <w:rPr>
      <w:rFonts w:cs="Wingdings"/>
      <w:sz w:val="20"/>
    </w:rPr>
  </w:style>
  <w:style w:type="character" w:customStyle="1" w:styleId="ListLabel465">
    <w:name w:val="ListLabel 465"/>
    <w:qFormat/>
    <w:rsid w:val="000952B8"/>
    <w:rPr>
      <w:rFonts w:cs="Wingdings"/>
      <w:sz w:val="20"/>
    </w:rPr>
  </w:style>
  <w:style w:type="character" w:customStyle="1" w:styleId="ListLabel466">
    <w:name w:val="ListLabel 466"/>
    <w:qFormat/>
    <w:rsid w:val="000952B8"/>
    <w:rPr>
      <w:rFonts w:cs="Wingdings"/>
      <w:sz w:val="20"/>
    </w:rPr>
  </w:style>
  <w:style w:type="character" w:customStyle="1" w:styleId="ListLabel467">
    <w:name w:val="ListLabel 467"/>
    <w:qFormat/>
    <w:rsid w:val="000952B8"/>
    <w:rPr>
      <w:rFonts w:cs="Wingdings"/>
      <w:sz w:val="20"/>
    </w:rPr>
  </w:style>
  <w:style w:type="character" w:customStyle="1" w:styleId="ListLabel468">
    <w:name w:val="ListLabel 468"/>
    <w:qFormat/>
    <w:rsid w:val="000952B8"/>
    <w:rPr>
      <w:rFonts w:cs="Wingdings"/>
      <w:sz w:val="20"/>
    </w:rPr>
  </w:style>
  <w:style w:type="character" w:customStyle="1" w:styleId="ListLabel469">
    <w:name w:val="ListLabel 469"/>
    <w:qFormat/>
    <w:rsid w:val="000952B8"/>
    <w:rPr>
      <w:rFonts w:cs="Wingdings"/>
      <w:sz w:val="20"/>
    </w:rPr>
  </w:style>
  <w:style w:type="character" w:customStyle="1" w:styleId="ListLabel470">
    <w:name w:val="ListLabel 470"/>
    <w:qFormat/>
    <w:rsid w:val="000952B8"/>
    <w:rPr>
      <w:rFonts w:ascii="Open Sans" w:hAnsi="Open Sans" w:cs="Symbol"/>
      <w:sz w:val="21"/>
    </w:rPr>
  </w:style>
  <w:style w:type="character" w:customStyle="1" w:styleId="ListLabel471">
    <w:name w:val="ListLabel 471"/>
    <w:qFormat/>
    <w:rsid w:val="000952B8"/>
    <w:rPr>
      <w:rFonts w:cs="Open Sans"/>
    </w:rPr>
  </w:style>
  <w:style w:type="character" w:customStyle="1" w:styleId="ListLabel472">
    <w:name w:val="ListLabel 472"/>
    <w:qFormat/>
    <w:rsid w:val="000952B8"/>
    <w:rPr>
      <w:rFonts w:cs="Wingdings"/>
    </w:rPr>
  </w:style>
  <w:style w:type="character" w:customStyle="1" w:styleId="ListLabel473">
    <w:name w:val="ListLabel 473"/>
    <w:qFormat/>
    <w:rsid w:val="000952B8"/>
    <w:rPr>
      <w:rFonts w:cs="Symbol"/>
    </w:rPr>
  </w:style>
  <w:style w:type="character" w:customStyle="1" w:styleId="ListLabel474">
    <w:name w:val="ListLabel 474"/>
    <w:qFormat/>
    <w:rsid w:val="000952B8"/>
    <w:rPr>
      <w:rFonts w:cs="Courier New"/>
    </w:rPr>
  </w:style>
  <w:style w:type="character" w:customStyle="1" w:styleId="ListLabel475">
    <w:name w:val="ListLabel 475"/>
    <w:qFormat/>
    <w:rsid w:val="000952B8"/>
    <w:rPr>
      <w:rFonts w:cs="Wingdings"/>
    </w:rPr>
  </w:style>
  <w:style w:type="character" w:customStyle="1" w:styleId="ListLabel476">
    <w:name w:val="ListLabel 476"/>
    <w:qFormat/>
    <w:rsid w:val="000952B8"/>
    <w:rPr>
      <w:rFonts w:cs="Symbol"/>
    </w:rPr>
  </w:style>
  <w:style w:type="character" w:customStyle="1" w:styleId="ListLabel477">
    <w:name w:val="ListLabel 477"/>
    <w:qFormat/>
    <w:rsid w:val="000952B8"/>
    <w:rPr>
      <w:rFonts w:cs="Courier New"/>
    </w:rPr>
  </w:style>
  <w:style w:type="character" w:customStyle="1" w:styleId="ListLabel478">
    <w:name w:val="ListLabel 478"/>
    <w:qFormat/>
    <w:rsid w:val="000952B8"/>
    <w:rPr>
      <w:rFonts w:cs="Wingdings"/>
    </w:rPr>
  </w:style>
  <w:style w:type="character" w:customStyle="1" w:styleId="ListLabel479">
    <w:name w:val="ListLabel 479"/>
    <w:qFormat/>
    <w:rsid w:val="000952B8"/>
    <w:rPr>
      <w:rFonts w:ascii="Open Sans" w:hAnsi="Open Sans" w:cs="Symbol"/>
      <w:sz w:val="21"/>
    </w:rPr>
  </w:style>
  <w:style w:type="character" w:customStyle="1" w:styleId="ListLabel480">
    <w:name w:val="ListLabel 480"/>
    <w:qFormat/>
    <w:rsid w:val="000952B8"/>
    <w:rPr>
      <w:rFonts w:cs="Courier New"/>
    </w:rPr>
  </w:style>
  <w:style w:type="character" w:customStyle="1" w:styleId="ListLabel481">
    <w:name w:val="ListLabel 481"/>
    <w:qFormat/>
    <w:rsid w:val="000952B8"/>
    <w:rPr>
      <w:rFonts w:cs="Wingdings"/>
    </w:rPr>
  </w:style>
  <w:style w:type="character" w:customStyle="1" w:styleId="ListLabel482">
    <w:name w:val="ListLabel 482"/>
    <w:qFormat/>
    <w:rsid w:val="000952B8"/>
    <w:rPr>
      <w:rFonts w:cs="Symbol"/>
    </w:rPr>
  </w:style>
  <w:style w:type="character" w:customStyle="1" w:styleId="ListLabel483">
    <w:name w:val="ListLabel 483"/>
    <w:qFormat/>
    <w:rsid w:val="000952B8"/>
    <w:rPr>
      <w:rFonts w:cs="Courier New"/>
    </w:rPr>
  </w:style>
  <w:style w:type="character" w:customStyle="1" w:styleId="ListLabel484">
    <w:name w:val="ListLabel 484"/>
    <w:qFormat/>
    <w:rsid w:val="000952B8"/>
    <w:rPr>
      <w:rFonts w:cs="Wingdings"/>
    </w:rPr>
  </w:style>
  <w:style w:type="character" w:customStyle="1" w:styleId="ListLabel485">
    <w:name w:val="ListLabel 485"/>
    <w:qFormat/>
    <w:rsid w:val="000952B8"/>
    <w:rPr>
      <w:rFonts w:cs="Symbol"/>
    </w:rPr>
  </w:style>
  <w:style w:type="character" w:customStyle="1" w:styleId="ListLabel486">
    <w:name w:val="ListLabel 486"/>
    <w:qFormat/>
    <w:rsid w:val="000952B8"/>
    <w:rPr>
      <w:rFonts w:cs="Courier New"/>
    </w:rPr>
  </w:style>
  <w:style w:type="character" w:customStyle="1" w:styleId="ListLabel487">
    <w:name w:val="ListLabel 487"/>
    <w:qFormat/>
    <w:rsid w:val="000952B8"/>
    <w:rPr>
      <w:rFonts w:cs="Wingdings"/>
    </w:rPr>
  </w:style>
  <w:style w:type="character" w:customStyle="1" w:styleId="ListLabel488">
    <w:name w:val="ListLabel 488"/>
    <w:qFormat/>
    <w:rsid w:val="000952B8"/>
    <w:rPr>
      <w:rFonts w:ascii="Open Sans" w:hAnsi="Open Sans" w:cs="Symbol"/>
      <w:sz w:val="21"/>
    </w:rPr>
  </w:style>
  <w:style w:type="character" w:customStyle="1" w:styleId="ListLabel489">
    <w:name w:val="ListLabel 489"/>
    <w:qFormat/>
    <w:rsid w:val="000952B8"/>
    <w:rPr>
      <w:rFonts w:cs="Courier New"/>
    </w:rPr>
  </w:style>
  <w:style w:type="character" w:customStyle="1" w:styleId="ListLabel490">
    <w:name w:val="ListLabel 490"/>
    <w:qFormat/>
    <w:rsid w:val="000952B8"/>
    <w:rPr>
      <w:rFonts w:cs="Wingdings"/>
    </w:rPr>
  </w:style>
  <w:style w:type="character" w:customStyle="1" w:styleId="ListLabel491">
    <w:name w:val="ListLabel 491"/>
    <w:qFormat/>
    <w:rsid w:val="000952B8"/>
    <w:rPr>
      <w:rFonts w:cs="Symbol"/>
    </w:rPr>
  </w:style>
  <w:style w:type="character" w:customStyle="1" w:styleId="ListLabel492">
    <w:name w:val="ListLabel 492"/>
    <w:qFormat/>
    <w:rsid w:val="000952B8"/>
    <w:rPr>
      <w:rFonts w:cs="Courier New"/>
    </w:rPr>
  </w:style>
  <w:style w:type="character" w:customStyle="1" w:styleId="ListLabel493">
    <w:name w:val="ListLabel 493"/>
    <w:qFormat/>
    <w:rsid w:val="000952B8"/>
    <w:rPr>
      <w:rFonts w:cs="Wingdings"/>
    </w:rPr>
  </w:style>
  <w:style w:type="character" w:customStyle="1" w:styleId="ListLabel494">
    <w:name w:val="ListLabel 494"/>
    <w:qFormat/>
    <w:rsid w:val="000952B8"/>
    <w:rPr>
      <w:rFonts w:cs="Symbol"/>
    </w:rPr>
  </w:style>
  <w:style w:type="character" w:customStyle="1" w:styleId="ListLabel495">
    <w:name w:val="ListLabel 495"/>
    <w:qFormat/>
    <w:rsid w:val="000952B8"/>
    <w:rPr>
      <w:rFonts w:cs="Courier New"/>
    </w:rPr>
  </w:style>
  <w:style w:type="character" w:customStyle="1" w:styleId="ListLabel496">
    <w:name w:val="ListLabel 496"/>
    <w:qFormat/>
    <w:rsid w:val="000952B8"/>
    <w:rPr>
      <w:rFonts w:cs="Wingdings"/>
    </w:rPr>
  </w:style>
  <w:style w:type="character" w:customStyle="1" w:styleId="ListLabel497">
    <w:name w:val="ListLabel 497"/>
    <w:qFormat/>
    <w:rsid w:val="000952B8"/>
    <w:rPr>
      <w:rFonts w:ascii="Open Sans" w:hAnsi="Open Sans" w:cs="Symbol"/>
      <w:sz w:val="21"/>
    </w:rPr>
  </w:style>
  <w:style w:type="character" w:customStyle="1" w:styleId="ListLabel498">
    <w:name w:val="ListLabel 498"/>
    <w:qFormat/>
    <w:rsid w:val="000952B8"/>
    <w:rPr>
      <w:rFonts w:cs="Courier New"/>
    </w:rPr>
  </w:style>
  <w:style w:type="character" w:customStyle="1" w:styleId="ListLabel499">
    <w:name w:val="ListLabel 499"/>
    <w:qFormat/>
    <w:rsid w:val="000952B8"/>
    <w:rPr>
      <w:rFonts w:cs="Wingdings"/>
    </w:rPr>
  </w:style>
  <w:style w:type="character" w:customStyle="1" w:styleId="ListLabel500">
    <w:name w:val="ListLabel 500"/>
    <w:qFormat/>
    <w:rsid w:val="000952B8"/>
    <w:rPr>
      <w:rFonts w:cs="Symbol"/>
    </w:rPr>
  </w:style>
  <w:style w:type="character" w:customStyle="1" w:styleId="ListLabel501">
    <w:name w:val="ListLabel 501"/>
    <w:qFormat/>
    <w:rsid w:val="000952B8"/>
    <w:rPr>
      <w:rFonts w:cs="Courier New"/>
    </w:rPr>
  </w:style>
  <w:style w:type="character" w:customStyle="1" w:styleId="ListLabel502">
    <w:name w:val="ListLabel 502"/>
    <w:qFormat/>
    <w:rsid w:val="000952B8"/>
    <w:rPr>
      <w:rFonts w:cs="Wingdings"/>
    </w:rPr>
  </w:style>
  <w:style w:type="character" w:customStyle="1" w:styleId="ListLabel503">
    <w:name w:val="ListLabel 503"/>
    <w:qFormat/>
    <w:rsid w:val="000952B8"/>
    <w:rPr>
      <w:rFonts w:cs="Symbol"/>
    </w:rPr>
  </w:style>
  <w:style w:type="character" w:customStyle="1" w:styleId="ListLabel504">
    <w:name w:val="ListLabel 504"/>
    <w:qFormat/>
    <w:rsid w:val="000952B8"/>
    <w:rPr>
      <w:rFonts w:cs="Courier New"/>
    </w:rPr>
  </w:style>
  <w:style w:type="character" w:customStyle="1" w:styleId="ListLabel505">
    <w:name w:val="ListLabel 505"/>
    <w:qFormat/>
    <w:rsid w:val="000952B8"/>
    <w:rPr>
      <w:rFonts w:cs="Wingdings"/>
    </w:rPr>
  </w:style>
  <w:style w:type="character" w:customStyle="1" w:styleId="ListLabel506">
    <w:name w:val="ListLabel 506"/>
    <w:qFormat/>
    <w:rsid w:val="000952B8"/>
    <w:rPr>
      <w:rFonts w:ascii="Open Sans" w:eastAsia="Times New Roman" w:hAnsi="Open Sans" w:cs="Open Sans"/>
      <w:b/>
      <w:sz w:val="21"/>
      <w:szCs w:val="21"/>
      <w:lang w:eastAsia="es-ES"/>
    </w:rPr>
  </w:style>
  <w:style w:type="character" w:customStyle="1" w:styleId="ListLabel507">
    <w:name w:val="ListLabel 507"/>
    <w:qFormat/>
    <w:rsid w:val="000952B8"/>
    <w:rPr>
      <w:rFonts w:ascii="Open Sans" w:eastAsia="Times New Roman" w:hAnsi="Open Sans" w:cs="Open Sans"/>
      <w:sz w:val="21"/>
      <w:szCs w:val="21"/>
      <w:lang w:eastAsia="es-ES"/>
    </w:rPr>
  </w:style>
  <w:style w:type="character" w:customStyle="1" w:styleId="ListLabel508">
    <w:name w:val="ListLabel 508"/>
    <w:qFormat/>
    <w:rsid w:val="000952B8"/>
    <w:rPr>
      <w:rFonts w:ascii="Open Sans" w:eastAsia="Times New Roman" w:hAnsi="Open Sans" w:cs="Open Sans"/>
      <w:sz w:val="20"/>
      <w:szCs w:val="20"/>
      <w:lang w:eastAsia="es-ES"/>
    </w:rPr>
  </w:style>
  <w:style w:type="character" w:customStyle="1" w:styleId="ListLabel509">
    <w:name w:val="ListLabel 509"/>
    <w:qFormat/>
    <w:rsid w:val="000952B8"/>
    <w:rPr>
      <w:rFonts w:ascii="Open Sans" w:hAnsi="Open Sans" w:cs="Open Sans"/>
      <w:sz w:val="21"/>
      <w:szCs w:val="21"/>
    </w:rPr>
  </w:style>
  <w:style w:type="character" w:customStyle="1" w:styleId="ListLabel510">
    <w:name w:val="ListLabel 510"/>
    <w:qFormat/>
    <w:rsid w:val="000952B8"/>
    <w:rPr>
      <w:rFonts w:ascii="Open Sans" w:eastAsia="Times New Roman" w:hAnsi="Open Sans" w:cs="Open Sans"/>
      <w:i/>
      <w:sz w:val="21"/>
      <w:szCs w:val="21"/>
      <w:lang w:eastAsia="es-ES"/>
    </w:rPr>
  </w:style>
  <w:style w:type="character" w:customStyle="1" w:styleId="ListLabel511">
    <w:name w:val="ListLabel 511"/>
    <w:qFormat/>
    <w:rsid w:val="000952B8"/>
    <w:rPr>
      <w:rFonts w:eastAsia="Calibri"/>
      <w:sz w:val="21"/>
      <w:szCs w:val="21"/>
    </w:rPr>
  </w:style>
  <w:style w:type="character" w:customStyle="1" w:styleId="ListLabel512">
    <w:name w:val="ListLabel 512"/>
    <w:qFormat/>
    <w:rsid w:val="000952B8"/>
  </w:style>
  <w:style w:type="character" w:customStyle="1" w:styleId="ListLabel513">
    <w:name w:val="ListLabel 513"/>
    <w:qFormat/>
    <w:rsid w:val="000952B8"/>
  </w:style>
  <w:style w:type="character" w:customStyle="1" w:styleId="ListLabel514">
    <w:name w:val="ListLabel 514"/>
    <w:qFormat/>
    <w:rsid w:val="000952B8"/>
    <w:rPr>
      <w:rFonts w:ascii="Open Sans" w:hAnsi="Open Sans" w:cs="Symbol"/>
      <w:sz w:val="21"/>
    </w:rPr>
  </w:style>
  <w:style w:type="character" w:customStyle="1" w:styleId="ListLabel515">
    <w:name w:val="ListLabel 515"/>
    <w:qFormat/>
    <w:rsid w:val="000952B8"/>
    <w:rPr>
      <w:rFonts w:cs="Courier New"/>
      <w:sz w:val="20"/>
    </w:rPr>
  </w:style>
  <w:style w:type="character" w:customStyle="1" w:styleId="ListLabel516">
    <w:name w:val="ListLabel 516"/>
    <w:qFormat/>
    <w:rsid w:val="000952B8"/>
    <w:rPr>
      <w:rFonts w:cs="Wingdings"/>
      <w:sz w:val="20"/>
    </w:rPr>
  </w:style>
  <w:style w:type="character" w:customStyle="1" w:styleId="ListLabel517">
    <w:name w:val="ListLabel 517"/>
    <w:qFormat/>
    <w:rsid w:val="000952B8"/>
    <w:rPr>
      <w:rFonts w:cs="Wingdings"/>
      <w:sz w:val="20"/>
    </w:rPr>
  </w:style>
  <w:style w:type="character" w:customStyle="1" w:styleId="ListLabel518">
    <w:name w:val="ListLabel 518"/>
    <w:qFormat/>
    <w:rsid w:val="000952B8"/>
    <w:rPr>
      <w:rFonts w:cs="Wingdings"/>
      <w:sz w:val="20"/>
    </w:rPr>
  </w:style>
  <w:style w:type="character" w:customStyle="1" w:styleId="ListLabel519">
    <w:name w:val="ListLabel 519"/>
    <w:qFormat/>
    <w:rsid w:val="000952B8"/>
    <w:rPr>
      <w:rFonts w:cs="Wingdings"/>
      <w:sz w:val="20"/>
    </w:rPr>
  </w:style>
  <w:style w:type="character" w:customStyle="1" w:styleId="ListLabel520">
    <w:name w:val="ListLabel 520"/>
    <w:qFormat/>
    <w:rsid w:val="000952B8"/>
    <w:rPr>
      <w:rFonts w:cs="Wingdings"/>
      <w:sz w:val="20"/>
    </w:rPr>
  </w:style>
  <w:style w:type="character" w:customStyle="1" w:styleId="ListLabel521">
    <w:name w:val="ListLabel 521"/>
    <w:qFormat/>
    <w:rsid w:val="000952B8"/>
    <w:rPr>
      <w:rFonts w:cs="Wingdings"/>
      <w:sz w:val="20"/>
    </w:rPr>
  </w:style>
  <w:style w:type="character" w:customStyle="1" w:styleId="ListLabel522">
    <w:name w:val="ListLabel 522"/>
    <w:qFormat/>
    <w:rsid w:val="000952B8"/>
    <w:rPr>
      <w:rFonts w:cs="Wingdings"/>
      <w:sz w:val="20"/>
    </w:rPr>
  </w:style>
  <w:style w:type="character" w:customStyle="1" w:styleId="ListLabel523">
    <w:name w:val="ListLabel 523"/>
    <w:qFormat/>
    <w:rsid w:val="000952B8"/>
    <w:rPr>
      <w:rFonts w:ascii="Open Sans" w:hAnsi="Open Sans" w:cs="Symbol"/>
      <w:sz w:val="21"/>
    </w:rPr>
  </w:style>
  <w:style w:type="character" w:customStyle="1" w:styleId="ListLabel524">
    <w:name w:val="ListLabel 524"/>
    <w:qFormat/>
    <w:rsid w:val="000952B8"/>
    <w:rPr>
      <w:rFonts w:cs="Open Sans"/>
    </w:rPr>
  </w:style>
  <w:style w:type="character" w:customStyle="1" w:styleId="ListLabel525">
    <w:name w:val="ListLabel 525"/>
    <w:qFormat/>
    <w:rsid w:val="000952B8"/>
    <w:rPr>
      <w:rFonts w:cs="Wingdings"/>
    </w:rPr>
  </w:style>
  <w:style w:type="character" w:customStyle="1" w:styleId="ListLabel526">
    <w:name w:val="ListLabel 526"/>
    <w:qFormat/>
    <w:rsid w:val="000952B8"/>
    <w:rPr>
      <w:rFonts w:cs="Symbol"/>
    </w:rPr>
  </w:style>
  <w:style w:type="character" w:customStyle="1" w:styleId="ListLabel527">
    <w:name w:val="ListLabel 527"/>
    <w:qFormat/>
    <w:rsid w:val="000952B8"/>
    <w:rPr>
      <w:rFonts w:cs="Courier New"/>
    </w:rPr>
  </w:style>
  <w:style w:type="character" w:customStyle="1" w:styleId="ListLabel528">
    <w:name w:val="ListLabel 528"/>
    <w:qFormat/>
    <w:rsid w:val="000952B8"/>
    <w:rPr>
      <w:rFonts w:cs="Wingdings"/>
    </w:rPr>
  </w:style>
  <w:style w:type="character" w:customStyle="1" w:styleId="ListLabel529">
    <w:name w:val="ListLabel 529"/>
    <w:qFormat/>
    <w:rsid w:val="000952B8"/>
    <w:rPr>
      <w:rFonts w:cs="Symbol"/>
    </w:rPr>
  </w:style>
  <w:style w:type="character" w:customStyle="1" w:styleId="ListLabel530">
    <w:name w:val="ListLabel 530"/>
    <w:qFormat/>
    <w:rsid w:val="000952B8"/>
    <w:rPr>
      <w:rFonts w:cs="Courier New"/>
    </w:rPr>
  </w:style>
  <w:style w:type="character" w:customStyle="1" w:styleId="ListLabel531">
    <w:name w:val="ListLabel 531"/>
    <w:qFormat/>
    <w:rsid w:val="000952B8"/>
    <w:rPr>
      <w:rFonts w:cs="Wingdings"/>
    </w:rPr>
  </w:style>
  <w:style w:type="character" w:customStyle="1" w:styleId="ListLabel532">
    <w:name w:val="ListLabel 532"/>
    <w:qFormat/>
    <w:rsid w:val="000952B8"/>
    <w:rPr>
      <w:rFonts w:ascii="Open Sans" w:hAnsi="Open Sans" w:cs="Symbol"/>
      <w:sz w:val="21"/>
    </w:rPr>
  </w:style>
  <w:style w:type="character" w:customStyle="1" w:styleId="ListLabel533">
    <w:name w:val="ListLabel 533"/>
    <w:qFormat/>
    <w:rsid w:val="000952B8"/>
    <w:rPr>
      <w:rFonts w:cs="Courier New"/>
    </w:rPr>
  </w:style>
  <w:style w:type="character" w:customStyle="1" w:styleId="ListLabel534">
    <w:name w:val="ListLabel 534"/>
    <w:qFormat/>
    <w:rsid w:val="000952B8"/>
    <w:rPr>
      <w:rFonts w:cs="Wingdings"/>
    </w:rPr>
  </w:style>
  <w:style w:type="character" w:customStyle="1" w:styleId="ListLabel535">
    <w:name w:val="ListLabel 535"/>
    <w:qFormat/>
    <w:rsid w:val="000952B8"/>
    <w:rPr>
      <w:rFonts w:cs="Symbol"/>
    </w:rPr>
  </w:style>
  <w:style w:type="character" w:customStyle="1" w:styleId="ListLabel536">
    <w:name w:val="ListLabel 536"/>
    <w:qFormat/>
    <w:rsid w:val="000952B8"/>
    <w:rPr>
      <w:rFonts w:cs="Courier New"/>
    </w:rPr>
  </w:style>
  <w:style w:type="character" w:customStyle="1" w:styleId="ListLabel537">
    <w:name w:val="ListLabel 537"/>
    <w:qFormat/>
    <w:rsid w:val="000952B8"/>
    <w:rPr>
      <w:rFonts w:cs="Wingdings"/>
    </w:rPr>
  </w:style>
  <w:style w:type="character" w:customStyle="1" w:styleId="ListLabel538">
    <w:name w:val="ListLabel 538"/>
    <w:qFormat/>
    <w:rsid w:val="000952B8"/>
    <w:rPr>
      <w:rFonts w:cs="Symbol"/>
    </w:rPr>
  </w:style>
  <w:style w:type="character" w:customStyle="1" w:styleId="ListLabel539">
    <w:name w:val="ListLabel 539"/>
    <w:qFormat/>
    <w:rsid w:val="000952B8"/>
    <w:rPr>
      <w:rFonts w:cs="Courier New"/>
    </w:rPr>
  </w:style>
  <w:style w:type="character" w:customStyle="1" w:styleId="ListLabel540">
    <w:name w:val="ListLabel 540"/>
    <w:qFormat/>
    <w:rsid w:val="000952B8"/>
    <w:rPr>
      <w:rFonts w:cs="Wingdings"/>
    </w:rPr>
  </w:style>
  <w:style w:type="character" w:customStyle="1" w:styleId="ListLabel541">
    <w:name w:val="ListLabel 541"/>
    <w:qFormat/>
    <w:rsid w:val="000952B8"/>
    <w:rPr>
      <w:rFonts w:cs="Symbol"/>
      <w:sz w:val="21"/>
    </w:rPr>
  </w:style>
  <w:style w:type="character" w:customStyle="1" w:styleId="ListLabel542">
    <w:name w:val="ListLabel 542"/>
    <w:qFormat/>
    <w:rsid w:val="000952B8"/>
    <w:rPr>
      <w:rFonts w:cs="Courier New"/>
    </w:rPr>
  </w:style>
  <w:style w:type="character" w:customStyle="1" w:styleId="ListLabel543">
    <w:name w:val="ListLabel 543"/>
    <w:qFormat/>
    <w:rsid w:val="000952B8"/>
    <w:rPr>
      <w:rFonts w:cs="Wingdings"/>
    </w:rPr>
  </w:style>
  <w:style w:type="character" w:customStyle="1" w:styleId="ListLabel544">
    <w:name w:val="ListLabel 544"/>
    <w:qFormat/>
    <w:rsid w:val="000952B8"/>
    <w:rPr>
      <w:rFonts w:cs="Symbol"/>
    </w:rPr>
  </w:style>
  <w:style w:type="character" w:customStyle="1" w:styleId="ListLabel545">
    <w:name w:val="ListLabel 545"/>
    <w:qFormat/>
    <w:rsid w:val="000952B8"/>
    <w:rPr>
      <w:rFonts w:cs="Courier New"/>
    </w:rPr>
  </w:style>
  <w:style w:type="character" w:customStyle="1" w:styleId="ListLabel546">
    <w:name w:val="ListLabel 546"/>
    <w:qFormat/>
    <w:rsid w:val="000952B8"/>
    <w:rPr>
      <w:rFonts w:cs="Wingdings"/>
    </w:rPr>
  </w:style>
  <w:style w:type="character" w:customStyle="1" w:styleId="ListLabel547">
    <w:name w:val="ListLabel 547"/>
    <w:qFormat/>
    <w:rsid w:val="000952B8"/>
    <w:rPr>
      <w:rFonts w:cs="Symbol"/>
    </w:rPr>
  </w:style>
  <w:style w:type="character" w:customStyle="1" w:styleId="ListLabel548">
    <w:name w:val="ListLabel 548"/>
    <w:qFormat/>
    <w:rsid w:val="000952B8"/>
    <w:rPr>
      <w:rFonts w:cs="Courier New"/>
    </w:rPr>
  </w:style>
  <w:style w:type="character" w:customStyle="1" w:styleId="ListLabel549">
    <w:name w:val="ListLabel 549"/>
    <w:qFormat/>
    <w:rsid w:val="000952B8"/>
    <w:rPr>
      <w:rFonts w:cs="Wingdings"/>
    </w:rPr>
  </w:style>
  <w:style w:type="character" w:customStyle="1" w:styleId="ListLabel550">
    <w:name w:val="ListLabel 550"/>
    <w:qFormat/>
    <w:rsid w:val="000952B8"/>
    <w:rPr>
      <w:rFonts w:ascii="Open Sans" w:hAnsi="Open Sans" w:cs="Symbol"/>
      <w:sz w:val="21"/>
    </w:rPr>
  </w:style>
  <w:style w:type="character" w:customStyle="1" w:styleId="ListLabel551">
    <w:name w:val="ListLabel 551"/>
    <w:qFormat/>
    <w:rsid w:val="000952B8"/>
    <w:rPr>
      <w:rFonts w:cs="Courier New"/>
    </w:rPr>
  </w:style>
  <w:style w:type="character" w:customStyle="1" w:styleId="ListLabel552">
    <w:name w:val="ListLabel 552"/>
    <w:qFormat/>
    <w:rsid w:val="000952B8"/>
    <w:rPr>
      <w:rFonts w:cs="Wingdings"/>
    </w:rPr>
  </w:style>
  <w:style w:type="character" w:customStyle="1" w:styleId="ListLabel553">
    <w:name w:val="ListLabel 553"/>
    <w:qFormat/>
    <w:rsid w:val="000952B8"/>
    <w:rPr>
      <w:rFonts w:cs="Symbol"/>
    </w:rPr>
  </w:style>
  <w:style w:type="character" w:customStyle="1" w:styleId="ListLabel554">
    <w:name w:val="ListLabel 554"/>
    <w:qFormat/>
    <w:rsid w:val="000952B8"/>
    <w:rPr>
      <w:rFonts w:cs="Courier New"/>
    </w:rPr>
  </w:style>
  <w:style w:type="character" w:customStyle="1" w:styleId="ListLabel555">
    <w:name w:val="ListLabel 555"/>
    <w:qFormat/>
    <w:rsid w:val="000952B8"/>
    <w:rPr>
      <w:rFonts w:cs="Wingdings"/>
    </w:rPr>
  </w:style>
  <w:style w:type="character" w:customStyle="1" w:styleId="ListLabel556">
    <w:name w:val="ListLabel 556"/>
    <w:qFormat/>
    <w:rsid w:val="000952B8"/>
    <w:rPr>
      <w:rFonts w:cs="Symbol"/>
    </w:rPr>
  </w:style>
  <w:style w:type="character" w:customStyle="1" w:styleId="ListLabel557">
    <w:name w:val="ListLabel 557"/>
    <w:qFormat/>
    <w:rsid w:val="000952B8"/>
    <w:rPr>
      <w:rFonts w:cs="Courier New"/>
    </w:rPr>
  </w:style>
  <w:style w:type="character" w:customStyle="1" w:styleId="ListLabel558">
    <w:name w:val="ListLabel 558"/>
    <w:qFormat/>
    <w:rsid w:val="000952B8"/>
    <w:rPr>
      <w:rFonts w:cs="Wingdings"/>
    </w:rPr>
  </w:style>
  <w:style w:type="character" w:customStyle="1" w:styleId="ListLabel559">
    <w:name w:val="ListLabel 559"/>
    <w:qFormat/>
    <w:rsid w:val="000952B8"/>
    <w:rPr>
      <w:rFonts w:ascii="Open Sans" w:eastAsia="Times New Roman" w:hAnsi="Open Sans" w:cs="Open Sans"/>
      <w:b/>
      <w:sz w:val="21"/>
      <w:szCs w:val="21"/>
      <w:lang w:eastAsia="es-ES"/>
    </w:rPr>
  </w:style>
  <w:style w:type="character" w:customStyle="1" w:styleId="ListLabel560">
    <w:name w:val="ListLabel 560"/>
    <w:qFormat/>
    <w:rsid w:val="000952B8"/>
    <w:rPr>
      <w:rFonts w:ascii="Open Sans" w:eastAsia="Times New Roman" w:hAnsi="Open Sans" w:cs="Open Sans"/>
      <w:sz w:val="21"/>
      <w:szCs w:val="21"/>
      <w:lang w:eastAsia="es-ES"/>
    </w:rPr>
  </w:style>
  <w:style w:type="character" w:customStyle="1" w:styleId="ListLabel561">
    <w:name w:val="ListLabel 561"/>
    <w:qFormat/>
    <w:rsid w:val="000952B8"/>
    <w:rPr>
      <w:rFonts w:ascii="Open Sans" w:eastAsia="Times New Roman" w:hAnsi="Open Sans" w:cs="Open Sans"/>
      <w:sz w:val="20"/>
      <w:szCs w:val="20"/>
      <w:lang w:eastAsia="es-ES"/>
    </w:rPr>
  </w:style>
  <w:style w:type="character" w:customStyle="1" w:styleId="ListLabel562">
    <w:name w:val="ListLabel 562"/>
    <w:qFormat/>
    <w:rsid w:val="000952B8"/>
    <w:rPr>
      <w:rFonts w:ascii="Open Sans" w:hAnsi="Open Sans" w:cs="Open Sans"/>
      <w:sz w:val="21"/>
      <w:szCs w:val="21"/>
    </w:rPr>
  </w:style>
  <w:style w:type="character" w:customStyle="1" w:styleId="ListLabel563">
    <w:name w:val="ListLabel 563"/>
    <w:qFormat/>
    <w:rsid w:val="000952B8"/>
    <w:rPr>
      <w:rFonts w:ascii="Open Sans" w:eastAsia="Times New Roman" w:hAnsi="Open Sans" w:cs="Open Sans"/>
      <w:i w:val="0"/>
      <w:iCs w:val="0"/>
      <w:sz w:val="21"/>
      <w:szCs w:val="21"/>
      <w:lang w:eastAsia="es-ES"/>
    </w:rPr>
  </w:style>
  <w:style w:type="character" w:customStyle="1" w:styleId="ListLabel564">
    <w:name w:val="ListLabel 564"/>
    <w:qFormat/>
    <w:rsid w:val="000952B8"/>
    <w:rPr>
      <w:rFonts w:ascii="Open Sans" w:eastAsia="Times New Roman" w:hAnsi="Open Sans" w:cs="Open Sans"/>
      <w:i/>
      <w:sz w:val="21"/>
      <w:szCs w:val="21"/>
      <w:lang w:eastAsia="es-ES"/>
    </w:rPr>
  </w:style>
  <w:style w:type="character" w:customStyle="1" w:styleId="ListLabel565">
    <w:name w:val="ListLabel 565"/>
    <w:qFormat/>
    <w:rsid w:val="000952B8"/>
    <w:rPr>
      <w:rFonts w:eastAsia="Calibri"/>
      <w:sz w:val="21"/>
      <w:szCs w:val="21"/>
    </w:rPr>
  </w:style>
  <w:style w:type="character" w:customStyle="1" w:styleId="ListLabel566">
    <w:name w:val="ListLabel 566"/>
    <w:qFormat/>
    <w:rsid w:val="000952B8"/>
  </w:style>
  <w:style w:type="character" w:customStyle="1" w:styleId="ListLabel567">
    <w:name w:val="ListLabel 567"/>
    <w:qFormat/>
    <w:rsid w:val="000952B8"/>
  </w:style>
  <w:style w:type="paragraph" w:styleId="Textocomentario">
    <w:name w:val="annotation text"/>
    <w:basedOn w:val="Normal"/>
    <w:link w:val="TextocomentarioCar"/>
    <w:uiPriority w:val="99"/>
    <w:semiHidden/>
    <w:unhideWhenUsed/>
    <w:qFormat/>
    <w:rsid w:val="000952B8"/>
    <w:pPr>
      <w:spacing w:line="240" w:lineRule="auto"/>
    </w:pPr>
    <w:rPr>
      <w:sz w:val="20"/>
      <w:szCs w:val="20"/>
    </w:rPr>
  </w:style>
  <w:style w:type="character" w:customStyle="1" w:styleId="TextocomentarioCar2">
    <w:name w:val="Texto comentario Car2"/>
    <w:basedOn w:val="Fuentedeprrafopredeter"/>
    <w:uiPriority w:val="99"/>
    <w:semiHidden/>
    <w:rsid w:val="000952B8"/>
    <w:rPr>
      <w:sz w:val="20"/>
      <w:szCs w:val="20"/>
    </w:rPr>
  </w:style>
  <w:style w:type="paragraph" w:styleId="Asuntodelcomentario">
    <w:name w:val="annotation subject"/>
    <w:basedOn w:val="Textocomentario"/>
    <w:next w:val="Textocomentario"/>
    <w:link w:val="AsuntodelcomentarioCar"/>
    <w:uiPriority w:val="99"/>
    <w:semiHidden/>
    <w:unhideWhenUsed/>
    <w:qFormat/>
    <w:rsid w:val="000952B8"/>
    <w:rPr>
      <w:b/>
      <w:bCs/>
    </w:rPr>
  </w:style>
  <w:style w:type="character" w:customStyle="1" w:styleId="AsuntodelcomentarioCar2">
    <w:name w:val="Asunto del comentario Car2"/>
    <w:basedOn w:val="TextocomentarioCar2"/>
    <w:uiPriority w:val="99"/>
    <w:semiHidden/>
    <w:rsid w:val="000952B8"/>
    <w:rPr>
      <w:b/>
      <w:bCs/>
      <w:sz w:val="20"/>
      <w:szCs w:val="20"/>
    </w:rPr>
  </w:style>
  <w:style w:type="paragraph" w:customStyle="1" w:styleId="Ttulodelatabla">
    <w:name w:val="Título de la tabla"/>
    <w:basedOn w:val="Contenidodelatabla"/>
    <w:uiPriority w:val="99"/>
    <w:qFormat/>
    <w:rsid w:val="000952B8"/>
    <w:pPr>
      <w:suppressAutoHyphens w:val="0"/>
      <w:spacing w:line="259" w:lineRule="auto"/>
      <w:jc w:val="center"/>
    </w:pPr>
    <w:rPr>
      <w:b/>
      <w:bCs/>
      <w:lang w:eastAsia="en-US"/>
    </w:rPr>
  </w:style>
  <w:style w:type="character" w:styleId="Hipervnculovisitado">
    <w:name w:val="FollowedHyperlink"/>
    <w:basedOn w:val="Fuentedeprrafopredeter"/>
    <w:uiPriority w:val="99"/>
    <w:semiHidden/>
    <w:unhideWhenUsed/>
    <w:qFormat/>
    <w:rsid w:val="000952B8"/>
    <w:rPr>
      <w:color w:val="9D2235" w:themeColor="followedHyperlink"/>
      <w:u w:val="single"/>
    </w:rPr>
  </w:style>
  <w:style w:type="paragraph" w:customStyle="1" w:styleId="Standarduser">
    <w:name w:val="Standard (user)"/>
    <w:uiPriority w:val="99"/>
    <w:qFormat/>
    <w:rsid w:val="002D0FF9"/>
    <w:pPr>
      <w:widowControl w:val="0"/>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paragraph" w:customStyle="1" w:styleId="TableContents">
    <w:name w:val="Table Contents"/>
    <w:basedOn w:val="Standard"/>
    <w:uiPriority w:val="99"/>
    <w:qFormat/>
    <w:rsid w:val="00076BFE"/>
    <w:pPr>
      <w:suppressLineNumbers/>
      <w:autoSpaceDN w:val="0"/>
    </w:pPr>
    <w:rPr>
      <w:rFonts w:eastAsia="Droid Sans Fallback" w:cs="FreeSans"/>
      <w:kern w:val="3"/>
    </w:rPr>
  </w:style>
  <w:style w:type="numbering" w:customStyle="1" w:styleId="Sinlista4">
    <w:name w:val="Sin lista4"/>
    <w:next w:val="Sinlista"/>
    <w:uiPriority w:val="99"/>
    <w:semiHidden/>
    <w:unhideWhenUsed/>
    <w:rsid w:val="00D572EA"/>
  </w:style>
  <w:style w:type="paragraph" w:customStyle="1" w:styleId="Heading">
    <w:name w:val="Heading"/>
    <w:basedOn w:val="Standard"/>
    <w:next w:val="Textbody"/>
    <w:uiPriority w:val="99"/>
    <w:qFormat/>
    <w:rsid w:val="00D572EA"/>
    <w:pPr>
      <w:keepNext/>
      <w:autoSpaceDN w:val="0"/>
      <w:spacing w:before="240" w:after="120"/>
    </w:pPr>
    <w:rPr>
      <w:rFonts w:ascii="Liberation Sans" w:eastAsia="Microsoft YaHei" w:hAnsi="Liberation Sans" w:cs="Lucida Sans"/>
      <w:kern w:val="3"/>
      <w:sz w:val="28"/>
      <w:szCs w:val="28"/>
    </w:rPr>
  </w:style>
  <w:style w:type="paragraph" w:customStyle="1" w:styleId="Index">
    <w:name w:val="Index"/>
    <w:basedOn w:val="Standard"/>
    <w:uiPriority w:val="99"/>
    <w:qFormat/>
    <w:rsid w:val="00D572EA"/>
    <w:pPr>
      <w:suppressLineNumbers/>
      <w:autoSpaceDN w:val="0"/>
    </w:pPr>
    <w:rPr>
      <w:rFonts w:eastAsia="Droid Sans Fallback" w:cs="Lucida Sans"/>
      <w:kern w:val="3"/>
    </w:rPr>
  </w:style>
  <w:style w:type="paragraph" w:customStyle="1" w:styleId="LO-Normal">
    <w:name w:val="LO-Normal"/>
    <w:uiPriority w:val="99"/>
    <w:qFormat/>
    <w:rsid w:val="00D572EA"/>
    <w:pPr>
      <w:widowControl w:val="0"/>
      <w:suppressAutoHyphens/>
      <w:autoSpaceDN w:val="0"/>
      <w:spacing w:after="0" w:line="240" w:lineRule="auto"/>
      <w:textAlignment w:val="baseline"/>
    </w:pPr>
    <w:rPr>
      <w:rFonts w:ascii="Liberation Serif" w:eastAsia="Droid Sans Fallback" w:hAnsi="Liberation Serif" w:cs="FreeSans"/>
      <w:kern w:val="3"/>
      <w:sz w:val="24"/>
      <w:szCs w:val="24"/>
      <w:lang w:eastAsia="zh-CN" w:bidi="hi-IN"/>
    </w:rPr>
  </w:style>
  <w:style w:type="paragraph" w:customStyle="1" w:styleId="Encabezado1">
    <w:name w:val="Encabezado1"/>
    <w:basedOn w:val="Standard"/>
    <w:uiPriority w:val="99"/>
    <w:qFormat/>
    <w:rsid w:val="00D572EA"/>
    <w:pPr>
      <w:suppressLineNumbers/>
      <w:tabs>
        <w:tab w:val="center" w:pos="4819"/>
        <w:tab w:val="right" w:pos="9638"/>
      </w:tabs>
      <w:autoSpaceDN w:val="0"/>
    </w:pPr>
    <w:rPr>
      <w:rFonts w:eastAsia="Droid Sans Fallback" w:cs="FreeSans"/>
      <w:kern w:val="3"/>
    </w:rPr>
  </w:style>
  <w:style w:type="paragraph" w:customStyle="1" w:styleId="Footnote">
    <w:name w:val="Footnote"/>
    <w:basedOn w:val="Standard"/>
    <w:uiPriority w:val="99"/>
    <w:qFormat/>
    <w:rsid w:val="00D572EA"/>
    <w:pPr>
      <w:suppressLineNumbers/>
      <w:autoSpaceDN w:val="0"/>
      <w:ind w:left="339" w:hanging="339"/>
    </w:pPr>
    <w:rPr>
      <w:rFonts w:eastAsia="Droid Sans Fallback" w:cs="FreeSans"/>
      <w:kern w:val="3"/>
      <w:sz w:val="20"/>
      <w:szCs w:val="20"/>
    </w:rPr>
  </w:style>
  <w:style w:type="paragraph" w:customStyle="1" w:styleId="TableHeading">
    <w:name w:val="Table Heading"/>
    <w:basedOn w:val="TableContents"/>
    <w:uiPriority w:val="99"/>
    <w:qFormat/>
    <w:rsid w:val="00D572EA"/>
    <w:pPr>
      <w:jc w:val="center"/>
    </w:pPr>
    <w:rPr>
      <w:b/>
      <w:bCs/>
    </w:rPr>
  </w:style>
  <w:style w:type="character" w:customStyle="1" w:styleId="Internetlink">
    <w:name w:val="Internet link"/>
    <w:qFormat/>
    <w:rsid w:val="00D572EA"/>
    <w:rPr>
      <w:color w:val="000080"/>
      <w:u w:val="single"/>
    </w:rPr>
  </w:style>
  <w:style w:type="character" w:customStyle="1" w:styleId="FootnoteSymbol">
    <w:name w:val="Footnote Symbol"/>
    <w:rsid w:val="00D572EA"/>
  </w:style>
  <w:style w:type="character" w:customStyle="1" w:styleId="Footnoteanchor">
    <w:name w:val="Footnote anchor"/>
    <w:rsid w:val="00D572EA"/>
    <w:rPr>
      <w:position w:val="0"/>
      <w:vertAlign w:val="superscript"/>
    </w:rPr>
  </w:style>
  <w:style w:type="character" w:customStyle="1" w:styleId="BulletSymbols">
    <w:name w:val="Bullet Symbols"/>
    <w:rsid w:val="00D572EA"/>
    <w:rPr>
      <w:rFonts w:ascii="OpenSymbol" w:eastAsia="OpenSymbol" w:hAnsi="OpenSymbol" w:cs="OpenSymbol"/>
    </w:rPr>
  </w:style>
  <w:style w:type="numbering" w:customStyle="1" w:styleId="Sinlista11">
    <w:name w:val="Sin lista11"/>
    <w:basedOn w:val="Sinlista"/>
    <w:rsid w:val="00D572EA"/>
    <w:pPr>
      <w:numPr>
        <w:numId w:val="1"/>
      </w:numPr>
    </w:pPr>
  </w:style>
  <w:style w:type="numbering" w:customStyle="1" w:styleId="WWNum1">
    <w:name w:val="WWNum1"/>
    <w:basedOn w:val="Sinlista"/>
    <w:rsid w:val="00D572EA"/>
    <w:pPr>
      <w:numPr>
        <w:numId w:val="2"/>
      </w:numPr>
    </w:pPr>
  </w:style>
  <w:style w:type="numbering" w:customStyle="1" w:styleId="WWNum2">
    <w:name w:val="WWNum2"/>
    <w:basedOn w:val="Sinlista"/>
    <w:rsid w:val="00D572EA"/>
    <w:pPr>
      <w:numPr>
        <w:numId w:val="3"/>
      </w:numPr>
    </w:pPr>
  </w:style>
  <w:style w:type="numbering" w:customStyle="1" w:styleId="WWNum3">
    <w:name w:val="WWNum3"/>
    <w:basedOn w:val="Sinlista"/>
    <w:rsid w:val="00D572EA"/>
    <w:pPr>
      <w:numPr>
        <w:numId w:val="4"/>
      </w:numPr>
    </w:pPr>
  </w:style>
  <w:style w:type="numbering" w:customStyle="1" w:styleId="WWNum4">
    <w:name w:val="WWNum4"/>
    <w:basedOn w:val="Sinlista"/>
    <w:rsid w:val="00D572EA"/>
    <w:pPr>
      <w:numPr>
        <w:numId w:val="5"/>
      </w:numPr>
    </w:pPr>
  </w:style>
  <w:style w:type="numbering" w:customStyle="1" w:styleId="WWNum5">
    <w:name w:val="WWNum5"/>
    <w:basedOn w:val="Sinlista"/>
    <w:rsid w:val="00D572EA"/>
    <w:pPr>
      <w:numPr>
        <w:numId w:val="6"/>
      </w:numPr>
    </w:pPr>
  </w:style>
  <w:style w:type="character" w:styleId="Refdenotaalpie">
    <w:name w:val="footnote reference"/>
    <w:basedOn w:val="Fuentedeprrafopredeter"/>
    <w:uiPriority w:val="99"/>
    <w:semiHidden/>
    <w:unhideWhenUsed/>
    <w:rsid w:val="00D572EA"/>
    <w:rPr>
      <w:vertAlign w:val="superscript"/>
    </w:rPr>
  </w:style>
  <w:style w:type="numbering" w:customStyle="1" w:styleId="Sinlista5">
    <w:name w:val="Sin lista5"/>
    <w:next w:val="Sinlista"/>
    <w:uiPriority w:val="99"/>
    <w:semiHidden/>
    <w:unhideWhenUsed/>
    <w:rsid w:val="00BB4994"/>
  </w:style>
  <w:style w:type="paragraph" w:styleId="Revisin">
    <w:name w:val="Revision"/>
    <w:uiPriority w:val="99"/>
    <w:semiHidden/>
    <w:qFormat/>
    <w:rsid w:val="00BB4994"/>
    <w:pPr>
      <w:autoSpaceDN w:val="0"/>
      <w:spacing w:after="0" w:line="240" w:lineRule="auto"/>
    </w:pPr>
    <w:rPr>
      <w:rFonts w:ascii="Calibri" w:eastAsia="Calibri" w:hAnsi="Calibri" w:cs="Tahoma"/>
    </w:rPr>
  </w:style>
  <w:style w:type="character" w:customStyle="1" w:styleId="VietaAVAFCar">
    <w:name w:val="Viñeta AVAF Car"/>
    <w:basedOn w:val="Fuentedeprrafopredeter"/>
    <w:link w:val="VietaAVAF"/>
    <w:locked/>
    <w:rsid w:val="00BB4994"/>
    <w:rPr>
      <w:rFonts w:ascii="Arial" w:hAnsi="Arial" w:cs="Arial"/>
      <w:sz w:val="21"/>
    </w:rPr>
  </w:style>
  <w:style w:type="paragraph" w:customStyle="1" w:styleId="VietaAVAF">
    <w:name w:val="Viñeta AVAF"/>
    <w:basedOn w:val="Normal"/>
    <w:link w:val="VietaAVAFCar"/>
    <w:qFormat/>
    <w:rsid w:val="00BB4994"/>
    <w:pPr>
      <w:widowControl w:val="0"/>
      <w:numPr>
        <w:numId w:val="7"/>
      </w:numPr>
      <w:suppressAutoHyphens/>
      <w:autoSpaceDN w:val="0"/>
      <w:spacing w:after="240" w:line="276" w:lineRule="auto"/>
      <w:jc w:val="both"/>
    </w:pPr>
    <w:rPr>
      <w:rFonts w:ascii="Arial" w:hAnsi="Arial" w:cs="Arial"/>
      <w:sz w:val="21"/>
    </w:rPr>
  </w:style>
  <w:style w:type="paragraph" w:customStyle="1" w:styleId="Textoindependiente1">
    <w:name w:val="Texto independiente1"/>
    <w:basedOn w:val="Normal"/>
    <w:next w:val="Textoindependiente"/>
    <w:uiPriority w:val="99"/>
    <w:qFormat/>
    <w:rsid w:val="00BB4994"/>
    <w:pPr>
      <w:suppressAutoHyphens/>
      <w:spacing w:after="140" w:line="276" w:lineRule="auto"/>
    </w:pPr>
    <w:rPr>
      <w:rFonts w:ascii="Arial" w:eastAsia="Calibri" w:hAnsi="Arial" w:cs="Tahoma"/>
      <w:sz w:val="21"/>
    </w:rPr>
  </w:style>
  <w:style w:type="paragraph" w:customStyle="1" w:styleId="Cabeceraypie">
    <w:name w:val="Cabecera y pie"/>
    <w:basedOn w:val="Normal"/>
    <w:uiPriority w:val="99"/>
    <w:qFormat/>
    <w:rsid w:val="00BB4994"/>
    <w:pPr>
      <w:suppressAutoHyphens/>
      <w:spacing w:line="256" w:lineRule="auto"/>
    </w:pPr>
    <w:rPr>
      <w:rFonts w:ascii="Calibri" w:eastAsia="Calibri" w:hAnsi="Calibri" w:cs="Calibri"/>
    </w:rPr>
  </w:style>
  <w:style w:type="paragraph" w:customStyle="1" w:styleId="Piedepgina1">
    <w:name w:val="Pie de página1"/>
    <w:basedOn w:val="Normal"/>
    <w:next w:val="Piedepgina"/>
    <w:uiPriority w:val="99"/>
    <w:qFormat/>
    <w:rsid w:val="00BB4994"/>
    <w:pPr>
      <w:tabs>
        <w:tab w:val="center" w:pos="4252"/>
        <w:tab w:val="right" w:pos="8504"/>
      </w:tabs>
      <w:suppressAutoHyphens/>
      <w:spacing w:after="0" w:line="240" w:lineRule="auto"/>
    </w:pPr>
    <w:rPr>
      <w:rFonts w:ascii="Calibri" w:eastAsia="Calibri" w:hAnsi="Calibri" w:cs="Calibri"/>
    </w:rPr>
  </w:style>
  <w:style w:type="character" w:customStyle="1" w:styleId="TITULOMEMORIACar">
    <w:name w:val="TITULO MEMORIA Car"/>
    <w:basedOn w:val="Ttulo1Car"/>
    <w:link w:val="TITULOMEMORIA"/>
    <w:locked/>
    <w:rsid w:val="00BB4994"/>
    <w:rPr>
      <w:rFonts w:ascii="Arial" w:eastAsia="Times New Roman" w:hAnsi="Arial" w:cs="Times New Roman"/>
      <w:color w:val="9D2235"/>
      <w:sz w:val="32"/>
      <w:szCs w:val="32"/>
    </w:rPr>
  </w:style>
  <w:style w:type="paragraph" w:customStyle="1" w:styleId="TITULOMEMORIA">
    <w:name w:val="TITULO MEMORIA"/>
    <w:basedOn w:val="Ttulo1"/>
    <w:link w:val="TITULOMEMORIACar"/>
    <w:qFormat/>
    <w:rsid w:val="00BB4994"/>
    <w:pPr>
      <w:widowControl w:val="0"/>
      <w:numPr>
        <w:ilvl w:val="1"/>
      </w:numPr>
      <w:suppressAutoHyphens/>
      <w:autoSpaceDN w:val="0"/>
      <w:spacing w:before="360" w:after="240" w:line="276" w:lineRule="auto"/>
      <w:ind w:left="357" w:hanging="357"/>
      <w:jc w:val="both"/>
    </w:pPr>
    <w:rPr>
      <w:rFonts w:ascii="Arial" w:eastAsia="Times New Roman" w:hAnsi="Arial" w:cs="Times New Roman"/>
      <w:color w:val="9D2235"/>
      <w:sz w:val="32"/>
      <w:szCs w:val="32"/>
    </w:rPr>
  </w:style>
  <w:style w:type="character" w:customStyle="1" w:styleId="Titulo5Car">
    <w:name w:val="Titulo 5 Car"/>
    <w:basedOn w:val="Ttulo4Car"/>
    <w:link w:val="Titulo5"/>
    <w:locked/>
    <w:rsid w:val="00BB4994"/>
    <w:rPr>
      <w:rFonts w:ascii="Arial" w:eastAsia="Open Sans" w:hAnsi="Arial" w:cs="Times New Roman"/>
      <w:i/>
      <w:iCs/>
      <w:color w:val="751927" w:themeColor="accent1" w:themeShade="BF"/>
      <w:sz w:val="21"/>
      <w:szCs w:val="24"/>
      <w:lang w:eastAsia="zh-CN" w:bidi="hi-IN"/>
    </w:rPr>
  </w:style>
  <w:style w:type="paragraph" w:customStyle="1" w:styleId="Titulo5">
    <w:name w:val="Titulo 5"/>
    <w:basedOn w:val="Ttulo4"/>
    <w:link w:val="Titulo5Car"/>
    <w:qFormat/>
    <w:rsid w:val="00BB4994"/>
    <w:pPr>
      <w:widowControl w:val="0"/>
      <w:suppressAutoHyphens/>
      <w:autoSpaceDN w:val="0"/>
      <w:spacing w:after="120" w:line="276" w:lineRule="auto"/>
      <w:jc w:val="both"/>
    </w:pPr>
    <w:rPr>
      <w:rFonts w:ascii="Arial" w:eastAsia="Open Sans" w:hAnsi="Arial" w:cs="Times New Roman"/>
      <w:i/>
      <w:iCs/>
      <w:color w:val="auto"/>
      <w:sz w:val="21"/>
      <w:szCs w:val="22"/>
      <w:lang w:eastAsia="zh-CN" w:bidi="hi-IN"/>
    </w:rPr>
  </w:style>
  <w:style w:type="character" w:customStyle="1" w:styleId="email">
    <w:name w:val="email"/>
    <w:basedOn w:val="Fuentedeprrafopredeter"/>
    <w:qFormat/>
    <w:rsid w:val="00BB4994"/>
  </w:style>
  <w:style w:type="character" w:customStyle="1" w:styleId="eml">
    <w:name w:val="eml"/>
    <w:basedOn w:val="Fuentedeprrafopredeter"/>
    <w:qFormat/>
    <w:rsid w:val="00BB4994"/>
  </w:style>
  <w:style w:type="character" w:customStyle="1" w:styleId="EncabezadoCar1">
    <w:name w:val="Encabezado Car1"/>
    <w:basedOn w:val="Fuentedeprrafopredeter"/>
    <w:uiPriority w:val="99"/>
    <w:semiHidden/>
    <w:rsid w:val="00BB4994"/>
  </w:style>
  <w:style w:type="character" w:customStyle="1" w:styleId="PiedepginaCar1">
    <w:name w:val="Pie de página Car1"/>
    <w:basedOn w:val="Fuentedeprrafopredeter"/>
    <w:uiPriority w:val="99"/>
    <w:semiHidden/>
    <w:rsid w:val="00BB4994"/>
  </w:style>
  <w:style w:type="character" w:customStyle="1" w:styleId="EncabezadoCar2">
    <w:name w:val="Encabezado Car2"/>
    <w:basedOn w:val="Fuentedeprrafopredeter"/>
    <w:uiPriority w:val="99"/>
    <w:semiHidden/>
    <w:rsid w:val="00BB4994"/>
    <w:rPr>
      <w:rFonts w:ascii="Arial" w:hAnsi="Arial" w:cs="Arial" w:hint="default"/>
      <w:sz w:val="21"/>
    </w:rPr>
  </w:style>
  <w:style w:type="character" w:customStyle="1" w:styleId="PiedepginaCar2">
    <w:name w:val="Pie de página Car2"/>
    <w:basedOn w:val="Fuentedeprrafopredeter"/>
    <w:uiPriority w:val="99"/>
    <w:semiHidden/>
    <w:rsid w:val="00BB4994"/>
    <w:rPr>
      <w:rFonts w:ascii="Arial" w:hAnsi="Arial" w:cs="Arial" w:hint="default"/>
      <w:sz w:val="21"/>
    </w:rPr>
  </w:style>
  <w:style w:type="character" w:customStyle="1" w:styleId="TextoindependienteCar1">
    <w:name w:val="Texto independiente Car1"/>
    <w:basedOn w:val="Fuentedeprrafopredeter"/>
    <w:uiPriority w:val="99"/>
    <w:semiHidden/>
    <w:locked/>
    <w:rsid w:val="00BB4994"/>
    <w:rPr>
      <w:rFonts w:ascii="Arial" w:eastAsia="Calibri" w:hAnsi="Arial" w:cs="Tahoma"/>
      <w:sz w:val="21"/>
    </w:rPr>
  </w:style>
  <w:style w:type="table" w:customStyle="1" w:styleId="Tablaconcuadrcula3">
    <w:name w:val="Tabla con cuadrícula3"/>
    <w:basedOn w:val="Tablanormal"/>
    <w:next w:val="Tablaconcuadrcula"/>
    <w:uiPriority w:val="39"/>
    <w:rsid w:val="00BB4994"/>
    <w:pPr>
      <w:widowControl w:val="0"/>
      <w:autoSpaceDN w:val="0"/>
      <w:spacing w:after="0" w:line="240" w:lineRule="auto"/>
    </w:pPr>
    <w:rPr>
      <w:rFonts w:ascii="Calibri" w:eastAsia="Calibri" w:hAnsi="Calibri" w:cs="Tahom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uiPriority w:val="39"/>
    <w:rsid w:val="00BB4994"/>
    <w:pPr>
      <w:suppressAutoHyphens/>
      <w:spacing w:after="0" w:line="240" w:lineRule="auto"/>
    </w:pPr>
    <w:rPr>
      <w:rFonts w:ascii="Calibri" w:eastAsia="Calibri" w:hAnsi="Calibri" w:cs="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21">
    <w:name w:val="WWNum21"/>
    <w:rsid w:val="00BB4994"/>
    <w:pPr>
      <w:numPr>
        <w:numId w:val="8"/>
      </w:numPr>
    </w:pPr>
  </w:style>
  <w:style w:type="numbering" w:customStyle="1" w:styleId="WWNum51">
    <w:name w:val="WWNum51"/>
    <w:rsid w:val="00BB4994"/>
    <w:pPr>
      <w:numPr>
        <w:numId w:val="9"/>
      </w:numPr>
    </w:pPr>
  </w:style>
  <w:style w:type="numbering" w:customStyle="1" w:styleId="WWNum31">
    <w:name w:val="WWNum31"/>
    <w:rsid w:val="00BB4994"/>
    <w:pPr>
      <w:numPr>
        <w:numId w:val="10"/>
      </w:numPr>
    </w:pPr>
  </w:style>
  <w:style w:type="numbering" w:customStyle="1" w:styleId="Sinlista12">
    <w:name w:val="Sin lista12"/>
    <w:rsid w:val="00BB4994"/>
    <w:pPr>
      <w:numPr>
        <w:numId w:val="11"/>
      </w:numPr>
    </w:pPr>
  </w:style>
  <w:style w:type="numbering" w:customStyle="1" w:styleId="WWNum41">
    <w:name w:val="WWNum41"/>
    <w:rsid w:val="00BB4994"/>
    <w:pPr>
      <w:numPr>
        <w:numId w:val="12"/>
      </w:numPr>
    </w:pPr>
  </w:style>
  <w:style w:type="numbering" w:customStyle="1" w:styleId="WWNum11">
    <w:name w:val="WWNum11"/>
    <w:rsid w:val="00BB4994"/>
    <w:pPr>
      <w:numPr>
        <w:numId w:val="13"/>
      </w:numPr>
    </w:pPr>
  </w:style>
  <w:style w:type="numbering" w:customStyle="1" w:styleId="Sinlista6">
    <w:name w:val="Sin lista6"/>
    <w:next w:val="Sinlista"/>
    <w:uiPriority w:val="99"/>
    <w:semiHidden/>
    <w:unhideWhenUsed/>
    <w:rsid w:val="005F230F"/>
  </w:style>
  <w:style w:type="paragraph" w:styleId="ndice1">
    <w:name w:val="index 1"/>
    <w:basedOn w:val="Normal"/>
    <w:next w:val="Normal"/>
    <w:autoRedefine/>
    <w:uiPriority w:val="99"/>
    <w:unhideWhenUsed/>
    <w:qFormat/>
    <w:rsid w:val="005F230F"/>
    <w:pPr>
      <w:spacing w:after="0" w:line="276" w:lineRule="auto"/>
      <w:ind w:left="220" w:hanging="220"/>
      <w:jc w:val="both"/>
    </w:pPr>
    <w:rPr>
      <w:rFonts w:ascii="Arial" w:eastAsia="Calibri" w:hAnsi="Arial" w:cs="Calibri"/>
      <w:sz w:val="20"/>
      <w:szCs w:val="18"/>
    </w:rPr>
  </w:style>
  <w:style w:type="paragraph" w:styleId="ndice2">
    <w:name w:val="index 2"/>
    <w:basedOn w:val="Normal"/>
    <w:next w:val="Normal"/>
    <w:autoRedefine/>
    <w:uiPriority w:val="99"/>
    <w:unhideWhenUsed/>
    <w:qFormat/>
    <w:rsid w:val="005F230F"/>
    <w:pPr>
      <w:spacing w:after="0" w:line="276" w:lineRule="auto"/>
      <w:ind w:left="440" w:hanging="220"/>
      <w:jc w:val="both"/>
    </w:pPr>
    <w:rPr>
      <w:rFonts w:ascii="Calibri" w:eastAsia="Calibri" w:hAnsi="Calibri" w:cs="Calibri"/>
      <w:sz w:val="18"/>
      <w:szCs w:val="18"/>
    </w:rPr>
  </w:style>
  <w:style w:type="paragraph" w:styleId="ndice3">
    <w:name w:val="index 3"/>
    <w:basedOn w:val="Normal"/>
    <w:next w:val="Normal"/>
    <w:autoRedefine/>
    <w:uiPriority w:val="99"/>
    <w:unhideWhenUsed/>
    <w:qFormat/>
    <w:rsid w:val="005F230F"/>
    <w:pPr>
      <w:spacing w:after="0" w:line="276" w:lineRule="auto"/>
      <w:ind w:left="660" w:hanging="220"/>
      <w:jc w:val="both"/>
    </w:pPr>
    <w:rPr>
      <w:rFonts w:ascii="Calibri" w:eastAsia="Calibri" w:hAnsi="Calibri" w:cs="Calibri"/>
      <w:sz w:val="18"/>
      <w:szCs w:val="18"/>
    </w:rPr>
  </w:style>
  <w:style w:type="paragraph" w:styleId="ndice4">
    <w:name w:val="index 4"/>
    <w:basedOn w:val="Normal"/>
    <w:next w:val="Normal"/>
    <w:autoRedefine/>
    <w:uiPriority w:val="99"/>
    <w:unhideWhenUsed/>
    <w:qFormat/>
    <w:rsid w:val="005F230F"/>
    <w:pPr>
      <w:spacing w:after="0" w:line="276" w:lineRule="auto"/>
      <w:ind w:left="880" w:hanging="220"/>
      <w:jc w:val="both"/>
    </w:pPr>
    <w:rPr>
      <w:rFonts w:ascii="Calibri" w:eastAsia="Calibri" w:hAnsi="Calibri" w:cs="Calibri"/>
      <w:sz w:val="18"/>
      <w:szCs w:val="18"/>
    </w:rPr>
  </w:style>
  <w:style w:type="paragraph" w:styleId="ndice5">
    <w:name w:val="index 5"/>
    <w:basedOn w:val="Normal"/>
    <w:next w:val="Normal"/>
    <w:autoRedefine/>
    <w:uiPriority w:val="99"/>
    <w:unhideWhenUsed/>
    <w:qFormat/>
    <w:rsid w:val="005F230F"/>
    <w:pPr>
      <w:spacing w:after="0" w:line="276" w:lineRule="auto"/>
      <w:ind w:left="1100" w:hanging="220"/>
      <w:jc w:val="both"/>
    </w:pPr>
    <w:rPr>
      <w:rFonts w:ascii="Calibri" w:eastAsia="Calibri" w:hAnsi="Calibri" w:cs="Calibri"/>
      <w:sz w:val="18"/>
      <w:szCs w:val="18"/>
    </w:rPr>
  </w:style>
  <w:style w:type="paragraph" w:styleId="ndice6">
    <w:name w:val="index 6"/>
    <w:basedOn w:val="Normal"/>
    <w:next w:val="Normal"/>
    <w:autoRedefine/>
    <w:uiPriority w:val="99"/>
    <w:unhideWhenUsed/>
    <w:qFormat/>
    <w:rsid w:val="005F230F"/>
    <w:pPr>
      <w:spacing w:after="0" w:line="276" w:lineRule="auto"/>
      <w:ind w:left="1320" w:hanging="220"/>
      <w:jc w:val="both"/>
    </w:pPr>
    <w:rPr>
      <w:rFonts w:ascii="Calibri" w:eastAsia="Calibri" w:hAnsi="Calibri" w:cs="Calibri"/>
      <w:sz w:val="18"/>
      <w:szCs w:val="18"/>
    </w:rPr>
  </w:style>
  <w:style w:type="paragraph" w:styleId="ndice7">
    <w:name w:val="index 7"/>
    <w:basedOn w:val="Normal"/>
    <w:next w:val="Normal"/>
    <w:autoRedefine/>
    <w:uiPriority w:val="99"/>
    <w:unhideWhenUsed/>
    <w:qFormat/>
    <w:rsid w:val="005F230F"/>
    <w:pPr>
      <w:spacing w:after="0" w:line="276" w:lineRule="auto"/>
      <w:ind w:left="1540" w:hanging="220"/>
      <w:jc w:val="both"/>
    </w:pPr>
    <w:rPr>
      <w:rFonts w:ascii="Calibri" w:eastAsia="Calibri" w:hAnsi="Calibri" w:cs="Calibri"/>
      <w:sz w:val="18"/>
      <w:szCs w:val="18"/>
    </w:rPr>
  </w:style>
  <w:style w:type="paragraph" w:styleId="ndice8">
    <w:name w:val="index 8"/>
    <w:basedOn w:val="Normal"/>
    <w:next w:val="Normal"/>
    <w:autoRedefine/>
    <w:uiPriority w:val="99"/>
    <w:unhideWhenUsed/>
    <w:qFormat/>
    <w:rsid w:val="005F230F"/>
    <w:pPr>
      <w:spacing w:after="0" w:line="276" w:lineRule="auto"/>
      <w:ind w:left="1760" w:hanging="220"/>
      <w:jc w:val="both"/>
    </w:pPr>
    <w:rPr>
      <w:rFonts w:ascii="Calibri" w:eastAsia="Calibri" w:hAnsi="Calibri" w:cs="Calibri"/>
      <w:sz w:val="18"/>
      <w:szCs w:val="18"/>
    </w:rPr>
  </w:style>
  <w:style w:type="paragraph" w:styleId="ndice9">
    <w:name w:val="index 9"/>
    <w:basedOn w:val="Normal"/>
    <w:next w:val="Normal"/>
    <w:autoRedefine/>
    <w:uiPriority w:val="99"/>
    <w:unhideWhenUsed/>
    <w:qFormat/>
    <w:rsid w:val="005F230F"/>
    <w:pPr>
      <w:spacing w:after="0" w:line="276" w:lineRule="auto"/>
      <w:ind w:left="1980" w:hanging="220"/>
      <w:jc w:val="both"/>
    </w:pPr>
    <w:rPr>
      <w:rFonts w:ascii="Calibri" w:eastAsia="Calibri" w:hAnsi="Calibri" w:cs="Calibri"/>
      <w:sz w:val="18"/>
      <w:szCs w:val="18"/>
    </w:rPr>
  </w:style>
  <w:style w:type="paragraph" w:styleId="TDC1">
    <w:name w:val="toc 1"/>
    <w:basedOn w:val="Normal"/>
    <w:next w:val="Normal"/>
    <w:autoRedefine/>
    <w:uiPriority w:val="39"/>
    <w:unhideWhenUsed/>
    <w:qFormat/>
    <w:rsid w:val="00AA198E"/>
    <w:pPr>
      <w:tabs>
        <w:tab w:val="left" w:pos="284"/>
        <w:tab w:val="left" w:pos="851"/>
        <w:tab w:val="right" w:leader="dot" w:pos="8212"/>
      </w:tabs>
      <w:spacing w:before="120" w:after="120"/>
      <w:ind w:left="851" w:right="282" w:hanging="851"/>
      <w:jc w:val="both"/>
    </w:pPr>
    <w:rPr>
      <w:rFonts w:ascii="Arial" w:eastAsiaTheme="majorEastAsia" w:hAnsi="Arial" w:cs="Arial"/>
      <w:b/>
      <w:bCs/>
      <w:noProof/>
      <w:kern w:val="2"/>
      <w:sz w:val="20"/>
      <w:szCs w:val="20"/>
      <w:lang w:eastAsia="es-ES" w:bidi="hi-IN"/>
    </w:rPr>
  </w:style>
  <w:style w:type="paragraph" w:styleId="TDC2">
    <w:name w:val="toc 2"/>
    <w:basedOn w:val="Normal"/>
    <w:next w:val="Normal"/>
    <w:autoRedefine/>
    <w:uiPriority w:val="39"/>
    <w:unhideWhenUsed/>
    <w:qFormat/>
    <w:rsid w:val="00CB36A3"/>
    <w:pPr>
      <w:tabs>
        <w:tab w:val="left" w:pos="880"/>
        <w:tab w:val="right" w:leader="dot" w:pos="8212"/>
      </w:tabs>
      <w:spacing w:after="0" w:line="276" w:lineRule="auto"/>
      <w:ind w:left="851" w:right="282" w:hanging="631"/>
      <w:jc w:val="both"/>
    </w:pPr>
    <w:rPr>
      <w:rFonts w:ascii="Arial" w:eastAsia="Times New Roman" w:hAnsi="Arial" w:cs="Arial"/>
      <w:noProof/>
      <w:kern w:val="2"/>
      <w:sz w:val="20"/>
      <w:lang w:eastAsia="es-ES" w:bidi="hi-IN"/>
    </w:rPr>
  </w:style>
  <w:style w:type="paragraph" w:styleId="TDC3">
    <w:name w:val="toc 3"/>
    <w:basedOn w:val="Normal"/>
    <w:next w:val="Normal"/>
    <w:autoRedefine/>
    <w:uiPriority w:val="39"/>
    <w:unhideWhenUsed/>
    <w:qFormat/>
    <w:rsid w:val="00CB36A3"/>
    <w:pPr>
      <w:tabs>
        <w:tab w:val="left" w:pos="1276"/>
        <w:tab w:val="right" w:leader="dot" w:pos="8212"/>
      </w:tabs>
      <w:spacing w:after="0"/>
      <w:ind w:left="1276" w:right="282" w:hanging="836"/>
      <w:jc w:val="both"/>
    </w:pPr>
    <w:rPr>
      <w:iCs/>
      <w:sz w:val="20"/>
      <w:szCs w:val="20"/>
    </w:rPr>
  </w:style>
  <w:style w:type="paragraph" w:styleId="Ttulodendice">
    <w:name w:val="index heading"/>
    <w:basedOn w:val="Normal"/>
    <w:next w:val="ndice1"/>
    <w:uiPriority w:val="99"/>
    <w:unhideWhenUsed/>
    <w:qFormat/>
    <w:rsid w:val="005F230F"/>
    <w:pPr>
      <w:pBdr>
        <w:top w:val="single" w:sz="12" w:space="0" w:color="000000"/>
      </w:pBdr>
      <w:spacing w:before="360" w:after="240" w:line="276" w:lineRule="auto"/>
      <w:jc w:val="both"/>
    </w:pPr>
    <w:rPr>
      <w:rFonts w:ascii="Calibri" w:eastAsia="Calibri" w:hAnsi="Calibri" w:cs="Calibri"/>
      <w:b/>
      <w:bCs/>
      <w:i/>
      <w:iCs/>
      <w:sz w:val="26"/>
      <w:szCs w:val="26"/>
    </w:rPr>
  </w:style>
  <w:style w:type="paragraph" w:styleId="Tabladeilustraciones">
    <w:name w:val="table of figures"/>
    <w:basedOn w:val="Normal"/>
    <w:next w:val="Normal"/>
    <w:uiPriority w:val="99"/>
    <w:unhideWhenUsed/>
    <w:qFormat/>
    <w:rsid w:val="004E3698"/>
    <w:pPr>
      <w:spacing w:after="0" w:line="276" w:lineRule="auto"/>
    </w:pPr>
    <w:rPr>
      <w:rFonts w:ascii="Arial" w:eastAsia="Calibri" w:hAnsi="Arial" w:cs="Calibri"/>
      <w:bCs/>
      <w:sz w:val="20"/>
      <w:szCs w:val="20"/>
    </w:rPr>
  </w:style>
  <w:style w:type="character" w:customStyle="1" w:styleId="TtuloTDCCar">
    <w:name w:val="Título TDC Car"/>
    <w:basedOn w:val="Ttulo1Car"/>
    <w:link w:val="TtuloTDC"/>
    <w:uiPriority w:val="39"/>
    <w:qFormat/>
    <w:locked/>
    <w:rsid w:val="005F230F"/>
    <w:rPr>
      <w:rFonts w:asciiTheme="majorHAnsi" w:eastAsiaTheme="majorEastAsia" w:hAnsiTheme="majorHAnsi" w:cstheme="majorBidi"/>
      <w:color w:val="4E111A" w:themeColor="accent1" w:themeShade="80"/>
      <w:sz w:val="36"/>
      <w:szCs w:val="36"/>
    </w:rPr>
  </w:style>
  <w:style w:type="paragraph" w:customStyle="1" w:styleId="Estilo3">
    <w:name w:val="Estilo3"/>
    <w:basedOn w:val="Normal"/>
    <w:uiPriority w:val="99"/>
    <w:qFormat/>
    <w:rsid w:val="005F230F"/>
    <w:pPr>
      <w:spacing w:after="0" w:line="276" w:lineRule="auto"/>
      <w:jc w:val="both"/>
    </w:pPr>
    <w:rPr>
      <w:rFonts w:ascii="Open Sans" w:eastAsia="Times New Roman" w:hAnsi="Open Sans" w:cs="Open Sans"/>
      <w:b/>
      <w:bCs/>
      <w:smallCaps/>
      <w:color w:val="94070A"/>
      <w:sz w:val="24"/>
      <w:szCs w:val="24"/>
      <w:lang w:eastAsia="es-ES"/>
    </w:rPr>
  </w:style>
  <w:style w:type="paragraph" w:customStyle="1" w:styleId="Estilotitulo">
    <w:name w:val="Estilo_titulo"/>
    <w:basedOn w:val="Normal"/>
    <w:uiPriority w:val="99"/>
    <w:qFormat/>
    <w:rsid w:val="005F230F"/>
    <w:pPr>
      <w:spacing w:after="0" w:line="240" w:lineRule="auto"/>
      <w:jc w:val="both"/>
    </w:pPr>
    <w:rPr>
      <w:rFonts w:ascii="Open Sans" w:eastAsia="Times New Roman" w:hAnsi="Open Sans" w:cs="Open Sans"/>
      <w:b/>
      <w:bCs/>
      <w:smallCaps/>
      <w:color w:val="94070A"/>
      <w:spacing w:val="-14"/>
      <w:sz w:val="200"/>
      <w:szCs w:val="200"/>
      <w:lang w:eastAsia="es-ES"/>
    </w:rPr>
  </w:style>
  <w:style w:type="paragraph" w:customStyle="1" w:styleId="Estilo2">
    <w:name w:val="Estilo2"/>
    <w:basedOn w:val="Normal"/>
    <w:uiPriority w:val="99"/>
    <w:qFormat/>
    <w:rsid w:val="005F230F"/>
    <w:pPr>
      <w:spacing w:after="0" w:line="276" w:lineRule="auto"/>
      <w:jc w:val="both"/>
    </w:pPr>
    <w:rPr>
      <w:rFonts w:ascii="Open Sans" w:eastAsia="Times New Roman" w:hAnsi="Open Sans" w:cs="Open Sans"/>
      <w:b/>
      <w:bCs/>
      <w:smallCaps/>
      <w:color w:val="94070A"/>
      <w:sz w:val="28"/>
      <w:szCs w:val="28"/>
      <w:lang w:eastAsia="es-ES"/>
    </w:rPr>
  </w:style>
  <w:style w:type="paragraph" w:customStyle="1" w:styleId="Estilo4Lugaryfecha">
    <w:name w:val="Estilo4_Lugar_y_fecha"/>
    <w:basedOn w:val="Normal"/>
    <w:uiPriority w:val="99"/>
    <w:qFormat/>
    <w:rsid w:val="005F230F"/>
    <w:pPr>
      <w:spacing w:after="0" w:line="276" w:lineRule="auto"/>
      <w:jc w:val="both"/>
    </w:pPr>
    <w:rPr>
      <w:rFonts w:ascii="Open Sans" w:eastAsia="Times New Roman" w:hAnsi="Open Sans" w:cs="Open Sans"/>
      <w:b/>
      <w:color w:val="000000"/>
      <w:sz w:val="21"/>
      <w:szCs w:val="21"/>
      <w:lang w:eastAsia="es-ES"/>
    </w:rPr>
  </w:style>
  <w:style w:type="paragraph" w:customStyle="1" w:styleId="Texto">
    <w:name w:val="Texto"/>
    <w:basedOn w:val="Normal"/>
    <w:qFormat/>
    <w:rsid w:val="005F230F"/>
    <w:pPr>
      <w:spacing w:after="0" w:line="276" w:lineRule="auto"/>
      <w:jc w:val="both"/>
    </w:pPr>
    <w:rPr>
      <w:rFonts w:ascii="Open Sans" w:eastAsia="Times New Roman" w:hAnsi="Open Sans" w:cs="Open Sans"/>
      <w:sz w:val="21"/>
      <w:szCs w:val="21"/>
      <w:lang w:eastAsia="es-ES"/>
    </w:rPr>
  </w:style>
  <w:style w:type="character" w:customStyle="1" w:styleId="INDICESCar">
    <w:name w:val="INDICES Car"/>
    <w:basedOn w:val="TtuloTDCCar"/>
    <w:link w:val="INDICES"/>
    <w:qFormat/>
    <w:locked/>
    <w:rsid w:val="005F230F"/>
    <w:rPr>
      <w:rFonts w:ascii="Open Sans" w:eastAsiaTheme="majorEastAsia" w:hAnsi="Open Sans" w:cs="Open Sans"/>
      <w:smallCaps/>
      <w:color w:val="4E111A" w:themeColor="accent1" w:themeShade="80"/>
      <w:sz w:val="21"/>
      <w:szCs w:val="21"/>
    </w:rPr>
  </w:style>
  <w:style w:type="paragraph" w:customStyle="1" w:styleId="INDICES">
    <w:name w:val="INDICES"/>
    <w:basedOn w:val="Ttulo1"/>
    <w:link w:val="INDICESCar"/>
    <w:qFormat/>
    <w:rsid w:val="005F230F"/>
    <w:pPr>
      <w:keepNext w:val="0"/>
      <w:keepLines w:val="0"/>
      <w:spacing w:before="300" w:line="276" w:lineRule="auto"/>
    </w:pPr>
    <w:rPr>
      <w:rFonts w:ascii="Open Sans" w:hAnsi="Open Sans" w:cs="Open Sans"/>
      <w:smallCaps/>
      <w:sz w:val="21"/>
      <w:szCs w:val="21"/>
    </w:rPr>
  </w:style>
  <w:style w:type="paragraph" w:customStyle="1" w:styleId="text-base">
    <w:name w:val="text-base"/>
    <w:basedOn w:val="Normal"/>
    <w:uiPriority w:val="99"/>
    <w:qFormat/>
    <w:rsid w:val="005F230F"/>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charoverride-1">
    <w:name w:val="charoverride-1"/>
    <w:basedOn w:val="Fuentedeprrafopredeter"/>
    <w:qFormat/>
    <w:rsid w:val="005F230F"/>
  </w:style>
  <w:style w:type="character" w:customStyle="1" w:styleId="charoverride-5">
    <w:name w:val="charoverride-5"/>
    <w:basedOn w:val="Fuentedeprrafopredeter"/>
    <w:qFormat/>
    <w:rsid w:val="005F230F"/>
  </w:style>
  <w:style w:type="character" w:customStyle="1" w:styleId="Enlacedelndice">
    <w:name w:val="Enlace del índice"/>
    <w:qFormat/>
    <w:rsid w:val="005F230F"/>
  </w:style>
  <w:style w:type="character" w:customStyle="1" w:styleId="TtuloCar1">
    <w:name w:val="Título Car1"/>
    <w:basedOn w:val="Fuentedeprrafopredeter"/>
    <w:uiPriority w:val="10"/>
    <w:rsid w:val="005F230F"/>
    <w:rPr>
      <w:rFonts w:ascii="Calibri Light" w:eastAsia="Calibri Light" w:hAnsi="Calibri Light" w:cs="Calibri Light" w:hint="default"/>
      <w:spacing w:val="-10"/>
      <w:kern w:val="28"/>
      <w:sz w:val="56"/>
      <w:szCs w:val="56"/>
    </w:rPr>
  </w:style>
  <w:style w:type="character" w:customStyle="1" w:styleId="TextodegloboCar2">
    <w:name w:val="Texto de globo Car2"/>
    <w:basedOn w:val="Fuentedeprrafopredeter"/>
    <w:uiPriority w:val="99"/>
    <w:semiHidden/>
    <w:rsid w:val="005F230F"/>
    <w:rPr>
      <w:rFonts w:ascii="Segoe UI" w:hAnsi="Segoe UI" w:cs="Segoe UI" w:hint="default"/>
      <w:sz w:val="18"/>
      <w:szCs w:val="18"/>
    </w:rPr>
  </w:style>
  <w:style w:type="character" w:customStyle="1" w:styleId="SubttuloCar1">
    <w:name w:val="Subtítulo Car1"/>
    <w:basedOn w:val="Fuentedeprrafopredeter"/>
    <w:uiPriority w:val="11"/>
    <w:rsid w:val="005F230F"/>
    <w:rPr>
      <w:color w:val="5A5A5A"/>
      <w:spacing w:val="15"/>
      <w:sz w:val="22"/>
      <w:szCs w:val="22"/>
    </w:rPr>
  </w:style>
  <w:style w:type="character" w:customStyle="1" w:styleId="CitaCar1">
    <w:name w:val="Cita Car1"/>
    <w:basedOn w:val="Fuentedeprrafopredeter"/>
    <w:uiPriority w:val="29"/>
    <w:rsid w:val="005F230F"/>
    <w:rPr>
      <w:i/>
      <w:iCs/>
      <w:color w:val="404040"/>
    </w:rPr>
  </w:style>
  <w:style w:type="character" w:customStyle="1" w:styleId="CitadestacadaCar1">
    <w:name w:val="Cita destacada Car1"/>
    <w:basedOn w:val="Fuentedeprrafopredeter"/>
    <w:uiPriority w:val="30"/>
    <w:rsid w:val="005F230F"/>
    <w:rPr>
      <w:i/>
      <w:iCs/>
      <w:color w:val="9D2235"/>
    </w:rPr>
  </w:style>
  <w:style w:type="paragraph" w:styleId="TDC4">
    <w:name w:val="toc 4"/>
    <w:basedOn w:val="Normal"/>
    <w:next w:val="Normal"/>
    <w:autoRedefine/>
    <w:uiPriority w:val="39"/>
    <w:unhideWhenUsed/>
    <w:qFormat/>
    <w:rsid w:val="0046272B"/>
    <w:pPr>
      <w:spacing w:after="0"/>
      <w:ind w:left="660"/>
    </w:pPr>
    <w:rPr>
      <w:sz w:val="20"/>
      <w:szCs w:val="18"/>
    </w:rPr>
  </w:style>
  <w:style w:type="paragraph" w:styleId="TDC5">
    <w:name w:val="toc 5"/>
    <w:basedOn w:val="Normal"/>
    <w:next w:val="Normal"/>
    <w:autoRedefine/>
    <w:uiPriority w:val="39"/>
    <w:unhideWhenUsed/>
    <w:qFormat/>
    <w:rsid w:val="0046272B"/>
    <w:pPr>
      <w:spacing w:after="0"/>
      <w:ind w:left="880"/>
    </w:pPr>
    <w:rPr>
      <w:sz w:val="20"/>
      <w:szCs w:val="18"/>
    </w:rPr>
  </w:style>
  <w:style w:type="paragraph" w:styleId="TDC6">
    <w:name w:val="toc 6"/>
    <w:basedOn w:val="Normal"/>
    <w:next w:val="Normal"/>
    <w:autoRedefine/>
    <w:uiPriority w:val="39"/>
    <w:unhideWhenUsed/>
    <w:qFormat/>
    <w:rsid w:val="0046272B"/>
    <w:pPr>
      <w:spacing w:after="0"/>
      <w:ind w:left="1100"/>
    </w:pPr>
    <w:rPr>
      <w:sz w:val="20"/>
      <w:szCs w:val="18"/>
    </w:rPr>
  </w:style>
  <w:style w:type="paragraph" w:styleId="TDC7">
    <w:name w:val="toc 7"/>
    <w:basedOn w:val="Normal"/>
    <w:next w:val="Normal"/>
    <w:autoRedefine/>
    <w:uiPriority w:val="39"/>
    <w:unhideWhenUsed/>
    <w:qFormat/>
    <w:rsid w:val="00FB44DE"/>
    <w:pPr>
      <w:spacing w:after="0"/>
      <w:ind w:left="1320"/>
    </w:pPr>
    <w:rPr>
      <w:sz w:val="18"/>
      <w:szCs w:val="18"/>
    </w:rPr>
  </w:style>
  <w:style w:type="paragraph" w:styleId="TDC8">
    <w:name w:val="toc 8"/>
    <w:basedOn w:val="Normal"/>
    <w:next w:val="Normal"/>
    <w:autoRedefine/>
    <w:uiPriority w:val="39"/>
    <w:unhideWhenUsed/>
    <w:qFormat/>
    <w:rsid w:val="00FB44DE"/>
    <w:pPr>
      <w:spacing w:after="0"/>
      <w:ind w:left="1540"/>
    </w:pPr>
    <w:rPr>
      <w:sz w:val="18"/>
      <w:szCs w:val="18"/>
    </w:rPr>
  </w:style>
  <w:style w:type="paragraph" w:styleId="TDC9">
    <w:name w:val="toc 9"/>
    <w:basedOn w:val="Normal"/>
    <w:next w:val="Normal"/>
    <w:autoRedefine/>
    <w:uiPriority w:val="39"/>
    <w:unhideWhenUsed/>
    <w:qFormat/>
    <w:rsid w:val="00FB44DE"/>
    <w:pPr>
      <w:spacing w:after="0"/>
      <w:ind w:left="1760"/>
    </w:pPr>
    <w:rPr>
      <w:sz w:val="18"/>
      <w:szCs w:val="18"/>
    </w:rPr>
  </w:style>
  <w:style w:type="character" w:customStyle="1" w:styleId="SourceText">
    <w:name w:val="Source Text"/>
    <w:rsid w:val="002A47AA"/>
    <w:rPr>
      <w:rFonts w:ascii="Liberation Mono" w:eastAsia="NSimSun" w:hAnsi="Liberation Mono" w:cs="Liberation Mono"/>
    </w:rPr>
  </w:style>
  <w:style w:type="character" w:customStyle="1" w:styleId="StrongEmphasis">
    <w:name w:val="Strong Emphasis"/>
    <w:rsid w:val="002A47AA"/>
    <w:rPr>
      <w:b/>
      <w:bCs/>
    </w:rPr>
  </w:style>
  <w:style w:type="character" w:customStyle="1" w:styleId="May">
    <w:name w:val="May"/>
    <w:qFormat/>
    <w:rsid w:val="002A47AA"/>
    <w:rPr>
      <w:rFonts w:ascii="Open Sans" w:eastAsia="Open Sans" w:hAnsi="Open Sans" w:cs="Arial"/>
      <w:b/>
      <w:bCs/>
      <w:caps/>
      <w:sz w:val="20"/>
      <w:szCs w:val="20"/>
    </w:rPr>
  </w:style>
  <w:style w:type="paragraph" w:styleId="HTMLconformatoprevio">
    <w:name w:val="HTML Preformatted"/>
    <w:basedOn w:val="Normal"/>
    <w:link w:val="HTMLconformatoprevioCar"/>
    <w:uiPriority w:val="99"/>
    <w:semiHidden/>
    <w:unhideWhenUsed/>
    <w:rsid w:val="006B5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semiHidden/>
    <w:rsid w:val="006B510A"/>
    <w:rPr>
      <w:rFonts w:ascii="Courier New" w:eastAsia="Times New Roman" w:hAnsi="Courier New" w:cs="Courier New"/>
      <w:sz w:val="20"/>
      <w:szCs w:val="20"/>
      <w:lang w:eastAsia="es-ES"/>
    </w:rPr>
  </w:style>
  <w:style w:type="paragraph" w:styleId="Textonotaalfinal">
    <w:name w:val="endnote text"/>
    <w:basedOn w:val="Normal"/>
    <w:link w:val="TextonotaalfinalCar"/>
    <w:uiPriority w:val="99"/>
    <w:semiHidden/>
    <w:unhideWhenUsed/>
    <w:qFormat/>
    <w:rsid w:val="006B510A"/>
    <w:pPr>
      <w:suppressAutoHyphens/>
      <w:spacing w:after="0" w:line="240" w:lineRule="auto"/>
    </w:pPr>
    <w:rPr>
      <w:rFonts w:ascii="Calibri" w:eastAsia="Calibri" w:hAnsi="Calibri" w:cs="Calibri"/>
      <w:sz w:val="20"/>
      <w:szCs w:val="20"/>
      <w:lang w:eastAsia="zh-CN"/>
    </w:rPr>
  </w:style>
  <w:style w:type="character" w:customStyle="1" w:styleId="TextonotaalfinalCar">
    <w:name w:val="Texto nota al final Car"/>
    <w:basedOn w:val="Fuentedeprrafopredeter"/>
    <w:link w:val="Textonotaalfinal"/>
    <w:uiPriority w:val="99"/>
    <w:semiHidden/>
    <w:rsid w:val="006B510A"/>
    <w:rPr>
      <w:rFonts w:ascii="Calibri" w:eastAsia="Calibri" w:hAnsi="Calibri" w:cs="Calibri"/>
      <w:sz w:val="20"/>
      <w:szCs w:val="20"/>
      <w:lang w:eastAsia="zh-CN"/>
    </w:rPr>
  </w:style>
  <w:style w:type="character" w:styleId="Refdenotaalfinal">
    <w:name w:val="endnote reference"/>
    <w:basedOn w:val="Fuentedeprrafopredeter"/>
    <w:uiPriority w:val="99"/>
    <w:semiHidden/>
    <w:unhideWhenUsed/>
    <w:rsid w:val="006B510A"/>
    <w:rPr>
      <w:vertAlign w:val="superscript"/>
    </w:rPr>
  </w:style>
  <w:style w:type="paragraph" w:styleId="Textonotapie">
    <w:name w:val="footnote text"/>
    <w:basedOn w:val="Normal"/>
    <w:link w:val="TextonotapieCar"/>
    <w:uiPriority w:val="99"/>
    <w:unhideWhenUsed/>
    <w:qFormat/>
    <w:rsid w:val="006B510A"/>
    <w:pPr>
      <w:suppressAutoHyphens/>
      <w:spacing w:after="0" w:line="240" w:lineRule="auto"/>
    </w:pPr>
    <w:rPr>
      <w:rFonts w:ascii="Calibri" w:eastAsia="Calibri" w:hAnsi="Calibri" w:cs="Calibri"/>
      <w:sz w:val="20"/>
      <w:szCs w:val="20"/>
      <w:lang w:eastAsia="zh-CN"/>
    </w:rPr>
  </w:style>
  <w:style w:type="character" w:customStyle="1" w:styleId="TextonotapieCar">
    <w:name w:val="Texto nota pie Car"/>
    <w:basedOn w:val="Fuentedeprrafopredeter"/>
    <w:link w:val="Textonotapie"/>
    <w:uiPriority w:val="99"/>
    <w:rsid w:val="006B510A"/>
    <w:rPr>
      <w:rFonts w:ascii="Calibri" w:eastAsia="Calibri" w:hAnsi="Calibri" w:cs="Calibri"/>
      <w:sz w:val="20"/>
      <w:szCs w:val="20"/>
      <w:lang w:eastAsia="zh-CN"/>
    </w:rPr>
  </w:style>
  <w:style w:type="paragraph" w:customStyle="1" w:styleId="Standarduseruseruser">
    <w:name w:val="Standard (user) (user) (user)"/>
    <w:uiPriority w:val="99"/>
    <w:qFormat/>
    <w:rsid w:val="006B510A"/>
    <w:pPr>
      <w:widowControl w:val="0"/>
      <w:suppressAutoHyphens/>
      <w:autoSpaceDN w:val="0"/>
      <w:spacing w:after="0" w:line="240" w:lineRule="auto"/>
      <w:textAlignment w:val="baseline"/>
    </w:pPr>
    <w:rPr>
      <w:rFonts w:ascii="Calibri" w:eastAsia="Calibri" w:hAnsi="Calibri" w:cs="Calibri"/>
      <w:kern w:val="3"/>
      <w:szCs w:val="20"/>
      <w:lang w:eastAsia="zh-CN"/>
    </w:rPr>
  </w:style>
  <w:style w:type="table" w:styleId="Tablanormal2">
    <w:name w:val="Plain Table 2"/>
    <w:basedOn w:val="Tablanormal"/>
    <w:uiPriority w:val="42"/>
    <w:rsid w:val="006B510A"/>
    <w:pPr>
      <w:spacing w:after="0" w:line="240" w:lineRule="auto"/>
    </w:pPr>
    <w:rPr>
      <w:rFonts w:ascii="Liberation Serif" w:eastAsia="NSimSun" w:hAnsi="Liberation Serif" w:cs="Arial"/>
      <w:sz w:val="24"/>
      <w:szCs w:val="24"/>
      <w:lang w:eastAsia="zh-CN" w:bidi="hi-I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EnlladInternet">
    <w:name w:val="Enllaç d'Internet"/>
    <w:basedOn w:val="Fuentedeprrafopredeter"/>
    <w:uiPriority w:val="99"/>
    <w:unhideWhenUsed/>
    <w:rsid w:val="006B510A"/>
    <w:rPr>
      <w:color w:val="000080"/>
      <w:u w:val="single"/>
    </w:rPr>
  </w:style>
  <w:style w:type="character" w:styleId="CitaHTML">
    <w:name w:val="HTML Cite"/>
    <w:uiPriority w:val="99"/>
    <w:unhideWhenUsed/>
    <w:rsid w:val="006B510A"/>
    <w:rPr>
      <w:i/>
      <w:iCs/>
    </w:rPr>
  </w:style>
  <w:style w:type="character" w:customStyle="1" w:styleId="acopre">
    <w:name w:val="acopre"/>
    <w:basedOn w:val="Fuentedeprrafopredeter"/>
    <w:rsid w:val="006B510A"/>
  </w:style>
  <w:style w:type="paragraph" w:customStyle="1" w:styleId="xmsonormal">
    <w:name w:val="x_msonormal"/>
    <w:basedOn w:val="Normal"/>
    <w:rsid w:val="00F966B3"/>
    <w:pPr>
      <w:spacing w:after="0" w:line="240" w:lineRule="auto"/>
    </w:pPr>
    <w:rPr>
      <w:rFonts w:ascii="Calibri" w:eastAsiaTheme="minorHAnsi" w:hAnsi="Calibri" w:cs="Calibri"/>
      <w:lang w:eastAsia="es-ES"/>
    </w:rPr>
  </w:style>
  <w:style w:type="paragraph" w:styleId="Textosinformato">
    <w:name w:val="Plain Text"/>
    <w:basedOn w:val="Normal"/>
    <w:link w:val="TextosinformatoCar"/>
    <w:uiPriority w:val="99"/>
    <w:unhideWhenUsed/>
    <w:rsid w:val="00D93A24"/>
    <w:pPr>
      <w:spacing w:after="0" w:line="240" w:lineRule="auto"/>
    </w:pPr>
    <w:rPr>
      <w:rFonts w:ascii="Consolas" w:eastAsiaTheme="minorHAnsi" w:hAnsi="Consolas"/>
      <w:sz w:val="21"/>
      <w:szCs w:val="21"/>
    </w:rPr>
  </w:style>
  <w:style w:type="character" w:customStyle="1" w:styleId="TextosinformatoCar">
    <w:name w:val="Texto sin formato Car"/>
    <w:basedOn w:val="Fuentedeprrafopredeter"/>
    <w:link w:val="Textosinformato"/>
    <w:uiPriority w:val="99"/>
    <w:rsid w:val="00D93A24"/>
    <w:rPr>
      <w:rFonts w:ascii="Consolas" w:eastAsiaTheme="minorHAnsi" w:hAnsi="Consolas"/>
      <w:sz w:val="21"/>
      <w:szCs w:val="21"/>
    </w:rPr>
  </w:style>
  <w:style w:type="paragraph" w:customStyle="1" w:styleId="05Prte-resolutiva">
    <w:name w:val="05_Prte-resolutiva"/>
    <w:basedOn w:val="Normal"/>
    <w:qFormat/>
    <w:rsid w:val="00D93A24"/>
    <w:pPr>
      <w:suppressAutoHyphens/>
      <w:autoSpaceDN w:val="0"/>
      <w:spacing w:before="360" w:after="240" w:line="276" w:lineRule="auto"/>
      <w:ind w:left="1134" w:hanging="1134"/>
      <w:jc w:val="both"/>
      <w:textAlignment w:val="baseline"/>
    </w:pPr>
    <w:rPr>
      <w:rFonts w:ascii="Arial" w:eastAsia="Times New Roman" w:hAnsi="Arial" w:cs="Arial"/>
      <w:color w:val="222222"/>
      <w:kern w:val="3"/>
      <w:lang w:eastAsia="es-ES" w:bidi="hi-IN"/>
    </w:rPr>
  </w:style>
  <w:style w:type="paragraph" w:customStyle="1" w:styleId="04-06PuntoCuerpoTexto">
    <w:name w:val="04-06_Punto_Cuerpo_Texto"/>
    <w:basedOn w:val="Normal"/>
    <w:qFormat/>
    <w:rsid w:val="00D93A24"/>
    <w:pPr>
      <w:tabs>
        <w:tab w:val="left" w:pos="426"/>
      </w:tabs>
      <w:suppressAutoHyphens/>
      <w:autoSpaceDN w:val="0"/>
      <w:spacing w:before="240" w:after="120" w:line="276" w:lineRule="auto"/>
      <w:jc w:val="both"/>
      <w:textAlignment w:val="baseline"/>
    </w:pPr>
    <w:rPr>
      <w:rFonts w:ascii="Arial" w:eastAsia="Arial" w:hAnsi="Arial" w:cs="Arial"/>
      <w:kern w:val="3"/>
      <w:szCs w:val="24"/>
      <w:lang w:eastAsia="zh-CN" w:bidi="hi-IN"/>
    </w:rPr>
  </w:style>
  <w:style w:type="paragraph" w:customStyle="1" w:styleId="CuerpoTexto">
    <w:name w:val="_Cuerpo_Texto"/>
    <w:basedOn w:val="Normal"/>
    <w:rsid w:val="00D93A24"/>
    <w:pPr>
      <w:suppressAutoHyphens/>
      <w:autoSpaceDN w:val="0"/>
      <w:spacing w:before="170" w:after="113" w:line="276" w:lineRule="auto"/>
      <w:jc w:val="both"/>
      <w:textAlignment w:val="baseline"/>
    </w:pPr>
    <w:rPr>
      <w:rFonts w:ascii="Arial" w:eastAsia="Arial" w:hAnsi="Arial" w:cs="Arial"/>
      <w:kern w:val="3"/>
      <w:szCs w:val="24"/>
      <w:lang w:eastAsia="zh-CN" w:bidi="hi-IN"/>
    </w:rPr>
  </w:style>
  <w:style w:type="paragraph" w:customStyle="1" w:styleId="xl63">
    <w:name w:val="xl63"/>
    <w:basedOn w:val="Normal"/>
    <w:rsid w:val="00D93A24"/>
    <w:pPr>
      <w:pBdr>
        <w:top w:val="single" w:sz="4" w:space="0" w:color="auto"/>
        <w:left w:val="single" w:sz="4" w:space="0" w:color="auto"/>
        <w:bottom w:val="single" w:sz="4" w:space="0" w:color="auto"/>
        <w:right w:val="single" w:sz="4" w:space="0" w:color="auto"/>
      </w:pBdr>
      <w:shd w:val="clear" w:color="000000" w:fill="D1C6C0"/>
      <w:spacing w:before="100" w:beforeAutospacing="1" w:after="100" w:afterAutospacing="1" w:line="240" w:lineRule="auto"/>
      <w:jc w:val="center"/>
      <w:textAlignment w:val="center"/>
    </w:pPr>
    <w:rPr>
      <w:rFonts w:ascii="Arial" w:eastAsia="Times New Roman" w:hAnsi="Arial" w:cs="Arial"/>
      <w:b/>
      <w:bCs/>
      <w:sz w:val="16"/>
      <w:szCs w:val="16"/>
      <w:lang w:eastAsia="es-ES"/>
    </w:rPr>
  </w:style>
  <w:style w:type="paragraph" w:customStyle="1" w:styleId="xl64">
    <w:name w:val="xl64"/>
    <w:basedOn w:val="Normal"/>
    <w:rsid w:val="00D93A24"/>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ES"/>
    </w:rPr>
  </w:style>
  <w:style w:type="paragraph" w:customStyle="1" w:styleId="xl65">
    <w:name w:val="xl65"/>
    <w:basedOn w:val="Normal"/>
    <w:rsid w:val="00D93A2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ES"/>
    </w:rPr>
  </w:style>
  <w:style w:type="paragraph" w:customStyle="1" w:styleId="xl66">
    <w:name w:val="xl66"/>
    <w:basedOn w:val="Normal"/>
    <w:rsid w:val="00D93A2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lang w:eastAsia="es-ES"/>
    </w:rPr>
  </w:style>
  <w:style w:type="paragraph" w:customStyle="1" w:styleId="xl67">
    <w:name w:val="xl67"/>
    <w:basedOn w:val="Normal"/>
    <w:rsid w:val="00D93A2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lang w:eastAsia="es-ES"/>
    </w:rPr>
  </w:style>
  <w:style w:type="paragraph" w:customStyle="1" w:styleId="xl68">
    <w:name w:val="xl68"/>
    <w:basedOn w:val="Normal"/>
    <w:rsid w:val="00D93A2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6"/>
      <w:szCs w:val="16"/>
      <w:lang w:eastAsia="es-ES"/>
    </w:rPr>
  </w:style>
  <w:style w:type="paragraph" w:customStyle="1" w:styleId="xl69">
    <w:name w:val="xl69"/>
    <w:basedOn w:val="Normal"/>
    <w:rsid w:val="00D93A2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lang w:eastAsia="es-ES"/>
    </w:rPr>
  </w:style>
  <w:style w:type="paragraph" w:customStyle="1" w:styleId="xl70">
    <w:name w:val="xl70"/>
    <w:basedOn w:val="Normal"/>
    <w:rsid w:val="00D93A24"/>
    <w:pPr>
      <w:spacing w:before="100" w:beforeAutospacing="1" w:after="100" w:afterAutospacing="1" w:line="240" w:lineRule="auto"/>
      <w:textAlignment w:val="center"/>
    </w:pPr>
    <w:rPr>
      <w:rFonts w:ascii="Times New Roman" w:eastAsia="Times New Roman" w:hAnsi="Times New Roman" w:cs="Times New Roman"/>
      <w:sz w:val="24"/>
      <w:szCs w:val="24"/>
      <w:lang w:eastAsia="es-ES"/>
    </w:rPr>
  </w:style>
  <w:style w:type="paragraph" w:customStyle="1" w:styleId="xl71">
    <w:name w:val="xl71"/>
    <w:basedOn w:val="Normal"/>
    <w:rsid w:val="00D93A2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ES"/>
    </w:rPr>
  </w:style>
  <w:style w:type="paragraph" w:customStyle="1" w:styleId="xl72">
    <w:name w:val="xl72"/>
    <w:basedOn w:val="Normal"/>
    <w:rsid w:val="00D93A2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es-ES"/>
    </w:rPr>
  </w:style>
  <w:style w:type="paragraph" w:customStyle="1" w:styleId="xl73">
    <w:name w:val="xl73"/>
    <w:basedOn w:val="Normal"/>
    <w:rsid w:val="00D93A2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6"/>
      <w:szCs w:val="16"/>
      <w:lang w:eastAsia="es-ES"/>
    </w:rPr>
  </w:style>
  <w:style w:type="paragraph" w:customStyle="1" w:styleId="xl74">
    <w:name w:val="xl74"/>
    <w:basedOn w:val="Normal"/>
    <w:rsid w:val="00D93A2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es-ES"/>
    </w:rPr>
  </w:style>
  <w:style w:type="paragraph" w:customStyle="1" w:styleId="xl75">
    <w:name w:val="xl75"/>
    <w:basedOn w:val="Normal"/>
    <w:rsid w:val="00D93A24"/>
    <w:pPr>
      <w:spacing w:before="100" w:beforeAutospacing="1" w:after="100" w:afterAutospacing="1" w:line="240" w:lineRule="auto"/>
      <w:textAlignment w:val="center"/>
    </w:pPr>
    <w:rPr>
      <w:rFonts w:ascii="Times New Roman" w:eastAsia="Times New Roman" w:hAnsi="Times New Roman" w:cs="Times New Roman"/>
      <w:sz w:val="24"/>
      <w:szCs w:val="24"/>
      <w:lang w:eastAsia="es-ES"/>
    </w:rPr>
  </w:style>
  <w:style w:type="paragraph" w:customStyle="1" w:styleId="F01Titulo-Ficha">
    <w:name w:val="F01_Titulo-Ficha"/>
    <w:basedOn w:val="Prrafodelista"/>
    <w:link w:val="F01Titulo-FichaCar"/>
    <w:qFormat/>
    <w:rsid w:val="00D93A24"/>
    <w:pPr>
      <w:keepNext/>
      <w:spacing w:after="0" w:line="276" w:lineRule="auto"/>
      <w:ind w:left="0"/>
      <w:contextualSpacing w:val="0"/>
      <w:jc w:val="both"/>
    </w:pPr>
    <w:rPr>
      <w:rFonts w:ascii="Arial" w:eastAsiaTheme="minorHAnsi" w:hAnsi="Arial"/>
      <w:b/>
      <w:bCs/>
      <w:color w:val="9D2235" w:themeColor="accent1"/>
      <w:sz w:val="28"/>
      <w:szCs w:val="28"/>
    </w:rPr>
  </w:style>
  <w:style w:type="character" w:customStyle="1" w:styleId="F01Titulo-FichaCar">
    <w:name w:val="F01_Titulo-Ficha Car"/>
    <w:basedOn w:val="Fuentedeprrafopredeter"/>
    <w:link w:val="F01Titulo-Ficha"/>
    <w:rsid w:val="00D93A24"/>
    <w:rPr>
      <w:rFonts w:ascii="Arial" w:eastAsiaTheme="minorHAnsi" w:hAnsi="Arial"/>
      <w:b/>
      <w:bCs/>
      <w:color w:val="9D2235" w:themeColor="accent1"/>
      <w:sz w:val="28"/>
      <w:szCs w:val="28"/>
    </w:rPr>
  </w:style>
  <w:style w:type="paragraph" w:customStyle="1" w:styleId="M02SubttuloDAI">
    <w:name w:val="M_02_Subtítulo_DAI"/>
    <w:basedOn w:val="F01Titulo-Ficha"/>
    <w:link w:val="M02SubttuloDAICar"/>
    <w:qFormat/>
    <w:rsid w:val="00D93A24"/>
    <w:rPr>
      <w:sz w:val="32"/>
      <w:szCs w:val="32"/>
    </w:rPr>
  </w:style>
  <w:style w:type="character" w:customStyle="1" w:styleId="M02SubttuloDAICar">
    <w:name w:val="M_02_Subtítulo_DAI Car"/>
    <w:basedOn w:val="F01Titulo-FichaCar"/>
    <w:link w:val="M02SubttuloDAI"/>
    <w:rsid w:val="00D93A24"/>
    <w:rPr>
      <w:rFonts w:ascii="Arial" w:eastAsiaTheme="minorHAnsi" w:hAnsi="Arial"/>
      <w:b/>
      <w:bCs/>
      <w:color w:val="9D2235" w:themeColor="accent1"/>
      <w:sz w:val="32"/>
      <w:szCs w:val="32"/>
    </w:rPr>
  </w:style>
  <w:style w:type="table" w:customStyle="1" w:styleId="Tablaconcuadrcula4">
    <w:name w:val="Tabla con cuadrícula4"/>
    <w:basedOn w:val="Tablanormal"/>
    <w:next w:val="Tablaconcuadrcula"/>
    <w:uiPriority w:val="39"/>
    <w:rsid w:val="00B91CE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6769B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75250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6A0FF8"/>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7D6A1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sid w:val="007D6A1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8A0C4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21">
    <w:name w:val="Tabla normal 21"/>
    <w:basedOn w:val="Tablanormal"/>
    <w:next w:val="Tablanormal2"/>
    <w:uiPriority w:val="42"/>
    <w:rsid w:val="00446E4D"/>
    <w:pPr>
      <w:spacing w:after="0" w:line="240" w:lineRule="auto"/>
    </w:pPr>
    <w:rPr>
      <w:rFonts w:ascii="Liberation Serif" w:eastAsia="NSimSun" w:hAnsi="Liberation Serif" w:cs="Arial"/>
      <w:sz w:val="24"/>
      <w:szCs w:val="24"/>
      <w:lang w:eastAsia="zh-CN" w:bidi="hi-I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concuadrcula12">
    <w:name w:val="Tabla con cuadrícula12"/>
    <w:basedOn w:val="Tablanormal"/>
    <w:next w:val="Tablaconcuadrcula"/>
    <w:uiPriority w:val="39"/>
    <w:rsid w:val="00A1367E"/>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087531"/>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1">
    <w:name w:val="Estilo1"/>
    <w:uiPriority w:val="99"/>
    <w:rsid w:val="00D3072E"/>
    <w:pPr>
      <w:numPr>
        <w:numId w:val="184"/>
      </w:numPr>
    </w:pPr>
  </w:style>
  <w:style w:type="numbering" w:customStyle="1" w:styleId="Estilo4">
    <w:name w:val="Estilo4"/>
    <w:uiPriority w:val="99"/>
    <w:rsid w:val="008501AC"/>
    <w:pPr>
      <w:numPr>
        <w:numId w:val="18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751426">
      <w:bodyDiv w:val="1"/>
      <w:marLeft w:val="0"/>
      <w:marRight w:val="0"/>
      <w:marTop w:val="0"/>
      <w:marBottom w:val="0"/>
      <w:divBdr>
        <w:top w:val="none" w:sz="0" w:space="0" w:color="auto"/>
        <w:left w:val="none" w:sz="0" w:space="0" w:color="auto"/>
        <w:bottom w:val="none" w:sz="0" w:space="0" w:color="auto"/>
        <w:right w:val="none" w:sz="0" w:space="0" w:color="auto"/>
      </w:divBdr>
    </w:div>
    <w:div w:id="204829446">
      <w:bodyDiv w:val="1"/>
      <w:marLeft w:val="0"/>
      <w:marRight w:val="0"/>
      <w:marTop w:val="0"/>
      <w:marBottom w:val="0"/>
      <w:divBdr>
        <w:top w:val="none" w:sz="0" w:space="0" w:color="auto"/>
        <w:left w:val="none" w:sz="0" w:space="0" w:color="auto"/>
        <w:bottom w:val="none" w:sz="0" w:space="0" w:color="auto"/>
        <w:right w:val="none" w:sz="0" w:space="0" w:color="auto"/>
      </w:divBdr>
    </w:div>
    <w:div w:id="248082151">
      <w:bodyDiv w:val="1"/>
      <w:marLeft w:val="0"/>
      <w:marRight w:val="0"/>
      <w:marTop w:val="0"/>
      <w:marBottom w:val="0"/>
      <w:divBdr>
        <w:top w:val="none" w:sz="0" w:space="0" w:color="auto"/>
        <w:left w:val="none" w:sz="0" w:space="0" w:color="auto"/>
        <w:bottom w:val="none" w:sz="0" w:space="0" w:color="auto"/>
        <w:right w:val="none" w:sz="0" w:space="0" w:color="auto"/>
      </w:divBdr>
    </w:div>
    <w:div w:id="266351850">
      <w:bodyDiv w:val="1"/>
      <w:marLeft w:val="0"/>
      <w:marRight w:val="0"/>
      <w:marTop w:val="0"/>
      <w:marBottom w:val="0"/>
      <w:divBdr>
        <w:top w:val="none" w:sz="0" w:space="0" w:color="auto"/>
        <w:left w:val="none" w:sz="0" w:space="0" w:color="auto"/>
        <w:bottom w:val="none" w:sz="0" w:space="0" w:color="auto"/>
        <w:right w:val="none" w:sz="0" w:space="0" w:color="auto"/>
      </w:divBdr>
    </w:div>
    <w:div w:id="295110080">
      <w:bodyDiv w:val="1"/>
      <w:marLeft w:val="0"/>
      <w:marRight w:val="0"/>
      <w:marTop w:val="0"/>
      <w:marBottom w:val="0"/>
      <w:divBdr>
        <w:top w:val="none" w:sz="0" w:space="0" w:color="auto"/>
        <w:left w:val="none" w:sz="0" w:space="0" w:color="auto"/>
        <w:bottom w:val="none" w:sz="0" w:space="0" w:color="auto"/>
        <w:right w:val="none" w:sz="0" w:space="0" w:color="auto"/>
      </w:divBdr>
    </w:div>
    <w:div w:id="362950341">
      <w:bodyDiv w:val="1"/>
      <w:marLeft w:val="0"/>
      <w:marRight w:val="0"/>
      <w:marTop w:val="0"/>
      <w:marBottom w:val="0"/>
      <w:divBdr>
        <w:top w:val="none" w:sz="0" w:space="0" w:color="auto"/>
        <w:left w:val="none" w:sz="0" w:space="0" w:color="auto"/>
        <w:bottom w:val="none" w:sz="0" w:space="0" w:color="auto"/>
        <w:right w:val="none" w:sz="0" w:space="0" w:color="auto"/>
      </w:divBdr>
    </w:div>
    <w:div w:id="380056595">
      <w:bodyDiv w:val="1"/>
      <w:marLeft w:val="0"/>
      <w:marRight w:val="0"/>
      <w:marTop w:val="0"/>
      <w:marBottom w:val="0"/>
      <w:divBdr>
        <w:top w:val="none" w:sz="0" w:space="0" w:color="auto"/>
        <w:left w:val="none" w:sz="0" w:space="0" w:color="auto"/>
        <w:bottom w:val="none" w:sz="0" w:space="0" w:color="auto"/>
        <w:right w:val="none" w:sz="0" w:space="0" w:color="auto"/>
      </w:divBdr>
    </w:div>
    <w:div w:id="550458981">
      <w:bodyDiv w:val="1"/>
      <w:marLeft w:val="0"/>
      <w:marRight w:val="0"/>
      <w:marTop w:val="0"/>
      <w:marBottom w:val="0"/>
      <w:divBdr>
        <w:top w:val="none" w:sz="0" w:space="0" w:color="auto"/>
        <w:left w:val="none" w:sz="0" w:space="0" w:color="auto"/>
        <w:bottom w:val="none" w:sz="0" w:space="0" w:color="auto"/>
        <w:right w:val="none" w:sz="0" w:space="0" w:color="auto"/>
      </w:divBdr>
    </w:div>
    <w:div w:id="595408839">
      <w:bodyDiv w:val="1"/>
      <w:marLeft w:val="0"/>
      <w:marRight w:val="0"/>
      <w:marTop w:val="0"/>
      <w:marBottom w:val="0"/>
      <w:divBdr>
        <w:top w:val="none" w:sz="0" w:space="0" w:color="auto"/>
        <w:left w:val="none" w:sz="0" w:space="0" w:color="auto"/>
        <w:bottom w:val="none" w:sz="0" w:space="0" w:color="auto"/>
        <w:right w:val="none" w:sz="0" w:space="0" w:color="auto"/>
      </w:divBdr>
    </w:div>
    <w:div w:id="722825601">
      <w:bodyDiv w:val="1"/>
      <w:marLeft w:val="0"/>
      <w:marRight w:val="0"/>
      <w:marTop w:val="0"/>
      <w:marBottom w:val="0"/>
      <w:divBdr>
        <w:top w:val="none" w:sz="0" w:space="0" w:color="auto"/>
        <w:left w:val="none" w:sz="0" w:space="0" w:color="auto"/>
        <w:bottom w:val="none" w:sz="0" w:space="0" w:color="auto"/>
        <w:right w:val="none" w:sz="0" w:space="0" w:color="auto"/>
      </w:divBdr>
    </w:div>
    <w:div w:id="833225769">
      <w:bodyDiv w:val="1"/>
      <w:marLeft w:val="0"/>
      <w:marRight w:val="0"/>
      <w:marTop w:val="0"/>
      <w:marBottom w:val="0"/>
      <w:divBdr>
        <w:top w:val="none" w:sz="0" w:space="0" w:color="auto"/>
        <w:left w:val="none" w:sz="0" w:space="0" w:color="auto"/>
        <w:bottom w:val="none" w:sz="0" w:space="0" w:color="auto"/>
        <w:right w:val="none" w:sz="0" w:space="0" w:color="auto"/>
      </w:divBdr>
    </w:div>
    <w:div w:id="850333355">
      <w:bodyDiv w:val="1"/>
      <w:marLeft w:val="0"/>
      <w:marRight w:val="0"/>
      <w:marTop w:val="0"/>
      <w:marBottom w:val="0"/>
      <w:divBdr>
        <w:top w:val="none" w:sz="0" w:space="0" w:color="auto"/>
        <w:left w:val="none" w:sz="0" w:space="0" w:color="auto"/>
        <w:bottom w:val="none" w:sz="0" w:space="0" w:color="auto"/>
        <w:right w:val="none" w:sz="0" w:space="0" w:color="auto"/>
      </w:divBdr>
    </w:div>
    <w:div w:id="865600478">
      <w:bodyDiv w:val="1"/>
      <w:marLeft w:val="0"/>
      <w:marRight w:val="0"/>
      <w:marTop w:val="0"/>
      <w:marBottom w:val="0"/>
      <w:divBdr>
        <w:top w:val="none" w:sz="0" w:space="0" w:color="auto"/>
        <w:left w:val="none" w:sz="0" w:space="0" w:color="auto"/>
        <w:bottom w:val="none" w:sz="0" w:space="0" w:color="auto"/>
        <w:right w:val="none" w:sz="0" w:space="0" w:color="auto"/>
      </w:divBdr>
    </w:div>
    <w:div w:id="1053623478">
      <w:bodyDiv w:val="1"/>
      <w:marLeft w:val="0"/>
      <w:marRight w:val="0"/>
      <w:marTop w:val="0"/>
      <w:marBottom w:val="0"/>
      <w:divBdr>
        <w:top w:val="none" w:sz="0" w:space="0" w:color="auto"/>
        <w:left w:val="none" w:sz="0" w:space="0" w:color="auto"/>
        <w:bottom w:val="none" w:sz="0" w:space="0" w:color="auto"/>
        <w:right w:val="none" w:sz="0" w:space="0" w:color="auto"/>
      </w:divBdr>
    </w:div>
    <w:div w:id="1131098566">
      <w:bodyDiv w:val="1"/>
      <w:marLeft w:val="0"/>
      <w:marRight w:val="0"/>
      <w:marTop w:val="0"/>
      <w:marBottom w:val="0"/>
      <w:divBdr>
        <w:top w:val="none" w:sz="0" w:space="0" w:color="auto"/>
        <w:left w:val="none" w:sz="0" w:space="0" w:color="auto"/>
        <w:bottom w:val="none" w:sz="0" w:space="0" w:color="auto"/>
        <w:right w:val="none" w:sz="0" w:space="0" w:color="auto"/>
      </w:divBdr>
    </w:div>
    <w:div w:id="1140421065">
      <w:bodyDiv w:val="1"/>
      <w:marLeft w:val="0"/>
      <w:marRight w:val="0"/>
      <w:marTop w:val="0"/>
      <w:marBottom w:val="0"/>
      <w:divBdr>
        <w:top w:val="none" w:sz="0" w:space="0" w:color="auto"/>
        <w:left w:val="none" w:sz="0" w:space="0" w:color="auto"/>
        <w:bottom w:val="none" w:sz="0" w:space="0" w:color="auto"/>
        <w:right w:val="none" w:sz="0" w:space="0" w:color="auto"/>
      </w:divBdr>
    </w:div>
    <w:div w:id="1153519705">
      <w:bodyDiv w:val="1"/>
      <w:marLeft w:val="0"/>
      <w:marRight w:val="0"/>
      <w:marTop w:val="0"/>
      <w:marBottom w:val="0"/>
      <w:divBdr>
        <w:top w:val="none" w:sz="0" w:space="0" w:color="auto"/>
        <w:left w:val="none" w:sz="0" w:space="0" w:color="auto"/>
        <w:bottom w:val="none" w:sz="0" w:space="0" w:color="auto"/>
        <w:right w:val="none" w:sz="0" w:space="0" w:color="auto"/>
      </w:divBdr>
    </w:div>
    <w:div w:id="1161850481">
      <w:bodyDiv w:val="1"/>
      <w:marLeft w:val="0"/>
      <w:marRight w:val="0"/>
      <w:marTop w:val="0"/>
      <w:marBottom w:val="0"/>
      <w:divBdr>
        <w:top w:val="none" w:sz="0" w:space="0" w:color="auto"/>
        <w:left w:val="none" w:sz="0" w:space="0" w:color="auto"/>
        <w:bottom w:val="none" w:sz="0" w:space="0" w:color="auto"/>
        <w:right w:val="none" w:sz="0" w:space="0" w:color="auto"/>
      </w:divBdr>
    </w:div>
    <w:div w:id="1172842067">
      <w:bodyDiv w:val="1"/>
      <w:marLeft w:val="0"/>
      <w:marRight w:val="0"/>
      <w:marTop w:val="0"/>
      <w:marBottom w:val="0"/>
      <w:divBdr>
        <w:top w:val="none" w:sz="0" w:space="0" w:color="auto"/>
        <w:left w:val="none" w:sz="0" w:space="0" w:color="auto"/>
        <w:bottom w:val="none" w:sz="0" w:space="0" w:color="auto"/>
        <w:right w:val="none" w:sz="0" w:space="0" w:color="auto"/>
      </w:divBdr>
    </w:div>
    <w:div w:id="1298607866">
      <w:bodyDiv w:val="1"/>
      <w:marLeft w:val="0"/>
      <w:marRight w:val="0"/>
      <w:marTop w:val="0"/>
      <w:marBottom w:val="0"/>
      <w:divBdr>
        <w:top w:val="none" w:sz="0" w:space="0" w:color="auto"/>
        <w:left w:val="none" w:sz="0" w:space="0" w:color="auto"/>
        <w:bottom w:val="none" w:sz="0" w:space="0" w:color="auto"/>
        <w:right w:val="none" w:sz="0" w:space="0" w:color="auto"/>
      </w:divBdr>
    </w:div>
    <w:div w:id="1484395126">
      <w:bodyDiv w:val="1"/>
      <w:marLeft w:val="0"/>
      <w:marRight w:val="0"/>
      <w:marTop w:val="0"/>
      <w:marBottom w:val="0"/>
      <w:divBdr>
        <w:top w:val="none" w:sz="0" w:space="0" w:color="auto"/>
        <w:left w:val="none" w:sz="0" w:space="0" w:color="auto"/>
        <w:bottom w:val="none" w:sz="0" w:space="0" w:color="auto"/>
        <w:right w:val="none" w:sz="0" w:space="0" w:color="auto"/>
      </w:divBdr>
    </w:div>
    <w:div w:id="1593008124">
      <w:bodyDiv w:val="1"/>
      <w:marLeft w:val="0"/>
      <w:marRight w:val="0"/>
      <w:marTop w:val="0"/>
      <w:marBottom w:val="0"/>
      <w:divBdr>
        <w:top w:val="none" w:sz="0" w:space="0" w:color="auto"/>
        <w:left w:val="none" w:sz="0" w:space="0" w:color="auto"/>
        <w:bottom w:val="none" w:sz="0" w:space="0" w:color="auto"/>
        <w:right w:val="none" w:sz="0" w:space="0" w:color="auto"/>
      </w:divBdr>
    </w:div>
    <w:div w:id="1665357419">
      <w:bodyDiv w:val="1"/>
      <w:marLeft w:val="0"/>
      <w:marRight w:val="0"/>
      <w:marTop w:val="0"/>
      <w:marBottom w:val="0"/>
      <w:divBdr>
        <w:top w:val="none" w:sz="0" w:space="0" w:color="auto"/>
        <w:left w:val="none" w:sz="0" w:space="0" w:color="auto"/>
        <w:bottom w:val="none" w:sz="0" w:space="0" w:color="auto"/>
        <w:right w:val="none" w:sz="0" w:space="0" w:color="auto"/>
      </w:divBdr>
    </w:div>
    <w:div w:id="1798645703">
      <w:bodyDiv w:val="1"/>
      <w:marLeft w:val="0"/>
      <w:marRight w:val="0"/>
      <w:marTop w:val="0"/>
      <w:marBottom w:val="0"/>
      <w:divBdr>
        <w:top w:val="none" w:sz="0" w:space="0" w:color="auto"/>
        <w:left w:val="none" w:sz="0" w:space="0" w:color="auto"/>
        <w:bottom w:val="none" w:sz="0" w:space="0" w:color="auto"/>
        <w:right w:val="none" w:sz="0" w:space="0" w:color="auto"/>
      </w:divBdr>
    </w:div>
    <w:div w:id="1800025635">
      <w:bodyDiv w:val="1"/>
      <w:marLeft w:val="0"/>
      <w:marRight w:val="0"/>
      <w:marTop w:val="0"/>
      <w:marBottom w:val="0"/>
      <w:divBdr>
        <w:top w:val="none" w:sz="0" w:space="0" w:color="auto"/>
        <w:left w:val="none" w:sz="0" w:space="0" w:color="auto"/>
        <w:bottom w:val="none" w:sz="0" w:space="0" w:color="auto"/>
        <w:right w:val="none" w:sz="0" w:space="0" w:color="auto"/>
      </w:divBdr>
    </w:div>
    <w:div w:id="1895313024">
      <w:bodyDiv w:val="1"/>
      <w:marLeft w:val="0"/>
      <w:marRight w:val="0"/>
      <w:marTop w:val="0"/>
      <w:marBottom w:val="0"/>
      <w:divBdr>
        <w:top w:val="none" w:sz="0" w:space="0" w:color="auto"/>
        <w:left w:val="none" w:sz="0" w:space="0" w:color="auto"/>
        <w:bottom w:val="none" w:sz="0" w:space="0" w:color="auto"/>
        <w:right w:val="none" w:sz="0" w:space="0" w:color="auto"/>
      </w:divBdr>
    </w:div>
    <w:div w:id="1901406567">
      <w:bodyDiv w:val="1"/>
      <w:marLeft w:val="0"/>
      <w:marRight w:val="0"/>
      <w:marTop w:val="0"/>
      <w:marBottom w:val="0"/>
      <w:divBdr>
        <w:top w:val="none" w:sz="0" w:space="0" w:color="auto"/>
        <w:left w:val="none" w:sz="0" w:space="0" w:color="auto"/>
        <w:bottom w:val="none" w:sz="0" w:space="0" w:color="auto"/>
        <w:right w:val="none" w:sz="0" w:space="0" w:color="auto"/>
      </w:divBdr>
    </w:div>
    <w:div w:id="2038310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voox.com/podcast-podcast-agencia-valenciana-antifraude_sq_f11289334_1.html" TargetMode="External"/><Relationship Id="rId21" Type="http://schemas.openxmlformats.org/officeDocument/2006/relationships/hyperlink" Target="https://www.antifraucv.es/buzon-de-denuncias-2/" TargetMode="External"/><Relationship Id="rId324" Type="http://schemas.openxmlformats.org/officeDocument/2006/relationships/hyperlink" Target="https://www.oecd.org/" TargetMode="External"/><Relationship Id="rId531" Type="http://schemas.openxmlformats.org/officeDocument/2006/relationships/image" Target="media/image66.emf"/><Relationship Id="rId170" Type="http://schemas.openxmlformats.org/officeDocument/2006/relationships/hyperlink" Target="https://bit.ly/3L0KVdi" TargetMode="External"/><Relationship Id="rId268" Type="http://schemas.openxmlformats.org/officeDocument/2006/relationships/hyperlink" Target="https://www.boe.es/buscar/pdf/2016/BOE-A-2016-12048-consolidado.pdf" TargetMode="External"/><Relationship Id="rId475" Type="http://schemas.openxmlformats.org/officeDocument/2006/relationships/hyperlink" Target="https://www.antifraucv.es/wp-content/uploads/2022/01/20211213_AYUNTAMIENTO-DE-TOUS.pdf" TargetMode="External"/><Relationship Id="rId32" Type="http://schemas.openxmlformats.org/officeDocument/2006/relationships/image" Target="media/image7.png"/><Relationship Id="rId128" Type="http://schemas.openxmlformats.org/officeDocument/2006/relationships/chart" Target="charts/chart3.xml"/><Relationship Id="rId335" Type="http://schemas.openxmlformats.org/officeDocument/2006/relationships/hyperlink" Target="https://www.antifraucv.es/wp-content/uploads/2022/03/Descripcion-detallada-del-proyecto.pdf" TargetMode="External"/><Relationship Id="rId542" Type="http://schemas.openxmlformats.org/officeDocument/2006/relationships/footer" Target="footer4.xml"/><Relationship Id="rId181" Type="http://schemas.openxmlformats.org/officeDocument/2006/relationships/hyperlink" Target="https://dogv.gva.es/auto/dogv/docvpub/rlgv/2019/RAF_20190627_ca_RAF_20190716.pdf" TargetMode="External"/><Relationship Id="rId402" Type="http://schemas.openxmlformats.org/officeDocument/2006/relationships/hyperlink" Target="https://www.antifraucv.es/denuncia/bustia-de-denuncies/" TargetMode="External"/><Relationship Id="rId279" Type="http://schemas.openxmlformats.org/officeDocument/2006/relationships/hyperlink" Target="https://www.boe.es/boe/dias/2006/07/19/pdfs/A27132-27153.pdf" TargetMode="External"/><Relationship Id="rId486" Type="http://schemas.openxmlformats.org/officeDocument/2006/relationships/hyperlink" Target="https://www.antifraucv.es/wp-content/uploads/2021/11/Guia_avaf_plan_de_integridad_publica.pdf" TargetMode="External"/><Relationship Id="rId43" Type="http://schemas.openxmlformats.org/officeDocument/2006/relationships/hyperlink" Target="file:///Q:\MEMORIA\2021_gtm\TEXTO%20PROVISIONAL\MEMORIA%202021_CAS\MEMORIA%20PROVISIONAL_CAS_V31.docx" TargetMode="External"/><Relationship Id="rId139" Type="http://schemas.openxmlformats.org/officeDocument/2006/relationships/hyperlink" Target="https://bit.ly/3Gi4j1T" TargetMode="External"/><Relationship Id="rId346" Type="http://schemas.openxmlformats.org/officeDocument/2006/relationships/hyperlink" Target="https://www.poderjudicial.es/cgpj/es/Poder-Judicial/Tribunal-Supremo/Noticias-Judiciales/El-Tribunal-Supremo-apoya-la-concesion-de-un-indulto-parcial-de-la-pena-de-inhabilitacion-al-denunciante-del--caso-Gurtel-" TargetMode="External"/><Relationship Id="rId553" Type="http://schemas.openxmlformats.org/officeDocument/2006/relationships/hyperlink" Target="https://www.antifraucv.es/wp-content/uploads/2022/03/Alegaciones-AVAF-tramite-de-audiencia-APL-Directiva-2019-1937.pdf" TargetMode="External"/><Relationship Id="rId192" Type="http://schemas.openxmlformats.org/officeDocument/2006/relationships/hyperlink" Target="https://www.boe.es/boe/dias/2010/03/31/pdfs/BOE-A-2010-5259.pdf" TargetMode="External"/><Relationship Id="rId206" Type="http://schemas.openxmlformats.org/officeDocument/2006/relationships/hyperlink" Target="http://www.antifraucv.es/wp-content/uploads/2021/04/210602-Resolucion-350-X-apoyo-AVAF.pdf" TargetMode="External"/><Relationship Id="rId413" Type="http://schemas.openxmlformats.org/officeDocument/2006/relationships/hyperlink" Target="http://www.antifraucv.es/wp-content/uploads/2021/03/20210121_AYUNTAMIENTO_DE_VALENCIA.pdf" TargetMode="External"/><Relationship Id="rId497" Type="http://schemas.openxmlformats.org/officeDocument/2006/relationships/hyperlink" Target="https://www.antifraucv.es/wp-content/uploads/2021/12/Catalogo-de-riesgos.pdf" TargetMode="External"/><Relationship Id="rId357" Type="http://schemas.openxmlformats.org/officeDocument/2006/relationships/hyperlink" Target="http://www.antifraucv.es/wp-content/uploads/2021/04/210531-Escrito-a-sindic-greuges.pdf" TargetMode="External"/><Relationship Id="rId54" Type="http://schemas.openxmlformats.org/officeDocument/2006/relationships/hyperlink" Target="file:///Q:\MEMORIA\2021_gtm\TEXTO%20PROVISIONAL\MEMORIA%202021_CAS\MEMORIA%20PROVISIONAL_CAS_V31.docx" TargetMode="External"/><Relationship Id="rId217" Type="http://schemas.openxmlformats.org/officeDocument/2006/relationships/hyperlink" Target="https://www.antifraucv.es/wp-content/uploads/2022/03/220315_Resolucion_Aprobacion_Rgto_Buzon-interno_CAS_VAL-CSV.pdf" TargetMode="External"/><Relationship Id="rId564" Type="http://schemas.openxmlformats.org/officeDocument/2006/relationships/image" Target="media/image78.emf"/><Relationship Id="rId424" Type="http://schemas.openxmlformats.org/officeDocument/2006/relationships/hyperlink" Target="http://www.antifraucv.es/wp-content/uploads/2021/04/20210308_AYUNTAMIENTO_DE_CALPE.pdf" TargetMode="External"/><Relationship Id="rId270" Type="http://schemas.openxmlformats.org/officeDocument/2006/relationships/hyperlink" Target="https://www.boe.es/boe/dias/2006/07/19/pdfs/A27132-27153.pdf" TargetMode="External"/><Relationship Id="rId65" Type="http://schemas.openxmlformats.org/officeDocument/2006/relationships/hyperlink" Target="https://www.antifraucv.es/wp-content/uploads/2021/06/210623-Declaracion_-Institucional-_AVAF.pdf" TargetMode="External"/><Relationship Id="rId130" Type="http://schemas.openxmlformats.org/officeDocument/2006/relationships/hyperlink" Target="https://bit.ly/3ofKXnR" TargetMode="External"/><Relationship Id="rId368" Type="http://schemas.openxmlformats.org/officeDocument/2006/relationships/hyperlink" Target="https://dogv.gva.es/auto/dogv/docvpub/rlgv/2019/RAF_20190627_ca_RAF_20190716.pdf" TargetMode="External"/><Relationship Id="rId575" Type="http://schemas.openxmlformats.org/officeDocument/2006/relationships/image" Target="media/image89.emf"/><Relationship Id="rId228" Type="http://schemas.openxmlformats.org/officeDocument/2006/relationships/hyperlink" Target="https://www.lamoncloa.gob.es/temas/fondos-recuperacion/Documents/30042021-Plan_Recuperacion_%20Transformacion_%20Resiliencia.pdf" TargetMode="External"/><Relationship Id="rId435" Type="http://schemas.openxmlformats.org/officeDocument/2006/relationships/hyperlink" Target="http://www.antifraucv.es/wp-content/uploads/2021/04/20210503_DIPUTACION_DE_CASTELLON.pdf" TargetMode="External"/><Relationship Id="rId281" Type="http://schemas.openxmlformats.org/officeDocument/2006/relationships/hyperlink" Target="https://www.juntadeandalucia.es/boja/2021/125/BOJA21-125-00037-11020-01_00194855.pdf" TargetMode="External"/><Relationship Id="rId502" Type="http://schemas.openxmlformats.org/officeDocument/2006/relationships/image" Target="media/image45.png"/><Relationship Id="rId76" Type="http://schemas.openxmlformats.org/officeDocument/2006/relationships/hyperlink" Target="http://www.dogv.gva.es/datos/2019/07/02/pdf/2019_6610.pdf" TargetMode="External"/><Relationship Id="rId141" Type="http://schemas.openxmlformats.org/officeDocument/2006/relationships/hyperlink" Target="https://bit.ly/3AP3JaK" TargetMode="External"/><Relationship Id="rId379" Type="http://schemas.openxmlformats.org/officeDocument/2006/relationships/hyperlink" Target="https://www.cortsvalencianes.es/es/consulta_boc" TargetMode="External"/><Relationship Id="rId7" Type="http://schemas.openxmlformats.org/officeDocument/2006/relationships/endnotes" Target="endnotes.xml"/><Relationship Id="rId183" Type="http://schemas.openxmlformats.org/officeDocument/2006/relationships/hyperlink" Target="https://www.boe.es/buscar/pdf/1978/BOE-A-1978-31229-consolidado.pdf" TargetMode="External"/><Relationship Id="rId239" Type="http://schemas.openxmlformats.org/officeDocument/2006/relationships/hyperlink" Target="https://www.asambleamadrid.es/static/docs/registro-ep/RGEP27067-20.pdf" TargetMode="External"/><Relationship Id="rId390" Type="http://schemas.openxmlformats.org/officeDocument/2006/relationships/hyperlink" Target="https://www.cortsvalencianes.es/es/consulta_boc" TargetMode="External"/><Relationship Id="rId404" Type="http://schemas.openxmlformats.org/officeDocument/2006/relationships/image" Target="media/image30.png"/><Relationship Id="rId446" Type="http://schemas.openxmlformats.org/officeDocument/2006/relationships/hyperlink" Target="https://www.antifraucv.es/wp-content/uploads/2021/07/20210623_CIEGSA.pdf" TargetMode="External"/><Relationship Id="rId250" Type="http://schemas.openxmlformats.org/officeDocument/2006/relationships/image" Target="media/image27.png"/><Relationship Id="rId292" Type="http://schemas.openxmlformats.org/officeDocument/2006/relationships/hyperlink" Target="http://www.poderjudicial.es/search/TS/openDocument/e5631ef00cd5e6ce/20200213" TargetMode="External"/><Relationship Id="rId306" Type="http://schemas.openxmlformats.org/officeDocument/2006/relationships/hyperlink" Target="https://www.poderjudicial.es/search/AN/openDocument/e5631ef00cd5e6ce/20200213" TargetMode="External"/><Relationship Id="rId488" Type="http://schemas.openxmlformats.org/officeDocument/2006/relationships/hyperlink" Target="https://www.antifraucv.es/wp-content/uploads/2021/12/Catalogo-de-riesgos.pdf" TargetMode="External"/><Relationship Id="rId45" Type="http://schemas.openxmlformats.org/officeDocument/2006/relationships/hyperlink" Target="file:///Q:\MEMORIA\2021_gtm\TEXTO%20PROVISIONAL\MEMORIA%202021_CAS\MEMORIA%20PROVISIONAL_CAS_V31.docx" TargetMode="External"/><Relationship Id="rId87" Type="http://schemas.openxmlformats.org/officeDocument/2006/relationships/hyperlink" Target="https://www.antifraucv.es/la-agencia-valenciana-antifraude-firma-un-convenio-con-la-fundacion-civio-para-el-desarrollo-del-proyecto-scemaps/" TargetMode="External"/><Relationship Id="rId110" Type="http://schemas.openxmlformats.org/officeDocument/2006/relationships/hyperlink" Target="https://www.youtube.com/watch?v=vpwVdUqlRKk" TargetMode="External"/><Relationship Id="rId348" Type="http://schemas.openxmlformats.org/officeDocument/2006/relationships/chart" Target="charts/chart5.xml"/><Relationship Id="rId513" Type="http://schemas.openxmlformats.org/officeDocument/2006/relationships/image" Target="media/image56.png"/><Relationship Id="rId555" Type="http://schemas.openxmlformats.org/officeDocument/2006/relationships/image" Target="media/image69.emf"/><Relationship Id="rId152" Type="http://schemas.openxmlformats.org/officeDocument/2006/relationships/hyperlink" Target="https://bit.ly/3HdPWwN" TargetMode="External"/><Relationship Id="rId194" Type="http://schemas.openxmlformats.org/officeDocument/2006/relationships/hyperlink" Target="https://www.boe.es/doue/2019/305/L00017-00056.pdf" TargetMode="External"/><Relationship Id="rId208" Type="http://schemas.openxmlformats.org/officeDocument/2006/relationships/hyperlink" Target="https://www.boe.es/buscar/pdf/2016/BOE-A-2016-12048-consolidado.pdf" TargetMode="External"/><Relationship Id="rId415" Type="http://schemas.openxmlformats.org/officeDocument/2006/relationships/hyperlink" Target="http://www.antifraucv.es/wp-content/uploads/2021/03/20210126_GENERALITAT_VALENCIANA_IVC.pdf" TargetMode="External"/><Relationship Id="rId457" Type="http://schemas.openxmlformats.org/officeDocument/2006/relationships/hyperlink" Target="https://www.antifraucv.es/wp-content/uploads/2021/09/20210914_AYUNTAMIENTO_DE_ARAS_DE_LOS_OLMOS.pdf" TargetMode="External"/><Relationship Id="rId261" Type="http://schemas.openxmlformats.org/officeDocument/2006/relationships/hyperlink" Target="https://www.antifraucv.es/wp-content/uploads/2022/02/Declaracion-institucional-REDOAF.pdf" TargetMode="External"/><Relationship Id="rId499" Type="http://schemas.openxmlformats.org/officeDocument/2006/relationships/image" Target="media/image42.jpeg"/><Relationship Id="rId14" Type="http://schemas.openxmlformats.org/officeDocument/2006/relationships/hyperlink" Target="http://www.antifraucv.es/" TargetMode="External"/><Relationship Id="rId56" Type="http://schemas.openxmlformats.org/officeDocument/2006/relationships/hyperlink" Target="https://www.youtube.com/watch?v=-LL-x9CZRXo" TargetMode="External"/><Relationship Id="rId317" Type="http://schemas.openxmlformats.org/officeDocument/2006/relationships/hyperlink" Target="https://www.boe.es/eli/es/ai/2003/10/31/(1)/dof/spa/pdf" TargetMode="External"/><Relationship Id="rId359" Type="http://schemas.openxmlformats.org/officeDocument/2006/relationships/hyperlink" Target="http://www.antifraucv.es/wp-content/uploads/2021/04/Informe-juridico-avaf-sobre-informe-letrado-Corts-FDO.pdf" TargetMode="External"/><Relationship Id="rId524" Type="http://schemas.openxmlformats.org/officeDocument/2006/relationships/image" Target="media/image60.jpeg"/><Relationship Id="rId566" Type="http://schemas.openxmlformats.org/officeDocument/2006/relationships/image" Target="media/image80.emf"/><Relationship Id="rId98" Type="http://schemas.openxmlformats.org/officeDocument/2006/relationships/hyperlink" Target="https://congresotransparencia.com/programa-alicante/" TargetMode="External"/><Relationship Id="rId121" Type="http://schemas.openxmlformats.org/officeDocument/2006/relationships/hyperlink" Target="https://www.antifraucv.es/5-razones-para-debatir-sobre-la-prevencion-de-la-corrupcion-en-las-aulas/" TargetMode="External"/><Relationship Id="rId163" Type="http://schemas.openxmlformats.org/officeDocument/2006/relationships/hyperlink" Target="https://bit.ly/3oifIsp" TargetMode="External"/><Relationship Id="rId219" Type="http://schemas.openxmlformats.org/officeDocument/2006/relationships/hyperlink" Target="https://www.antifraucv.es/wp-content/uploads/2022/03/220307_Res-designacion-miembros-Comite-de-etica-AVAF-CSV.pdf" TargetMode="External"/><Relationship Id="rId370" Type="http://schemas.openxmlformats.org/officeDocument/2006/relationships/hyperlink" Target="https://www.antifraucv.es/informacion-de-relevancia-juridica/" TargetMode="External"/><Relationship Id="rId426" Type="http://schemas.openxmlformats.org/officeDocument/2006/relationships/hyperlink" Target="http://www.antifraucv.es/wp-content/uploads/2021/04/20210316_DIPUTACION_DE_VALENCIA-DIVALTERRA.pdf" TargetMode="External"/><Relationship Id="rId230" Type="http://schemas.openxmlformats.org/officeDocument/2006/relationships/hyperlink" Target="https://www.congreso.es/proposiciones-de-ley?p_p_id=iniciativas&amp;p_p_lifecycle=0&amp;p_p_state=normal&amp;p_p_mode=view&amp;_iniciativas_mode=mostrarDetalle&amp;_iniciativas_legislatura=XIV&amp;_iniciativas_id=122%2F000116" TargetMode="External"/><Relationship Id="rId468" Type="http://schemas.openxmlformats.org/officeDocument/2006/relationships/hyperlink" Target="https://www.antifraucv.es/wp-content/uploads/2021/11/202111030-AYUNTAMIENTO_DE_BURRIANA.pdf" TargetMode="External"/><Relationship Id="rId25" Type="http://schemas.openxmlformats.org/officeDocument/2006/relationships/hyperlink" Target="https://www.facebook.com/AgenciaValencianaAntifraude/" TargetMode="External"/><Relationship Id="rId67" Type="http://schemas.openxmlformats.org/officeDocument/2006/relationships/image" Target="media/image15.jpeg"/><Relationship Id="rId272" Type="http://schemas.openxmlformats.org/officeDocument/2006/relationships/hyperlink" Target="https://transparencia.gob.es/transparencia/dam/jcr:d306cd62-cc0f-40a1-9be8-fe24eeeee10d/IVPlanGobiernoAbierto_ES_vdef.pdf" TargetMode="External"/><Relationship Id="rId328" Type="http://schemas.openxmlformats.org/officeDocument/2006/relationships/hyperlink" Target="https://eur-lex.europa.eu/legal-content/ES/TXT/PDF/?uri=CELEX:52021SC0710&amp;from=ES" TargetMode="External"/><Relationship Id="rId535" Type="http://schemas.openxmlformats.org/officeDocument/2006/relationships/chart" Target="charts/chart14.xml"/><Relationship Id="rId577" Type="http://schemas.openxmlformats.org/officeDocument/2006/relationships/image" Target="media/image91.emf"/><Relationship Id="rId132" Type="http://schemas.openxmlformats.org/officeDocument/2006/relationships/hyperlink" Target="https://bit.ly/3Hib7xN" TargetMode="External"/><Relationship Id="rId174" Type="http://schemas.openxmlformats.org/officeDocument/2006/relationships/hyperlink" Target="https://www.cortsvalencianes.es/es/parlament-obert/participa/iniciativa/proposicion-de-ley-de-transparencia-y-buen-gobierno-de" TargetMode="External"/><Relationship Id="rId381" Type="http://schemas.openxmlformats.org/officeDocument/2006/relationships/hyperlink" Target="https://www.cortsvalencianes.es/es/consulta_boc" TargetMode="External"/><Relationship Id="rId241" Type="http://schemas.openxmlformats.org/officeDocument/2006/relationships/hyperlink" Target="https://www.asambleamadrid.es/static/docs/registro-ep/RGEP27067-20.pdf" TargetMode="External"/><Relationship Id="rId437" Type="http://schemas.openxmlformats.org/officeDocument/2006/relationships/hyperlink" Target="http://www.antifraucv.es/wp-content/uploads/2021/04/20210512_AYUNTAMIENTO_DE_VALENCIA.pdf" TargetMode="External"/><Relationship Id="rId479" Type="http://schemas.openxmlformats.org/officeDocument/2006/relationships/hyperlink" Target="https://www.antifraucv.es/wp-content/uploads/2022/01/20211216-_AYUNTAMIENTO-DE-TOUS.pdf" TargetMode="External"/><Relationship Id="rId36" Type="http://schemas.openxmlformats.org/officeDocument/2006/relationships/hyperlink" Target="https://www.twitch.tv/antifraucv?lang=es" TargetMode="External"/><Relationship Id="rId283" Type="http://schemas.openxmlformats.org/officeDocument/2006/relationships/hyperlink" Target="https://www.boe.es/boe/dias/2006/07/19/pdfs/A27132-27153.pdf" TargetMode="External"/><Relationship Id="rId339" Type="http://schemas.openxmlformats.org/officeDocument/2006/relationships/hyperlink" Target="http://www.antifraucv.es/wp-content/uploads/2021/03/05_RES_ambito_actuacion-material_avaf-FDO.pdf" TargetMode="External"/><Relationship Id="rId490" Type="http://schemas.openxmlformats.org/officeDocument/2006/relationships/image" Target="media/image380.jpeg"/><Relationship Id="rId504" Type="http://schemas.openxmlformats.org/officeDocument/2006/relationships/image" Target="media/image47.png"/><Relationship Id="rId546" Type="http://schemas.openxmlformats.org/officeDocument/2006/relationships/hyperlink" Target="https://www.hacienda.gob.es/Documentacion/Publico/D.G.%20PATRIMONIO/Junta%20Consultiva/informes/Informes2021/2021-075instruccionPRTR.pdf" TargetMode="External"/><Relationship Id="rId78" Type="http://schemas.openxmlformats.org/officeDocument/2006/relationships/image" Target="media/image18.jpeg"/><Relationship Id="rId101" Type="http://schemas.openxmlformats.org/officeDocument/2006/relationships/hyperlink" Target="https://es-es.facebook.com/FICValencia/videos/debates-humans-fest-2021-corrupci%C3%B3n-un-mal-local-de-efectos-globales/425850832033633/" TargetMode="External"/><Relationship Id="rId143" Type="http://schemas.openxmlformats.org/officeDocument/2006/relationships/hyperlink" Target="https://bit.ly/3GklFey" TargetMode="External"/><Relationship Id="rId185" Type="http://schemas.openxmlformats.org/officeDocument/2006/relationships/hyperlink" Target="https://eur-lex.europa.eu/legal-content/ES/TXT/HTML/?uri=CELEX:51998IP0285&amp;from=SV" TargetMode="External"/><Relationship Id="rId350" Type="http://schemas.openxmlformats.org/officeDocument/2006/relationships/chart" Target="charts/chart7.xml"/><Relationship Id="rId406" Type="http://schemas.openxmlformats.org/officeDocument/2006/relationships/image" Target="media/image32.png"/><Relationship Id="rId9" Type="http://schemas.openxmlformats.org/officeDocument/2006/relationships/header" Target="header2.xml"/><Relationship Id="rId210" Type="http://schemas.openxmlformats.org/officeDocument/2006/relationships/hyperlink" Target="https://www.boe.es/buscar/pdf/2013/BOE-A-2013-12887-consolidado.pdf" TargetMode="External"/><Relationship Id="rId392" Type="http://schemas.openxmlformats.org/officeDocument/2006/relationships/hyperlink" Target="https://www.cortsvalencianes.es/es/consulta_boc" TargetMode="External"/><Relationship Id="rId448" Type="http://schemas.openxmlformats.org/officeDocument/2006/relationships/hyperlink" Target="https://www.antifraucv.es/wp-content/uploads/2021/07/20210706-AYUNTAMIENTO-DE-VALENCIA.pdf" TargetMode="External"/><Relationship Id="rId252" Type="http://schemas.openxmlformats.org/officeDocument/2006/relationships/hyperlink" Target="https://www.antifraucv.es/wp-content/uploads/2022/03/210917-Declaracion-llamamiento-final-ENG-ESP.pdf" TargetMode="External"/><Relationship Id="rId294" Type="http://schemas.openxmlformats.org/officeDocument/2006/relationships/hyperlink" Target="https://www.boe.es/doue/2019/305/L00017-00056.pdf" TargetMode="External"/><Relationship Id="rId308" Type="http://schemas.openxmlformats.org/officeDocument/2006/relationships/hyperlink" Target="https://www.cortsvalencianes.es/sites/default/files/initiative/doc/33_PL_TRANSPARENCIABOCV_110.pdf" TargetMode="External"/><Relationship Id="rId515" Type="http://schemas.openxmlformats.org/officeDocument/2006/relationships/hyperlink" Target="https://youtu.be/F65q4Z3Yu9w" TargetMode="External"/><Relationship Id="rId47" Type="http://schemas.openxmlformats.org/officeDocument/2006/relationships/hyperlink" Target="file:///Q:\MEMORIA\2021_gtm\TEXTO%20PROVISIONAL\MEMORIA%202021_CAS\MEMORIA%20PROVISIONAL_CAS_V31.docx" TargetMode="External"/><Relationship Id="rId89" Type="http://schemas.openxmlformats.org/officeDocument/2006/relationships/hyperlink" Target="https://www.antifraucv.es/la-upv-y-la-agencia-valenciana-antifraude-impulsan-la-formacion-y-la-investigacion-en-el-ambito-de-la-lucha-contra-el-fraude/" TargetMode="External"/><Relationship Id="rId112" Type="http://schemas.openxmlformats.org/officeDocument/2006/relationships/hyperlink" Target="https://oaib.es/ca/jornada-lenfrontament-de-la-corrupcio/" TargetMode="External"/><Relationship Id="rId154" Type="http://schemas.openxmlformats.org/officeDocument/2006/relationships/hyperlink" Target="https://bit.ly/3IRY8mO" TargetMode="External"/><Relationship Id="rId361" Type="http://schemas.openxmlformats.org/officeDocument/2006/relationships/hyperlink" Target="https://www.antifraucv.es/wp-content/uploads/2022/01/DOGV-Res-modif-Reglamento.pdf" TargetMode="External"/><Relationship Id="rId557" Type="http://schemas.openxmlformats.org/officeDocument/2006/relationships/image" Target="media/image71.emf"/><Relationship Id="rId196" Type="http://schemas.openxmlformats.org/officeDocument/2006/relationships/hyperlink" Target="https://www.boe.es/doue/2019/305/L00017-00056.pdf" TargetMode="External"/><Relationship Id="rId417" Type="http://schemas.openxmlformats.org/officeDocument/2006/relationships/hyperlink" Target="http://www.antifraucv.es/wp-content/uploads/2021/03/20210127_AYUNTAMIENTO_DE_VALENCIA.pdf" TargetMode="External"/><Relationship Id="rId459" Type="http://schemas.openxmlformats.org/officeDocument/2006/relationships/hyperlink" Target="https://www.antifraucv.es/wp-content/uploads/2021/10/20211001_IVAM.pdf" TargetMode="External"/><Relationship Id="rId16" Type="http://schemas.openxmlformats.org/officeDocument/2006/relationships/hyperlink" Target="http://www.antifraucv.es/" TargetMode="External"/><Relationship Id="rId221" Type="http://schemas.openxmlformats.org/officeDocument/2006/relationships/hyperlink" Target="https://www.boe.es/doue/2019/305/L00017-00056.pdf" TargetMode="External"/><Relationship Id="rId263" Type="http://schemas.openxmlformats.org/officeDocument/2006/relationships/hyperlink" Target="https://www.antifraucv.es/wp-content/uploads/2021/12/210617-Declaracion-Institucional-AVAF_Transposicion-Directiva_-2019-1937.pdf" TargetMode="External"/><Relationship Id="rId319" Type="http://schemas.openxmlformats.org/officeDocument/2006/relationships/hyperlink" Target="https://fra.europa.eu/es/about-fra" TargetMode="External"/><Relationship Id="rId470" Type="http://schemas.openxmlformats.org/officeDocument/2006/relationships/hyperlink" Target="https://www.antifraucv.es/wp-content/uploads/2021/11/202111030-AYUNTAMIENTO_VALENCIA_.pdf" TargetMode="External"/><Relationship Id="rId526" Type="http://schemas.openxmlformats.org/officeDocument/2006/relationships/image" Target="media/image62.jpeg"/><Relationship Id="rId58" Type="http://schemas.openxmlformats.org/officeDocument/2006/relationships/hyperlink" Target="https://www.youtube.com/watch?v=-LL-x9CZRXo" TargetMode="External"/><Relationship Id="rId123" Type="http://schemas.openxmlformats.org/officeDocument/2006/relationships/hyperlink" Target="https://www.antifraucv.es/planes-antifraude-bla-bla-bla-avaf/" TargetMode="External"/><Relationship Id="rId330" Type="http://schemas.openxmlformats.org/officeDocument/2006/relationships/hyperlink" Target="https://www.boe.es/buscar/pdf/2003/BOE-A-2003-20977-consolidado.pdf" TargetMode="External"/><Relationship Id="rId568" Type="http://schemas.openxmlformats.org/officeDocument/2006/relationships/image" Target="media/image82.emf"/><Relationship Id="rId165" Type="http://schemas.openxmlformats.org/officeDocument/2006/relationships/hyperlink" Target="https://bit.ly/35v0Pw6" TargetMode="External"/><Relationship Id="rId372" Type="http://schemas.openxmlformats.org/officeDocument/2006/relationships/hyperlink" Target="http://www.antifraucv.es/wp-content/uploads/2021/03/180921_convenio_ayuntamiento_bcn_CS.pdf" TargetMode="External"/><Relationship Id="rId428" Type="http://schemas.openxmlformats.org/officeDocument/2006/relationships/hyperlink" Target="http://www.antifraucv.es/wp-content/uploads/2021/04/20210322_FAVIDE.pdf" TargetMode="External"/><Relationship Id="rId232" Type="http://schemas.openxmlformats.org/officeDocument/2006/relationships/hyperlink" Target="https://www.boe.es/doue/2010/083/Z00047-00199.pdf" TargetMode="External"/><Relationship Id="rId274" Type="http://schemas.openxmlformats.org/officeDocument/2006/relationships/hyperlink" Target="https://www.lamoncloa.gob.es/consejodeministros/resumenes/Documents/2022/PAN%20202.pdf" TargetMode="External"/><Relationship Id="rId481" Type="http://schemas.openxmlformats.org/officeDocument/2006/relationships/hyperlink" Target="https://www.antifraucv.es/wp-content/uploads/2022/01/20211229-AYUNTAMIENTO-DE-CHIVA.pdf" TargetMode="External"/><Relationship Id="rId27" Type="http://schemas.openxmlformats.org/officeDocument/2006/relationships/hyperlink" Target="https://www.instagram.com/antifraude_avaf/" TargetMode="External"/><Relationship Id="rId69" Type="http://schemas.openxmlformats.org/officeDocument/2006/relationships/hyperlink" Target="https://www.antifraucv.es/covid-19-derechos-y-responsabilidades-a-debate-el-impacto-de-la-pandemia-en-el-sistema-de-derechos-civiles-sociales-y-politicos-en-la-primera-de-las-jornadas-uv-avaf/" TargetMode="External"/><Relationship Id="rId134" Type="http://schemas.openxmlformats.org/officeDocument/2006/relationships/hyperlink" Target="https://bit.ly/3GiBUIT" TargetMode="External"/><Relationship Id="rId537" Type="http://schemas.openxmlformats.org/officeDocument/2006/relationships/hyperlink" Target="https://www.antifraucv.es/es/portal-transparencia/informacion-institucional/" TargetMode="External"/><Relationship Id="rId579" Type="http://schemas.openxmlformats.org/officeDocument/2006/relationships/image" Target="media/image93.emf"/><Relationship Id="rId80" Type="http://schemas.openxmlformats.org/officeDocument/2006/relationships/hyperlink" Target="https://www.antifraucv.es/finaliza-el-plazo-de-transposicion-de-la-directiva-europea-whistleblower-sin-que-el-gobierno-de-espana-haya-realizado-los-trabajos-de-transposicion/" TargetMode="External"/><Relationship Id="rId176" Type="http://schemas.openxmlformats.org/officeDocument/2006/relationships/hyperlink" Target="https://www.antifraucv.es/wp-content/uploads/2021/04/210511_Oficios_y_Enmiendas_Ley_Transparencia_y_Buen_Gobierno_GVA_CAS.pdf" TargetMode="External"/><Relationship Id="rId341" Type="http://schemas.openxmlformats.org/officeDocument/2006/relationships/hyperlink" Target="https://www.poderjudicial.es/search/AN/openDocument/d44f38a44e26beac/20210409" TargetMode="External"/><Relationship Id="rId383" Type="http://schemas.openxmlformats.org/officeDocument/2006/relationships/hyperlink" Target="https://www.cortsvalencianes.es/es/consulta_boc" TargetMode="External"/><Relationship Id="rId439" Type="http://schemas.openxmlformats.org/officeDocument/2006/relationships/hyperlink" Target="http://www.antifraucv.es/wp-content/uploads/2021/04/20210518_CACSA.pdf" TargetMode="External"/><Relationship Id="rId201" Type="http://schemas.openxmlformats.org/officeDocument/2006/relationships/hyperlink" Target="http://gvaoberta.gva.es/documents/7843050/172236069/RESOL_20190627_cas.pdf/88905c8f-26fb-46f8-9ebc-4546aaea51a7" TargetMode="External"/><Relationship Id="rId243" Type="http://schemas.openxmlformats.org/officeDocument/2006/relationships/hyperlink" Target="https://www.asambleamadrid.es/static/docs/registro-ep/RGEP27067-20.pdf" TargetMode="External"/><Relationship Id="rId285" Type="http://schemas.openxmlformats.org/officeDocument/2006/relationships/hyperlink" Target="https://www.boe.es/buscar/pdf/2016/BOE-A-2016-12048-consolidado.pdf" TargetMode="External"/><Relationship Id="rId450" Type="http://schemas.openxmlformats.org/officeDocument/2006/relationships/hyperlink" Target="https://www.antifraucv.es/wp-content/uploads/2021/07/20210715_AYUNTAMIENTO-DE-BENIDORM.pdf" TargetMode="External"/><Relationship Id="rId506" Type="http://schemas.openxmlformats.org/officeDocument/2006/relationships/image" Target="media/image49.png"/><Relationship Id="rId38" Type="http://schemas.openxmlformats.org/officeDocument/2006/relationships/hyperlink" Target="https://www.ivoox.com/podcast-podcast-agencia-valenciana-antifraude_sq_f11289334_1.html" TargetMode="External"/><Relationship Id="rId103" Type="http://schemas.openxmlformats.org/officeDocument/2006/relationships/hyperlink" Target="https://www.antifraucv.es/el-director-de-la-avaf-participa-en-una-mesa-redonda-con-organismos-de-control-dentro-de-la-actividad-politicas-por-los-ods-objetivo-16-6-en-la-universidad-cardenal-herrera-ceu/" TargetMode="External"/><Relationship Id="rId310" Type="http://schemas.openxmlformats.org/officeDocument/2006/relationships/hyperlink" Target="https://www.antifraucv.es/wp-content/uploads/2022/03/Enmiendas-Ley-Transparencia.pdf" TargetMode="External"/><Relationship Id="rId492" Type="http://schemas.openxmlformats.org/officeDocument/2006/relationships/image" Target="media/image39.jpeg"/><Relationship Id="rId548" Type="http://schemas.openxmlformats.org/officeDocument/2006/relationships/hyperlink" Target="https://www.boe.es/doue/2019/305/L00017-00056.pdf" TargetMode="External"/><Relationship Id="rId91" Type="http://schemas.openxmlformats.org/officeDocument/2006/relationships/hyperlink" Target="https://www.cortsvalencianes.es/es/consulta_boc" TargetMode="External"/><Relationship Id="rId145" Type="http://schemas.openxmlformats.org/officeDocument/2006/relationships/hyperlink" Target="https://bit.ly/3L0Gxek" TargetMode="External"/><Relationship Id="rId187" Type="http://schemas.openxmlformats.org/officeDocument/2006/relationships/hyperlink" Target="https://www.boe.es/boe/dias/2010/03/31/pdfs/BOE-A-2010-5259.pdf" TargetMode="External"/><Relationship Id="rId352" Type="http://schemas.openxmlformats.org/officeDocument/2006/relationships/chart" Target="charts/chart9.xml"/><Relationship Id="rId394" Type="http://schemas.openxmlformats.org/officeDocument/2006/relationships/hyperlink" Target="https://www.boe.es/buscar/pdf/2016/BOE-A-2016-12048-consolidado.pdf" TargetMode="External"/><Relationship Id="rId408" Type="http://schemas.openxmlformats.org/officeDocument/2006/relationships/image" Target="media/image34.png"/><Relationship Id="rId212" Type="http://schemas.openxmlformats.org/officeDocument/2006/relationships/hyperlink" Target="https://www.antifraucv.es/informacion-de-relevancia-juridica/" TargetMode="External"/><Relationship Id="rId254" Type="http://schemas.openxmlformats.org/officeDocument/2006/relationships/hyperlink" Target="https://www.antifraucv.es/wp-content/uploads/2022/01/Declaracion-Utrecht-4-junio-2021-canales-externos-ENG-CAS.pdf" TargetMode="External"/><Relationship Id="rId49" Type="http://schemas.openxmlformats.org/officeDocument/2006/relationships/hyperlink" Target="file:///Q:\MEMORIA\2021_gtm\TEXTO%20PROVISIONAL\MEMORIA%202021_CAS\MEMORIA%20PROVISIONAL_CAS_V31.docx" TargetMode="External"/><Relationship Id="rId114" Type="http://schemas.openxmlformats.org/officeDocument/2006/relationships/hyperlink" Target="https://videos.gva.es/html5/html5lib/v2.79.1/mwEmbedFrame.php/p/149/uiconf_id/23448251/entry_id/0_ys3qsco5?wid=_149&amp;iframeembed=true&amp;entry_id=0_ys3qsco5" TargetMode="External"/><Relationship Id="rId296" Type="http://schemas.openxmlformats.org/officeDocument/2006/relationships/hyperlink" Target="https://www.boe.es/doue/2019/305/L00017-00056.pdf" TargetMode="External"/><Relationship Id="rId461" Type="http://schemas.openxmlformats.org/officeDocument/2006/relationships/hyperlink" Target="https://www.antifraucv.es/wp-content/uploads/2021/10/20211014_AYUNTAMIENTO_DE_ORBA.pdf" TargetMode="External"/><Relationship Id="rId517" Type="http://schemas.openxmlformats.org/officeDocument/2006/relationships/image" Target="media/image57.png"/><Relationship Id="rId559" Type="http://schemas.openxmlformats.org/officeDocument/2006/relationships/image" Target="media/image73.emf"/><Relationship Id="rId60" Type="http://schemas.openxmlformats.org/officeDocument/2006/relationships/image" Target="media/image13.jpeg"/><Relationship Id="rId156" Type="http://schemas.openxmlformats.org/officeDocument/2006/relationships/hyperlink" Target="https://bit.ly/3IRmuNB" TargetMode="External"/><Relationship Id="rId198" Type="http://schemas.openxmlformats.org/officeDocument/2006/relationships/hyperlink" Target="https://www.boe.es/buscar/pdf/2016/BOE-A-2016-12048-consolidado.pdf" TargetMode="External"/><Relationship Id="rId321" Type="http://schemas.openxmlformats.org/officeDocument/2006/relationships/hyperlink" Target="http://ennhri.org/" TargetMode="External"/><Relationship Id="rId363" Type="http://schemas.openxmlformats.org/officeDocument/2006/relationships/hyperlink" Target="https://dogv.gva.es/auto/dogv/docvpub/rlgv/2019/RAF_20190627_ca_RAF_20190716.pdf" TargetMode="External"/><Relationship Id="rId419" Type="http://schemas.openxmlformats.org/officeDocument/2006/relationships/hyperlink" Target="http://www.antifraucv.es/wp-content/uploads/2021/03/20210217_AYUNTAMIENTO_DE_ROJALES.pdf" TargetMode="External"/><Relationship Id="rId570" Type="http://schemas.openxmlformats.org/officeDocument/2006/relationships/image" Target="media/image84.emf"/><Relationship Id="rId223" Type="http://schemas.openxmlformats.org/officeDocument/2006/relationships/image" Target="media/image24.png"/><Relationship Id="rId430" Type="http://schemas.openxmlformats.org/officeDocument/2006/relationships/hyperlink" Target="http://www.antifraucv.es/wp-content/uploads/2021/04/20210323_UNIVERSIDAD_JAUME_I_FUE.pdf" TargetMode="External"/><Relationship Id="rId18" Type="http://schemas.openxmlformats.org/officeDocument/2006/relationships/hyperlink" Target="http://www.antifraucv.es/" TargetMode="External"/><Relationship Id="rId265" Type="http://schemas.openxmlformats.org/officeDocument/2006/relationships/hyperlink" Target="https://www.antifraucv.es/wp-content/uploads/2021/02/AVAF_Alegaciones-consulta-p%C3%BAblica-FDO.pdf" TargetMode="External"/><Relationship Id="rId472" Type="http://schemas.openxmlformats.org/officeDocument/2006/relationships/hyperlink" Target="https://www.antifraucv.es/wp-content/uploads/2022/01/20211207_CORPORACION-VALENCIANA-DE-MEDIOS.pdf" TargetMode="External"/><Relationship Id="rId528" Type="http://schemas.openxmlformats.org/officeDocument/2006/relationships/image" Target="media/image64.jpeg"/><Relationship Id="rId125" Type="http://schemas.openxmlformats.org/officeDocument/2006/relationships/chart" Target="charts/chart1.xml"/><Relationship Id="rId167" Type="http://schemas.openxmlformats.org/officeDocument/2006/relationships/hyperlink" Target="https://bit.ly/3KTtdZ4" TargetMode="External"/><Relationship Id="rId332" Type="http://schemas.openxmlformats.org/officeDocument/2006/relationships/hyperlink" Target="https://www.boe.es/doue/2021/057/L00017-00075.pdf" TargetMode="External"/><Relationship Id="rId374" Type="http://schemas.openxmlformats.org/officeDocument/2006/relationships/hyperlink" Target="https://www.cortsvalencianes.es/es/consulta_boc" TargetMode="External"/><Relationship Id="rId581" Type="http://schemas.openxmlformats.org/officeDocument/2006/relationships/image" Target="media/image95.emf"/><Relationship Id="rId71" Type="http://schemas.openxmlformats.org/officeDocument/2006/relationships/hyperlink" Target="https://www.youtube.com/channel/UCkDS5OEUZu3iTEWg7gu8XXQ" TargetMode="External"/><Relationship Id="rId234" Type="http://schemas.openxmlformats.org/officeDocument/2006/relationships/hyperlink" Target="https://curia.europa.eu/jcms/upload/docs/application/pdf/2021-02/cp210022es.pdf" TargetMode="External"/><Relationship Id="rId2" Type="http://schemas.openxmlformats.org/officeDocument/2006/relationships/numbering" Target="numbering.xml"/><Relationship Id="rId29" Type="http://schemas.openxmlformats.org/officeDocument/2006/relationships/hyperlink" Target="https://www.youtube.com/channel/UCkDS5OEUZu3iTEWg7gu8XXQ" TargetMode="External"/><Relationship Id="rId276" Type="http://schemas.openxmlformats.org/officeDocument/2006/relationships/hyperlink" Target="https://www.boe.es/buscar/pdf/2015/BOE-A-2015-10565-consolidado.pdf" TargetMode="External"/><Relationship Id="rId441" Type="http://schemas.openxmlformats.org/officeDocument/2006/relationships/hyperlink" Target="https://www.antifraucv.es/wp-content/uploads/2021/07/20210610_CONSELLERIA_DE_JUSTICIA.pdf" TargetMode="External"/><Relationship Id="rId483" Type="http://schemas.openxmlformats.org/officeDocument/2006/relationships/hyperlink" Target="https://www.antifraucv.es/wp-content/uploads/2022/01/20211230_AYUNTAMIENTO-DE-BENIDORM.pdf" TargetMode="External"/><Relationship Id="rId539" Type="http://schemas.openxmlformats.org/officeDocument/2006/relationships/header" Target="header4.xml"/><Relationship Id="rId40" Type="http://schemas.openxmlformats.org/officeDocument/2006/relationships/hyperlink" Target="file:///Q:\MEMORIA\2021_gtm\TEXTO%20PROVISIONAL\MEMORIA%202021_CAS\MEMORIA%20PROVISIONAL_CAS_V31.docx" TargetMode="External"/><Relationship Id="rId136" Type="http://schemas.openxmlformats.org/officeDocument/2006/relationships/hyperlink" Target="https://bit.ly/340suVD" TargetMode="External"/><Relationship Id="rId178" Type="http://schemas.openxmlformats.org/officeDocument/2006/relationships/hyperlink" Target="https://www.youtube.com/watch?v=BWORDmZqsYQ" TargetMode="External"/><Relationship Id="rId301" Type="http://schemas.openxmlformats.org/officeDocument/2006/relationships/hyperlink" Target="https://www.boe.es/boe/dias/2006/07/19/pdfs/A27132-27153.pdf" TargetMode="External"/><Relationship Id="rId343" Type="http://schemas.openxmlformats.org/officeDocument/2006/relationships/hyperlink" Target="https://www.poderjudicial.es/search/AN/openDocument/9a0dc3750afe7768/20220216" TargetMode="External"/><Relationship Id="rId550" Type="http://schemas.openxmlformats.org/officeDocument/2006/relationships/hyperlink" Target="https://www.antifraucv.es/wp-content/uploads/2021/03/MEMORIA_AVAF_2020_CAS.pdf" TargetMode="External"/><Relationship Id="rId82" Type="http://schemas.openxmlformats.org/officeDocument/2006/relationships/image" Target="media/image19.jpeg"/><Relationship Id="rId203" Type="http://schemas.openxmlformats.org/officeDocument/2006/relationships/hyperlink" Target="https://dogv.gva.es/datos/2019/10/28/pdf/2019_10039.pdf" TargetMode="External"/><Relationship Id="rId385" Type="http://schemas.openxmlformats.org/officeDocument/2006/relationships/hyperlink" Target="https://www.cortsvalencianes.es/es/consulta_boc" TargetMode="External"/><Relationship Id="rId245" Type="http://schemas.openxmlformats.org/officeDocument/2006/relationships/hyperlink" Target="https://www.mjusticia.gob.es/es/AreaTematica/ActividadLegislativa/Documents/APL%20INFORMANTES.pdf" TargetMode="External"/><Relationship Id="rId287" Type="http://schemas.openxmlformats.org/officeDocument/2006/relationships/hyperlink" Target="https://www.antifraucv.es/wp-content/uploads/2022/03/Alegaciones-AVAF-tramite-de-audiencia-APL-Directiva-2019-1937.pdf" TargetMode="External"/><Relationship Id="rId410" Type="http://schemas.openxmlformats.org/officeDocument/2006/relationships/image" Target="media/image36.png"/><Relationship Id="rId452" Type="http://schemas.openxmlformats.org/officeDocument/2006/relationships/hyperlink" Target="https://www.antifraucv.es/wp-content/uploads/2021/09/20210824_DIPUTACION_DE_CASTELLON.pdf" TargetMode="External"/><Relationship Id="rId494" Type="http://schemas.openxmlformats.org/officeDocument/2006/relationships/hyperlink" Target="https://www.antifraucv.es/wp-content/uploads/2021/11/Manual-Didactivo-Visual.pdfjunto" TargetMode="External"/><Relationship Id="rId508" Type="http://schemas.openxmlformats.org/officeDocument/2006/relationships/image" Target="media/image51.png"/><Relationship Id="rId105" Type="http://schemas.openxmlformats.org/officeDocument/2006/relationships/hyperlink" Target="https://www.youtube.com/watch?v=Ya417xLo4X0" TargetMode="External"/><Relationship Id="rId147" Type="http://schemas.openxmlformats.org/officeDocument/2006/relationships/hyperlink" Target="https://bit.ly/3GdeSDb" TargetMode="External"/><Relationship Id="rId312" Type="http://schemas.openxmlformats.org/officeDocument/2006/relationships/hyperlink" Target="http://www.asturiasparticipa.es/consulta_previa/proyecto-de-decreto-por-el-que-se-regula-el-estatuto-del-denunciante-del-principado-de-asturias/" TargetMode="External"/><Relationship Id="rId354" Type="http://schemas.openxmlformats.org/officeDocument/2006/relationships/chart" Target="charts/chart11.xml"/><Relationship Id="rId51" Type="http://schemas.openxmlformats.org/officeDocument/2006/relationships/hyperlink" Target="file:///Q:\MEMORIA\2021_gtm\TEXTO%20PROVISIONAL\MEMORIA%202021_CAS\MEMORIA%20PROVISIONAL_CAS_V31.docx" TargetMode="External"/><Relationship Id="rId93" Type="http://schemas.openxmlformats.org/officeDocument/2006/relationships/hyperlink" Target="https://www.epac-eacn.org/fileadmin/Documents/EPAC_EACN_EU_Integrity_Manual.pdf" TargetMode="External"/><Relationship Id="rId189" Type="http://schemas.openxmlformats.org/officeDocument/2006/relationships/hyperlink" Target="https://www.boe.es/boe/dias/2002/02/22/pdfs/A07155-07159.pdf" TargetMode="External"/><Relationship Id="rId396" Type="http://schemas.openxmlformats.org/officeDocument/2006/relationships/hyperlink" Target="https://lexnetjusticia.gob.es/" TargetMode="External"/><Relationship Id="rId561" Type="http://schemas.openxmlformats.org/officeDocument/2006/relationships/image" Target="media/image75.emf"/><Relationship Id="rId214" Type="http://schemas.openxmlformats.org/officeDocument/2006/relationships/hyperlink" Target="https://www.antifraucv.es/informacion-de-relevancia-juridica/" TargetMode="External"/><Relationship Id="rId256" Type="http://schemas.openxmlformats.org/officeDocument/2006/relationships/hyperlink" Target="https://www.antifraucv.es/wp-content/uploads/2022/01/Declaracion-Utrecht-4-junio-2021-canales-externos-ENG-CAS.pdf" TargetMode="External"/><Relationship Id="rId298" Type="http://schemas.openxmlformats.org/officeDocument/2006/relationships/hyperlink" Target="https://www.antifraucv.es/wp-content/uploads/2021/03/MEMORIA_AVAF_2020_CAS.pdf" TargetMode="External"/><Relationship Id="rId421" Type="http://schemas.openxmlformats.org/officeDocument/2006/relationships/hyperlink" Target="http://www.antifraucv.es/wp-content/uploads/2021/03/20210224_AYUNTAMIENTO_DE_VALENCIA.pdf" TargetMode="External"/><Relationship Id="rId463" Type="http://schemas.openxmlformats.org/officeDocument/2006/relationships/hyperlink" Target="https://www.antifraucv.es/wp-content/uploads/2021/10/20211020_CONSORCIO_DE_MUSEOS_DE_LA_CV.pdf" TargetMode="External"/><Relationship Id="rId519" Type="http://schemas.openxmlformats.org/officeDocument/2006/relationships/hyperlink" Target="https://www.antifraucv.es/cursos-formacion/" TargetMode="External"/><Relationship Id="rId116" Type="http://schemas.openxmlformats.org/officeDocument/2006/relationships/image" Target="media/image20.png"/><Relationship Id="rId158" Type="http://schemas.openxmlformats.org/officeDocument/2006/relationships/hyperlink" Target="https://bit.ly/3HlEy22" TargetMode="External"/><Relationship Id="rId323" Type="http://schemas.openxmlformats.org/officeDocument/2006/relationships/hyperlink" Target="https://www.coe.int/fr/web/portal/home" TargetMode="External"/><Relationship Id="rId530" Type="http://schemas.openxmlformats.org/officeDocument/2006/relationships/image" Target="media/image65.jpeg"/><Relationship Id="rId20" Type="http://schemas.openxmlformats.org/officeDocument/2006/relationships/hyperlink" Target="https://www.antifraucv.es/acceso-a-la-informacion/" TargetMode="External"/><Relationship Id="rId62" Type="http://schemas.openxmlformats.org/officeDocument/2006/relationships/hyperlink" Target="https://www.youtube.com/watch?v=wt8GwdQZskc" TargetMode="External"/><Relationship Id="rId365" Type="http://schemas.openxmlformats.org/officeDocument/2006/relationships/hyperlink" Target="https://www.antifraucv.es/wp-content/uploads/2021/11/20211103_Publicacion_DOGV.pdf" TargetMode="External"/><Relationship Id="rId572" Type="http://schemas.openxmlformats.org/officeDocument/2006/relationships/image" Target="media/image86.emf"/><Relationship Id="rId225" Type="http://schemas.openxmlformats.org/officeDocument/2006/relationships/hyperlink" Target="https://transparencia.gob.es/transparencia/dam/jcr:d306cd62-cc0f-40a1-9be8-fe24eeeee10d/IVPlanGobiernoAbierto_ES_vdef.pdf" TargetMode="External"/><Relationship Id="rId267" Type="http://schemas.openxmlformats.org/officeDocument/2006/relationships/hyperlink" Target="https://www.mjusticia.gob.es/es/AreaTematica/ActividadLegislativa/Documents/MAIN%20Y%20Tabla%20transposici%c3%b3n%20APL%20INFORMANTES.pdf" TargetMode="External"/><Relationship Id="rId432" Type="http://schemas.openxmlformats.org/officeDocument/2006/relationships/hyperlink" Target="http://www.antifraucv.es/wp-content/uploads/2021/04/20210421_GVA_CONSELLERIA_DE_EDUCACION.pdf" TargetMode="External"/><Relationship Id="rId474" Type="http://schemas.openxmlformats.org/officeDocument/2006/relationships/hyperlink" Target="https://www.antifraucv.es/wp-content/uploads/2022/02/20220114_AYUNTAMIENTO_DE_TORREVIEJA.pdf" TargetMode="External"/><Relationship Id="rId127" Type="http://schemas.openxmlformats.org/officeDocument/2006/relationships/chart" Target="charts/chart2.xml"/><Relationship Id="rId31" Type="http://schemas.openxmlformats.org/officeDocument/2006/relationships/hyperlink" Target="https://www.linkedin.com/company/antifraucv/" TargetMode="External"/><Relationship Id="rId73" Type="http://schemas.openxmlformats.org/officeDocument/2006/relationships/hyperlink" Target="https://www.youtube.com/watch?v=EYoCbZYTE4o" TargetMode="External"/><Relationship Id="rId169" Type="http://schemas.openxmlformats.org/officeDocument/2006/relationships/hyperlink" Target="https://bit.ly/349eOHN" TargetMode="External"/><Relationship Id="rId334" Type="http://schemas.openxmlformats.org/officeDocument/2006/relationships/hyperlink" Target="https://ec.europa.eu/info/overview-funding-programmes/technical-support-instrument-tsi_es" TargetMode="External"/><Relationship Id="rId376" Type="http://schemas.openxmlformats.org/officeDocument/2006/relationships/hyperlink" Target="https://www.cortsvalencianes.es/es/consulta_boc" TargetMode="External"/><Relationship Id="rId541" Type="http://schemas.openxmlformats.org/officeDocument/2006/relationships/header" Target="header6.xml"/><Relationship Id="rId583"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hyperlink" Target="https://www.boe.es/eli/es-pv/l/1988/02/05/1/con" TargetMode="External"/><Relationship Id="rId236" Type="http://schemas.openxmlformats.org/officeDocument/2006/relationships/hyperlink" Target="https://www.asambleamadrid.es/static/docs/registro-ep/RGEP27067-20.pdf" TargetMode="External"/><Relationship Id="rId278" Type="http://schemas.openxmlformats.org/officeDocument/2006/relationships/hyperlink" Target="https://dogv.gva.es/auto/dogv/docvpub/rlgv/2019/RAF_20190627_ca_RAF_20190716.pdf" TargetMode="External"/><Relationship Id="rId401" Type="http://schemas.openxmlformats.org/officeDocument/2006/relationships/image" Target="media/image29.png"/><Relationship Id="rId443" Type="http://schemas.openxmlformats.org/officeDocument/2006/relationships/hyperlink" Target="https://www.antifraucv.es/wp-content/uploads/2021/07/20210614_AYUNTAMIENTO_DE_BENIRREDRA.pdf" TargetMode="External"/><Relationship Id="rId303" Type="http://schemas.openxmlformats.org/officeDocument/2006/relationships/hyperlink" Target="https://www.boe.es/buscar/pdf/2016/BOE-A-2016-12048-consolidado.pdf" TargetMode="External"/><Relationship Id="rId485" Type="http://schemas.openxmlformats.org/officeDocument/2006/relationships/footer" Target="footer3.xml"/><Relationship Id="rId42" Type="http://schemas.openxmlformats.org/officeDocument/2006/relationships/hyperlink" Target="file:///Q:\MEMORIA\2021_gtm\TEXTO%20PROVISIONAL\MEMORIA%202021_CAS\MEMORIA%20PROVISIONAL_CAS_V31.docx" TargetMode="External"/><Relationship Id="rId84" Type="http://schemas.openxmlformats.org/officeDocument/2006/relationships/hyperlink" Target="https://www.antifraucv.es/wp-content/uploads/2021/09/210929-Declaracion-institucional-Agencias-antifraude.pdf" TargetMode="External"/><Relationship Id="rId138" Type="http://schemas.openxmlformats.org/officeDocument/2006/relationships/hyperlink" Target="https://bit.ly/3of3IaU" TargetMode="External"/><Relationship Id="rId345" Type="http://schemas.openxmlformats.org/officeDocument/2006/relationships/hyperlink" Target="https://www.hayderecho.com/2021/02/14/la-agencia-valenciana-antifraude-y-su-estatuto-de-proteccion-a-personas-denunciantes-la-sentencia-de-20-de-diciembre-de-2020-del-juzgado-de-lo-contencioso-num-1-de-elche/" TargetMode="External"/><Relationship Id="rId387" Type="http://schemas.openxmlformats.org/officeDocument/2006/relationships/hyperlink" Target="https://www.boe.es/buscar/doc.php?id=BOE-A-2021-15860" TargetMode="External"/><Relationship Id="rId510" Type="http://schemas.openxmlformats.org/officeDocument/2006/relationships/image" Target="media/image53.png"/><Relationship Id="rId552" Type="http://schemas.openxmlformats.org/officeDocument/2006/relationships/hyperlink" Target="https://www.poderjudicial.es/search/AN/openDocument/0437520ad30d0a82/20220104" TargetMode="External"/><Relationship Id="rId191" Type="http://schemas.openxmlformats.org/officeDocument/2006/relationships/hyperlink" Target="https://www.boe.es/boe/dias/2010/07/28/pdfs/BOE-A-2010-12135.pdf" TargetMode="External"/><Relationship Id="rId205" Type="http://schemas.openxmlformats.org/officeDocument/2006/relationships/hyperlink" Target="https://www.antifraucv.es/wp-content/uploads/2021/01/05_RES_%C3%A1mbito_actuaci%C3%B3n-material_avaf-FDO.pdf" TargetMode="External"/><Relationship Id="rId247" Type="http://schemas.openxmlformats.org/officeDocument/2006/relationships/hyperlink" Target="https://www.mjusticia.gob.es/eu/ciudadania/normas-tramitacion" TargetMode="External"/><Relationship Id="rId412" Type="http://schemas.openxmlformats.org/officeDocument/2006/relationships/hyperlink" Target="https://www.antifraucv.es/portal-de-transparencia/informacio-de-rellevancia-juridica/" TargetMode="External"/><Relationship Id="rId107" Type="http://schemas.openxmlformats.org/officeDocument/2006/relationships/hyperlink" Target="https://www.youtube.com/watch?v=GV7pXR2NW_E" TargetMode="External"/><Relationship Id="rId289" Type="http://schemas.openxmlformats.org/officeDocument/2006/relationships/hyperlink" Target="http://www.antifraucv.es/wp-content/uploads/2021/03/AVAF_Alegaciones-Informacion-Publica-LECRIM-WEB.pdf" TargetMode="External"/><Relationship Id="rId454" Type="http://schemas.openxmlformats.org/officeDocument/2006/relationships/hyperlink" Target="https://www.antifraucv.es/wp-content/uploads/2021/09/20210907_JUNTA_CENTRAL_FALLERA.pdf" TargetMode="External"/><Relationship Id="rId496" Type="http://schemas.openxmlformats.org/officeDocument/2006/relationships/image" Target="media/image400.jpeg"/><Relationship Id="rId11" Type="http://schemas.openxmlformats.org/officeDocument/2006/relationships/footer" Target="footer2.xml"/><Relationship Id="rId53" Type="http://schemas.openxmlformats.org/officeDocument/2006/relationships/hyperlink" Target="file:///Q:\MEMORIA\2021_gtm\TEXTO%20PROVISIONAL\MEMORIA%202021_CAS\MEMORIA%20PROVISIONAL_CAS_V31.docx" TargetMode="External"/><Relationship Id="rId149" Type="http://schemas.openxmlformats.org/officeDocument/2006/relationships/hyperlink" Target="https://bit.ly/3HjMMrr" TargetMode="External"/><Relationship Id="rId314" Type="http://schemas.openxmlformats.org/officeDocument/2006/relationships/hyperlink" Target="http://www.antifraucv.es/wp-content/uploads/2021/04/Presentacion_Alegaciones_Asturias_CSVRS.pdf" TargetMode="External"/><Relationship Id="rId356" Type="http://schemas.openxmlformats.org/officeDocument/2006/relationships/chart" Target="charts/chart13.xml"/><Relationship Id="rId398" Type="http://schemas.openxmlformats.org/officeDocument/2006/relationships/hyperlink" Target="http://www.antifraucv.es/wp-content/uploads/2021/04/Pronunciamiento_CdP.pdf" TargetMode="External"/><Relationship Id="rId521" Type="http://schemas.openxmlformats.org/officeDocument/2006/relationships/hyperlink" Target="https://www.youtube.com/channel/UCkDS5OEUZu3iTEWg7gu8XXQ/featured" TargetMode="External"/><Relationship Id="rId563" Type="http://schemas.openxmlformats.org/officeDocument/2006/relationships/image" Target="media/image77.emf"/><Relationship Id="rId95" Type="http://schemas.openxmlformats.org/officeDocument/2006/relationships/hyperlink" Target="https://transparencia.org.es/wp-content/uploads/2021/02/Programa-Avances-y-retos-en-transparencia-e-integridad-en-el-Congreso-de-los-Diputados-y-el-Senado-de-Espana-1.pdf" TargetMode="External"/><Relationship Id="rId160" Type="http://schemas.openxmlformats.org/officeDocument/2006/relationships/hyperlink" Target="https://bit.ly/3gvITE9" TargetMode="External"/><Relationship Id="rId216" Type="http://schemas.openxmlformats.org/officeDocument/2006/relationships/hyperlink" Target="https://www.antifraucv.es/wp-content/uploads/2022/03/220307_Res-designacion-miembros-Comite-de-etica-AVAF-CSV.pdf" TargetMode="External"/><Relationship Id="rId423" Type="http://schemas.openxmlformats.org/officeDocument/2006/relationships/hyperlink" Target="http://www.antifraucv.es/wp-content/uploads/2021/04/20210304_AYUNTAMIENTO_DE_VALENCIA.pdf" TargetMode="External"/><Relationship Id="rId258" Type="http://schemas.openxmlformats.org/officeDocument/2006/relationships/hyperlink" Target="https://www.antifraucv.es/wp-content/uploads/2022/03/210917-Declaracion-llamamiento-final-ENG-ESP.pdf" TargetMode="External"/><Relationship Id="rId465" Type="http://schemas.openxmlformats.org/officeDocument/2006/relationships/hyperlink" Target="https://www.antifraucv.es/wp-content/uploads/2021/10/20211026_AYUNTAMIENTO_DE_PEDRALBA.pdf" TargetMode="External"/><Relationship Id="rId22" Type="http://schemas.openxmlformats.org/officeDocument/2006/relationships/hyperlink" Target="mailto:comunicacion@antifraucv.es" TargetMode="External"/><Relationship Id="rId64" Type="http://schemas.openxmlformats.org/officeDocument/2006/relationships/hyperlink" Target="https://www.youtube.com/watch?v=wt8GwdQZskc" TargetMode="External"/><Relationship Id="rId118" Type="http://schemas.openxmlformats.org/officeDocument/2006/relationships/hyperlink" Target="https://open.spotify.com/show/0vqDIp0isZNy8xComIIBjC" TargetMode="External"/><Relationship Id="rId325" Type="http://schemas.openxmlformats.org/officeDocument/2006/relationships/hyperlink" Target="https://ec.europa.eu/anti-fraud/index_es" TargetMode="External"/><Relationship Id="rId367" Type="http://schemas.openxmlformats.org/officeDocument/2006/relationships/hyperlink" Target="http://www.dogv.gva.es/datos/2019/10/28/pdf/2019_10039.pdf" TargetMode="External"/><Relationship Id="rId532" Type="http://schemas.openxmlformats.org/officeDocument/2006/relationships/hyperlink" Target="https://www.antifraucv.es/es/la-agencia/organigrama" TargetMode="External"/><Relationship Id="rId574" Type="http://schemas.openxmlformats.org/officeDocument/2006/relationships/image" Target="media/image88.emf"/><Relationship Id="rId171" Type="http://schemas.openxmlformats.org/officeDocument/2006/relationships/image" Target="media/image23.jpeg"/><Relationship Id="rId227" Type="http://schemas.openxmlformats.org/officeDocument/2006/relationships/hyperlink" Target="https://www.lamoncloa.gob.es/consejodeministros/resumenes/Documents/2021/310821-PLAN_ANUAL_NORMATIVO_2021.pdf" TargetMode="External"/><Relationship Id="rId269" Type="http://schemas.openxmlformats.org/officeDocument/2006/relationships/hyperlink" Target="https://www.antifraucv.es/wp-content/uploads/2022/03/Alegaciones-AVAF-tramite-de-audiencia-APL-Directiva-2019-1937.pdf" TargetMode="External"/><Relationship Id="rId434" Type="http://schemas.openxmlformats.org/officeDocument/2006/relationships/hyperlink" Target="http://www.antifraucv.es/wp-content/uploads/2021/04/20210503_AYUNTAMIENTO_DE_LOS_MONTESINOS.pdf" TargetMode="External"/><Relationship Id="rId476" Type="http://schemas.openxmlformats.org/officeDocument/2006/relationships/hyperlink" Target="https://www.antifraucv.es/wp-content/uploads/2022/01/20211214_AYUNTAMIENTO-DE-TOUS.pdf" TargetMode="External"/><Relationship Id="rId33" Type="http://schemas.openxmlformats.org/officeDocument/2006/relationships/hyperlink" Target="https://t.me/AgenciaValencianaAntifraude" TargetMode="External"/><Relationship Id="rId129" Type="http://schemas.openxmlformats.org/officeDocument/2006/relationships/hyperlink" Target="https://bit.ly/3IR6Cuv" TargetMode="External"/><Relationship Id="rId280" Type="http://schemas.openxmlformats.org/officeDocument/2006/relationships/hyperlink" Target="https://www.antifraucv.es/wp-content/uploads/2021/01/05_RES_%C3%A1mbito_actuaci%C3%B3n-material_avaf-FDO.pdf" TargetMode="External"/><Relationship Id="rId336" Type="http://schemas.openxmlformats.org/officeDocument/2006/relationships/hyperlink" Target="https://www.transparency.org/en/cpi/2021" TargetMode="External"/><Relationship Id="rId501" Type="http://schemas.openxmlformats.org/officeDocument/2006/relationships/image" Target="media/image44.png"/><Relationship Id="rId543" Type="http://schemas.openxmlformats.org/officeDocument/2006/relationships/hyperlink" Target="https://www.antifraucv.es/contratacion/" TargetMode="External"/><Relationship Id="rId75" Type="http://schemas.openxmlformats.org/officeDocument/2006/relationships/hyperlink" Target="https://www.antifraucv.es/es/se-constituye-el-consejo-de-participacion-de-la-agencia-de-prevencion-y-lucha-contra-el-fraude-y-la-corrupcion-de-la-comunitat-valenciana/" TargetMode="External"/><Relationship Id="rId140" Type="http://schemas.openxmlformats.org/officeDocument/2006/relationships/hyperlink" Target="https://bit.ly/3KYZzle" TargetMode="External"/><Relationship Id="rId182" Type="http://schemas.openxmlformats.org/officeDocument/2006/relationships/hyperlink" Target="https://www.boe.es/boe/dias/2006/07/19/pdfs/A27132-27153.pdf" TargetMode="External"/><Relationship Id="rId378" Type="http://schemas.openxmlformats.org/officeDocument/2006/relationships/hyperlink" Target="https://www.cortsvalencianes.es/es/consulta_boc" TargetMode="External"/><Relationship Id="rId403" Type="http://schemas.openxmlformats.org/officeDocument/2006/relationships/hyperlink" Target="https://sede.antifraucv.es/opencms/opencms/sede" TargetMode="External"/><Relationship Id="rId6" Type="http://schemas.openxmlformats.org/officeDocument/2006/relationships/footnotes" Target="footnotes.xml"/><Relationship Id="rId238" Type="http://schemas.openxmlformats.org/officeDocument/2006/relationships/hyperlink" Target="https://www.asambleamadrid.es/static/docs/registro-ep/RGEP27067-20.pdf" TargetMode="External"/><Relationship Id="rId445" Type="http://schemas.openxmlformats.org/officeDocument/2006/relationships/hyperlink" Target="https://www.antifraucv.es/wp-content/uploads/2021/07/20210616_CONSELLERIA_DE_AGRICULTURA.pdf" TargetMode="External"/><Relationship Id="rId487" Type="http://schemas.openxmlformats.org/officeDocument/2006/relationships/hyperlink" Target="https://www.antifraucv.es/wp-content/uploads/2021/11/Manual-Didactivo-Visual.pdfjunto" TargetMode="External"/><Relationship Id="rId291" Type="http://schemas.openxmlformats.org/officeDocument/2006/relationships/hyperlink" Target="http://www.poderjudicial.es/search/TS/openDocument/dc7324b078b7f777/20200212" TargetMode="External"/><Relationship Id="rId305" Type="http://schemas.openxmlformats.org/officeDocument/2006/relationships/hyperlink" Target="http://www.dogv.gva.es/datos/2020/03/09/pdf/2020_2097.pdf" TargetMode="External"/><Relationship Id="rId347" Type="http://schemas.openxmlformats.org/officeDocument/2006/relationships/chart" Target="charts/chart4.xml"/><Relationship Id="rId512" Type="http://schemas.openxmlformats.org/officeDocument/2006/relationships/image" Target="media/image55.png"/><Relationship Id="rId44" Type="http://schemas.openxmlformats.org/officeDocument/2006/relationships/hyperlink" Target="file:///Q:\MEMORIA\2021_gtm\TEXTO%20PROVISIONAL\MEMORIA%202021_CAS\MEMORIA%20PROVISIONAL_CAS_V31.docx" TargetMode="External"/><Relationship Id="rId86" Type="http://schemas.openxmlformats.org/officeDocument/2006/relationships/hyperlink" Target="https://www.antifraucv.es/la-world-compliance-association-y-la-agencia-valenciana-antifraude-firman-un-convenio-para-colaborar-en-la-lucha-contra-el-fraude-y-la-corrupcion-2/" TargetMode="External"/><Relationship Id="rId151" Type="http://schemas.openxmlformats.org/officeDocument/2006/relationships/hyperlink" Target="https://bit.ly/3HiyZS0" TargetMode="External"/><Relationship Id="rId389" Type="http://schemas.openxmlformats.org/officeDocument/2006/relationships/hyperlink" Target="https://www.cortsvalencianes.es/es/consulta_boc" TargetMode="External"/><Relationship Id="rId554" Type="http://schemas.openxmlformats.org/officeDocument/2006/relationships/image" Target="media/image68.emf"/><Relationship Id="rId193" Type="http://schemas.openxmlformats.org/officeDocument/2006/relationships/hyperlink" Target="https://www.boe.es/doue/2019/305/L00017-00056.pdf" TargetMode="External"/><Relationship Id="rId207" Type="http://schemas.openxmlformats.org/officeDocument/2006/relationships/hyperlink" Target="https://www.cortsvalencianes.es/sites/default/files/section_docs/doc/RCV_juny_2021_web_castell%C3%A0.pdf" TargetMode="External"/><Relationship Id="rId249" Type="http://schemas.openxmlformats.org/officeDocument/2006/relationships/hyperlink" Target="https://www.antifraucv.es/wp-content/uploads/2022/03/Alegaciones-AVAF-tramite-de-audiencia-APL-Directiva-2019-1937.pdf" TargetMode="External"/><Relationship Id="rId414" Type="http://schemas.openxmlformats.org/officeDocument/2006/relationships/hyperlink" Target="http://www.antifraucv.es/wp-content/uploads/2021/03/20210121_DIPUTACION_DE_VALENCIA.pdf" TargetMode="External"/><Relationship Id="rId456" Type="http://schemas.openxmlformats.org/officeDocument/2006/relationships/hyperlink" Target="https://www.antifraucv.es/wp-content/uploads/2021/09/20210908_AYUNTAMIENTO_DE_GAVARDA.pdf" TargetMode="External"/><Relationship Id="rId498" Type="http://schemas.openxmlformats.org/officeDocument/2006/relationships/image" Target="media/image41.png"/><Relationship Id="rId13" Type="http://schemas.openxmlformats.org/officeDocument/2006/relationships/hyperlink" Target="http://www.antifraucv.es/" TargetMode="External"/><Relationship Id="rId109" Type="http://schemas.openxmlformats.org/officeDocument/2006/relationships/hyperlink" Target="https://www.uji.es/com/agenda/2021/10/28/workshop-iidl/" TargetMode="External"/><Relationship Id="rId260" Type="http://schemas.openxmlformats.org/officeDocument/2006/relationships/image" Target="media/image28.png"/><Relationship Id="rId316" Type="http://schemas.openxmlformats.org/officeDocument/2006/relationships/hyperlink" Target="https://www.unodc.org/documents/treaties/UNCAC/COSP/special-session/V2103921_S.pdf" TargetMode="External"/><Relationship Id="rId523" Type="http://schemas.openxmlformats.org/officeDocument/2006/relationships/hyperlink" Target="http://ilia.cchs.csic.es/spi/index.html" TargetMode="External"/><Relationship Id="rId55" Type="http://schemas.openxmlformats.org/officeDocument/2006/relationships/hyperlink" Target="file:///Q:\MEMORIA\2021_gtm\TEXTO%20PROVISIONAL\MEMORIA%202021_CAS\MEMORIA%20PROVISIONAL_CAS_V31.docx" TargetMode="External"/><Relationship Id="rId97" Type="http://schemas.openxmlformats.org/officeDocument/2006/relationships/hyperlink" Target="https://cadenaser.com/emisora/2021/12/21/radio_valencia/1640079185_445942.html" TargetMode="External"/><Relationship Id="rId120" Type="http://schemas.openxmlformats.org/officeDocument/2006/relationships/hyperlink" Target="https://www.antifraucv.es/el-nuevo-blog-de-la-agencia-valenciana-antifraude/" TargetMode="External"/><Relationship Id="rId358" Type="http://schemas.openxmlformats.org/officeDocument/2006/relationships/hyperlink" Target="http://www.antifraucv.es/wp-content/uploads/2021/04/Contestacion-recomendacion-Sindic-Greuges-FDORS-copia.pdf" TargetMode="External"/><Relationship Id="rId565" Type="http://schemas.openxmlformats.org/officeDocument/2006/relationships/image" Target="media/image79.emf"/><Relationship Id="rId162" Type="http://schemas.openxmlformats.org/officeDocument/2006/relationships/hyperlink" Target="https://bit.ly/35FPQ3c" TargetMode="External"/><Relationship Id="rId218" Type="http://schemas.openxmlformats.org/officeDocument/2006/relationships/hyperlink" Target="https://dogv.gva.es/datos/2022/02/18/pdf/2022_1132.pdf" TargetMode="External"/><Relationship Id="rId425" Type="http://schemas.openxmlformats.org/officeDocument/2006/relationships/hyperlink" Target="http://www.antifraucv.es/wp-content/uploads/2021/04/20210316_AYUNTAMIENTO_DE_COFRENTES.pdf" TargetMode="External"/><Relationship Id="rId467" Type="http://schemas.openxmlformats.org/officeDocument/2006/relationships/hyperlink" Target="https://www.antifraucv.es/wp-content/uploads/2021/11/202111019-AYUNTAMIENTO_DE_ELCHE.pdf" TargetMode="External"/><Relationship Id="rId271" Type="http://schemas.openxmlformats.org/officeDocument/2006/relationships/hyperlink" Target="https://www.boe.es/doue/2019/305/L00017-00056.pdf" TargetMode="External"/><Relationship Id="rId24" Type="http://schemas.openxmlformats.org/officeDocument/2006/relationships/image" Target="media/image3.png"/><Relationship Id="rId66" Type="http://schemas.openxmlformats.org/officeDocument/2006/relationships/hyperlink" Target="https://www.youtube.com/watch?v=Tm8NoOd2q5c" TargetMode="External"/><Relationship Id="rId131" Type="http://schemas.openxmlformats.org/officeDocument/2006/relationships/hyperlink" Target="https://bit.ly/348ohiy" TargetMode="External"/><Relationship Id="rId327" Type="http://schemas.openxmlformats.org/officeDocument/2006/relationships/hyperlink" Target="https://www.eca.europa.eu/es/Pages/ecadefault.aspx" TargetMode="External"/><Relationship Id="rId369" Type="http://schemas.openxmlformats.org/officeDocument/2006/relationships/hyperlink" Target="http://www.antifraucv.es/wp-content/uploads/2021/03/200508_Guia_tramitacion_de_convenios_FDO.pdf" TargetMode="External"/><Relationship Id="rId534" Type="http://schemas.openxmlformats.org/officeDocument/2006/relationships/hyperlink" Target="https://www.antifraucv.es/wp-content/uploads/2021/01/20_12_30_BOCV.pdf" TargetMode="External"/><Relationship Id="rId576" Type="http://schemas.openxmlformats.org/officeDocument/2006/relationships/image" Target="media/image90.emf"/><Relationship Id="rId173" Type="http://schemas.openxmlformats.org/officeDocument/2006/relationships/hyperlink" Target="https://www.youtube.com/watch?v=YZeXawhmMqQ" TargetMode="External"/><Relationship Id="rId229" Type="http://schemas.openxmlformats.org/officeDocument/2006/relationships/hyperlink" Target="https://www.congreso.es/public_oficiales/L14/CONG/BOCG/B/BOCG-14-B-142-1.PDF" TargetMode="External"/><Relationship Id="rId380" Type="http://schemas.openxmlformats.org/officeDocument/2006/relationships/hyperlink" Target="https://www.cortsvalencianes.es/es/consulta_boc" TargetMode="External"/><Relationship Id="rId436" Type="http://schemas.openxmlformats.org/officeDocument/2006/relationships/hyperlink" Target="http://www.antifraucv.es/wp-content/uploads/2021/04/20210510_IVAJ_DGFP.pdf" TargetMode="External"/><Relationship Id="rId240" Type="http://schemas.openxmlformats.org/officeDocument/2006/relationships/hyperlink" Target="https://www.asambleamadrid.es/static/docs/registro-ep/RGEP27067-20.pdf" TargetMode="External"/><Relationship Id="rId478" Type="http://schemas.openxmlformats.org/officeDocument/2006/relationships/hyperlink" Target="https://www.antifraucv.es/wp-content/uploads/2022/01/20211215-DIPUTACION-DE-VALENCIA.pdf" TargetMode="External"/><Relationship Id="rId35" Type="http://schemas.openxmlformats.org/officeDocument/2006/relationships/image" Target="media/image9.png"/><Relationship Id="rId77" Type="http://schemas.openxmlformats.org/officeDocument/2006/relationships/hyperlink" Target="http://www.antifraucv.es/wp-content/uploads/2021/04/Pronunciamiento_CdP.pdf" TargetMode="External"/><Relationship Id="rId100" Type="http://schemas.openxmlformats.org/officeDocument/2006/relationships/hyperlink" Target="https://vimeo.com/507994078" TargetMode="External"/><Relationship Id="rId282" Type="http://schemas.openxmlformats.org/officeDocument/2006/relationships/hyperlink" Target="https://www.boe.es/buscar/pdf/2016/BOE-A-2016-12048-consolidado.pdf" TargetMode="External"/><Relationship Id="rId338" Type="http://schemas.openxmlformats.org/officeDocument/2006/relationships/hyperlink" Target="https://dogv.gva.es/auto/dogv/docvpub/rlgv/2019/RAF_20190627_ca_RAF_20190716.pdf" TargetMode="External"/><Relationship Id="rId503" Type="http://schemas.openxmlformats.org/officeDocument/2006/relationships/image" Target="media/image46.png"/><Relationship Id="rId545" Type="http://schemas.openxmlformats.org/officeDocument/2006/relationships/hyperlink" Target="https://www.hacienda.gob.es/Documentacion/Publico/D.G.%20PATRIMONIO/Junta%20Consultiva/informes/Informes2021/instruccionJCCPEurgenciaPRTR.pdf" TargetMode="External"/><Relationship Id="rId8" Type="http://schemas.openxmlformats.org/officeDocument/2006/relationships/header" Target="header1.xml"/><Relationship Id="rId142" Type="http://schemas.openxmlformats.org/officeDocument/2006/relationships/hyperlink" Target="https://bit.ly/3gle8Bn" TargetMode="External"/><Relationship Id="rId184" Type="http://schemas.openxmlformats.org/officeDocument/2006/relationships/hyperlink" Target="https://www.boe.es/doue/2010/083/Z00047-00199.pdf" TargetMode="External"/><Relationship Id="rId391" Type="http://schemas.openxmlformats.org/officeDocument/2006/relationships/hyperlink" Target="https://www.cortsvalencianes.es/es/consulta_boc" TargetMode="External"/><Relationship Id="rId405" Type="http://schemas.openxmlformats.org/officeDocument/2006/relationships/image" Target="media/image31.png"/><Relationship Id="rId447" Type="http://schemas.openxmlformats.org/officeDocument/2006/relationships/hyperlink" Target="https://www.antifraucv.es/wp-content/uploads/2021/07/20210630_-CONSELLERIA_DE_SANITAT.pdf" TargetMode="External"/><Relationship Id="rId251" Type="http://schemas.openxmlformats.org/officeDocument/2006/relationships/hyperlink" Target="https://www.antifraucv.es/informacion-de-relevancia-juridica/" TargetMode="External"/><Relationship Id="rId489" Type="http://schemas.openxmlformats.org/officeDocument/2006/relationships/image" Target="media/image38.jpeg"/><Relationship Id="rId46" Type="http://schemas.openxmlformats.org/officeDocument/2006/relationships/hyperlink" Target="file:///Q:\MEMORIA\2021_gtm\TEXTO%20PROVISIONAL\MEMORIA%202021_CAS\MEMORIA%20PROVISIONAL_CAS_V31.docx" TargetMode="External"/><Relationship Id="rId293" Type="http://schemas.openxmlformats.org/officeDocument/2006/relationships/hyperlink" Target="https://www.antifraucv.es/wp-content/uploads/2020/04/Resolucio_20180425_Bustia_Denuncies.pdf" TargetMode="External"/><Relationship Id="rId307" Type="http://schemas.openxmlformats.org/officeDocument/2006/relationships/hyperlink" Target="https://www.poderjudicial.es/search/AN/openDocument/1ef1d8f6e2465047/20190211" TargetMode="External"/><Relationship Id="rId349" Type="http://schemas.openxmlformats.org/officeDocument/2006/relationships/chart" Target="charts/chart6.xml"/><Relationship Id="rId514" Type="http://schemas.openxmlformats.org/officeDocument/2006/relationships/hyperlink" Target="https://www.youtube.com/channel/UCkDS5OEUZu3iTEWg7gu8XXQ/featured" TargetMode="External"/><Relationship Id="rId556" Type="http://schemas.openxmlformats.org/officeDocument/2006/relationships/image" Target="media/image70.emf"/><Relationship Id="rId88" Type="http://schemas.openxmlformats.org/officeDocument/2006/relationships/hyperlink" Target="https://www.cortsvalencianes.es/es/consulta_boc" TargetMode="External"/><Relationship Id="rId111" Type="http://schemas.openxmlformats.org/officeDocument/2006/relationships/hyperlink" Target="https://www.uji.es/com/agenda/2021/11/03/jornada-bon-govern/" TargetMode="External"/><Relationship Id="rId153" Type="http://schemas.openxmlformats.org/officeDocument/2006/relationships/hyperlink" Target="https://bit.ly/3geHly1" TargetMode="External"/><Relationship Id="rId195" Type="http://schemas.openxmlformats.org/officeDocument/2006/relationships/hyperlink" Target="https://www.boe.es/doue/2019/305/L00017-00056.pdf" TargetMode="External"/><Relationship Id="rId209" Type="http://schemas.openxmlformats.org/officeDocument/2006/relationships/hyperlink" Target="https://www.boe.es/buscar/pdf/2015/BOE-A-2015-4547-consolidado.pdf" TargetMode="External"/><Relationship Id="rId360" Type="http://schemas.openxmlformats.org/officeDocument/2006/relationships/hyperlink" Target="http://www.antifraucv.es/wp-content/uploads/2021/04/Contestacion-s-greuges-queja-21000376-FDORS.pdf" TargetMode="External"/><Relationship Id="rId416" Type="http://schemas.openxmlformats.org/officeDocument/2006/relationships/hyperlink" Target="http://www.antifraucv.es/wp-content/uploads/2021/03/20210127_AYUNTAMIENTO_DE_COFRENTES.pdf" TargetMode="External"/><Relationship Id="rId220" Type="http://schemas.openxmlformats.org/officeDocument/2006/relationships/hyperlink" Target="https://www.antifraucv.es/wp-content/uploads/2022/03/220315_Resolucion_Aprobacion_Rgto_Buzon-interno_CAS_VAL-CSV.pdf" TargetMode="External"/><Relationship Id="rId458" Type="http://schemas.openxmlformats.org/officeDocument/2006/relationships/hyperlink" Target="https://www.antifraucv.es/wp-content/uploads/2021/09/20210914_AYUNTAMIENTO_DE_CASTELLO_DE_RUGAT.pdf" TargetMode="External"/><Relationship Id="rId15" Type="http://schemas.openxmlformats.org/officeDocument/2006/relationships/hyperlink" Target="http://www.antifraucv.es/" TargetMode="External"/><Relationship Id="rId57" Type="http://schemas.openxmlformats.org/officeDocument/2006/relationships/image" Target="media/image12.jpeg"/><Relationship Id="rId262" Type="http://schemas.openxmlformats.org/officeDocument/2006/relationships/hyperlink" Target="https://www.antifraucv.es/wp-content/uploads/2021/06/210623-Declaracion_-Institucional-_AVAF.pdf" TargetMode="External"/><Relationship Id="rId318" Type="http://schemas.openxmlformats.org/officeDocument/2006/relationships/hyperlink" Target="https://ec.europa.eu/info/policies/justice-and-fundamental-rights/upholding-rule-law/rule-law/rule-law-mechanism/2021-rule-law-report-targeted-stakeholder-consultation" TargetMode="External"/><Relationship Id="rId525" Type="http://schemas.openxmlformats.org/officeDocument/2006/relationships/image" Target="media/image61.png"/><Relationship Id="rId567" Type="http://schemas.openxmlformats.org/officeDocument/2006/relationships/image" Target="media/image81.emf"/><Relationship Id="rId99" Type="http://schemas.openxmlformats.org/officeDocument/2006/relationships/hyperlink" Target="https://www.antifraucv.es/los-ayuntamientos-y-diputaciones-mas-transparentes-de-la-comunidad-valenciana-recogen-en-la-ceu-uch-los-sellos-infoparticipa-2020/" TargetMode="External"/><Relationship Id="rId122" Type="http://schemas.openxmlformats.org/officeDocument/2006/relationships/hyperlink" Target="https://www.antifraucv.es/la-delgada-linea-entre-la-irregularidad-administrativa-y-el-delito-en-contratacion-publica/" TargetMode="External"/><Relationship Id="rId164" Type="http://schemas.openxmlformats.org/officeDocument/2006/relationships/hyperlink" Target="https://bit.ly/3L0gXGl" TargetMode="External"/><Relationship Id="rId371" Type="http://schemas.openxmlformats.org/officeDocument/2006/relationships/hyperlink" Target="http://www.antifraucv.es/wp-content/uploads/2021/03/convenio_oac_cataluna_CS-1.pdf" TargetMode="External"/><Relationship Id="rId427" Type="http://schemas.openxmlformats.org/officeDocument/2006/relationships/hyperlink" Target="http://www.antifraucv.es/wp-content/uploads/2021/04/20210317_UNIVERSIDAD_DE_VALENCIA.pdf" TargetMode="External"/><Relationship Id="rId469" Type="http://schemas.openxmlformats.org/officeDocument/2006/relationships/hyperlink" Target="https://www.antifraucv.es/wp-content/uploads/2021/11/202111030-CONSELLERIA_DE_PRESIDENCIA.pdf" TargetMode="External"/><Relationship Id="rId26" Type="http://schemas.openxmlformats.org/officeDocument/2006/relationships/image" Target="media/image4.png"/><Relationship Id="rId231" Type="http://schemas.openxmlformats.org/officeDocument/2006/relationships/image" Target="media/image26.png"/><Relationship Id="rId273" Type="http://schemas.openxmlformats.org/officeDocument/2006/relationships/hyperlink" Target="https://www.lamoncloa.gob.es/consejodeministros/resumenes/Documents/2021/310821-PLAN_ANUAL_NORMATIVO_2021.pdf" TargetMode="External"/><Relationship Id="rId329" Type="http://schemas.openxmlformats.org/officeDocument/2006/relationships/hyperlink" Target="https://www.igae.pap.hacienda.gob.es/sitios/igae/es-ES/snca/paginas/inicio.aspx" TargetMode="External"/><Relationship Id="rId480" Type="http://schemas.openxmlformats.org/officeDocument/2006/relationships/hyperlink" Target="https://www.antifraucv.es/wp-content/uploads/2022/01/20211231_AYUNTAMIENTO-DE-ORIHUELA.pdf" TargetMode="External"/><Relationship Id="rId536" Type="http://schemas.openxmlformats.org/officeDocument/2006/relationships/chart" Target="charts/chart15.xml"/><Relationship Id="rId68" Type="http://schemas.openxmlformats.org/officeDocument/2006/relationships/hyperlink" Target="https://www.youtube.com/watch?v=Tm8NoOd2q5c" TargetMode="External"/><Relationship Id="rId133" Type="http://schemas.openxmlformats.org/officeDocument/2006/relationships/hyperlink" Target="https://bit.ly/3ggpUgp" TargetMode="External"/><Relationship Id="rId175" Type="http://schemas.openxmlformats.org/officeDocument/2006/relationships/hyperlink" Target="https://www.antifraucv.es/wp-content/uploads/2021/04/210225_resolucio_aprovacio_esmenes_castella_valencia-3_CSV.pdf" TargetMode="External"/><Relationship Id="rId340" Type="http://schemas.openxmlformats.org/officeDocument/2006/relationships/hyperlink" Target="https://www.boe.es/buscar/pdf/2016/BOE-A-2016-12048-consolidado.pdf" TargetMode="External"/><Relationship Id="rId578" Type="http://schemas.openxmlformats.org/officeDocument/2006/relationships/image" Target="media/image92.emf"/><Relationship Id="rId200" Type="http://schemas.openxmlformats.org/officeDocument/2006/relationships/hyperlink" Target="https://www.cortsvalencianes.es/es/consulta_boc" TargetMode="External"/><Relationship Id="rId382" Type="http://schemas.openxmlformats.org/officeDocument/2006/relationships/hyperlink" Target="https://www.cortsvalencianes.es/es/consulta_boc" TargetMode="External"/><Relationship Id="rId438" Type="http://schemas.openxmlformats.org/officeDocument/2006/relationships/hyperlink" Target="http://www.antifraucv.es/wp-content/uploads/2021/04/20210518_AYUNTAMIENTO_DE_BENISSA.pdf" TargetMode="External"/><Relationship Id="rId242" Type="http://schemas.openxmlformats.org/officeDocument/2006/relationships/hyperlink" Target="https://www.asambleamadrid.es/static/docs/registro-ep/RGEP27067-20.pdf" TargetMode="External"/><Relationship Id="rId284" Type="http://schemas.openxmlformats.org/officeDocument/2006/relationships/hyperlink" Target="https://www.boe.es/buscar/pdf/2016/BOE-A-2016-12048-consolidado.pdf" TargetMode="External"/><Relationship Id="rId491" Type="http://schemas.openxmlformats.org/officeDocument/2006/relationships/hyperlink" Target="https://www.antifraucv.es/wp-content/uploads/2021/11/Guia_avaf_plan_de_integridad_publica.pdf" TargetMode="External"/><Relationship Id="rId505" Type="http://schemas.openxmlformats.org/officeDocument/2006/relationships/image" Target="media/image48.png"/><Relationship Id="rId37" Type="http://schemas.openxmlformats.org/officeDocument/2006/relationships/image" Target="media/image10.png"/><Relationship Id="rId79" Type="http://schemas.openxmlformats.org/officeDocument/2006/relationships/hyperlink" Target="https://www.antifraucv.es/cuarta-reunion-del-consejo-de-participacion-de-la-agencia-valenciana-antifraude/" TargetMode="External"/><Relationship Id="rId102" Type="http://schemas.openxmlformats.org/officeDocument/2006/relationships/hyperlink" Target="https://cositalmadrid.es/wp-content/uploads/2021/02/I-Congreso-Virtual-del-Portal-de-Control-Interno-15-16-feb.pdf" TargetMode="External"/><Relationship Id="rId144" Type="http://schemas.openxmlformats.org/officeDocument/2006/relationships/hyperlink" Target="https://bit.ly/3L3AeGI" TargetMode="External"/><Relationship Id="rId547" Type="http://schemas.openxmlformats.org/officeDocument/2006/relationships/hyperlink" Target="https://curia.europa.eu/juris/document/document_print.jsf;jsessionid=1F0EDFB3398BD51C8F1244AAFD26F962?docid=238164&amp;text=&amp;dir=&amp;doclang=ES&amp;part=1&amp;occ=first&amp;mode=DOC&amp;pageIndex=0&amp;cid=2879626" TargetMode="External"/><Relationship Id="rId90" Type="http://schemas.openxmlformats.org/officeDocument/2006/relationships/hyperlink" Target="https://www.antifraucv.es/la-universidad-de-salamanca-y-la-agencia-valenciana-antifraude-firman-un-convenio-de-colaboracion-que-incluye-estancias-de-investigacion-para-estudiantes-de-doctorado/" TargetMode="External"/><Relationship Id="rId186" Type="http://schemas.openxmlformats.org/officeDocument/2006/relationships/hyperlink" Target="https://eur-lex.europa.eu/legal-content/ES/TXT/PDF/?uri=CELEX:31999D0352&amp;from=ES" TargetMode="External"/><Relationship Id="rId351" Type="http://schemas.openxmlformats.org/officeDocument/2006/relationships/chart" Target="charts/chart8.xml"/><Relationship Id="rId393" Type="http://schemas.openxmlformats.org/officeDocument/2006/relationships/hyperlink" Target="https://www.antifraucv.es/wp-content/uploads/2022/03/05_220316-ACUERDO-PRORROGA-CONV-MARCO_CAS-signat.pdf" TargetMode="External"/><Relationship Id="rId407" Type="http://schemas.openxmlformats.org/officeDocument/2006/relationships/image" Target="media/image33.png"/><Relationship Id="rId449" Type="http://schemas.openxmlformats.org/officeDocument/2006/relationships/hyperlink" Target="https://www.antifraucv.es/wp-content/uploads/2021/07/20210711_AYUNTAMIENTO-DE-VALENCIA.pdf" TargetMode="External"/><Relationship Id="rId211" Type="http://schemas.openxmlformats.org/officeDocument/2006/relationships/hyperlink" Target="https://www.antifraucv.es/wp-content/uploads/2021/12/RES-PLAN-NORMATIVO-AVAF-2021_CAS_FDO.pdf" TargetMode="External"/><Relationship Id="rId253" Type="http://schemas.openxmlformats.org/officeDocument/2006/relationships/hyperlink" Target="https://www.antifraucv.es/wp-content/uploads/2022/01/Declaracion-Utrecht-4-junio-2021-canales-internos-ENG-CAS.pdf" TargetMode="External"/><Relationship Id="rId295" Type="http://schemas.openxmlformats.org/officeDocument/2006/relationships/hyperlink" Target="https://www.boe.es/buscar/act.php?id=BOE-A-1994-28510" TargetMode="External"/><Relationship Id="rId309" Type="http://schemas.openxmlformats.org/officeDocument/2006/relationships/hyperlink" Target="https://www.cortsvalencianes.es/sites/default/files/initiative/doc/33_PL_TRANSPARENCIABOCV_110.pdf" TargetMode="External"/><Relationship Id="rId460" Type="http://schemas.openxmlformats.org/officeDocument/2006/relationships/hyperlink" Target="https://www.antifraucv.es/wp-content/uploads/2021/10/20211006_AYUNTAMIENTO_DE_TURIS.pdf" TargetMode="External"/><Relationship Id="rId516" Type="http://schemas.openxmlformats.org/officeDocument/2006/relationships/hyperlink" Target="https://www.youtube.com/channel/UCkDS5OEUZu3iTEWg7gu8XXQ/videos" TargetMode="External"/><Relationship Id="rId48" Type="http://schemas.openxmlformats.org/officeDocument/2006/relationships/hyperlink" Target="file:///Q:\MEMORIA\2021_gtm\TEXTO%20PROVISIONAL\MEMORIA%202021_CAS\MEMORIA%20PROVISIONAL_CAS_V31.docx" TargetMode="External"/><Relationship Id="rId113" Type="http://schemas.openxmlformats.org/officeDocument/2006/relationships/hyperlink" Target="https://www.gobiernolocal.org/anuario-del-buen-gobierno-y-de-la-calidad-de-la-regulacion-2020/" TargetMode="External"/><Relationship Id="rId320" Type="http://schemas.openxmlformats.org/officeDocument/2006/relationships/hyperlink" Target="https://www.encj.eu/" TargetMode="External"/><Relationship Id="rId558" Type="http://schemas.openxmlformats.org/officeDocument/2006/relationships/image" Target="media/image72.emf"/><Relationship Id="rId155" Type="http://schemas.openxmlformats.org/officeDocument/2006/relationships/hyperlink" Target="https://bit.ly/3IL4B2W" TargetMode="External"/><Relationship Id="rId197" Type="http://schemas.openxmlformats.org/officeDocument/2006/relationships/hyperlink" Target="https://www.boe.es/doue/2019/305/L00017-00056.pdf" TargetMode="External"/><Relationship Id="rId362" Type="http://schemas.openxmlformats.org/officeDocument/2006/relationships/hyperlink" Target="https://www.antifraucv.es/wp-content/uploads/2021/12/211230_RES_PLAN_NORMATIVO_AVAF_CAS-2022-CSV.pdf" TargetMode="External"/><Relationship Id="rId418" Type="http://schemas.openxmlformats.org/officeDocument/2006/relationships/hyperlink" Target="http://www.antifraucv.es/wp-content/uploads/2021/03/20210209_AYUNTAMIENTO_DE_CULLERA.pdf" TargetMode="External"/><Relationship Id="rId222" Type="http://schemas.openxmlformats.org/officeDocument/2006/relationships/hyperlink" Target="https://www.transparency.org/en/blog/eu-countries-failing-protect-whistleblowers" TargetMode="External"/><Relationship Id="rId264" Type="http://schemas.openxmlformats.org/officeDocument/2006/relationships/hyperlink" Target="https://www.boe.es/doue/2019/305/L00017-00056.pdf" TargetMode="External"/><Relationship Id="rId471" Type="http://schemas.openxmlformats.org/officeDocument/2006/relationships/hyperlink" Target="https://www.antifraucv.es/wp-content/uploads/2022/01/20211202_AYUNTAMIENTO-CALLOSA-DE-SEGURA.pdf" TargetMode="External"/><Relationship Id="rId17" Type="http://schemas.openxmlformats.org/officeDocument/2006/relationships/hyperlink" Target="http://www.antifraucv.es/" TargetMode="External"/><Relationship Id="rId59" Type="http://schemas.openxmlformats.org/officeDocument/2006/relationships/hyperlink" Target="https://www.youtube.com/watch?v=E5S_jPCbkjM" TargetMode="External"/><Relationship Id="rId124" Type="http://schemas.openxmlformats.org/officeDocument/2006/relationships/hyperlink" Target="https://www.antifraucv.es/blog-de-la-avaf/" TargetMode="External"/><Relationship Id="rId527" Type="http://schemas.openxmlformats.org/officeDocument/2006/relationships/image" Target="media/image63.png"/><Relationship Id="rId569" Type="http://schemas.openxmlformats.org/officeDocument/2006/relationships/image" Target="media/image83.emf"/><Relationship Id="rId70" Type="http://schemas.openxmlformats.org/officeDocument/2006/relationships/image" Target="media/image16.jpeg"/><Relationship Id="rId166" Type="http://schemas.openxmlformats.org/officeDocument/2006/relationships/hyperlink" Target="https://bit.ly/3ggoF0U" TargetMode="External"/><Relationship Id="rId331" Type="http://schemas.openxmlformats.org/officeDocument/2006/relationships/hyperlink" Target="https://www.boe.es/buscar/pdf/2020/BOE-A-2020-17340-consolidado.pdf" TargetMode="External"/><Relationship Id="rId373" Type="http://schemas.openxmlformats.org/officeDocument/2006/relationships/hyperlink" Target="http://www.antifraucv.es/wp-content/uploads/2021/03/convenio_oac_baleares_CS.pdf" TargetMode="External"/><Relationship Id="rId429" Type="http://schemas.openxmlformats.org/officeDocument/2006/relationships/hyperlink" Target="http://www.antifraucv.es/wp-content/uploads/2021/04/20210322_AYUNTAMIENTO_DE_VALENCIA.pdf" TargetMode="External"/><Relationship Id="rId580" Type="http://schemas.openxmlformats.org/officeDocument/2006/relationships/image" Target="media/image94.emf"/><Relationship Id="rId1" Type="http://schemas.openxmlformats.org/officeDocument/2006/relationships/customXml" Target="../customXml/item1.xml"/><Relationship Id="rId233" Type="http://schemas.openxmlformats.org/officeDocument/2006/relationships/hyperlink" Target="https://ec.europa.eu/atwork/applying-eu-law/infringements-proceedings/infringement_decisions/index.cfm?lang_code=EN&amp;typeOfSearch=false&amp;active_only=0&amp;noncom=0&amp;r_dossier=&amp;decision_date_from=&amp;decision_date_to=&amp;DG=JUST&amp;title=32019L1937&amp;submit=Search" TargetMode="External"/><Relationship Id="rId440" Type="http://schemas.openxmlformats.org/officeDocument/2006/relationships/hyperlink" Target="https://www.antifraucv.es/wp-content/uploads/2021/07/20210610_AYUNTAMIENTO_DE_SUECA_EPE_AIGUES_I_SANEJAMENT_DE_SUECA.pdf" TargetMode="External"/><Relationship Id="rId28" Type="http://schemas.openxmlformats.org/officeDocument/2006/relationships/image" Target="media/image5.png"/><Relationship Id="rId275" Type="http://schemas.openxmlformats.org/officeDocument/2006/relationships/hyperlink" Target="http://www.antifraucv.es/wp-content/uploads/2021/03/Alegaciones_consulta_publica_avaf_OK.pdf" TargetMode="External"/><Relationship Id="rId300" Type="http://schemas.openxmlformats.org/officeDocument/2006/relationships/hyperlink" Target="https://www.antifraucv.es/wp-content/uploads/2022/03/Propuesta-modif-LFPV-Ley-medidas-2022.pdf" TargetMode="External"/><Relationship Id="rId482" Type="http://schemas.openxmlformats.org/officeDocument/2006/relationships/hyperlink" Target="https://www.antifraucv.es/wp-content/uploads/2022/01/20211231-AYUNTAMIENTO-DE-TURIS.pdf" TargetMode="External"/><Relationship Id="rId538" Type="http://schemas.openxmlformats.org/officeDocument/2006/relationships/chart" Target="charts/chart16.xml"/><Relationship Id="rId81" Type="http://schemas.openxmlformats.org/officeDocument/2006/relationships/hyperlink" Target="https://congresotransparencia.com/programa-alicante/" TargetMode="External"/><Relationship Id="rId135" Type="http://schemas.openxmlformats.org/officeDocument/2006/relationships/hyperlink" Target="https://bit.ly/3IUKTBI" TargetMode="External"/><Relationship Id="rId177" Type="http://schemas.openxmlformats.org/officeDocument/2006/relationships/hyperlink" Target="https://www.antifraucv.es/la-agencia-valenciana-antifraude-presenta-11-enmiendas-a-la-nueva-ley-de-transparencia-y-buen-gobierno-de-la-comunitat-valenciana/" TargetMode="External"/><Relationship Id="rId342" Type="http://schemas.openxmlformats.org/officeDocument/2006/relationships/hyperlink" Target="https://www.poderjudicial.es/search/AN/openDocument/7f0cdb113c7432eb/20211119" TargetMode="External"/><Relationship Id="rId384" Type="http://schemas.openxmlformats.org/officeDocument/2006/relationships/hyperlink" Target="https://www.cortsvalencianes.es/es/consulta_boc" TargetMode="External"/><Relationship Id="rId202" Type="http://schemas.openxmlformats.org/officeDocument/2006/relationships/hyperlink" Target="https://dogv.gva.es/datos/2019/02/22/pdf/2019_1534.pdf" TargetMode="External"/><Relationship Id="rId244" Type="http://schemas.openxmlformats.org/officeDocument/2006/relationships/hyperlink" Target="https://sirdoc.ccyl.es/sirdoc/PDF/PUBLOFI/BO/CCL/10L/BOCCL1000277/BOCCL-10-021714.pdf" TargetMode="External"/><Relationship Id="rId39" Type="http://schemas.openxmlformats.org/officeDocument/2006/relationships/image" Target="media/image11.png"/><Relationship Id="rId286" Type="http://schemas.openxmlformats.org/officeDocument/2006/relationships/hyperlink" Target="https://dogv.gva.es/auto/dogv/docvpub/rlgv/2019/RAF_20190627_ca_RAF_20190716.pdf" TargetMode="External"/><Relationship Id="rId451" Type="http://schemas.openxmlformats.org/officeDocument/2006/relationships/hyperlink" Target="https://www.antifraucv.es/wp-content/uploads/2021/07/20210729_AYUNTAMIENTO-DE-VALENCIA.pdf" TargetMode="External"/><Relationship Id="rId493" Type="http://schemas.openxmlformats.org/officeDocument/2006/relationships/image" Target="media/image390.jpeg"/><Relationship Id="rId507" Type="http://schemas.openxmlformats.org/officeDocument/2006/relationships/image" Target="media/image50.png"/><Relationship Id="rId549" Type="http://schemas.openxmlformats.org/officeDocument/2006/relationships/hyperlink" Target="https://www.antifraucv.es/wp-content/uploads/2021/02/MEMORIA_2019_CAS.pdf" TargetMode="External"/><Relationship Id="rId50" Type="http://schemas.openxmlformats.org/officeDocument/2006/relationships/hyperlink" Target="file:///Q:\MEMORIA\2021_gtm\TEXTO%20PROVISIONAL\MEMORIA%202021_CAS\MEMORIA%20PROVISIONAL_CAS_V31.docx" TargetMode="External"/><Relationship Id="rId104" Type="http://schemas.openxmlformats.org/officeDocument/2006/relationships/hyperlink" Target="https://postgrado.adeituv.es/es/cursos/area_juridica_y_social-2/contratacion-publica-compliance/home.htm" TargetMode="External"/><Relationship Id="rId146" Type="http://schemas.openxmlformats.org/officeDocument/2006/relationships/hyperlink" Target="https://bit.ly/3ITKP5n" TargetMode="External"/><Relationship Id="rId188" Type="http://schemas.openxmlformats.org/officeDocument/2006/relationships/hyperlink" Target="https://rm.coe.int/16806cc1ec" TargetMode="External"/><Relationship Id="rId311" Type="http://schemas.openxmlformats.org/officeDocument/2006/relationships/hyperlink" Target="https://www.cortsvalencianes.es/es/consulta_boc" TargetMode="External"/><Relationship Id="rId353" Type="http://schemas.openxmlformats.org/officeDocument/2006/relationships/chart" Target="charts/chart10.xml"/><Relationship Id="rId395" Type="http://schemas.openxmlformats.org/officeDocument/2006/relationships/hyperlink" Target="https://dogv.gva.es/auto/dogv/docvpub/rlgv/2019/RAF_20190627_ca_RAF_20190716.pdf" TargetMode="External"/><Relationship Id="rId409" Type="http://schemas.openxmlformats.org/officeDocument/2006/relationships/image" Target="media/image35.png"/><Relationship Id="rId560" Type="http://schemas.openxmlformats.org/officeDocument/2006/relationships/image" Target="media/image74.emf"/><Relationship Id="rId92" Type="http://schemas.openxmlformats.org/officeDocument/2006/relationships/hyperlink" Target="https://www.epac-eacn.org/latest-news/259-18th-epac-eacn-conference" TargetMode="External"/><Relationship Id="rId213" Type="http://schemas.openxmlformats.org/officeDocument/2006/relationships/hyperlink" Target="https://www.antifraucv.es/wp-content/uploads/2022/01/DOGV-Res-modif-Reglamento.pdf" TargetMode="External"/><Relationship Id="rId420" Type="http://schemas.openxmlformats.org/officeDocument/2006/relationships/hyperlink" Target="http://www.antifraucv.es/wp-content/uploads/2021/03/20210223_AYUNTAMIENTO_DE_CAMPORROBLES.pdf" TargetMode="External"/><Relationship Id="rId255" Type="http://schemas.openxmlformats.org/officeDocument/2006/relationships/hyperlink" Target="https://www.poderjudicial.es/search/AN/openDocument/e5631ef00cd5e6ce/20200213" TargetMode="External"/><Relationship Id="rId297" Type="http://schemas.openxmlformats.org/officeDocument/2006/relationships/hyperlink" Target="https://www.boe.es/doue/2019/305/L00017-00056.pdf" TargetMode="External"/><Relationship Id="rId462" Type="http://schemas.openxmlformats.org/officeDocument/2006/relationships/hyperlink" Target="https://www.antifraucv.es/wp-content/uploads/2021/10/20211018_AYUNTAMIENTO_DE_SUECA.pdf" TargetMode="External"/><Relationship Id="rId518" Type="http://schemas.openxmlformats.org/officeDocument/2006/relationships/image" Target="media/image58.png"/><Relationship Id="rId115" Type="http://schemas.openxmlformats.org/officeDocument/2006/relationships/hyperlink" Target="https://www.antifraucv.es/el-president-morera-y-el-director-de-la-agencia-antifraude-analizan-los-avances-contra-la-corrupcion-y-la-recuperacion-del-credito-reputacional-de-las-instituciones-valencianas-2/" TargetMode="External"/><Relationship Id="rId157" Type="http://schemas.openxmlformats.org/officeDocument/2006/relationships/hyperlink" Target="https://bit.ly/3rjOZxe" TargetMode="External"/><Relationship Id="rId322" Type="http://schemas.openxmlformats.org/officeDocument/2006/relationships/hyperlink" Target="https://www.ccbe.eu/" TargetMode="External"/><Relationship Id="rId364" Type="http://schemas.openxmlformats.org/officeDocument/2006/relationships/hyperlink" Target="https://www.antifraucv.es/wp-content/uploads/2021/07/20210810_Publicidad-DOGV2021_8557.pdf" TargetMode="External"/><Relationship Id="rId61" Type="http://schemas.openxmlformats.org/officeDocument/2006/relationships/hyperlink" Target="https://www.youtube.com/watch?v=E5S_jPCbkjM" TargetMode="External"/><Relationship Id="rId199" Type="http://schemas.openxmlformats.org/officeDocument/2006/relationships/hyperlink" Target="http://www.dogv.gva.es/datos/2018/05/23/pdf/2018_4529.pdf" TargetMode="External"/><Relationship Id="rId571" Type="http://schemas.openxmlformats.org/officeDocument/2006/relationships/image" Target="media/image85.emf"/><Relationship Id="rId19" Type="http://schemas.openxmlformats.org/officeDocument/2006/relationships/hyperlink" Target="https://www.antifraucv.es/" TargetMode="External"/><Relationship Id="rId224" Type="http://schemas.openxmlformats.org/officeDocument/2006/relationships/hyperlink" Target="https://transparencia.org.es/" TargetMode="External"/><Relationship Id="rId266" Type="http://schemas.openxmlformats.org/officeDocument/2006/relationships/hyperlink" Target="https://www.mjusticia.gob.es/es/AreaTematica/ActividadLegislativa/Documents/APL%20INFORMANTES.pdf" TargetMode="External"/><Relationship Id="rId431" Type="http://schemas.openxmlformats.org/officeDocument/2006/relationships/hyperlink" Target="http://www.antifraucv.es/wp-content/uploads/2021/04/20210419_AYUNTAMIENTO_DE_SEDAVI.pdf" TargetMode="External"/><Relationship Id="rId473" Type="http://schemas.openxmlformats.org/officeDocument/2006/relationships/hyperlink" Target="https://www.antifraucv.es/wp-content/uploads/2022/01/20211209_AYUNTAMENTO-DE-VALENCIA.pdf" TargetMode="External"/><Relationship Id="rId529" Type="http://schemas.openxmlformats.org/officeDocument/2006/relationships/hyperlink" Target="http://www.cepc.gob.es/sites/default/files/2022-02/s-156-indice-fundamentos-int-nuevo-2.pdf" TargetMode="External"/><Relationship Id="rId30" Type="http://schemas.openxmlformats.org/officeDocument/2006/relationships/image" Target="media/image6.png"/><Relationship Id="rId126" Type="http://schemas.openxmlformats.org/officeDocument/2006/relationships/image" Target="media/image22.png"/><Relationship Id="rId168" Type="http://schemas.openxmlformats.org/officeDocument/2006/relationships/hyperlink" Target="https://bit.ly/3ggRM4i" TargetMode="External"/><Relationship Id="rId333" Type="http://schemas.openxmlformats.org/officeDocument/2006/relationships/hyperlink" Target="https://www.lamoncloa.gob.es/temas/fondos-recuperacion/Documents/30042021-Plan_Recuperacion_%20Transformacion_%20Resiliencia.pdf" TargetMode="External"/><Relationship Id="rId540" Type="http://schemas.openxmlformats.org/officeDocument/2006/relationships/header" Target="header5.xml"/><Relationship Id="rId72" Type="http://schemas.openxmlformats.org/officeDocument/2006/relationships/image" Target="media/image17.jpeg"/><Relationship Id="rId375" Type="http://schemas.openxmlformats.org/officeDocument/2006/relationships/hyperlink" Target="https://www.cortsvalencianes.es/es/consulta_boc" TargetMode="External"/><Relationship Id="rId582" Type="http://schemas.openxmlformats.org/officeDocument/2006/relationships/image" Target="media/image96.png"/><Relationship Id="rId3" Type="http://schemas.openxmlformats.org/officeDocument/2006/relationships/styles" Target="styles.xml"/><Relationship Id="rId235" Type="http://schemas.openxmlformats.org/officeDocument/2006/relationships/hyperlink" Target="https://www.boe.es/buscar/pdf/2021/BOE-A-2021-11380-consolidado.pdf" TargetMode="External"/><Relationship Id="rId277" Type="http://schemas.openxmlformats.org/officeDocument/2006/relationships/hyperlink" Target="https://www.boe.es/buscar/pdf/1882/BOE-A-1882-6036-consolidado.pdf" TargetMode="External"/><Relationship Id="rId400" Type="http://schemas.openxmlformats.org/officeDocument/2006/relationships/hyperlink" Target="https://www.antifraucv.es/portal-de-transparencia/informacio-de-rellevancia-juridica/" TargetMode="External"/><Relationship Id="rId442" Type="http://schemas.openxmlformats.org/officeDocument/2006/relationships/hyperlink" Target="https://www.antifraucv.es/wp-content/uploads/2021/07/20210610_AYUNTAMIENTO_DE_CANET_DEN_BERENGUER.pdf" TargetMode="External"/><Relationship Id="rId484" Type="http://schemas.openxmlformats.org/officeDocument/2006/relationships/header" Target="header3.xml"/><Relationship Id="rId137" Type="http://schemas.openxmlformats.org/officeDocument/2006/relationships/hyperlink" Target="https://bit.ly/32N0IuT" TargetMode="External"/><Relationship Id="rId302" Type="http://schemas.openxmlformats.org/officeDocument/2006/relationships/hyperlink" Target="https://www.boe.es/doue/2019/305/L00017-00056.pdf" TargetMode="External"/><Relationship Id="rId344" Type="http://schemas.openxmlformats.org/officeDocument/2006/relationships/hyperlink" Target="https://elconsultor.laley.es/Content/Documento.aspx?params=H4sIAAAAAAAEAMtMSbF1jTAAAkMzA2NTU7Wy1KLizPw8WyMDI0MgMgcJZKZVuuQnh1QWpNqmJeYUpwIAq69zmTUAAAA=WKE" TargetMode="External"/><Relationship Id="rId41" Type="http://schemas.openxmlformats.org/officeDocument/2006/relationships/hyperlink" Target="file:///Q:\MEMORIA\2021_gtm\TEXTO%20PROVISIONAL\MEMORIA%202021_CAS\MEMORIA%20PROVISIONAL_CAS_V31.docx" TargetMode="External"/><Relationship Id="rId83" Type="http://schemas.openxmlformats.org/officeDocument/2006/relationships/hyperlink" Target="https://www.antifraucv.es/las-oficinas-y-agencias-antifraude-de-espana-urgen-a-la-transposicion-de-la-directiva-europea-de-proteccion-de-las-personas-denunciantes/" TargetMode="External"/><Relationship Id="rId179" Type="http://schemas.openxmlformats.org/officeDocument/2006/relationships/hyperlink" Target="https://www.legebiltzarra.eus/ic2/restAPI/pvgune_descargar/default/5b981736-1434-465d-b718-5c98192330f7" TargetMode="External"/><Relationship Id="rId386" Type="http://schemas.openxmlformats.org/officeDocument/2006/relationships/hyperlink" Target="https://www.cortsvalencianes.es/es/consulta_boc" TargetMode="External"/><Relationship Id="rId551" Type="http://schemas.openxmlformats.org/officeDocument/2006/relationships/hyperlink" Target="https://eur-lex.europa.eu/legal-content/ES/TXT/PDF/?uri=CELEX:62004CJ0212&amp;from=FR" TargetMode="External"/><Relationship Id="rId190" Type="http://schemas.openxmlformats.org/officeDocument/2006/relationships/hyperlink" Target="http://www.mickikaminska.com/GOPAC/Docs/GRECO%20CM-Rec%20_2003_%204%20-%20financing%20of%20political%20parties_SP.pdf" TargetMode="External"/><Relationship Id="rId204" Type="http://schemas.openxmlformats.org/officeDocument/2006/relationships/hyperlink" Target="https://www.boe.es/biblioteca_juridica/codigos/codigo.php?id=322_Codigo_de_Lucha_contra_el_Fraude_y_la_Corrupcion&amp;modo=2" TargetMode="External"/><Relationship Id="rId246" Type="http://schemas.openxmlformats.org/officeDocument/2006/relationships/hyperlink" Target="https://www.mjusticia.gob.es/es/AreaTematica/ActividadLegislativa/Documents/MAIN_Y_Tabla_transposicion_APL_INFORMANTES_2022.03.11_TRAMITE_DE_AUDIENCIA_E_INFORMACION_PUBLICA.pdf" TargetMode="External"/><Relationship Id="rId288" Type="http://schemas.openxmlformats.org/officeDocument/2006/relationships/hyperlink" Target="https://www.mjusticia.gob.es/es/AreaTematica/ActividadLegislativa/Documents/210126%20ANTEPROYECTO%20LECRIM%202020%20INFORMACION%20PUBLICA%20(1).pdf" TargetMode="External"/><Relationship Id="rId411" Type="http://schemas.openxmlformats.org/officeDocument/2006/relationships/image" Target="media/image37.png"/><Relationship Id="rId453" Type="http://schemas.openxmlformats.org/officeDocument/2006/relationships/hyperlink" Target="https://www.antifraucv.es/wp-content/uploads/2021/09/20210824_AYUNTAMIENTO_DE_LA_SERRATELLA.pdf" TargetMode="External"/><Relationship Id="rId509" Type="http://schemas.openxmlformats.org/officeDocument/2006/relationships/image" Target="media/image52.png"/><Relationship Id="rId106" Type="http://schemas.openxmlformats.org/officeDocument/2006/relationships/hyperlink" Target="https://acicom.org/com-robar-un-pais-cine-club-accio-documental-dimecres-12-5-2021-a-les-1800h-octubre-ccc/" TargetMode="External"/><Relationship Id="rId313" Type="http://schemas.openxmlformats.org/officeDocument/2006/relationships/hyperlink" Target="https://www.boe.es/buscar/pdf/2018/BOE-A-2018-14293-consolidado.pdf" TargetMode="External"/><Relationship Id="rId495" Type="http://schemas.openxmlformats.org/officeDocument/2006/relationships/image" Target="media/image40.jpeg"/><Relationship Id="rId10" Type="http://schemas.openxmlformats.org/officeDocument/2006/relationships/footer" Target="footer1.xml"/><Relationship Id="rId52" Type="http://schemas.openxmlformats.org/officeDocument/2006/relationships/hyperlink" Target="file:///Q:\MEMORIA\2021_gtm\TEXTO%20PROVISIONAL\MEMORIA%202021_CAS\MEMORIA%20PROVISIONAL_CAS_V31.docx" TargetMode="External"/><Relationship Id="rId94" Type="http://schemas.openxmlformats.org/officeDocument/2006/relationships/hyperlink" Target="https://www.antifraucv.es/wp-content/uploads/2021/12/2021_EPAC_declaracion_vilnius_EN_CS.pdf" TargetMode="External"/><Relationship Id="rId148" Type="http://schemas.openxmlformats.org/officeDocument/2006/relationships/hyperlink" Target="https://bit.ly/3GhQpwO" TargetMode="External"/><Relationship Id="rId355" Type="http://schemas.openxmlformats.org/officeDocument/2006/relationships/chart" Target="charts/chart12.xml"/><Relationship Id="rId397" Type="http://schemas.openxmlformats.org/officeDocument/2006/relationships/hyperlink" Target="https://www.antifraucv.es/informacion-de-relevancia-juridica/" TargetMode="External"/><Relationship Id="rId520" Type="http://schemas.openxmlformats.org/officeDocument/2006/relationships/hyperlink" Target="https://www.antifraucv.es/events/" TargetMode="External"/><Relationship Id="rId562" Type="http://schemas.openxmlformats.org/officeDocument/2006/relationships/image" Target="media/image76.emf"/><Relationship Id="rId215" Type="http://schemas.openxmlformats.org/officeDocument/2006/relationships/hyperlink" Target="https://dogv.gva.es/datos/2022/02/18/pdf/2022_1132.pdf" TargetMode="External"/><Relationship Id="rId257" Type="http://schemas.openxmlformats.org/officeDocument/2006/relationships/hyperlink" Target="https://www.antifraucv.es/wp-content/uploads/2022/01/Declaracion-Utrecht-4-junio-2021-canales-internos-ENG-CAS.pdf" TargetMode="External"/><Relationship Id="rId422" Type="http://schemas.openxmlformats.org/officeDocument/2006/relationships/hyperlink" Target="http://www.antifraucv.es/wp-content/uploads/2021/04/20210301_AYUNTAMIENTO_DE_ROJALES.pdf" TargetMode="External"/><Relationship Id="rId464" Type="http://schemas.openxmlformats.org/officeDocument/2006/relationships/hyperlink" Target="https://www.antifraucv.es/wp-content/uploads/2021/10/20211021_UNIVERSIDAD_DE_ALICANTE.pdf" TargetMode="External"/><Relationship Id="rId299" Type="http://schemas.openxmlformats.org/officeDocument/2006/relationships/hyperlink" Target="http://dogv.gva.es/datos/2021/04/20/pdf/2021_3988.pdf" TargetMode="External"/><Relationship Id="rId63" Type="http://schemas.openxmlformats.org/officeDocument/2006/relationships/image" Target="media/image14.jpeg"/><Relationship Id="rId159" Type="http://schemas.openxmlformats.org/officeDocument/2006/relationships/hyperlink" Target="https://bit.ly/3AOgC4G" TargetMode="External"/><Relationship Id="rId366" Type="http://schemas.openxmlformats.org/officeDocument/2006/relationships/hyperlink" Target="https://dogv.gva.es/auto/dogv/docvpub/rlgv/2019/RAF_20190627_ca_RAF_20190716.pdf" TargetMode="External"/><Relationship Id="rId573" Type="http://schemas.openxmlformats.org/officeDocument/2006/relationships/image" Target="media/image87.emf"/><Relationship Id="rId226" Type="http://schemas.openxmlformats.org/officeDocument/2006/relationships/image" Target="media/image25.png"/><Relationship Id="rId433" Type="http://schemas.openxmlformats.org/officeDocument/2006/relationships/hyperlink" Target="http://www.antifraucv.es/wp-content/uploads/2021/04/202210430_AYUNTAMIENTO_DE_VINAROZ.pdf" TargetMode="External"/><Relationship Id="rId74" Type="http://schemas.openxmlformats.org/officeDocument/2006/relationships/hyperlink" Target="https://www.dogv.gva.es/portal/ficha_disposicion_pc.jsp?sig=001789/2019&amp;L=1" TargetMode="External"/><Relationship Id="rId377" Type="http://schemas.openxmlformats.org/officeDocument/2006/relationships/hyperlink" Target="https://www.cortsvalencianes.es/es/consulta_boc" TargetMode="External"/><Relationship Id="rId500" Type="http://schemas.openxmlformats.org/officeDocument/2006/relationships/image" Target="media/image43.jpeg"/><Relationship Id="rId584" Type="http://schemas.openxmlformats.org/officeDocument/2006/relationships/theme" Target="theme/theme1.xml"/><Relationship Id="rId5" Type="http://schemas.openxmlformats.org/officeDocument/2006/relationships/webSettings" Target="webSettings.xml"/><Relationship Id="rId237" Type="http://schemas.openxmlformats.org/officeDocument/2006/relationships/hyperlink" Target="https://www.asambleamadrid.es/static/docs/registro-ep/RGEP27067-20.pdf" TargetMode="External"/><Relationship Id="rId444" Type="http://schemas.openxmlformats.org/officeDocument/2006/relationships/hyperlink" Target="https://www.antifraucv.es/wp-content/uploads/2021/07/20210615-AYUNTAMIENTO_DE_LA-YESA.pdf" TargetMode="External"/><Relationship Id="rId290" Type="http://schemas.openxmlformats.org/officeDocument/2006/relationships/hyperlink" Target="https://www.boe.es/diario_boe/txt.php?id=BOE-A-2006-13012" TargetMode="External"/><Relationship Id="rId304" Type="http://schemas.openxmlformats.org/officeDocument/2006/relationships/hyperlink" Target="http://www.dogv.gva.es/datos/2018/11/08/pdf/2018_10294.pdf" TargetMode="External"/><Relationship Id="rId388" Type="http://schemas.openxmlformats.org/officeDocument/2006/relationships/hyperlink" Target="https://www.cortsvalencianes.es/es/consulta_boc" TargetMode="External"/><Relationship Id="rId511" Type="http://schemas.openxmlformats.org/officeDocument/2006/relationships/image" Target="media/image54.png"/><Relationship Id="rId85" Type="http://schemas.openxmlformats.org/officeDocument/2006/relationships/hyperlink" Target="https://www.cortsvalencianes.es/es/consulta_boc" TargetMode="External"/><Relationship Id="rId150" Type="http://schemas.openxmlformats.org/officeDocument/2006/relationships/hyperlink" Target="https://bit.ly/3rrkYfn" TargetMode="External"/><Relationship Id="rId248" Type="http://schemas.openxmlformats.org/officeDocument/2006/relationships/hyperlink" Target="http://www.antifraucv.es/wp-content/uploads/2021/03/Alegaciones_consulta_publica_avaf_OK.pdf" TargetMode="External"/><Relationship Id="rId455" Type="http://schemas.openxmlformats.org/officeDocument/2006/relationships/hyperlink" Target="https://www.antifraucv.es/wp-content/uploads/2021/09/20210907_FUNDACION_PARA_LA_INVESTIGACION_INSTITUTO_SANITARIO_LA_FE.pdf" TargetMode="External"/><Relationship Id="rId12" Type="http://schemas.openxmlformats.org/officeDocument/2006/relationships/image" Target="media/image2.png"/><Relationship Id="rId108" Type="http://schemas.openxmlformats.org/officeDocument/2006/relationships/hyperlink" Target="https://www.antifraucv.es/el-director-de-lavaf-participa-en-la-segona-edicio-del-curs-de-la-llei-de-transparencia-implantacio-en-ladministracio-local-de-la-diputacio-dalacant/" TargetMode="External"/><Relationship Id="rId315" Type="http://schemas.openxmlformats.org/officeDocument/2006/relationships/hyperlink" Target="https://www.unodc.org/documents/treaties/UNCAC/COSP/special-session/V2103921_S.pdf" TargetMode="External"/><Relationship Id="rId522" Type="http://schemas.openxmlformats.org/officeDocument/2006/relationships/image" Target="media/image59.jpeg"/><Relationship Id="rId96" Type="http://schemas.openxmlformats.org/officeDocument/2006/relationships/hyperlink" Target="https://cadenaser.com/emisora/2021/09/09/radio_valencia/1631174207_764962.html" TargetMode="External"/><Relationship Id="rId161" Type="http://schemas.openxmlformats.org/officeDocument/2006/relationships/hyperlink" Target="https://bit.ly/3s6jXbA" TargetMode="External"/><Relationship Id="rId399" Type="http://schemas.openxmlformats.org/officeDocument/2006/relationships/hyperlink" Target="http://www.antifraucv.es/wp-content/uploads/2021/04/210602-Resolucion-350-X-apoyo-AVAF.pdf" TargetMode="External"/><Relationship Id="rId259" Type="http://schemas.openxmlformats.org/officeDocument/2006/relationships/hyperlink" Target="https://www.antifraucv.es/wp-content/uploads/2022/01/211217-Declaracion-de-Dublin-ENG-ESP.pdf" TargetMode="External"/><Relationship Id="rId466" Type="http://schemas.openxmlformats.org/officeDocument/2006/relationships/hyperlink" Target="https://www.antifraucv.es/wp-content/uploads/2021/11/202117011-AYUNTAMIENTO-DE-CANET-DEN-BERENGUER.pdf" TargetMode="External"/><Relationship Id="rId23" Type="http://schemas.openxmlformats.org/officeDocument/2006/relationships/hyperlink" Target="https://twitter.com/AntifrauCV" TargetMode="External"/><Relationship Id="rId119" Type="http://schemas.openxmlformats.org/officeDocument/2006/relationships/image" Target="media/image21.jpg"/><Relationship Id="rId326" Type="http://schemas.openxmlformats.org/officeDocument/2006/relationships/hyperlink" Target="https://www.eppo.europa.eu/en" TargetMode="External"/><Relationship Id="rId533" Type="http://schemas.openxmlformats.org/officeDocument/2006/relationships/hyperlink" Target="https://www.antifraucv.es/wp-content/uploads/2020/12/2020_12_29_-DOGV8985.pdf" TargetMode="External"/><Relationship Id="rId172" Type="http://schemas.openxmlformats.org/officeDocument/2006/relationships/hyperlink" Target="https://www.antifraucv.es/la-agencia-valenciana-antifraude-presenta-a-les-corts-su-memoria-de-actividad-del-ano-2020/" TargetMode="External"/><Relationship Id="rId477" Type="http://schemas.openxmlformats.org/officeDocument/2006/relationships/hyperlink" Target="https://www.antifraucv.es/wp-content/uploads/2022/01/20211214_AYUNTAMIENTO-DE-ALBAIDA.pdf" TargetMode="External"/><Relationship Id="rId337" Type="http://schemas.openxmlformats.org/officeDocument/2006/relationships/hyperlink" Target="https://www.boe.es/buscar/pdf/2016/BOE-A-2016-12048-consolidado.pdf" TargetMode="External"/><Relationship Id="rId34" Type="http://schemas.openxmlformats.org/officeDocument/2006/relationships/image" Target="media/image8.png"/><Relationship Id="rId544" Type="http://schemas.openxmlformats.org/officeDocument/2006/relationships/hyperlink" Target="https://www.hacienda.gob.es/RSC/OIReScon/COVID-19/ies-emergencias-2021/IES-emergencias-2021.pdf"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67.png"/></Relationships>
</file>

<file path=word/_rels/footnotes.xml.rels><?xml version="1.0" encoding="UTF-8" standalone="yes"?>
<Relationships xmlns="http://schemas.openxmlformats.org/package/2006/relationships"><Relationship Id="rId3" Type="http://schemas.openxmlformats.org/officeDocument/2006/relationships/hyperlink" Target="https://repository.ifla.org/handle/123456789/1593" TargetMode="External"/><Relationship Id="rId2" Type="http://schemas.openxmlformats.org/officeDocument/2006/relationships/hyperlink" Target="https://www.elmundo.es/papel/historias/2021/10/21/616ef375e4d4d8be358b4599.html" TargetMode="External"/><Relationship Id="rId1" Type="http://schemas.openxmlformats.org/officeDocument/2006/relationships/hyperlink" Target="https://www.eldiario.es/comunitat-valenciana/notes-de-lectura/els-llibres-impactants_132_8499966.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joaquin.alventosa.ANTIFRAU\Desktop\m21\Tablas%20Memoria%202021%20-%20Gr&#225;fico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8.bin"/></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embeddings/oleObject9.bin"/></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embeddings/oleObject10.bin"/></Relationships>
</file>

<file path=word/charts/_rels/chart13.xml.rels><?xml version="1.0" encoding="UTF-8" standalone="yes"?>
<Relationships xmlns="http://schemas.openxmlformats.org/package/2006/relationships"><Relationship Id="rId2" Type="http://schemas.openxmlformats.org/officeDocument/2006/relationships/oleObject" Target="../embeddings/oleObject11.bin"/><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2.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2.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3" Type="http://schemas.openxmlformats.org/officeDocument/2006/relationships/oleObject" Target="file:///C:\Users\joaquin.alventosa.ANTIFRAU\Desktop\m21\Tablas%20Memoria%202021%20-%20Gr&#225;fico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2.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3.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4.bin"/></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embeddings/oleObject5.bin"/></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6.bin"/></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7.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Evolución</a:t>
            </a:r>
            <a:r>
              <a:rPr lang="en-US" baseline="0"/>
              <a:t> u</a:t>
            </a:r>
            <a:r>
              <a:rPr lang="en-US"/>
              <a:t>suarios/as de la web de 2019 a 2021</a:t>
            </a:r>
          </a:p>
        </c:rich>
      </c:tx>
      <c:layout>
        <c:manualLayout>
          <c:xMode val="edge"/>
          <c:yMode val="edge"/>
          <c:x val="0.12887489063867016"/>
          <c:y val="5.0925925925925923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a-ES-valencia"/>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mn-lt"/>
                    <a:ea typeface="+mn-ea"/>
                    <a:cs typeface="+mn-cs"/>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'Usuarios web 2019-2020 '!$B$3:$B$4</c:f>
              <c:numCache>
                <c:formatCode>#,##0</c:formatCode>
                <c:ptCount val="2"/>
                <c:pt idx="0">
                  <c:v>7323</c:v>
                </c:pt>
                <c:pt idx="1">
                  <c:v>16772</c:v>
                </c:pt>
              </c:numCache>
            </c:numRef>
          </c:val>
          <c:extLst>
            <c:ext xmlns:c16="http://schemas.microsoft.com/office/drawing/2014/chart" uri="{C3380CC4-5D6E-409C-BE32-E72D297353CC}">
              <c16:uniqueId val="{00000000-16D7-420B-9305-B470A4CBB481}"/>
            </c:ext>
          </c:extLst>
        </c:ser>
        <c:dLbls>
          <c:showLegendKey val="0"/>
          <c:showVal val="1"/>
          <c:showCatName val="0"/>
          <c:showSerName val="0"/>
          <c:showPercent val="0"/>
          <c:showBubbleSize val="0"/>
        </c:dLbls>
        <c:gapWidth val="65"/>
        <c:shape val="box"/>
        <c:axId val="1307786423"/>
        <c:axId val="1552555815"/>
        <c:axId val="0"/>
      </c:bar3DChart>
      <c:dateAx>
        <c:axId val="1307786423"/>
        <c:scaling>
          <c:orientation val="minMax"/>
        </c:scaling>
        <c:delete val="1"/>
        <c:axPos val="b"/>
        <c:numFmt formatCode="General" sourceLinked="1"/>
        <c:majorTickMark val="out"/>
        <c:minorTickMark val="none"/>
        <c:tickLblPos val="nextTo"/>
        <c:crossAx val="1552555815"/>
        <c:crosses val="autoZero"/>
        <c:auto val="0"/>
        <c:lblOffset val="100"/>
        <c:baseTimeUnit val="days"/>
      </c:dateAx>
      <c:valAx>
        <c:axId val="1552555815"/>
        <c:scaling>
          <c:orientation val="minMax"/>
        </c:scaling>
        <c:delete val="1"/>
        <c:axPos val="l"/>
        <c:majorGridlines>
          <c:spPr>
            <a:ln w="9525" cap="flat" cmpd="sng" algn="ctr">
              <a:solidFill>
                <a:schemeClr val="dk1">
                  <a:lumMod val="15000"/>
                  <a:lumOff val="85000"/>
                </a:schemeClr>
              </a:solidFill>
              <a:round/>
            </a:ln>
            <a:effectLst/>
          </c:spPr>
        </c:majorGridlines>
        <c:numFmt formatCode="#,##0" sourceLinked="1"/>
        <c:majorTickMark val="out"/>
        <c:minorTickMark val="none"/>
        <c:tickLblPos val="nextTo"/>
        <c:crossAx val="1307786423"/>
        <c:crossesAt val="1"/>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ca-ES-valencia"/>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hPercent val="40"/>
      <c:rotY val="30"/>
      <c:depthPercent val="100"/>
      <c:rAngAx val="1"/>
    </c:view3D>
    <c:floor>
      <c:thickness val="0"/>
      <c:spPr>
        <a:solidFill>
          <a:sysClr val="window" lastClr="FFFFFF">
            <a:lumMod val="85000"/>
          </a:sysClr>
        </a:solidFill>
        <a:ln>
          <a:noFill/>
        </a:ln>
        <a:effectLst/>
        <a:scene3d>
          <a:camera prst="orthographicFront"/>
          <a:lightRig rig="threePt" dir="t"/>
        </a:scene3d>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v>Solicitudes</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Pt>
            <c:idx val="0"/>
            <c:invertIfNegative val="0"/>
            <c:bubble3D val="0"/>
            <c:spPr>
              <a:solidFill>
                <a:srgbClr val="9D2235"/>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FBB4-4697-83B0-A889314E35A7}"/>
              </c:ext>
            </c:extLst>
          </c:dPt>
          <c:dPt>
            <c:idx val="1"/>
            <c:invertIfNegative val="0"/>
            <c:bubble3D val="0"/>
            <c:spPr>
              <a:solidFill>
                <a:srgbClr val="5B6770">
                  <a:lumMod val="60000"/>
                  <a:lumOff val="40000"/>
                </a:srgbClr>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FBB4-4697-83B0-A889314E35A7}"/>
              </c:ext>
            </c:extLst>
          </c:dPt>
          <c:dLbls>
            <c:dLbl>
              <c:idx val="0"/>
              <c:layout>
                <c:manualLayout>
                  <c:x val="2.5393331711092666E-2"/>
                  <c:y val="-2.7123084343181766E-2"/>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ca-ES-valenci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BB4-4697-83B0-A889314E35A7}"/>
                </c:ext>
              </c:extLst>
            </c:dLbl>
            <c:dLbl>
              <c:idx val="1"/>
              <c:layout>
                <c:manualLayout>
                  <c:x val="3.0471998053311199E-2"/>
                  <c:y val="-1.8082056228787845E-2"/>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ca-ES-valenci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BB4-4697-83B0-A889314E35A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a-ES-valencia"/>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Hoja1!$L$191:$L$192</c:f>
              <c:strCache>
                <c:ptCount val="2"/>
                <c:pt idx="0">
                  <c:v>Presentadas</c:v>
                </c:pt>
                <c:pt idx="1">
                  <c:v>Concedidas</c:v>
                </c:pt>
              </c:strCache>
            </c:strRef>
          </c:cat>
          <c:val>
            <c:numRef>
              <c:f>Hoja1!$M$191:$M$192</c:f>
              <c:numCache>
                <c:formatCode>General</c:formatCode>
                <c:ptCount val="2"/>
                <c:pt idx="0">
                  <c:v>41</c:v>
                </c:pt>
                <c:pt idx="1">
                  <c:v>26</c:v>
                </c:pt>
              </c:numCache>
            </c:numRef>
          </c:val>
          <c:extLst>
            <c:ext xmlns:c16="http://schemas.microsoft.com/office/drawing/2014/chart" uri="{C3380CC4-5D6E-409C-BE32-E72D297353CC}">
              <c16:uniqueId val="{00000004-FBB4-4697-83B0-A889314E35A7}"/>
            </c:ext>
          </c:extLst>
        </c:ser>
        <c:dLbls>
          <c:showLegendKey val="0"/>
          <c:showVal val="0"/>
          <c:showCatName val="0"/>
          <c:showSerName val="0"/>
          <c:showPercent val="0"/>
          <c:showBubbleSize val="0"/>
        </c:dLbls>
        <c:gapWidth val="75"/>
        <c:shape val="cylinder"/>
        <c:axId val="1290816000"/>
        <c:axId val="1"/>
        <c:axId val="0"/>
      </c:bar3DChart>
      <c:catAx>
        <c:axId val="1290816000"/>
        <c:scaling>
          <c:orientation val="minMax"/>
        </c:scaling>
        <c:delete val="1"/>
        <c:axPos val="b"/>
        <c:numFmt formatCode="General" sourceLinked="1"/>
        <c:majorTickMark val="none"/>
        <c:minorTickMark val="none"/>
        <c:tickLblPos val="nextTo"/>
        <c:crossAx val="1"/>
        <c:crossesAt val="0"/>
        <c:auto val="1"/>
        <c:lblAlgn val="ctr"/>
        <c:lblOffset val="100"/>
        <c:noMultiLvlLbl val="0"/>
      </c:catAx>
      <c:valAx>
        <c:axId val="1"/>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1290816000"/>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ca-ES-valencia"/>
        </a:p>
      </c:txPr>
    </c:legend>
    <c:plotVisOnly val="1"/>
    <c:dispBlanksAs val="gap"/>
    <c:showDLblsOverMax val="0"/>
  </c:chart>
  <c:spPr>
    <a:gradFill>
      <a:gsLst>
        <a:gs pos="0">
          <a:srgbClr val="A5A5A5">
            <a:lumMod val="0"/>
            <a:lumOff val="100000"/>
          </a:srgbClr>
        </a:gs>
        <a:gs pos="35000">
          <a:srgbClr val="A5A5A5">
            <a:lumMod val="0"/>
            <a:lumOff val="100000"/>
          </a:srgbClr>
        </a:gs>
        <a:gs pos="100000">
          <a:srgbClr val="A5A5A5">
            <a:lumMod val="100000"/>
          </a:srgb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33"/>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solidFill>
              <a:srgbClr val="666666"/>
            </a:solidFill>
            <a:ln>
              <a:noFill/>
            </a:ln>
            <a:effectLst>
              <a:outerShdw blurRad="50800" dist="38100" dir="2700000" algn="tl" rotWithShape="0">
                <a:prstClr val="black">
                  <a:alpha val="40000"/>
                </a:prstClr>
              </a:outerShdw>
            </a:effectLst>
          </c:spPr>
          <c:explosion val="20"/>
          <c:dPt>
            <c:idx val="0"/>
            <c:bubble3D val="0"/>
            <c:spPr>
              <a:solidFill>
                <a:srgbClr val="9D2235"/>
              </a:solidFill>
              <a:ln w="12700">
                <a:noFill/>
              </a:ln>
              <a:effectLst>
                <a:outerShdw blurRad="50800" dist="38100" dir="2700000" algn="tl" rotWithShape="0">
                  <a:prstClr val="black">
                    <a:alpha val="40000"/>
                  </a:prstClr>
                </a:outerShdw>
              </a:effectLst>
              <a:sp3d>
                <a:contourClr>
                  <a:schemeClr val="lt1"/>
                </a:contourClr>
              </a:sp3d>
            </c:spPr>
            <c:extLst>
              <c:ext xmlns:c16="http://schemas.microsoft.com/office/drawing/2014/chart" uri="{C3380CC4-5D6E-409C-BE32-E72D297353CC}">
                <c16:uniqueId val="{00000001-0C76-4989-9A06-B3F1A649DA64}"/>
              </c:ext>
            </c:extLst>
          </c:dPt>
          <c:dPt>
            <c:idx val="1"/>
            <c:bubble3D val="0"/>
            <c:spPr>
              <a:solidFill>
                <a:schemeClr val="accent4"/>
              </a:solidFill>
              <a:ln w="12700">
                <a:noFill/>
              </a:ln>
              <a:effectLst>
                <a:outerShdw blurRad="50800" dist="38100" dir="2700000" algn="tl" rotWithShape="0">
                  <a:prstClr val="black">
                    <a:alpha val="40000"/>
                  </a:prstClr>
                </a:outerShdw>
              </a:effectLst>
              <a:sp3d>
                <a:contourClr>
                  <a:schemeClr val="lt1"/>
                </a:contourClr>
              </a:sp3d>
            </c:spPr>
            <c:extLst>
              <c:ext xmlns:c16="http://schemas.microsoft.com/office/drawing/2014/chart" uri="{C3380CC4-5D6E-409C-BE32-E72D297353CC}">
                <c16:uniqueId val="{00000003-0C76-4989-9A06-B3F1A649DA64}"/>
              </c:ext>
            </c:extLst>
          </c:dPt>
          <c:dLbls>
            <c:dLbl>
              <c:idx val="0"/>
              <c:layout>
                <c:manualLayout>
                  <c:x val="0.16090553318457343"/>
                  <c:y val="-0.124137817025919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C76-4989-9A06-B3F1A649DA64}"/>
                </c:ext>
              </c:extLst>
            </c:dLbl>
            <c:dLbl>
              <c:idx val="1"/>
              <c:layout>
                <c:manualLayout>
                  <c:x val="-0.12058988860105842"/>
                  <c:y val="4.51326514064937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C76-4989-9A06-B3F1A649DA64}"/>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Arial" panose="020B0604020202020204" pitchFamily="34" charset="0"/>
                    <a:ea typeface="+mn-ea"/>
                    <a:cs typeface="Arial" panose="020B0604020202020204" pitchFamily="34" charset="0"/>
                  </a:defRPr>
                </a:pPr>
                <a:endParaRPr lang="ca-ES-valencia"/>
              </a:p>
            </c:txPr>
            <c:showLegendKey val="0"/>
            <c:showVal val="0"/>
            <c:showCatName val="0"/>
            <c:showSerName val="0"/>
            <c:showPercent val="0"/>
            <c:showBubbleSize val="0"/>
            <c:extLst>
              <c:ext xmlns:c15="http://schemas.microsoft.com/office/drawing/2012/chart" uri="{CE6537A1-D6FC-4f65-9D91-7224C49458BB}"/>
            </c:extLst>
          </c:dLbls>
          <c:cat>
            <c:strRef>
              <c:f>Hoja1!$M$153:$M$154</c:f>
              <c:strCache>
                <c:ptCount val="2"/>
                <c:pt idx="0">
                  <c:v>Hombres</c:v>
                </c:pt>
                <c:pt idx="1">
                  <c:v>Mujeres</c:v>
                </c:pt>
              </c:strCache>
              <c:extLst/>
            </c:strRef>
          </c:cat>
          <c:val>
            <c:numRef>
              <c:f>Hoja1!$N$152:$N$153</c:f>
              <c:numCache>
                <c:formatCode>General</c:formatCode>
                <c:ptCount val="2"/>
                <c:pt idx="0">
                  <c:v>17</c:v>
                </c:pt>
                <c:pt idx="1">
                  <c:v>9</c:v>
                </c:pt>
              </c:numCache>
              <c:extLst/>
            </c:numRef>
          </c:val>
          <c:extLst>
            <c:ext xmlns:c16="http://schemas.microsoft.com/office/drawing/2014/chart" uri="{C3380CC4-5D6E-409C-BE32-E72D297353CC}">
              <c16:uniqueId val="{00000004-0C76-4989-9A06-B3F1A649DA64}"/>
            </c:ext>
          </c:extLst>
        </c:ser>
        <c:dLbls>
          <c:showLegendKey val="0"/>
          <c:showVal val="0"/>
          <c:showCatName val="0"/>
          <c:showSerName val="0"/>
          <c:showPercent val="1"/>
          <c:showBubbleSize val="0"/>
          <c:showLeaderLines val="1"/>
        </c:dLbls>
      </c:pie3D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ca-ES-valencia"/>
          </a:p>
        </c:txPr>
      </c:legendEntry>
      <c:legendEntry>
        <c:idx val="1"/>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ca-ES-valencia"/>
          </a:p>
        </c:txPr>
      </c:legendEntry>
      <c:layout>
        <c:manualLayout>
          <c:xMode val="edge"/>
          <c:yMode val="edge"/>
          <c:x val="0.7949235681858986"/>
          <c:y val="0.38540740064330153"/>
          <c:w val="0.14535873365992116"/>
          <c:h val="0.31416325939407491"/>
        </c:manualLayout>
      </c:layout>
      <c:overlay val="0"/>
      <c:spPr>
        <a:solidFill>
          <a:srgbClr val="F0F0F0"/>
        </a:solid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solidFill>
          <a:schemeClr val="bg1">
            <a:lumMod val="95000"/>
          </a:schemeClr>
        </a:solidFill>
        <a:ln>
          <a:noFill/>
        </a:ln>
        <a:effectLst/>
        <a:sp3d/>
      </c:spPr>
    </c:floor>
    <c:sideWall>
      <c:thickness val="0"/>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noFill/>
        </a:ln>
        <a:effectLst>
          <a:outerShdw blurRad="50800" dist="38100" dir="2700000" algn="tl" rotWithShape="0">
            <a:prstClr val="black">
              <a:alpha val="40000"/>
            </a:prstClr>
          </a:outerShdw>
        </a:effectLst>
        <a:sp3d/>
      </c:spPr>
    </c:sideWall>
    <c:backWall>
      <c:thickness val="0"/>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noFill/>
        </a:ln>
        <a:effectLst>
          <a:outerShdw blurRad="50800" dist="38100" dir="2700000" algn="tl" rotWithShape="0">
            <a:prstClr val="black">
              <a:alpha val="40000"/>
            </a:prstClr>
          </a:outerShdw>
        </a:effectLst>
        <a:sp3d/>
      </c:spPr>
    </c:backWall>
    <c:plotArea>
      <c:layout>
        <c:manualLayout>
          <c:layoutTarget val="inner"/>
          <c:xMode val="edge"/>
          <c:yMode val="edge"/>
          <c:x val="0.43725264005829939"/>
          <c:y val="0"/>
          <c:w val="0.53991075352974527"/>
          <c:h val="0.9332284703106567"/>
        </c:manualLayout>
      </c:layout>
      <c:bar3DChart>
        <c:barDir val="bar"/>
        <c:grouping val="clustered"/>
        <c:varyColors val="0"/>
        <c:ser>
          <c:idx val="0"/>
          <c:order val="0"/>
          <c:spPr>
            <a:solidFill>
              <a:schemeClr val="accent1"/>
            </a:solidFill>
            <a:ln>
              <a:noFill/>
            </a:ln>
            <a:effectLst>
              <a:outerShdw blurRad="50800" dist="38100" dir="13500000" algn="br" rotWithShape="0">
                <a:prstClr val="black">
                  <a:alpha val="40000"/>
                </a:prstClr>
              </a:outerShdw>
            </a:effectLst>
            <a:sp3d/>
          </c:spPr>
          <c:invertIfNegative val="0"/>
          <c:dPt>
            <c:idx val="2"/>
            <c:invertIfNegative val="0"/>
            <c:bubble3D val="0"/>
            <c:spPr>
              <a:solidFill>
                <a:srgbClr val="F1D3D8"/>
              </a:solidFill>
              <a:ln>
                <a:noFill/>
              </a:ln>
              <a:effectLst>
                <a:outerShdw blurRad="50800" dist="38100" dir="13500000" algn="br" rotWithShape="0">
                  <a:prstClr val="black">
                    <a:alpha val="40000"/>
                  </a:prstClr>
                </a:outerShdw>
              </a:effectLst>
              <a:sp3d/>
            </c:spPr>
            <c:extLst>
              <c:ext xmlns:c16="http://schemas.microsoft.com/office/drawing/2014/chart" uri="{C3380CC4-5D6E-409C-BE32-E72D297353CC}">
                <c16:uniqueId val="{00000001-9201-4AB1-8ED6-766BA9C9F910}"/>
              </c:ext>
            </c:extLst>
          </c:dPt>
          <c:dPt>
            <c:idx val="4"/>
            <c:invertIfNegative val="0"/>
            <c:bubble3D val="0"/>
            <c:spPr>
              <a:solidFill>
                <a:srgbClr val="E7957F"/>
              </a:solidFill>
              <a:ln>
                <a:noFill/>
              </a:ln>
              <a:effectLst>
                <a:outerShdw blurRad="50800" dist="38100" dir="13500000" algn="br" rotWithShape="0">
                  <a:prstClr val="black">
                    <a:alpha val="40000"/>
                  </a:prstClr>
                </a:outerShdw>
              </a:effectLst>
              <a:sp3d/>
            </c:spPr>
            <c:extLst>
              <c:ext xmlns:c16="http://schemas.microsoft.com/office/drawing/2014/chart" uri="{C3380CC4-5D6E-409C-BE32-E72D297353CC}">
                <c16:uniqueId val="{00000003-9201-4AB1-8ED6-766BA9C9F910}"/>
              </c:ext>
            </c:extLst>
          </c:dPt>
          <c:dPt>
            <c:idx val="5"/>
            <c:invertIfNegative val="0"/>
            <c:bubble3D val="0"/>
            <c:spPr>
              <a:solidFill>
                <a:srgbClr val="C17F78"/>
              </a:solidFill>
              <a:ln>
                <a:noFill/>
              </a:ln>
              <a:effectLst>
                <a:outerShdw blurRad="50800" dist="38100" dir="13500000" algn="br" rotWithShape="0">
                  <a:prstClr val="black">
                    <a:alpha val="40000"/>
                  </a:prstClr>
                </a:outerShdw>
              </a:effectLst>
              <a:sp3d/>
            </c:spPr>
            <c:extLst>
              <c:ext xmlns:c16="http://schemas.microsoft.com/office/drawing/2014/chart" uri="{C3380CC4-5D6E-409C-BE32-E72D297353CC}">
                <c16:uniqueId val="{00000005-9201-4AB1-8ED6-766BA9C9F910}"/>
              </c:ext>
            </c:extLst>
          </c:dPt>
          <c:dPt>
            <c:idx val="6"/>
            <c:invertIfNegative val="0"/>
            <c:bubble3D val="0"/>
            <c:spPr>
              <a:solidFill>
                <a:srgbClr val="9D2235"/>
              </a:solidFill>
              <a:ln>
                <a:noFill/>
              </a:ln>
              <a:effectLst>
                <a:outerShdw blurRad="50800" dist="38100" dir="13500000" algn="br" rotWithShape="0">
                  <a:prstClr val="black">
                    <a:alpha val="40000"/>
                  </a:prstClr>
                </a:outerShdw>
              </a:effectLst>
              <a:sp3d/>
            </c:spPr>
            <c:extLst>
              <c:ext xmlns:c16="http://schemas.microsoft.com/office/drawing/2014/chart" uri="{C3380CC4-5D6E-409C-BE32-E72D297353CC}">
                <c16:uniqueId val="{00000007-9201-4AB1-8ED6-766BA9C9F910}"/>
              </c:ext>
            </c:extLst>
          </c:dPt>
          <c:dLbls>
            <c:dLbl>
              <c:idx val="0"/>
              <c:layout>
                <c:manualLayout>
                  <c:x val="-2.837303717476046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201-4AB1-8ED6-766BA9C9F910}"/>
                </c:ext>
              </c:extLst>
            </c:dLbl>
            <c:dLbl>
              <c:idx val="1"/>
              <c:layout>
                <c:manualLayout>
                  <c:x val="-2.8373037174760467E-2"/>
                  <c:y val="7.95673050306948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201-4AB1-8ED6-766BA9C9F910}"/>
                </c:ext>
              </c:extLst>
            </c:dLbl>
            <c:dLbl>
              <c:idx val="2"/>
              <c:layout>
                <c:manualLayout>
                  <c:x val="-3.2347344796420853E-2"/>
                  <c:y val="-3.411417180595322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ca-ES-valenci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01-4AB1-8ED6-766BA9C9F910}"/>
                </c:ext>
              </c:extLst>
            </c:dLbl>
            <c:dLbl>
              <c:idx val="3"/>
              <c:layout>
                <c:manualLayout>
                  <c:x val="-3.0031233923031621E-2"/>
                  <c:y val="-4.35751364392849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201-4AB1-8ED6-766BA9C9F910}"/>
                </c:ext>
              </c:extLst>
            </c:dLbl>
            <c:dLbl>
              <c:idx val="4"/>
              <c:layout>
                <c:manualLayout>
                  <c:x val="-5.1242871832934252E-2"/>
                  <c:y val="-3.33844802662830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01-4AB1-8ED6-766BA9C9F910}"/>
                </c:ext>
              </c:extLst>
            </c:dLbl>
            <c:dLbl>
              <c:idx val="5"/>
              <c:layout>
                <c:manualLayout>
                  <c:x val="-0.14323071586066435"/>
                  <c:y val="-4.35754216779831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201-4AB1-8ED6-766BA9C9F910}"/>
                </c:ext>
              </c:extLst>
            </c:dLbl>
            <c:dLbl>
              <c:idx val="6"/>
              <c:layout>
                <c:manualLayout>
                  <c:x val="-0.25903391421934752"/>
                  <c:y val="-7.76912026027221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201-4AB1-8ED6-766BA9C9F91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Hoja1!$L$113:$L$119</c:f>
              <c:strCache>
                <c:ptCount val="7"/>
                <c:pt idx="0">
                  <c:v>Otros</c:v>
                </c:pt>
                <c:pt idx="1">
                  <c:v>Personal laboral empresas contratistas GVA</c:v>
                </c:pt>
                <c:pt idx="2">
                  <c:v>Personal laboral corporación de derecho público</c:v>
                </c:pt>
                <c:pt idx="3">
                  <c:v>Personal laboral sector público instrumental  GVA</c:v>
                </c:pt>
                <c:pt idx="4">
                  <c:v>Funcionarios interinos</c:v>
                </c:pt>
                <c:pt idx="5">
                  <c:v>Personal laboral de Sociedades Mercantiles de Entes Locales</c:v>
                </c:pt>
                <c:pt idx="6">
                  <c:v>Funcionarios de carrera</c:v>
                </c:pt>
              </c:strCache>
            </c:strRef>
          </c:cat>
          <c:val>
            <c:numRef>
              <c:f>Hoja1!$M$113:$M$119</c:f>
              <c:numCache>
                <c:formatCode>General</c:formatCode>
                <c:ptCount val="7"/>
                <c:pt idx="0">
                  <c:v>1</c:v>
                </c:pt>
                <c:pt idx="1">
                  <c:v>1</c:v>
                </c:pt>
                <c:pt idx="2">
                  <c:v>1</c:v>
                </c:pt>
                <c:pt idx="3">
                  <c:v>1</c:v>
                </c:pt>
                <c:pt idx="4">
                  <c:v>2</c:v>
                </c:pt>
                <c:pt idx="5">
                  <c:v>7</c:v>
                </c:pt>
                <c:pt idx="6">
                  <c:v>13</c:v>
                </c:pt>
              </c:numCache>
            </c:numRef>
          </c:val>
          <c:shape val="cylinder"/>
          <c:extLst>
            <c:ext xmlns:c16="http://schemas.microsoft.com/office/drawing/2014/chart" uri="{C3380CC4-5D6E-409C-BE32-E72D297353CC}">
              <c16:uniqueId val="{0000000B-9201-4AB1-8ED6-766BA9C9F910}"/>
            </c:ext>
          </c:extLst>
        </c:ser>
        <c:dLbls>
          <c:showLegendKey val="0"/>
          <c:showVal val="0"/>
          <c:showCatName val="0"/>
          <c:showSerName val="0"/>
          <c:showPercent val="0"/>
          <c:showBubbleSize val="0"/>
        </c:dLbls>
        <c:gapWidth val="150"/>
        <c:shape val="box"/>
        <c:axId val="1507626416"/>
        <c:axId val="1464656752"/>
        <c:axId val="0"/>
      </c:bar3DChart>
      <c:catAx>
        <c:axId val="1507626416"/>
        <c:scaling>
          <c:orientation val="minMax"/>
        </c:scaling>
        <c:delete val="0"/>
        <c:axPos val="l"/>
        <c:numFmt formatCode="General" sourceLinked="1"/>
        <c:majorTickMark val="none"/>
        <c:minorTickMark val="none"/>
        <c:tickLblPos val="nextTo"/>
        <c:spPr>
          <a:noFill/>
          <a:ln>
            <a:noFill/>
          </a:ln>
          <a:effectLst/>
        </c:spPr>
        <c:txPr>
          <a:bodyPr rot="0" spcFirstLastPara="1" vertOverflow="ellipsis" wrap="square" anchor="ctr" anchorCtr="0"/>
          <a:lstStyle/>
          <a:p>
            <a:pPr>
              <a:defRPr sz="800" b="1" i="0" u="none" strike="noStrike" kern="1200" baseline="0">
                <a:solidFill>
                  <a:schemeClr val="accent1"/>
                </a:solidFill>
                <a:latin typeface="Arial" panose="020B0604020202020204" pitchFamily="34" charset="0"/>
                <a:ea typeface="+mn-ea"/>
                <a:cs typeface="Arial" panose="020B0604020202020204" pitchFamily="34" charset="0"/>
              </a:defRPr>
            </a:pPr>
            <a:endParaRPr lang="ca-ES-valencia"/>
          </a:p>
        </c:txPr>
        <c:crossAx val="1464656752"/>
        <c:crosses val="autoZero"/>
        <c:auto val="1"/>
        <c:lblAlgn val="ctr"/>
        <c:lblOffset val="100"/>
        <c:noMultiLvlLbl val="0"/>
      </c:catAx>
      <c:valAx>
        <c:axId val="1464656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a-ES-valencia"/>
          </a:p>
        </c:txPr>
        <c:crossAx val="1507626416"/>
        <c:crosses val="autoZero"/>
        <c:crossBetween val="between"/>
        <c:majorUnit val="3"/>
      </c:valAx>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20"/>
      <c:depthPercent val="100"/>
      <c:rAngAx val="1"/>
    </c:view3D>
    <c:floor>
      <c:thickness val="0"/>
      <c:spPr>
        <a:solidFill>
          <a:schemeClr val="bg1">
            <a:lumMod val="95000"/>
          </a:schemeClr>
        </a:solidFill>
        <a:ln>
          <a:solidFill>
            <a:schemeClr val="bg1">
              <a:lumMod val="85000"/>
            </a:schemeClr>
          </a:solidFill>
        </a:ln>
      </c:spPr>
    </c:floor>
    <c:sideWall>
      <c:thickness val="0"/>
      <c:spPr>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bg1">
                <a:lumMod val="75000"/>
              </a:schemeClr>
            </a:gs>
          </a:gsLst>
        </a:gradFill>
        <a:ln>
          <a:noFill/>
        </a:ln>
      </c:spPr>
    </c:sideWall>
    <c:backWall>
      <c:thickness val="0"/>
      <c:spPr>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bg1">
                <a:lumMod val="75000"/>
              </a:schemeClr>
            </a:gs>
          </a:gsLst>
          <a:lin ang="5400000" scaled="1"/>
        </a:gradFill>
        <a:ln>
          <a:noFill/>
        </a:ln>
      </c:spPr>
    </c:backWall>
    <c:plotArea>
      <c:layout/>
      <c:bar3DChart>
        <c:barDir val="bar"/>
        <c:grouping val="clustered"/>
        <c:varyColors val="0"/>
        <c:ser>
          <c:idx val="0"/>
          <c:order val="0"/>
          <c:spPr>
            <a:solidFill>
              <a:schemeClr val="bg2">
                <a:lumMod val="50000"/>
              </a:schemeClr>
            </a:solidFill>
          </c:spPr>
          <c:invertIfNegative val="0"/>
          <c:dPt>
            <c:idx val="0"/>
            <c:invertIfNegative val="0"/>
            <c:bubble3D val="0"/>
            <c:spPr>
              <a:solidFill>
                <a:schemeClr val="accent3">
                  <a:lumMod val="25000"/>
                </a:schemeClr>
              </a:solidFill>
            </c:spPr>
            <c:extLst>
              <c:ext xmlns:c16="http://schemas.microsoft.com/office/drawing/2014/chart" uri="{C3380CC4-5D6E-409C-BE32-E72D297353CC}">
                <c16:uniqueId val="{00000001-81EC-4F9A-AC05-B20C27500CC6}"/>
              </c:ext>
            </c:extLst>
          </c:dPt>
          <c:dPt>
            <c:idx val="1"/>
            <c:invertIfNegative val="0"/>
            <c:bubble3D val="0"/>
            <c:spPr>
              <a:solidFill>
                <a:schemeClr val="accent3">
                  <a:lumMod val="50000"/>
                </a:schemeClr>
              </a:solidFill>
            </c:spPr>
            <c:extLst>
              <c:ext xmlns:c16="http://schemas.microsoft.com/office/drawing/2014/chart" uri="{C3380CC4-5D6E-409C-BE32-E72D297353CC}">
                <c16:uniqueId val="{00000003-81EC-4F9A-AC05-B20C27500CC6}"/>
              </c:ext>
            </c:extLst>
          </c:dPt>
          <c:dPt>
            <c:idx val="2"/>
            <c:invertIfNegative val="0"/>
            <c:bubble3D val="0"/>
            <c:spPr>
              <a:solidFill>
                <a:schemeClr val="accent3">
                  <a:lumMod val="75000"/>
                </a:schemeClr>
              </a:solidFill>
            </c:spPr>
            <c:extLst>
              <c:ext xmlns:c16="http://schemas.microsoft.com/office/drawing/2014/chart" uri="{C3380CC4-5D6E-409C-BE32-E72D297353CC}">
                <c16:uniqueId val="{00000005-81EC-4F9A-AC05-B20C27500CC6}"/>
              </c:ext>
            </c:extLst>
          </c:dPt>
          <c:dPt>
            <c:idx val="3"/>
            <c:invertIfNegative val="0"/>
            <c:bubble3D val="0"/>
            <c:spPr>
              <a:solidFill>
                <a:schemeClr val="accent3">
                  <a:lumMod val="90000"/>
                </a:schemeClr>
              </a:solidFill>
            </c:spPr>
            <c:extLst>
              <c:ext xmlns:c16="http://schemas.microsoft.com/office/drawing/2014/chart" uri="{C3380CC4-5D6E-409C-BE32-E72D297353CC}">
                <c16:uniqueId val="{00000007-81EC-4F9A-AC05-B20C27500CC6}"/>
              </c:ext>
            </c:extLst>
          </c:dPt>
          <c:dPt>
            <c:idx val="4"/>
            <c:invertIfNegative val="0"/>
            <c:bubble3D val="0"/>
            <c:extLst>
              <c:ext xmlns:c16="http://schemas.microsoft.com/office/drawing/2014/chart" uri="{C3380CC4-5D6E-409C-BE32-E72D297353CC}">
                <c16:uniqueId val="{00000008-81EC-4F9A-AC05-B20C27500CC6}"/>
              </c:ext>
            </c:extLst>
          </c:dPt>
          <c:dPt>
            <c:idx val="5"/>
            <c:invertIfNegative val="0"/>
            <c:bubble3D val="0"/>
            <c:spPr>
              <a:solidFill>
                <a:srgbClr val="9D8277"/>
              </a:solidFill>
            </c:spPr>
            <c:extLst>
              <c:ext xmlns:c16="http://schemas.microsoft.com/office/drawing/2014/chart" uri="{C3380CC4-5D6E-409C-BE32-E72D297353CC}">
                <c16:uniqueId val="{0000000A-81EC-4F9A-AC05-B20C27500CC6}"/>
              </c:ext>
            </c:extLst>
          </c:dPt>
          <c:dPt>
            <c:idx val="6"/>
            <c:invertIfNegative val="0"/>
            <c:bubble3D val="0"/>
            <c:spPr>
              <a:solidFill>
                <a:schemeClr val="bg2">
                  <a:lumMod val="75000"/>
                </a:schemeClr>
              </a:solidFill>
            </c:spPr>
            <c:extLst>
              <c:ext xmlns:c16="http://schemas.microsoft.com/office/drawing/2014/chart" uri="{C3380CC4-5D6E-409C-BE32-E72D297353CC}">
                <c16:uniqueId val="{0000000C-81EC-4F9A-AC05-B20C27500CC6}"/>
              </c:ext>
            </c:extLst>
          </c:dPt>
          <c:dLbls>
            <c:dLbl>
              <c:idx val="0"/>
              <c:layout>
                <c:manualLayout>
                  <c:x val="-0.25851880316138209"/>
                  <c:y val="-3.56203965195226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1EC-4F9A-AC05-B20C27500CC6}"/>
                </c:ext>
              </c:extLst>
            </c:dLbl>
            <c:dLbl>
              <c:idx val="1"/>
              <c:layout>
                <c:manualLayout>
                  <c:x val="-0.26203606578942812"/>
                  <c:y val="-3.56203965195226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1EC-4F9A-AC05-B20C27500CC6}"/>
                </c:ext>
              </c:extLst>
            </c:dLbl>
            <c:dLbl>
              <c:idx val="2"/>
              <c:layout>
                <c:manualLayout>
                  <c:x val="-0.14244913643586368"/>
                  <c:y val="-3.56203965195226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1EC-4F9A-AC05-B20C27500CC6}"/>
                </c:ext>
              </c:extLst>
            </c:dLbl>
            <c:dLbl>
              <c:idx val="3"/>
              <c:layout>
                <c:manualLayout>
                  <c:x val="-7.0345252560920363E-2"/>
                  <c:y val="-3.562039651952329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1EC-4F9A-AC05-B20C27500CC6}"/>
                </c:ext>
              </c:extLst>
            </c:dLbl>
            <c:dLbl>
              <c:idx val="4"/>
              <c:layout>
                <c:manualLayout>
                  <c:x val="-7.3862515188966318E-2"/>
                  <c:y val="-3.562039651952329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1EC-4F9A-AC05-B20C27500CC6}"/>
                </c:ext>
              </c:extLst>
            </c:dLbl>
            <c:dLbl>
              <c:idx val="5"/>
              <c:layout>
                <c:manualLayout>
                  <c:x val="-4.3965782850575189E-2"/>
                  <c:y val="-3.562039651952231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1EC-4F9A-AC05-B20C27500CC6}"/>
                </c:ext>
              </c:extLst>
            </c:dLbl>
            <c:dLbl>
              <c:idx val="6"/>
              <c:layout>
                <c:manualLayout>
                  <c:x val="-4.5550425576439874E-2"/>
                  <c:y val="-6.988904701056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1EC-4F9A-AC05-B20C27500CC6}"/>
                </c:ext>
              </c:extLst>
            </c:dLbl>
            <c:spPr>
              <a:noFill/>
              <a:ln>
                <a:noFill/>
              </a:ln>
              <a:effectLst/>
            </c:spPr>
            <c:txPr>
              <a:bodyPr wrap="square" lIns="38100" tIns="19050" rIns="38100" bIns="19050" anchor="ctr">
                <a:spAutoFit/>
              </a:bodyPr>
              <a:lstStyle/>
              <a:p>
                <a:pPr>
                  <a:defRPr b="1">
                    <a:solidFill>
                      <a:schemeClr val="bg1"/>
                    </a:solidFill>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Hoja1!$M$208:$M$214</c:f>
              <c:strCache>
                <c:ptCount val="7"/>
                <c:pt idx="0">
                  <c:v>Contratación administrativa</c:v>
                </c:pt>
                <c:pt idx="1">
                  <c:v>Acceso funcion pública y selección personal</c:v>
                </c:pt>
                <c:pt idx="2">
                  <c:v>Gestión de personal (provisión, retribuciones, etc.)</c:v>
                </c:pt>
                <c:pt idx="3">
                  <c:v>Funcionamiento servicios públicos policía local</c:v>
                </c:pt>
                <c:pt idx="4">
                  <c:v>Urbanismo</c:v>
                </c:pt>
                <c:pt idx="5">
                  <c:v>Funcionamiento servicio de salud</c:v>
                </c:pt>
                <c:pt idx="6">
                  <c:v>Funcionamiento de servicios sociales</c:v>
                </c:pt>
              </c:strCache>
            </c:strRef>
          </c:cat>
          <c:val>
            <c:numRef>
              <c:f>Hoja1!$N$208:$N$214</c:f>
              <c:numCache>
                <c:formatCode>General</c:formatCode>
                <c:ptCount val="7"/>
                <c:pt idx="0">
                  <c:v>8</c:v>
                </c:pt>
                <c:pt idx="1">
                  <c:v>8</c:v>
                </c:pt>
                <c:pt idx="2">
                  <c:v>4</c:v>
                </c:pt>
                <c:pt idx="3">
                  <c:v>2</c:v>
                </c:pt>
                <c:pt idx="4">
                  <c:v>2</c:v>
                </c:pt>
                <c:pt idx="5">
                  <c:v>1</c:v>
                </c:pt>
                <c:pt idx="6">
                  <c:v>1</c:v>
                </c:pt>
              </c:numCache>
            </c:numRef>
          </c:val>
          <c:shape val="cylinder"/>
          <c:extLst>
            <c:ext xmlns:c16="http://schemas.microsoft.com/office/drawing/2014/chart" uri="{C3380CC4-5D6E-409C-BE32-E72D297353CC}">
              <c16:uniqueId val="{0000000D-81EC-4F9A-AC05-B20C27500CC6}"/>
            </c:ext>
          </c:extLst>
        </c:ser>
        <c:dLbls>
          <c:showLegendKey val="0"/>
          <c:showVal val="0"/>
          <c:showCatName val="0"/>
          <c:showSerName val="0"/>
          <c:showPercent val="0"/>
          <c:showBubbleSize val="0"/>
        </c:dLbls>
        <c:gapWidth val="150"/>
        <c:shape val="box"/>
        <c:axId val="1290807200"/>
        <c:axId val="1"/>
        <c:axId val="0"/>
      </c:bar3DChart>
      <c:catAx>
        <c:axId val="1290807200"/>
        <c:scaling>
          <c:orientation val="minMax"/>
        </c:scaling>
        <c:delete val="0"/>
        <c:axPos val="l"/>
        <c:numFmt formatCode="General" sourceLinked="1"/>
        <c:majorTickMark val="none"/>
        <c:minorTickMark val="none"/>
        <c:tickLblPos val="nextTo"/>
        <c:spPr>
          <a:ln w="3175">
            <a:solidFill>
              <a:srgbClr val="C0C0C0"/>
            </a:solidFill>
            <a:prstDash val="solid"/>
          </a:ln>
        </c:spPr>
        <c:txPr>
          <a:bodyPr rot="0" vert="horz"/>
          <a:lstStyle/>
          <a:p>
            <a:pPr>
              <a:defRPr sz="900" b="1" i="0" u="none" strike="noStrike" baseline="0">
                <a:solidFill>
                  <a:srgbClr val="9D2235"/>
                </a:solidFill>
                <a:latin typeface="Arial" panose="020B0604020202020204" pitchFamily="34" charset="0"/>
                <a:ea typeface="Calibri"/>
                <a:cs typeface="Arial" panose="020B0604020202020204" pitchFamily="34" charset="0"/>
              </a:defRPr>
            </a:pPr>
            <a:endParaRPr lang="ca-ES-valencia"/>
          </a:p>
        </c:txPr>
        <c:crossAx val="1"/>
        <c:crossesAt val="0"/>
        <c:auto val="1"/>
        <c:lblAlgn val="ctr"/>
        <c:lblOffset val="100"/>
        <c:noMultiLvlLbl val="0"/>
      </c:catAx>
      <c:valAx>
        <c:axId val="1"/>
        <c:scaling>
          <c:orientation val="minMax"/>
          <c:max val="9"/>
          <c:min val="0"/>
        </c:scaling>
        <c:delete val="1"/>
        <c:axPos val="b"/>
        <c:majorGridlines>
          <c:spPr>
            <a:ln>
              <a:solidFill>
                <a:schemeClr val="bg1">
                  <a:lumMod val="85000"/>
                </a:schemeClr>
              </a:solidFill>
            </a:ln>
            <a:effectLst>
              <a:outerShdw blurRad="50800" dist="50800" dir="5400000" sx="1000" sy="1000" algn="ctr" rotWithShape="0">
                <a:srgbClr val="000000">
                  <a:alpha val="43137"/>
                </a:srgbClr>
              </a:outerShdw>
              <a:softEdge rad="0"/>
            </a:effectLst>
          </c:spPr>
        </c:majorGridlines>
        <c:numFmt formatCode="General" sourceLinked="1"/>
        <c:majorTickMark val="out"/>
        <c:minorTickMark val="none"/>
        <c:tickLblPos val="nextTo"/>
        <c:crossAx val="1290807200"/>
        <c:crossesAt val="1"/>
        <c:crossBetween val="between"/>
        <c:majorUnit val="3"/>
        <c:minorUnit val="0.5"/>
      </c:valAx>
      <c:spPr>
        <a:noFill/>
        <a:ln w="25400">
          <a:noFill/>
        </a:ln>
        <a:effectLst/>
      </c:spPr>
    </c:plotArea>
    <c:plotVisOnly val="1"/>
    <c:dispBlanksAs val="gap"/>
    <c:showDLblsOverMax val="0"/>
  </c:chart>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w="6350">
      <a:noFill/>
    </a:ln>
    <a:effectLst/>
  </c:spPr>
  <c:txPr>
    <a:bodyPr/>
    <a:lstStyle/>
    <a:p>
      <a:pPr>
        <a:defRPr sz="1100" b="0" i="0" u="none" strike="noStrike" baseline="0">
          <a:solidFill>
            <a:srgbClr val="000000"/>
          </a:solidFill>
          <a:latin typeface="Arial"/>
          <a:ea typeface="Arial"/>
          <a:cs typeface="Arial"/>
        </a:defRPr>
      </a:pPr>
      <a:endParaRPr lang="ca-ES-valencia"/>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es-ES" sz="1100" b="1" strike="noStrike" spc="-1">
                <a:solidFill>
                  <a:srgbClr val="000000"/>
                </a:solidFill>
                <a:latin typeface="Arial" panose="020B0604020202020204" pitchFamily="34" charset="0"/>
                <a:cs typeface="Arial" panose="020B0604020202020204" pitchFamily="34" charset="0"/>
              </a:defRPr>
            </a:pPr>
            <a:r>
              <a:rPr lang="es-ES" sz="1100" b="1" strike="noStrike" spc="-1">
                <a:solidFill>
                  <a:srgbClr val="000000"/>
                </a:solidFill>
                <a:latin typeface="Arial" panose="020B0604020202020204" pitchFamily="34" charset="0"/>
                <a:cs typeface="Arial" panose="020B0604020202020204" pitchFamily="34" charset="0"/>
              </a:rPr>
              <a:t>Puestos de trabajo por unidad administrativa según la RPT</a:t>
            </a:r>
          </a:p>
        </c:rich>
      </c:tx>
      <c:overlay val="0"/>
    </c:title>
    <c:autoTitleDeleted val="0"/>
    <c:plotArea>
      <c:layout/>
      <c:lineChart>
        <c:grouping val="stacked"/>
        <c:varyColors val="0"/>
        <c:ser>
          <c:idx val="0"/>
          <c:order val="0"/>
          <c:tx>
            <c:strRef>
              <c:f>Areas!$A$2</c:f>
              <c:strCache>
                <c:ptCount val="1"/>
                <c:pt idx="0">
                  <c:v>Gabinete de Relaciones Institucionales, Comunicación y Participación</c:v>
                </c:pt>
              </c:strCache>
            </c:strRef>
          </c:tx>
          <c:spPr>
            <a:ln w="28440">
              <a:solidFill>
                <a:srgbClr val="903836"/>
              </a:solidFill>
              <a:round/>
            </a:ln>
          </c:spPr>
          <c:marker>
            <c:symbol val="diamond"/>
            <c:size val="5"/>
            <c:spPr>
              <a:solidFill>
                <a:srgbClr val="903836"/>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Areas!$B$2:$F$2</c:f>
              <c:numCache>
                <c:formatCode>General</c:formatCode>
                <c:ptCount val="5"/>
                <c:pt idx="0">
                  <c:v>2</c:v>
                </c:pt>
                <c:pt idx="1">
                  <c:v>2</c:v>
                </c:pt>
                <c:pt idx="2">
                  <c:v>3</c:v>
                </c:pt>
                <c:pt idx="3">
                  <c:v>4</c:v>
                </c:pt>
                <c:pt idx="4">
                  <c:v>4</c:v>
                </c:pt>
              </c:numCache>
            </c:numRef>
          </c:val>
          <c:smooth val="0"/>
          <c:extLst>
            <c:ext xmlns:c16="http://schemas.microsoft.com/office/drawing/2014/chart" uri="{C3380CC4-5D6E-409C-BE32-E72D297353CC}">
              <c16:uniqueId val="{00000000-D055-4C88-BD5D-B030FFD3A15F}"/>
            </c:ext>
          </c:extLst>
        </c:ser>
        <c:ser>
          <c:idx val="1"/>
          <c:order val="1"/>
          <c:tx>
            <c:strRef>
              <c:f>Areas!$A$3</c:f>
              <c:strCache>
                <c:ptCount val="1"/>
                <c:pt idx="0">
                  <c:v>Administración, Recursos Humanos y Gestión Económica</c:v>
                </c:pt>
              </c:strCache>
            </c:strRef>
          </c:tx>
          <c:spPr>
            <a:ln w="28440">
              <a:solidFill>
                <a:srgbClr val="AA433F"/>
              </a:solidFill>
              <a:round/>
            </a:ln>
          </c:spPr>
          <c:marker>
            <c:symbol val="square"/>
            <c:size val="5"/>
            <c:spPr>
              <a:solidFill>
                <a:srgbClr val="AA433F"/>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Areas!$B$3:$F$3</c:f>
              <c:numCache>
                <c:formatCode>General</c:formatCode>
                <c:ptCount val="5"/>
                <c:pt idx="0">
                  <c:v>5</c:v>
                </c:pt>
                <c:pt idx="1">
                  <c:v>6</c:v>
                </c:pt>
                <c:pt idx="2">
                  <c:v>7</c:v>
                </c:pt>
                <c:pt idx="3">
                  <c:v>8</c:v>
                </c:pt>
                <c:pt idx="4">
                  <c:v>8</c:v>
                </c:pt>
              </c:numCache>
            </c:numRef>
          </c:val>
          <c:smooth val="0"/>
          <c:extLst>
            <c:ext xmlns:c16="http://schemas.microsoft.com/office/drawing/2014/chart" uri="{C3380CC4-5D6E-409C-BE32-E72D297353CC}">
              <c16:uniqueId val="{00000001-D055-4C88-BD5D-B030FFD3A15F}"/>
            </c:ext>
          </c:extLst>
        </c:ser>
        <c:ser>
          <c:idx val="2"/>
          <c:order val="2"/>
          <c:tx>
            <c:strRef>
              <c:f>Areas!$A$4</c:f>
              <c:strCache>
                <c:ptCount val="1"/>
                <c:pt idx="0">
                  <c:v>Dirección de Análisis e Investigación</c:v>
                </c:pt>
              </c:strCache>
            </c:strRef>
          </c:tx>
          <c:spPr>
            <a:ln w="28440">
              <a:solidFill>
                <a:srgbClr val="BE4B48"/>
              </a:solidFill>
              <a:round/>
            </a:ln>
          </c:spPr>
          <c:marker>
            <c:symbol val="square"/>
            <c:size val="5"/>
            <c:spPr>
              <a:solidFill>
                <a:srgbClr val="BE4B48"/>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Areas!$B$4:$F$4</c:f>
              <c:numCache>
                <c:formatCode>General</c:formatCode>
                <c:ptCount val="5"/>
                <c:pt idx="0">
                  <c:v>17</c:v>
                </c:pt>
                <c:pt idx="1">
                  <c:v>16</c:v>
                </c:pt>
                <c:pt idx="2">
                  <c:v>14</c:v>
                </c:pt>
                <c:pt idx="3">
                  <c:v>15</c:v>
                </c:pt>
                <c:pt idx="4">
                  <c:v>15</c:v>
                </c:pt>
              </c:numCache>
            </c:numRef>
          </c:val>
          <c:smooth val="0"/>
          <c:extLst>
            <c:ext xmlns:c16="http://schemas.microsoft.com/office/drawing/2014/chart" uri="{C3380CC4-5D6E-409C-BE32-E72D297353CC}">
              <c16:uniqueId val="{00000002-D055-4C88-BD5D-B030FFD3A15F}"/>
            </c:ext>
          </c:extLst>
        </c:ser>
        <c:ser>
          <c:idx val="3"/>
          <c:order val="3"/>
          <c:tx>
            <c:strRef>
              <c:f>Areas!$A$5</c:f>
              <c:strCache>
                <c:ptCount val="1"/>
                <c:pt idx="0">
                  <c:v>Dirección de Prevención, Formación y Documentación</c:v>
                </c:pt>
              </c:strCache>
            </c:strRef>
          </c:tx>
          <c:spPr>
            <a:ln w="28440">
              <a:solidFill>
                <a:srgbClr val="CC8F8E"/>
              </a:solidFill>
              <a:round/>
            </a:ln>
          </c:spPr>
          <c:marker>
            <c:symbol val="x"/>
            <c:size val="5"/>
            <c:spPr>
              <a:solidFill>
                <a:srgbClr val="CC8F8E"/>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Areas!$B$5:$F$5</c:f>
              <c:numCache>
                <c:formatCode>General</c:formatCode>
                <c:ptCount val="5"/>
                <c:pt idx="0">
                  <c:v>4</c:v>
                </c:pt>
                <c:pt idx="1">
                  <c:v>4</c:v>
                </c:pt>
                <c:pt idx="2">
                  <c:v>8</c:v>
                </c:pt>
                <c:pt idx="3">
                  <c:v>12</c:v>
                </c:pt>
                <c:pt idx="4">
                  <c:v>12</c:v>
                </c:pt>
              </c:numCache>
            </c:numRef>
          </c:val>
          <c:smooth val="0"/>
          <c:extLst>
            <c:ext xmlns:c16="http://schemas.microsoft.com/office/drawing/2014/chart" uri="{C3380CC4-5D6E-409C-BE32-E72D297353CC}">
              <c16:uniqueId val="{00000003-D055-4C88-BD5D-B030FFD3A15F}"/>
            </c:ext>
          </c:extLst>
        </c:ser>
        <c:ser>
          <c:idx val="4"/>
          <c:order val="4"/>
          <c:tx>
            <c:strRef>
              <c:f>Areas!$A$6</c:f>
              <c:strCache>
                <c:ptCount val="1"/>
                <c:pt idx="0">
                  <c:v>Dirección de Asuntos Jurídicos</c:v>
                </c:pt>
              </c:strCache>
            </c:strRef>
          </c:tx>
          <c:spPr>
            <a:ln w="28440">
              <a:solidFill>
                <a:srgbClr val="DCB7B6"/>
              </a:solidFill>
              <a:round/>
            </a:ln>
          </c:spPr>
          <c:marker>
            <c:symbol val="square"/>
            <c:size val="5"/>
            <c:spPr>
              <a:solidFill>
                <a:srgbClr val="DCB7B6"/>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Areas!$B$6:$F$6</c:f>
              <c:numCache>
                <c:formatCode>General</c:formatCode>
                <c:ptCount val="5"/>
                <c:pt idx="0">
                  <c:v>5</c:v>
                </c:pt>
                <c:pt idx="1">
                  <c:v>4</c:v>
                </c:pt>
                <c:pt idx="2">
                  <c:v>5</c:v>
                </c:pt>
                <c:pt idx="3">
                  <c:v>8</c:v>
                </c:pt>
                <c:pt idx="4">
                  <c:v>8</c:v>
                </c:pt>
              </c:numCache>
            </c:numRef>
          </c:val>
          <c:smooth val="0"/>
          <c:extLst>
            <c:ext xmlns:c16="http://schemas.microsoft.com/office/drawing/2014/chart" uri="{C3380CC4-5D6E-409C-BE32-E72D297353CC}">
              <c16:uniqueId val="{00000004-D055-4C88-BD5D-B030FFD3A15F}"/>
            </c:ext>
          </c:extLst>
        </c:ser>
        <c:dLbls>
          <c:showLegendKey val="0"/>
          <c:showVal val="0"/>
          <c:showCatName val="0"/>
          <c:showSerName val="0"/>
          <c:showPercent val="0"/>
          <c:showBubbleSize val="0"/>
        </c:dLbls>
        <c:hiLowLines>
          <c:spPr>
            <a:ln>
              <a:noFill/>
            </a:ln>
          </c:spPr>
        </c:hiLowLines>
        <c:marker val="1"/>
        <c:smooth val="0"/>
        <c:axId val="196653824"/>
        <c:axId val="196655360"/>
      </c:lineChart>
      <c:catAx>
        <c:axId val="196653824"/>
        <c:scaling>
          <c:orientation val="minMax"/>
        </c:scaling>
        <c:delete val="0"/>
        <c:axPos val="b"/>
        <c:numFmt formatCode="General" sourceLinked="1"/>
        <c:majorTickMark val="none"/>
        <c:minorTickMark val="none"/>
        <c:tickLblPos val="low"/>
        <c:spPr>
          <a:ln w="9360">
            <a:solidFill>
              <a:srgbClr val="878787"/>
            </a:solidFill>
            <a:round/>
          </a:ln>
        </c:spPr>
        <c:txPr>
          <a:bodyPr/>
          <a:lstStyle/>
          <a:p>
            <a:pPr>
              <a:defRPr lang="es-ES" sz="1000" b="0" strike="noStrike" spc="-1">
                <a:solidFill>
                  <a:srgbClr val="000000"/>
                </a:solidFill>
                <a:latin typeface="Calibri"/>
              </a:defRPr>
            </a:pPr>
            <a:endParaRPr lang="ca-ES-valencia"/>
          </a:p>
        </c:txPr>
        <c:crossAx val="196655360"/>
        <c:crossesAt val="0"/>
        <c:auto val="1"/>
        <c:lblAlgn val="ctr"/>
        <c:lblOffset val="100"/>
        <c:noMultiLvlLbl val="1"/>
      </c:catAx>
      <c:valAx>
        <c:axId val="196655360"/>
        <c:scaling>
          <c:orientation val="minMax"/>
        </c:scaling>
        <c:delete val="0"/>
        <c:axPos val="l"/>
        <c:majorGridlines>
          <c:spPr>
            <a:ln w="9360">
              <a:solidFill>
                <a:srgbClr val="878787"/>
              </a:solidFill>
              <a:round/>
            </a:ln>
          </c:spPr>
        </c:majorGridlines>
        <c:numFmt formatCode="General" sourceLinked="0"/>
        <c:majorTickMark val="none"/>
        <c:minorTickMark val="none"/>
        <c:tickLblPos val="nextTo"/>
        <c:spPr>
          <a:ln w="9360">
            <a:solidFill>
              <a:srgbClr val="878787"/>
            </a:solidFill>
            <a:round/>
          </a:ln>
        </c:spPr>
        <c:txPr>
          <a:bodyPr/>
          <a:lstStyle/>
          <a:p>
            <a:pPr>
              <a:defRPr lang="es-ES" sz="1000" b="0" strike="noStrike" spc="-1">
                <a:solidFill>
                  <a:srgbClr val="000000"/>
                </a:solidFill>
                <a:latin typeface="Calibri"/>
              </a:defRPr>
            </a:pPr>
            <a:endParaRPr lang="ca-ES-valencia"/>
          </a:p>
        </c:txPr>
        <c:crossAx val="196653824"/>
        <c:crosses val="min"/>
        <c:crossBetween val="midCat"/>
      </c:valAx>
      <c:spPr>
        <a:solidFill>
          <a:srgbClr val="FFFFFF"/>
        </a:solidFill>
        <a:ln>
          <a:noFill/>
        </a:ln>
      </c:spPr>
    </c:plotArea>
    <c:legend>
      <c:legendPos val="r"/>
      <c:layout>
        <c:manualLayout>
          <c:xMode val="edge"/>
          <c:yMode val="edge"/>
          <c:x val="0.66037551489919333"/>
          <c:y val="0.13644631630348533"/>
          <c:w val="0.32717376918464153"/>
          <c:h val="0.84590581700543233"/>
        </c:manualLayout>
      </c:layout>
      <c:overlay val="0"/>
      <c:spPr>
        <a:noFill/>
        <a:ln>
          <a:noFill/>
        </a:ln>
      </c:spPr>
      <c:txPr>
        <a:bodyPr/>
        <a:lstStyle/>
        <a:p>
          <a:pPr>
            <a:defRPr lang="es-ES" sz="1000" b="0" strike="noStrike" spc="-1">
              <a:solidFill>
                <a:srgbClr val="000000"/>
              </a:solidFill>
              <a:latin typeface="Calibri"/>
            </a:defRPr>
          </a:pPr>
          <a:endParaRPr lang="ca-ES-valencia"/>
        </a:p>
      </c:txPr>
    </c:legend>
    <c:plotVisOnly val="0"/>
    <c:dispBlanksAs val="gap"/>
    <c:showDLblsOverMax val="1"/>
  </c:chart>
  <c:spPr>
    <a:solidFill>
      <a:srgbClr val="FFFFFF"/>
    </a:solidFill>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es-ES" sz="1800" b="1" strike="noStrike" spc="-1">
                <a:solidFill>
                  <a:srgbClr val="000000"/>
                </a:solidFill>
                <a:latin typeface="Calibri"/>
              </a:defRPr>
            </a:pPr>
            <a:r>
              <a:rPr lang="es-ES" sz="1100" b="1" strike="noStrike" spc="-1">
                <a:solidFill>
                  <a:srgbClr val="000000"/>
                </a:solidFill>
                <a:latin typeface="Arial" panose="020B0604020202020204" pitchFamily="34" charset="0"/>
                <a:cs typeface="Arial" panose="020B0604020202020204" pitchFamily="34" charset="0"/>
              </a:rPr>
              <a:t>Puestos de trabajo por unidad administrativa ocupados </a:t>
            </a:r>
          </a:p>
          <a:p>
            <a:pPr>
              <a:defRPr lang="es-ES" sz="1800" b="1" strike="noStrike" spc="-1">
                <a:solidFill>
                  <a:srgbClr val="000000"/>
                </a:solidFill>
                <a:latin typeface="Calibri"/>
              </a:defRPr>
            </a:pPr>
            <a:r>
              <a:rPr lang="es-ES" sz="1100" b="1" strike="noStrike" spc="-1">
                <a:solidFill>
                  <a:srgbClr val="000000"/>
                </a:solidFill>
                <a:latin typeface="Arial" panose="020B0604020202020204" pitchFamily="34" charset="0"/>
                <a:cs typeface="Arial" panose="020B0604020202020204" pitchFamily="34" charset="0"/>
              </a:rPr>
              <a:t>a 31 de diciembre</a:t>
            </a:r>
          </a:p>
        </c:rich>
      </c:tx>
      <c:overlay val="0"/>
    </c:title>
    <c:autoTitleDeleted val="0"/>
    <c:plotArea>
      <c:layout/>
      <c:lineChart>
        <c:grouping val="stacked"/>
        <c:varyColors val="0"/>
        <c:ser>
          <c:idx val="0"/>
          <c:order val="0"/>
          <c:tx>
            <c:strRef>
              <c:f>Areas!$A$2</c:f>
              <c:strCache>
                <c:ptCount val="1"/>
                <c:pt idx="0">
                  <c:v>Gabinete de  Relaciones Institucionales, Comunicación y Participación</c:v>
                </c:pt>
              </c:strCache>
            </c:strRef>
          </c:tx>
          <c:spPr>
            <a:ln w="28440">
              <a:solidFill>
                <a:srgbClr val="903836"/>
              </a:solidFill>
              <a:round/>
            </a:ln>
          </c:spPr>
          <c:marker>
            <c:symbol val="diamond"/>
            <c:size val="5"/>
            <c:spPr>
              <a:solidFill>
                <a:srgbClr val="903836"/>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Areas!$B$2:$F$2</c:f>
              <c:numCache>
                <c:formatCode>General</c:formatCode>
                <c:ptCount val="5"/>
                <c:pt idx="0">
                  <c:v>1</c:v>
                </c:pt>
                <c:pt idx="1">
                  <c:v>2</c:v>
                </c:pt>
                <c:pt idx="2">
                  <c:v>3</c:v>
                </c:pt>
                <c:pt idx="3">
                  <c:v>3</c:v>
                </c:pt>
                <c:pt idx="4">
                  <c:v>3</c:v>
                </c:pt>
              </c:numCache>
            </c:numRef>
          </c:val>
          <c:smooth val="0"/>
          <c:extLst>
            <c:ext xmlns:c16="http://schemas.microsoft.com/office/drawing/2014/chart" uri="{C3380CC4-5D6E-409C-BE32-E72D297353CC}">
              <c16:uniqueId val="{00000000-2B08-47D0-B409-522D3BCCCEF2}"/>
            </c:ext>
          </c:extLst>
        </c:ser>
        <c:ser>
          <c:idx val="1"/>
          <c:order val="1"/>
          <c:tx>
            <c:strRef>
              <c:f>Areas!$A$3</c:f>
              <c:strCache>
                <c:ptCount val="1"/>
                <c:pt idx="0">
                  <c:v>Administración, Recursos Humanos y Gestión Económica</c:v>
                </c:pt>
              </c:strCache>
            </c:strRef>
          </c:tx>
          <c:spPr>
            <a:ln w="28440">
              <a:solidFill>
                <a:srgbClr val="AA433F"/>
              </a:solidFill>
              <a:round/>
            </a:ln>
          </c:spPr>
          <c:marker>
            <c:symbol val="square"/>
            <c:size val="5"/>
            <c:spPr>
              <a:solidFill>
                <a:srgbClr val="AA433F"/>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Areas!$B$3:$F$3</c:f>
              <c:numCache>
                <c:formatCode>General</c:formatCode>
                <c:ptCount val="5"/>
                <c:pt idx="0">
                  <c:v>3</c:v>
                </c:pt>
                <c:pt idx="1">
                  <c:v>6</c:v>
                </c:pt>
                <c:pt idx="2">
                  <c:v>7</c:v>
                </c:pt>
                <c:pt idx="3">
                  <c:v>6</c:v>
                </c:pt>
                <c:pt idx="4">
                  <c:v>6</c:v>
                </c:pt>
              </c:numCache>
            </c:numRef>
          </c:val>
          <c:smooth val="0"/>
          <c:extLst>
            <c:ext xmlns:c16="http://schemas.microsoft.com/office/drawing/2014/chart" uri="{C3380CC4-5D6E-409C-BE32-E72D297353CC}">
              <c16:uniqueId val="{00000001-2B08-47D0-B409-522D3BCCCEF2}"/>
            </c:ext>
          </c:extLst>
        </c:ser>
        <c:ser>
          <c:idx val="2"/>
          <c:order val="2"/>
          <c:tx>
            <c:strRef>
              <c:f>Areas!$A$4</c:f>
              <c:strCache>
                <c:ptCount val="1"/>
                <c:pt idx="0">
                  <c:v>Dirección de Análisis e Investigación</c:v>
                </c:pt>
              </c:strCache>
            </c:strRef>
          </c:tx>
          <c:spPr>
            <a:ln w="28440">
              <a:solidFill>
                <a:srgbClr val="BE4B48"/>
              </a:solidFill>
              <a:round/>
            </a:ln>
          </c:spPr>
          <c:marker>
            <c:symbol val="square"/>
            <c:size val="5"/>
            <c:spPr>
              <a:solidFill>
                <a:srgbClr val="BE4B48"/>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Areas!$B$4:$F$4</c:f>
              <c:numCache>
                <c:formatCode>General</c:formatCode>
                <c:ptCount val="5"/>
                <c:pt idx="0">
                  <c:v>2</c:v>
                </c:pt>
                <c:pt idx="1">
                  <c:v>10</c:v>
                </c:pt>
                <c:pt idx="2">
                  <c:v>11</c:v>
                </c:pt>
                <c:pt idx="3">
                  <c:v>13</c:v>
                </c:pt>
                <c:pt idx="4">
                  <c:v>11</c:v>
                </c:pt>
              </c:numCache>
            </c:numRef>
          </c:val>
          <c:smooth val="0"/>
          <c:extLst>
            <c:ext xmlns:c16="http://schemas.microsoft.com/office/drawing/2014/chart" uri="{C3380CC4-5D6E-409C-BE32-E72D297353CC}">
              <c16:uniqueId val="{00000002-2B08-47D0-B409-522D3BCCCEF2}"/>
            </c:ext>
          </c:extLst>
        </c:ser>
        <c:ser>
          <c:idx val="3"/>
          <c:order val="3"/>
          <c:tx>
            <c:strRef>
              <c:f>Areas!$A$5</c:f>
              <c:strCache>
                <c:ptCount val="1"/>
                <c:pt idx="0">
                  <c:v>Dirección de Prevención, Formación y Documentación</c:v>
                </c:pt>
              </c:strCache>
            </c:strRef>
          </c:tx>
          <c:spPr>
            <a:ln w="28440">
              <a:solidFill>
                <a:srgbClr val="CC8F8E"/>
              </a:solidFill>
              <a:round/>
            </a:ln>
          </c:spPr>
          <c:marker>
            <c:symbol val="x"/>
            <c:size val="5"/>
            <c:spPr>
              <a:solidFill>
                <a:srgbClr val="CC8F8E"/>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Areas!$B$5:$F$5</c:f>
              <c:numCache>
                <c:formatCode>General</c:formatCode>
                <c:ptCount val="5"/>
                <c:pt idx="0">
                  <c:v>0</c:v>
                </c:pt>
                <c:pt idx="1">
                  <c:v>2</c:v>
                </c:pt>
                <c:pt idx="2">
                  <c:v>6</c:v>
                </c:pt>
                <c:pt idx="3">
                  <c:v>8</c:v>
                </c:pt>
                <c:pt idx="4">
                  <c:v>9</c:v>
                </c:pt>
              </c:numCache>
            </c:numRef>
          </c:val>
          <c:smooth val="0"/>
          <c:extLst>
            <c:ext xmlns:c16="http://schemas.microsoft.com/office/drawing/2014/chart" uri="{C3380CC4-5D6E-409C-BE32-E72D297353CC}">
              <c16:uniqueId val="{00000003-2B08-47D0-B409-522D3BCCCEF2}"/>
            </c:ext>
          </c:extLst>
        </c:ser>
        <c:ser>
          <c:idx val="4"/>
          <c:order val="4"/>
          <c:tx>
            <c:strRef>
              <c:f>Areas!$A$6</c:f>
              <c:strCache>
                <c:ptCount val="1"/>
                <c:pt idx="0">
                  <c:v>Dirección de Asuntos Jurídicos</c:v>
                </c:pt>
              </c:strCache>
            </c:strRef>
          </c:tx>
          <c:spPr>
            <a:ln w="28440">
              <a:solidFill>
                <a:srgbClr val="DCB7B6"/>
              </a:solidFill>
              <a:round/>
            </a:ln>
          </c:spPr>
          <c:marker>
            <c:symbol val="square"/>
            <c:size val="5"/>
            <c:spPr>
              <a:solidFill>
                <a:srgbClr val="DCB7B6"/>
              </a:solidFill>
            </c:spPr>
          </c:marker>
          <c:dLbls>
            <c:spPr>
              <a:noFill/>
              <a:ln>
                <a:noFill/>
              </a:ln>
              <a:effectLst/>
            </c:spPr>
            <c:txPr>
              <a:bodyPr/>
              <a:lstStyle/>
              <a:p>
                <a:pPr>
                  <a:defRPr lang="es-ES" sz="1000" b="0" strike="noStrike" spc="-1">
                    <a:solidFill>
                      <a:srgbClr val="000000"/>
                    </a:solidFill>
                    <a:latin typeface="Calibri"/>
                  </a:defRPr>
                </a:pPr>
                <a:endParaRPr lang="ca-ES-valencia"/>
              </a:p>
            </c:txPr>
            <c:dLblPos val="r"/>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numRef>
              <c:f>Areas!$B$1:$F$1</c:f>
              <c:numCache>
                <c:formatCode>General</c:formatCode>
                <c:ptCount val="5"/>
                <c:pt idx="0">
                  <c:v>2017</c:v>
                </c:pt>
                <c:pt idx="1">
                  <c:v>2018</c:v>
                </c:pt>
                <c:pt idx="2">
                  <c:v>2019</c:v>
                </c:pt>
                <c:pt idx="3">
                  <c:v>2020</c:v>
                </c:pt>
                <c:pt idx="4">
                  <c:v>2021</c:v>
                </c:pt>
              </c:numCache>
            </c:numRef>
          </c:cat>
          <c:val>
            <c:numRef>
              <c:f>Areas!$B$6:$F$6</c:f>
              <c:numCache>
                <c:formatCode>General</c:formatCode>
                <c:ptCount val="5"/>
                <c:pt idx="0">
                  <c:v>1</c:v>
                </c:pt>
                <c:pt idx="1">
                  <c:v>4</c:v>
                </c:pt>
                <c:pt idx="2">
                  <c:v>4</c:v>
                </c:pt>
                <c:pt idx="3">
                  <c:v>6</c:v>
                </c:pt>
                <c:pt idx="4">
                  <c:v>7</c:v>
                </c:pt>
              </c:numCache>
            </c:numRef>
          </c:val>
          <c:smooth val="0"/>
          <c:extLst>
            <c:ext xmlns:c16="http://schemas.microsoft.com/office/drawing/2014/chart" uri="{C3380CC4-5D6E-409C-BE32-E72D297353CC}">
              <c16:uniqueId val="{00000004-2B08-47D0-B409-522D3BCCCEF2}"/>
            </c:ext>
          </c:extLst>
        </c:ser>
        <c:dLbls>
          <c:showLegendKey val="0"/>
          <c:showVal val="0"/>
          <c:showCatName val="0"/>
          <c:showSerName val="0"/>
          <c:showPercent val="0"/>
          <c:showBubbleSize val="0"/>
        </c:dLbls>
        <c:hiLowLines>
          <c:spPr>
            <a:ln>
              <a:noFill/>
            </a:ln>
          </c:spPr>
        </c:hiLowLines>
        <c:marker val="1"/>
        <c:smooth val="0"/>
        <c:axId val="196653824"/>
        <c:axId val="196655360"/>
      </c:lineChart>
      <c:catAx>
        <c:axId val="196653824"/>
        <c:scaling>
          <c:orientation val="minMax"/>
        </c:scaling>
        <c:delete val="0"/>
        <c:axPos val="b"/>
        <c:numFmt formatCode="General" sourceLinked="1"/>
        <c:majorTickMark val="none"/>
        <c:minorTickMark val="none"/>
        <c:tickLblPos val="low"/>
        <c:spPr>
          <a:ln w="9360">
            <a:solidFill>
              <a:srgbClr val="878787"/>
            </a:solidFill>
            <a:round/>
          </a:ln>
        </c:spPr>
        <c:txPr>
          <a:bodyPr/>
          <a:lstStyle/>
          <a:p>
            <a:pPr>
              <a:defRPr lang="es-ES" sz="1000" b="0" strike="noStrike" spc="-1">
                <a:solidFill>
                  <a:srgbClr val="000000"/>
                </a:solidFill>
                <a:latin typeface="Calibri"/>
              </a:defRPr>
            </a:pPr>
            <a:endParaRPr lang="ca-ES-valencia"/>
          </a:p>
        </c:txPr>
        <c:crossAx val="196655360"/>
        <c:crossesAt val="0"/>
        <c:auto val="1"/>
        <c:lblAlgn val="ctr"/>
        <c:lblOffset val="100"/>
        <c:noMultiLvlLbl val="1"/>
      </c:catAx>
      <c:valAx>
        <c:axId val="196655360"/>
        <c:scaling>
          <c:orientation val="minMax"/>
        </c:scaling>
        <c:delete val="0"/>
        <c:axPos val="l"/>
        <c:majorGridlines>
          <c:spPr>
            <a:ln w="9360">
              <a:solidFill>
                <a:srgbClr val="878787"/>
              </a:solidFill>
              <a:round/>
            </a:ln>
          </c:spPr>
        </c:majorGridlines>
        <c:numFmt formatCode="General" sourceLinked="0"/>
        <c:majorTickMark val="none"/>
        <c:minorTickMark val="none"/>
        <c:tickLblPos val="nextTo"/>
        <c:spPr>
          <a:ln w="9360">
            <a:solidFill>
              <a:srgbClr val="878787"/>
            </a:solidFill>
            <a:round/>
          </a:ln>
        </c:spPr>
        <c:txPr>
          <a:bodyPr/>
          <a:lstStyle/>
          <a:p>
            <a:pPr>
              <a:defRPr lang="es-ES" sz="1000" b="0" strike="noStrike" spc="-1">
                <a:solidFill>
                  <a:srgbClr val="000000"/>
                </a:solidFill>
                <a:latin typeface="Calibri"/>
              </a:defRPr>
            </a:pPr>
            <a:endParaRPr lang="ca-ES-valencia"/>
          </a:p>
        </c:txPr>
        <c:crossAx val="196653824"/>
        <c:crosses val="min"/>
        <c:crossBetween val="midCat"/>
      </c:valAx>
      <c:spPr>
        <a:solidFill>
          <a:srgbClr val="FFFFFF"/>
        </a:solidFill>
        <a:ln>
          <a:noFill/>
        </a:ln>
      </c:spPr>
    </c:plotArea>
    <c:legend>
      <c:legendPos val="r"/>
      <c:layout>
        <c:manualLayout>
          <c:xMode val="edge"/>
          <c:yMode val="edge"/>
          <c:x val="0.65415015694111067"/>
          <c:y val="0.20407953366294329"/>
          <c:w val="0.32717376918464153"/>
          <c:h val="0.77517426600744677"/>
        </c:manualLayout>
      </c:layout>
      <c:overlay val="0"/>
      <c:spPr>
        <a:noFill/>
        <a:ln>
          <a:noFill/>
        </a:ln>
      </c:spPr>
      <c:txPr>
        <a:bodyPr/>
        <a:lstStyle/>
        <a:p>
          <a:pPr>
            <a:defRPr lang="es-ES" sz="1000" b="0" strike="noStrike" spc="-1">
              <a:solidFill>
                <a:srgbClr val="000000"/>
              </a:solidFill>
              <a:latin typeface="Calibri"/>
            </a:defRPr>
          </a:pPr>
          <a:endParaRPr lang="ca-ES-valencia"/>
        </a:p>
      </c:txPr>
    </c:legend>
    <c:plotVisOnly val="0"/>
    <c:dispBlanksAs val="gap"/>
    <c:showDLblsOverMax val="1"/>
  </c:chart>
  <c:spPr>
    <a:solidFill>
      <a:srgbClr val="FFFFFF"/>
    </a:solidFill>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ysClr val="windowText" lastClr="000000"/>
                </a:solidFill>
                <a:latin typeface="+mn-lt"/>
                <a:ea typeface="+mn-ea"/>
                <a:cs typeface="+mn-cs"/>
              </a:defRPr>
            </a:pPr>
            <a:r>
              <a:rPr lang="en-US" sz="1100" cap="none" baseline="0">
                <a:solidFill>
                  <a:sysClr val="windowText" lastClr="000000"/>
                </a:solidFill>
                <a:latin typeface="Arial" panose="020B0604020202020204" pitchFamily="34" charset="0"/>
                <a:cs typeface="Arial" panose="020B0604020202020204" pitchFamily="34" charset="0"/>
              </a:rPr>
              <a:t>Ocupación de puestos de trabajo por género</a:t>
            </a:r>
          </a:p>
        </c:rich>
      </c:tx>
      <c:overlay val="0"/>
      <c:spPr>
        <a:noFill/>
        <a:ln>
          <a:noFill/>
        </a:ln>
        <a:effectLst/>
      </c:spPr>
      <c:txPr>
        <a:bodyPr rot="0" spcFirstLastPara="1" vertOverflow="ellipsis" vert="horz" wrap="square" anchor="ctr" anchorCtr="1"/>
        <a:lstStyle/>
        <a:p>
          <a:pPr>
            <a:defRPr sz="1600" b="1" i="0" u="none" strike="noStrike" kern="1200" cap="all" baseline="0">
              <a:solidFill>
                <a:sysClr val="windowText" lastClr="000000"/>
              </a:solidFill>
              <a:latin typeface="+mn-lt"/>
              <a:ea typeface="+mn-ea"/>
              <a:cs typeface="+mn-cs"/>
            </a:defRPr>
          </a:pPr>
          <a:endParaRPr lang="ca-ES-valencia"/>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1F9-49B0-91D8-B4168B35A948}"/>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1F9-49B0-91D8-B4168B35A948}"/>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bg1">
                            <a:lumMod val="50000"/>
                          </a:schemeClr>
                        </a:solidFill>
                        <a:latin typeface="+mn-lt"/>
                        <a:ea typeface="+mn-ea"/>
                        <a:cs typeface="+mn-cs"/>
                      </a:defRPr>
                    </a:pPr>
                    <a:fld id="{4544B741-78A2-49DD-8D05-B9AF05EDBF0C}" type="CATEGORYNAME">
                      <a:rPr lang="en-US">
                        <a:solidFill>
                          <a:schemeClr val="accent1"/>
                        </a:solidFill>
                      </a:rPr>
                      <a:pPr>
                        <a:defRPr>
                          <a:solidFill>
                            <a:schemeClr val="bg1">
                              <a:lumMod val="50000"/>
                            </a:schemeClr>
                          </a:solidFill>
                        </a:defRPr>
                      </a:pPr>
                      <a:t>[NOMBRE DE CATEGORÍA]</a:t>
                    </a:fld>
                    <a:r>
                      <a:rPr lang="en-US" baseline="0">
                        <a:solidFill>
                          <a:schemeClr val="accent1"/>
                        </a:solidFill>
                      </a:rPr>
                      <a:t>:</a:t>
                    </a:r>
                    <a:r>
                      <a:rPr lang="en-US" baseline="0">
                        <a:solidFill>
                          <a:schemeClr val="bg1">
                            <a:lumMod val="50000"/>
                          </a:schemeClr>
                        </a:solidFill>
                      </a:rPr>
                      <a:t> </a:t>
                    </a:r>
                    <a:fld id="{E39DA4C5-3DE1-476B-A36F-C20A4A44D364}" type="PERCENTAGE">
                      <a:rPr lang="en-US" baseline="0">
                        <a:solidFill>
                          <a:schemeClr val="accent1"/>
                        </a:solidFill>
                      </a:rPr>
                      <a:pPr>
                        <a:defRPr>
                          <a:solidFill>
                            <a:schemeClr val="bg1">
                              <a:lumMod val="50000"/>
                            </a:schemeClr>
                          </a:solidFill>
                        </a:defRPr>
                      </a:pPr>
                      <a:t>[PORCENTAJE]</a:t>
                    </a:fld>
                    <a:endParaRPr lang="en-US" baseline="0">
                      <a:solidFill>
                        <a:schemeClr val="bg1">
                          <a:lumMod val="50000"/>
                        </a:schemeClr>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bg1">
                          <a:lumMod val="50000"/>
                        </a:schemeClr>
                      </a:solidFill>
                      <a:latin typeface="+mn-lt"/>
                      <a:ea typeface="+mn-ea"/>
                      <a:cs typeface="+mn-cs"/>
                    </a:defRPr>
                  </a:pPr>
                  <a:endParaRPr lang="ca-ES-valencia"/>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1F9-49B0-91D8-B4168B35A948}"/>
                </c:ext>
              </c:extLst>
            </c:dLbl>
            <c:dLbl>
              <c:idx val="1"/>
              <c:layout>
                <c:manualLayout>
                  <c:x val="-1.0951685512275263E-17"/>
                  <c:y val="-1.2300123001230012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bg1">
                            <a:lumMod val="50000"/>
                          </a:schemeClr>
                        </a:solidFill>
                        <a:latin typeface="+mn-lt"/>
                        <a:ea typeface="+mn-ea"/>
                        <a:cs typeface="+mn-cs"/>
                      </a:defRPr>
                    </a:pPr>
                    <a:fld id="{CBBE1152-42E1-4B1D-AADA-2C53C4A793EA}" type="CATEGORYNAME">
                      <a:rPr lang="en-US">
                        <a:solidFill>
                          <a:schemeClr val="bg1">
                            <a:lumMod val="50000"/>
                          </a:schemeClr>
                        </a:solidFill>
                      </a:rPr>
                      <a:pPr>
                        <a:defRPr>
                          <a:solidFill>
                            <a:schemeClr val="bg1">
                              <a:lumMod val="50000"/>
                            </a:schemeClr>
                          </a:solidFill>
                        </a:defRPr>
                      </a:pPr>
                      <a:t>[NOMBRE DE CATEGORÍA]</a:t>
                    </a:fld>
                    <a:r>
                      <a:rPr lang="en-US" baseline="0">
                        <a:solidFill>
                          <a:schemeClr val="bg1">
                            <a:lumMod val="50000"/>
                          </a:schemeClr>
                        </a:solidFill>
                      </a:rPr>
                      <a:t>: </a:t>
                    </a:r>
                    <a:fld id="{C1B132E3-3E17-4F4E-BE76-1FE3C8C3495C}" type="PERCENTAGE">
                      <a:rPr lang="en-US" baseline="0">
                        <a:solidFill>
                          <a:schemeClr val="bg1">
                            <a:lumMod val="50000"/>
                          </a:schemeClr>
                        </a:solidFill>
                      </a:rPr>
                      <a:pPr>
                        <a:defRPr>
                          <a:solidFill>
                            <a:schemeClr val="bg1">
                              <a:lumMod val="50000"/>
                            </a:schemeClr>
                          </a:solidFill>
                        </a:defRPr>
                      </a:pPr>
                      <a:t>[PORCENTAJE]</a:t>
                    </a:fld>
                    <a:endParaRPr lang="en-US" baseline="0">
                      <a:solidFill>
                        <a:schemeClr val="bg1">
                          <a:lumMod val="50000"/>
                        </a:schemeClr>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bg1">
                          <a:lumMod val="50000"/>
                        </a:schemeClr>
                      </a:solidFill>
                      <a:latin typeface="+mn-lt"/>
                      <a:ea typeface="+mn-ea"/>
                      <a:cs typeface="+mn-cs"/>
                    </a:defRPr>
                  </a:pPr>
                  <a:endParaRPr lang="ca-ES-valencia"/>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41F9-49B0-91D8-B4168B35A94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bg1">
                        <a:lumMod val="50000"/>
                      </a:schemeClr>
                    </a:solidFill>
                    <a:latin typeface="+mn-lt"/>
                    <a:ea typeface="+mn-ea"/>
                    <a:cs typeface="+mn-cs"/>
                  </a:defRPr>
                </a:pPr>
                <a:endParaRPr lang="ca-ES-valencia"/>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'Genero-edad'!$K$10:$K$11</c:f>
              <c:strCache>
                <c:ptCount val="2"/>
                <c:pt idx="0">
                  <c:v>Hombre</c:v>
                </c:pt>
                <c:pt idx="1">
                  <c:v>Mujer</c:v>
                </c:pt>
              </c:strCache>
            </c:strRef>
          </c:cat>
          <c:val>
            <c:numRef>
              <c:f>'Genero-edad'!$L$10:$L$11</c:f>
              <c:numCache>
                <c:formatCode>General</c:formatCode>
                <c:ptCount val="2"/>
                <c:pt idx="0">
                  <c:v>13</c:v>
                </c:pt>
                <c:pt idx="1">
                  <c:v>24</c:v>
                </c:pt>
              </c:numCache>
            </c:numRef>
          </c:val>
          <c:extLst>
            <c:ext xmlns:c16="http://schemas.microsoft.com/office/drawing/2014/chart" uri="{C3380CC4-5D6E-409C-BE32-E72D297353CC}">
              <c16:uniqueId val="{00000004-41F9-49B0-91D8-B4168B35A948}"/>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latin typeface="Arial" panose="020B0604020202020204" pitchFamily="34" charset="0"/>
                <a:cs typeface="Arial" panose="020B0604020202020204" pitchFamily="34" charset="0"/>
              </a:rPr>
              <a:t>Menciones por tipo de medio</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a-ES-valencia"/>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'Menciones en medios'!$B$1</c:f>
              <c:strCache>
                <c:ptCount val="1"/>
                <c:pt idx="0">
                  <c:v>N.º de menciones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16B-46B1-9BC5-2BF852CF43BD}"/>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16B-46B1-9BC5-2BF852CF43BD}"/>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16B-46B1-9BC5-2BF852CF43BD}"/>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616B-46B1-9BC5-2BF852CF43BD}"/>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616B-46B1-9BC5-2BF852CF43BD}"/>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616B-46B1-9BC5-2BF852CF43BD}"/>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616B-46B1-9BC5-2BF852CF43BD}"/>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616B-46B1-9BC5-2BF852CF43BD}"/>
              </c:ext>
            </c:extLst>
          </c:dPt>
          <c:dLbls>
            <c:dLbl>
              <c:idx val="3"/>
              <c:delete val="1"/>
              <c:extLst>
                <c:ext xmlns:c15="http://schemas.microsoft.com/office/drawing/2012/chart" uri="{CE6537A1-D6FC-4f65-9D91-7224C49458BB}"/>
                <c:ext xmlns:c16="http://schemas.microsoft.com/office/drawing/2014/chart" uri="{C3380CC4-5D6E-409C-BE32-E72D297353CC}">
                  <c16:uniqueId val="{00000007-616B-46B1-9BC5-2BF852CF43BD}"/>
                </c:ext>
              </c:extLst>
            </c:dLbl>
            <c:dLbl>
              <c:idx val="4"/>
              <c:delete val="1"/>
              <c:extLst>
                <c:ext xmlns:c15="http://schemas.microsoft.com/office/drawing/2012/chart" uri="{CE6537A1-D6FC-4f65-9D91-7224C49458BB}"/>
                <c:ext xmlns:c16="http://schemas.microsoft.com/office/drawing/2014/chart" uri="{C3380CC4-5D6E-409C-BE32-E72D297353CC}">
                  <c16:uniqueId val="{00000009-616B-46B1-9BC5-2BF852CF43BD}"/>
                </c:ext>
              </c:extLst>
            </c:dLbl>
            <c:dLbl>
              <c:idx val="5"/>
              <c:delete val="1"/>
              <c:extLst>
                <c:ext xmlns:c15="http://schemas.microsoft.com/office/drawing/2012/chart" uri="{CE6537A1-D6FC-4f65-9D91-7224C49458BB}"/>
                <c:ext xmlns:c16="http://schemas.microsoft.com/office/drawing/2014/chart" uri="{C3380CC4-5D6E-409C-BE32-E72D297353CC}">
                  <c16:uniqueId val="{0000000B-616B-46B1-9BC5-2BF852CF43BD}"/>
                </c:ext>
              </c:extLst>
            </c:dLbl>
            <c:dLbl>
              <c:idx val="6"/>
              <c:delete val="1"/>
              <c:extLst>
                <c:ext xmlns:c15="http://schemas.microsoft.com/office/drawing/2012/chart" uri="{CE6537A1-D6FC-4f65-9D91-7224C49458BB}"/>
                <c:ext xmlns:c16="http://schemas.microsoft.com/office/drawing/2014/chart" uri="{C3380CC4-5D6E-409C-BE32-E72D297353CC}">
                  <c16:uniqueId val="{0000000D-616B-46B1-9BC5-2BF852CF43BD}"/>
                </c:ext>
              </c:extLst>
            </c:dLbl>
            <c:dLbl>
              <c:idx val="7"/>
              <c:delete val="1"/>
              <c:extLst>
                <c:ext xmlns:c15="http://schemas.microsoft.com/office/drawing/2012/chart" uri="{CE6537A1-D6FC-4f65-9D91-7224C49458BB}"/>
                <c:ext xmlns:c16="http://schemas.microsoft.com/office/drawing/2014/chart" uri="{C3380CC4-5D6E-409C-BE32-E72D297353CC}">
                  <c16:uniqueId val="{0000000F-616B-46B1-9BC5-2BF852CF43BD}"/>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Arial" panose="020B0604020202020204" pitchFamily="34" charset="0"/>
                    <a:ea typeface="+mn-ea"/>
                    <a:cs typeface="Arial" panose="020B0604020202020204" pitchFamily="34" charset="0"/>
                  </a:defRPr>
                </a:pPr>
                <a:endParaRPr lang="ca-ES-valencia"/>
              </a:p>
            </c:txPr>
            <c:dLblPos val="ctr"/>
            <c:showLegendKey val="0"/>
            <c:showVal val="0"/>
            <c:showCatName val="1"/>
            <c:showSerName val="0"/>
            <c:showPercent val="1"/>
            <c:showBubbleSize val="0"/>
            <c:showLeaderLines val="0"/>
            <c:extLst>
              <c:ext xmlns:c15="http://schemas.microsoft.com/office/drawing/2012/chart" uri="{CE6537A1-D6FC-4f65-9D91-7224C49458BB}"/>
            </c:extLst>
          </c:dLbls>
          <c:cat>
            <c:strRef>
              <c:f>'Menciones en medios'!$A$2:$A$9</c:f>
              <c:strCache>
                <c:ptCount val="8"/>
                <c:pt idx="0">
                  <c:v>Prensa escrita</c:v>
                </c:pt>
                <c:pt idx="1">
                  <c:v>Medios digitales</c:v>
                </c:pt>
                <c:pt idx="2">
                  <c:v>Radio</c:v>
                </c:pt>
                <c:pt idx="3">
                  <c:v>Televisión</c:v>
                </c:pt>
                <c:pt idx="4">
                  <c:v>Agencias</c:v>
                </c:pt>
                <c:pt idx="5">
                  <c:v>Webs temáticas</c:v>
                </c:pt>
                <c:pt idx="6">
                  <c:v>Organismos oficiales</c:v>
                </c:pt>
                <c:pt idx="7">
                  <c:v>Otros</c:v>
                </c:pt>
              </c:strCache>
            </c:strRef>
          </c:cat>
          <c:val>
            <c:numRef>
              <c:f>'Menciones en medios'!$B$2:$B$9</c:f>
              <c:numCache>
                <c:formatCode>General</c:formatCode>
                <c:ptCount val="8"/>
                <c:pt idx="0">
                  <c:v>436</c:v>
                </c:pt>
                <c:pt idx="1">
                  <c:v>459</c:v>
                </c:pt>
                <c:pt idx="2">
                  <c:v>36</c:v>
                </c:pt>
                <c:pt idx="3">
                  <c:v>12</c:v>
                </c:pt>
                <c:pt idx="4">
                  <c:v>40</c:v>
                </c:pt>
                <c:pt idx="5">
                  <c:v>14</c:v>
                </c:pt>
                <c:pt idx="6">
                  <c:v>5</c:v>
                </c:pt>
                <c:pt idx="7">
                  <c:v>0</c:v>
                </c:pt>
              </c:numCache>
            </c:numRef>
          </c:val>
          <c:extLst>
            <c:ext xmlns:c16="http://schemas.microsoft.com/office/drawing/2014/chart" uri="{C3380CC4-5D6E-409C-BE32-E72D297353CC}">
              <c16:uniqueId val="{00000010-616B-46B1-9BC5-2BF852CF43BD}"/>
            </c:ext>
          </c:extLst>
        </c:ser>
        <c:ser>
          <c:idx val="1"/>
          <c:order val="1"/>
          <c:tx>
            <c:strRef>
              <c:f>'Menciones en medios'!$C$1</c:f>
              <c:strCache>
                <c:ptCount val="1"/>
                <c:pt idx="0">
                  <c:v>%</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2-616B-46B1-9BC5-2BF852CF43BD}"/>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4-616B-46B1-9BC5-2BF852CF43BD}"/>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6-616B-46B1-9BC5-2BF852CF43BD}"/>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8-616B-46B1-9BC5-2BF852CF43BD}"/>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A-616B-46B1-9BC5-2BF852CF43BD}"/>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C-616B-46B1-9BC5-2BF852CF43BD}"/>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E-616B-46B1-9BC5-2BF852CF43BD}"/>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0-616B-46B1-9BC5-2BF852CF43B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a-ES-valencia"/>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'Menciones en medios'!$A$2:$A$9</c:f>
              <c:strCache>
                <c:ptCount val="8"/>
                <c:pt idx="0">
                  <c:v>Prensa escrita</c:v>
                </c:pt>
                <c:pt idx="1">
                  <c:v>Medios digitales</c:v>
                </c:pt>
                <c:pt idx="2">
                  <c:v>Radio</c:v>
                </c:pt>
                <c:pt idx="3">
                  <c:v>Televisión</c:v>
                </c:pt>
                <c:pt idx="4">
                  <c:v>Agencias</c:v>
                </c:pt>
                <c:pt idx="5">
                  <c:v>Webs temáticas</c:v>
                </c:pt>
                <c:pt idx="6">
                  <c:v>Organismos oficiales</c:v>
                </c:pt>
                <c:pt idx="7">
                  <c:v>Otros</c:v>
                </c:pt>
              </c:strCache>
            </c:strRef>
          </c:cat>
          <c:val>
            <c:numRef>
              <c:f>'Menciones en medios'!$C$2:$C$9</c:f>
              <c:numCache>
                <c:formatCode>General</c:formatCode>
                <c:ptCount val="8"/>
                <c:pt idx="0">
                  <c:v>43</c:v>
                </c:pt>
                <c:pt idx="1">
                  <c:v>46</c:v>
                </c:pt>
                <c:pt idx="2">
                  <c:v>4</c:v>
                </c:pt>
                <c:pt idx="3">
                  <c:v>1</c:v>
                </c:pt>
                <c:pt idx="4">
                  <c:v>4</c:v>
                </c:pt>
                <c:pt idx="5">
                  <c:v>1</c:v>
                </c:pt>
                <c:pt idx="6">
                  <c:v>0</c:v>
                </c:pt>
                <c:pt idx="7">
                  <c:v>1</c:v>
                </c:pt>
              </c:numCache>
            </c:numRef>
          </c:val>
          <c:extLst>
            <c:ext xmlns:c16="http://schemas.microsoft.com/office/drawing/2014/chart" uri="{C3380CC4-5D6E-409C-BE32-E72D297353CC}">
              <c16:uniqueId val="{00000021-616B-46B1-9BC5-2BF852CF43BD}"/>
            </c:ext>
          </c:extLst>
        </c:ser>
        <c:dLbls>
          <c:dLblPos val="ctr"/>
          <c:showLegendKey val="0"/>
          <c:showVal val="0"/>
          <c:showCatName val="0"/>
          <c:showSerName val="0"/>
          <c:showPercent val="1"/>
          <c:showBubbleSize val="0"/>
          <c:showLeaderLines val="0"/>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ca-ES-valenci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N.º de menciones en medios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a-ES-valencia"/>
        </a:p>
      </c:txPr>
    </c:title>
    <c:autoTitleDeleted val="0"/>
    <c:plotArea>
      <c:layout/>
      <c:lineChart>
        <c:grouping val="stacked"/>
        <c:varyColors val="0"/>
        <c:ser>
          <c:idx val="0"/>
          <c:order val="0"/>
          <c:tx>
            <c:strRef>
              <c:f>'Menciones en medios por meses'!$B$1</c:f>
              <c:strCache>
                <c:ptCount val="1"/>
                <c:pt idx="0">
                  <c:v>N.º de menciones</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ca-ES-valencia"/>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'Menciones en medios por meses'!$A$2:$A$13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'Menciones en medios por meses'!$B$2:$B$13</c:f>
              <c:numCache>
                <c:formatCode>General</c:formatCode>
                <c:ptCount val="12"/>
                <c:pt idx="0">
                  <c:v>30</c:v>
                </c:pt>
                <c:pt idx="1">
                  <c:v>175</c:v>
                </c:pt>
                <c:pt idx="2">
                  <c:v>150</c:v>
                </c:pt>
                <c:pt idx="3">
                  <c:v>89</c:v>
                </c:pt>
                <c:pt idx="4">
                  <c:v>85</c:v>
                </c:pt>
                <c:pt idx="5">
                  <c:v>127</c:v>
                </c:pt>
                <c:pt idx="6">
                  <c:v>93</c:v>
                </c:pt>
                <c:pt idx="7">
                  <c:v>29</c:v>
                </c:pt>
                <c:pt idx="8">
                  <c:v>50</c:v>
                </c:pt>
                <c:pt idx="9">
                  <c:v>50</c:v>
                </c:pt>
                <c:pt idx="10">
                  <c:v>82</c:v>
                </c:pt>
                <c:pt idx="11">
                  <c:v>42</c:v>
                </c:pt>
              </c:numCache>
            </c:numRef>
          </c:val>
          <c:smooth val="0"/>
          <c:extLst>
            <c:ext xmlns:c16="http://schemas.microsoft.com/office/drawing/2014/chart" uri="{C3380CC4-5D6E-409C-BE32-E72D297353CC}">
              <c16:uniqueId val="{00000000-917C-433A-B478-2F504D08AB8D}"/>
            </c:ext>
          </c:extLst>
        </c:ser>
        <c:dLbls>
          <c:dLblPos val="ctr"/>
          <c:showLegendKey val="0"/>
          <c:showVal val="1"/>
          <c:showCatName val="0"/>
          <c:showSerName val="0"/>
          <c:showPercent val="0"/>
          <c:showBubbleSize val="0"/>
        </c:dLbls>
        <c:marker val="1"/>
        <c:smooth val="0"/>
        <c:axId val="170728359"/>
        <c:axId val="1913537351"/>
      </c:lineChart>
      <c:catAx>
        <c:axId val="17072835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ca-ES-valencia"/>
          </a:p>
        </c:txPr>
        <c:crossAx val="1913537351"/>
        <c:crosses val="autoZero"/>
        <c:auto val="1"/>
        <c:lblAlgn val="ctr"/>
        <c:lblOffset val="100"/>
        <c:noMultiLvlLbl val="0"/>
      </c:catAx>
      <c:valAx>
        <c:axId val="191353735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70728359"/>
        <c:crosses val="autoZero"/>
        <c:crossBetween val="between"/>
      </c:valAx>
      <c:spPr>
        <a:noFill/>
        <a:ln>
          <a:noFill/>
        </a:ln>
        <a:effectLst/>
      </c:spPr>
    </c:plotArea>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ca-ES-valenci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hPercent val="40"/>
      <c:rotY val="30"/>
      <c:depthPercent val="100"/>
      <c:rAngAx val="1"/>
    </c:view3D>
    <c:floor>
      <c:thickness val="0"/>
      <c:spPr>
        <a:solidFill>
          <a:sysClr val="window" lastClr="FFFFFF">
            <a:lumMod val="85000"/>
          </a:sysClr>
        </a:solidFill>
        <a:ln>
          <a:noFill/>
        </a:ln>
        <a:effectLst/>
        <a:scene3d>
          <a:camera prst="orthographicFront"/>
          <a:lightRig rig="threePt" dir="t"/>
        </a:scene3d>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rgbClr val="B5540B"/>
            </a:solidFill>
            <a:ln>
              <a:noFill/>
            </a:ln>
            <a:effectLst>
              <a:outerShdw blurRad="57150" dist="19050" dir="5400000" algn="ctr" rotWithShape="0">
                <a:srgbClr val="000000">
                  <a:alpha val="63000"/>
                </a:srgbClr>
              </a:outerShdw>
            </a:effectLst>
            <a:sp3d/>
          </c:spPr>
          <c:invertIfNegative val="0"/>
          <c:dPt>
            <c:idx val="0"/>
            <c:invertIfNegative val="0"/>
            <c:bubble3D val="0"/>
            <c:spPr>
              <a:solidFill>
                <a:srgbClr val="BCA6A2"/>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2432-4E3F-A0C6-BCCFC7DD3F8C}"/>
              </c:ext>
            </c:extLst>
          </c:dPt>
          <c:dPt>
            <c:idx val="1"/>
            <c:invertIfNegative val="0"/>
            <c:bubble3D val="0"/>
            <c:spPr>
              <a:solidFill>
                <a:srgbClr val="9D2235"/>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2432-4E3F-A0C6-BCCFC7DD3F8C}"/>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Hoja1!$J$6:$J$7</c:f>
              <c:strCache>
                <c:ptCount val="2"/>
                <c:pt idx="0">
                  <c:v>Solicitudes en trámite</c:v>
                </c:pt>
                <c:pt idx="1">
                  <c:v>Solicitudes resueltas</c:v>
                </c:pt>
              </c:strCache>
            </c:strRef>
          </c:cat>
          <c:val>
            <c:numRef>
              <c:f>Hoja1!$K$6:$K$7</c:f>
              <c:numCache>
                <c:formatCode>General</c:formatCode>
                <c:ptCount val="2"/>
                <c:pt idx="0">
                  <c:v>4</c:v>
                </c:pt>
                <c:pt idx="1">
                  <c:v>37</c:v>
                </c:pt>
              </c:numCache>
            </c:numRef>
          </c:val>
          <c:extLst>
            <c:ext xmlns:c16="http://schemas.microsoft.com/office/drawing/2014/chart" uri="{C3380CC4-5D6E-409C-BE32-E72D297353CC}">
              <c16:uniqueId val="{00000004-2432-4E3F-A0C6-BCCFC7DD3F8C}"/>
            </c:ext>
          </c:extLst>
        </c:ser>
        <c:dLbls>
          <c:showLegendKey val="0"/>
          <c:showVal val="0"/>
          <c:showCatName val="0"/>
          <c:showSerName val="0"/>
          <c:showPercent val="0"/>
          <c:showBubbleSize val="0"/>
        </c:dLbls>
        <c:gapWidth val="75"/>
        <c:shape val="cylinder"/>
        <c:axId val="1290816000"/>
        <c:axId val="1"/>
        <c:axId val="0"/>
      </c:bar3DChart>
      <c:catAx>
        <c:axId val="1290816000"/>
        <c:scaling>
          <c:orientation val="minMax"/>
        </c:scaling>
        <c:delete val="1"/>
        <c:axPos val="b"/>
        <c:numFmt formatCode="General" sourceLinked="1"/>
        <c:majorTickMark val="none"/>
        <c:minorTickMark val="none"/>
        <c:tickLblPos val="nextTo"/>
        <c:crossAx val="1"/>
        <c:crossesAt val="0"/>
        <c:auto val="1"/>
        <c:lblAlgn val="ctr"/>
        <c:lblOffset val="100"/>
        <c:noMultiLvlLbl val="0"/>
      </c:catAx>
      <c:valAx>
        <c:axId val="1"/>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1290816000"/>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ca-ES-valencia"/>
        </a:p>
      </c:txPr>
    </c:legend>
    <c:plotVisOnly val="1"/>
    <c:dispBlanksAs val="gap"/>
    <c:showDLblsOverMax val="0"/>
  </c:chart>
  <c:spPr>
    <a:gradFill>
      <a:gsLst>
        <a:gs pos="0">
          <a:srgbClr val="A5A5A5">
            <a:lumMod val="0"/>
            <a:lumOff val="100000"/>
          </a:srgbClr>
        </a:gs>
        <a:gs pos="35000">
          <a:srgbClr val="A5A5A5">
            <a:lumMod val="0"/>
            <a:lumOff val="100000"/>
          </a:srgbClr>
        </a:gs>
        <a:gs pos="100000">
          <a:srgbClr val="A5A5A5">
            <a:lumMod val="100000"/>
          </a:srgb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hPercent val="40"/>
      <c:rotY val="30"/>
      <c:depthPercent val="100"/>
      <c:rAngAx val="1"/>
    </c:view3D>
    <c:floor>
      <c:thickness val="0"/>
      <c:spPr>
        <a:solidFill>
          <a:schemeClr val="bg1">
            <a:lumMod val="85000"/>
          </a:schemeClr>
        </a:solidFill>
        <a:ln>
          <a:noFill/>
        </a:ln>
        <a:effectLst>
          <a:outerShdw blurRad="50800" dist="50800" dir="5400000" algn="ctr" rotWithShape="0">
            <a:schemeClr val="tx1">
              <a:lumMod val="50000"/>
              <a:lumOff val="50000"/>
            </a:schemeClr>
          </a:outerShdw>
        </a:effectLst>
        <a:scene3d>
          <a:camera prst="orthographicFront"/>
          <a:lightRig rig="threePt" dir="t"/>
        </a:scene3d>
        <a:sp3d/>
      </c:spPr>
    </c:floor>
    <c:sideWall>
      <c:thickness val="0"/>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noFill/>
        </a:ln>
        <a:effectLst/>
        <a:sp3d/>
      </c:spPr>
    </c:sideWall>
    <c:backWall>
      <c:thickness val="0"/>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noFill/>
        </a:ln>
        <a:effectLst/>
        <a:sp3d/>
      </c:spPr>
    </c:backWall>
    <c:plotArea>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a:noFill/>
            </a:ln>
            <a:effectLst>
              <a:outerShdw blurRad="50800" dist="38100" dir="2700000" algn="tl" rotWithShape="0">
                <a:schemeClr val="tx1">
                  <a:alpha val="40000"/>
                </a:schemeClr>
              </a:outerShdw>
            </a:effectLst>
            <a:sp3d>
              <a:contourClr>
                <a:srgbClr val="EABAC2"/>
              </a:contourClr>
            </a:sp3d>
          </c:spPr>
          <c:invertIfNegative val="0"/>
          <c:dPt>
            <c:idx val="0"/>
            <c:invertIfNegative val="0"/>
            <c:bubble3D val="0"/>
            <c:spPr>
              <a:solidFill>
                <a:schemeClr val="accent1"/>
              </a:solidFill>
              <a:ln w="6350">
                <a:noFill/>
              </a:ln>
              <a:effectLst>
                <a:outerShdw blurRad="50800" dist="38100" dir="2700000" algn="tl" rotWithShape="0">
                  <a:schemeClr val="tx1">
                    <a:alpha val="40000"/>
                  </a:schemeClr>
                </a:outerShdw>
              </a:effectLst>
              <a:sp3d>
                <a:contourClr>
                  <a:srgbClr val="666666"/>
                </a:contourClr>
              </a:sp3d>
            </c:spPr>
            <c:extLst>
              <c:ext xmlns:c16="http://schemas.microsoft.com/office/drawing/2014/chart" uri="{C3380CC4-5D6E-409C-BE32-E72D297353CC}">
                <c16:uniqueId val="{00000001-E3AD-43D5-BF14-200F91C84F84}"/>
              </c:ext>
            </c:extLst>
          </c:dPt>
          <c:dPt>
            <c:idx val="1"/>
            <c:invertIfNegative val="0"/>
            <c:bubble3D val="0"/>
            <c:spPr>
              <a:solidFill>
                <a:srgbClr val="5B6770"/>
              </a:solidFill>
              <a:ln w="6350">
                <a:noFill/>
              </a:ln>
              <a:effectLst>
                <a:outerShdw blurRad="50800" dist="38100" dir="2700000" algn="tl" rotWithShape="0">
                  <a:schemeClr val="tx1">
                    <a:alpha val="40000"/>
                  </a:schemeClr>
                </a:outerShdw>
              </a:effectLst>
              <a:sp3d>
                <a:contourClr>
                  <a:srgbClr val="EABAC2"/>
                </a:contourClr>
              </a:sp3d>
            </c:spPr>
            <c:extLst>
              <c:ext xmlns:c16="http://schemas.microsoft.com/office/drawing/2014/chart" uri="{C3380CC4-5D6E-409C-BE32-E72D297353CC}">
                <c16:uniqueId val="{00000003-E3AD-43D5-BF14-200F91C84F84}"/>
              </c:ext>
            </c:extLst>
          </c:dPt>
          <c:dLbls>
            <c:dLbl>
              <c:idx val="0"/>
              <c:layout>
                <c:manualLayout>
                  <c:x val="2.287008113176288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3AD-43D5-BF14-200F91C84F84}"/>
                </c:ext>
              </c:extLst>
            </c:dLbl>
            <c:dLbl>
              <c:idx val="1"/>
              <c:layout>
                <c:manualLayout>
                  <c:x val="2.032896100601145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3AD-43D5-BF14-200F91C84F84}"/>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Hoja1!$N$126:$N$127</c:f>
              <c:strCache>
                <c:ptCount val="2"/>
                <c:pt idx="0">
                  <c:v>Resoluciones estimatorias</c:v>
                </c:pt>
                <c:pt idx="1">
                  <c:v>Expedientes en tramitación</c:v>
                </c:pt>
              </c:strCache>
            </c:strRef>
          </c:cat>
          <c:val>
            <c:numRef>
              <c:f>Hoja1!$O$126:$O$127</c:f>
              <c:numCache>
                <c:formatCode>General</c:formatCode>
                <c:ptCount val="2"/>
                <c:pt idx="0">
                  <c:v>26</c:v>
                </c:pt>
                <c:pt idx="1">
                  <c:v>4</c:v>
                </c:pt>
              </c:numCache>
            </c:numRef>
          </c:val>
          <c:extLst>
            <c:ext xmlns:c16="http://schemas.microsoft.com/office/drawing/2014/chart" uri="{C3380CC4-5D6E-409C-BE32-E72D297353CC}">
              <c16:uniqueId val="{00000004-E3AD-43D5-BF14-200F91C84F84}"/>
            </c:ext>
          </c:extLst>
        </c:ser>
        <c:dLbls>
          <c:showLegendKey val="0"/>
          <c:showVal val="0"/>
          <c:showCatName val="0"/>
          <c:showSerName val="0"/>
          <c:showPercent val="0"/>
          <c:showBubbleSize val="0"/>
        </c:dLbls>
        <c:gapWidth val="75"/>
        <c:shape val="cylinder"/>
        <c:axId val="1290816000"/>
        <c:axId val="1"/>
        <c:axId val="0"/>
      </c:bar3DChart>
      <c:catAx>
        <c:axId val="1290816000"/>
        <c:scaling>
          <c:orientation val="minMax"/>
        </c:scaling>
        <c:delete val="1"/>
        <c:axPos val="b"/>
        <c:numFmt formatCode="General" sourceLinked="1"/>
        <c:majorTickMark val="none"/>
        <c:minorTickMark val="none"/>
        <c:tickLblPos val="nextTo"/>
        <c:crossAx val="1"/>
        <c:crossesAt val="0"/>
        <c:auto val="1"/>
        <c:lblAlgn val="ctr"/>
        <c:lblOffset val="100"/>
        <c:noMultiLvlLbl val="0"/>
      </c:catAx>
      <c:valAx>
        <c:axId val="1"/>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1290816000"/>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a-ES-valenci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spPr>
            <a:ln w="25400" cmpd="dbl">
              <a:noFill/>
            </a:ln>
            <a:effectLst>
              <a:outerShdw blurRad="50800" dist="38100" dir="2700000" algn="tl" rotWithShape="0">
                <a:prstClr val="black">
                  <a:alpha val="40000"/>
                </a:prstClr>
              </a:outerShdw>
            </a:effectLst>
            <a:scene3d>
              <a:camera prst="orthographicFront"/>
              <a:lightRig rig="threePt" dir="t"/>
            </a:scene3d>
            <a:sp3d prstMaterial="matte"/>
          </c:spPr>
          <c:explosion val="9"/>
          <c:dPt>
            <c:idx val="0"/>
            <c:bubble3D val="0"/>
            <c:spPr>
              <a:solidFill>
                <a:srgbClr val="613D35"/>
              </a:solidFill>
              <a:ln w="25400" cmpd="dbl">
                <a:noFill/>
              </a:ln>
              <a:effectLst>
                <a:outerShdw blurRad="50800" dist="38100" dir="2700000" algn="tl"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1-E003-44B0-A635-943C7FA90DB0}"/>
              </c:ext>
            </c:extLst>
          </c:dPt>
          <c:dPt>
            <c:idx val="1"/>
            <c:bubble3D val="0"/>
            <c:spPr>
              <a:solidFill>
                <a:srgbClr val="C6C6C6"/>
              </a:solidFill>
              <a:ln w="25400" cmpd="dbl">
                <a:noFill/>
              </a:ln>
              <a:effectLst>
                <a:outerShdw blurRad="50800" dist="38100" dir="2700000" algn="tl"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3-E003-44B0-A635-943C7FA90DB0}"/>
              </c:ext>
            </c:extLst>
          </c:dPt>
          <c:dPt>
            <c:idx val="2"/>
            <c:bubble3D val="0"/>
            <c:spPr>
              <a:solidFill>
                <a:srgbClr val="EABAC2"/>
              </a:solidFill>
              <a:ln w="25400" cmpd="dbl">
                <a:noFill/>
              </a:ln>
              <a:effectLst>
                <a:outerShdw blurRad="50800" dist="38100" dir="2700000" algn="tl"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5-E003-44B0-A635-943C7FA90DB0}"/>
              </c:ext>
            </c:extLst>
          </c:dPt>
          <c:dPt>
            <c:idx val="3"/>
            <c:bubble3D val="0"/>
            <c:spPr>
              <a:solidFill>
                <a:srgbClr val="9D2235"/>
              </a:solidFill>
              <a:ln w="25400" cmpd="dbl">
                <a:noFill/>
              </a:ln>
              <a:effectLst>
                <a:outerShdw blurRad="50800" dist="38100" dir="2700000" algn="tl" rotWithShape="0">
                  <a:prstClr val="black">
                    <a:alpha val="40000"/>
                  </a:prstClr>
                </a:outerShdw>
              </a:effectLst>
              <a:scene3d>
                <a:camera prst="orthographicFront"/>
                <a:lightRig rig="threePt" dir="t"/>
              </a:scene3d>
              <a:sp3d prstMaterial="matte"/>
            </c:spPr>
            <c:extLst>
              <c:ext xmlns:c16="http://schemas.microsoft.com/office/drawing/2014/chart" uri="{C3380CC4-5D6E-409C-BE32-E72D297353CC}">
                <c16:uniqueId val="{00000007-E003-44B0-A635-943C7FA90DB0}"/>
              </c:ext>
            </c:extLst>
          </c:dPt>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ca-ES-valenci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Hoja1!$L$32:$L$35</c:f>
              <c:strCache>
                <c:ptCount val="4"/>
                <c:pt idx="0">
                  <c:v>Remisión fiscalía</c:v>
                </c:pt>
                <c:pt idx="1">
                  <c:v>Buzón denuncias</c:v>
                </c:pt>
                <c:pt idx="2">
                  <c:v>Correo electrónico</c:v>
                </c:pt>
                <c:pt idx="3">
                  <c:v>Registro Agencia</c:v>
                </c:pt>
              </c:strCache>
            </c:strRef>
          </c:cat>
          <c:val>
            <c:numRef>
              <c:f>Hoja1!$N$32:$N$35</c:f>
              <c:numCache>
                <c:formatCode>General</c:formatCode>
                <c:ptCount val="4"/>
                <c:pt idx="0">
                  <c:v>2</c:v>
                </c:pt>
                <c:pt idx="1">
                  <c:v>5</c:v>
                </c:pt>
                <c:pt idx="2">
                  <c:v>9</c:v>
                </c:pt>
                <c:pt idx="3">
                  <c:v>25</c:v>
                </c:pt>
              </c:numCache>
            </c:numRef>
          </c:val>
          <c:extLst>
            <c:ext xmlns:c16="http://schemas.microsoft.com/office/drawing/2014/chart" uri="{C3380CC4-5D6E-409C-BE32-E72D297353CC}">
              <c16:uniqueId val="{00000008-E003-44B0-A635-943C7FA90DB0}"/>
            </c:ext>
          </c:extLst>
        </c:ser>
        <c:dLbls>
          <c:showLegendKey val="0"/>
          <c:showVal val="0"/>
          <c:showCatName val="0"/>
          <c:showSerName val="0"/>
          <c:showPercent val="1"/>
          <c:showBubbleSize val="0"/>
          <c:showLeaderLines val="1"/>
        </c:dLbls>
        <c:firstSliceAng val="61"/>
        <c:holeSize val="50"/>
      </c:doughnutChart>
      <c:spPr>
        <a:noFill/>
        <a:ln>
          <a:noFill/>
        </a:ln>
        <a:effectLst/>
      </c:spPr>
    </c:plotArea>
    <c:legend>
      <c:legendPos val="r"/>
      <c:overlay val="0"/>
      <c:spPr>
        <a:solidFill>
          <a:schemeClr val="bg1">
            <a:lumMod val="95000"/>
          </a:schemeClr>
        </a:solidFill>
        <a:ln>
          <a:solidFill>
            <a:schemeClr val="bg2">
              <a:lumMod val="50000"/>
            </a:schemeClr>
          </a:solidFill>
        </a:ln>
        <a:effectLst/>
      </c:spPr>
      <c:txPr>
        <a:bodyPr rot="0" spcFirstLastPara="1" vertOverflow="ellipsis" vert="horz" wrap="square" anchor="ctr" anchorCtr="1"/>
        <a:lstStyle/>
        <a:p>
          <a:pPr rtl="0">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rgbClr val="A5A5A5">
            <a:lumMod val="0"/>
            <a:lumOff val="100000"/>
          </a:srgbClr>
        </a:gs>
        <a:gs pos="35000">
          <a:srgbClr val="A5A5A5">
            <a:lumMod val="0"/>
            <a:lumOff val="100000"/>
          </a:srgbClr>
        </a:gs>
        <a:gs pos="100000">
          <a:srgbClr val="A5A5A5">
            <a:lumMod val="100000"/>
          </a:srgbClr>
        </a:gs>
      </a:gsLst>
      <a:path path="circle">
        <a:fillToRect l="50000" t="-80000" r="50000" b="180000"/>
      </a:path>
    </a:gra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ca-ES-valencia"/>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25"/>
      <c:depthPercent val="100"/>
      <c:rAngAx val="1"/>
    </c:view3D>
    <c:floor>
      <c:thickness val="0"/>
      <c:spPr>
        <a:solidFill>
          <a:schemeClr val="bg2">
            <a:alpha val="72000"/>
          </a:schemeClr>
        </a:solidFill>
        <a:ln>
          <a:noFill/>
        </a:ln>
        <a:effectLst>
          <a:outerShdw blurRad="50800" dist="38100" dir="5400000" algn="ctr" rotWithShape="0">
            <a:srgbClr val="000000">
              <a:alpha val="43137"/>
            </a:srgbClr>
          </a:outerShdw>
        </a:effectLst>
        <a:scene3d>
          <a:camera prst="orthographicFront"/>
          <a:lightRig rig="threePt" dir="t"/>
        </a:scene3d>
        <a:sp3d/>
      </c:spPr>
    </c:floor>
    <c:sideWall>
      <c:thickness val="0"/>
      <c:spPr>
        <a:solidFill>
          <a:srgbClr val="F2F2F2">
            <a:alpha val="75000"/>
          </a:srgbClr>
        </a:solidFill>
        <a:ln>
          <a:noFill/>
        </a:ln>
        <a:effectLst>
          <a:outerShdw blurRad="50800" dist="38100" algn="l" rotWithShape="0">
            <a:prstClr val="black">
              <a:alpha val="40000"/>
            </a:prstClr>
          </a:outerShdw>
        </a:effectLst>
        <a:sp3d/>
      </c:spPr>
    </c:sideWall>
    <c:backWall>
      <c:thickness val="0"/>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noFill/>
        </a:ln>
        <a:effectLst>
          <a:outerShdw blurRad="50800" dist="38100" algn="l" rotWithShape="0">
            <a:prstClr val="black">
              <a:alpha val="40000"/>
            </a:prstClr>
          </a:outerShdw>
        </a:effectLst>
        <a:sp3d/>
      </c:spPr>
    </c:backWall>
    <c:plotArea>
      <c:layout>
        <c:manualLayout>
          <c:layoutTarget val="inner"/>
          <c:xMode val="edge"/>
          <c:yMode val="edge"/>
          <c:x val="6.2446385942782262E-2"/>
          <c:y val="0"/>
          <c:w val="0.93755361405721771"/>
          <c:h val="0.63891723959215518"/>
        </c:manualLayout>
      </c:layout>
      <c:bar3DChart>
        <c:barDir val="col"/>
        <c:grouping val="clustered"/>
        <c:varyColors val="0"/>
        <c:ser>
          <c:idx val="0"/>
          <c:order val="0"/>
          <c:spPr>
            <a:solidFill>
              <a:srgbClr val="9D2235"/>
            </a:solidFill>
            <a:ln>
              <a:noFill/>
            </a:ln>
            <a:effectLst>
              <a:outerShdw blurRad="50800" dist="38100" dir="10800000" algn="r" rotWithShape="0">
                <a:prstClr val="black">
                  <a:alpha val="14000"/>
                </a:prstClr>
              </a:outerShdw>
            </a:effectLst>
            <a:sp3d/>
          </c:spPr>
          <c:invertIfNegative val="0"/>
          <c:dPt>
            <c:idx val="0"/>
            <c:invertIfNegative val="0"/>
            <c:bubble3D val="0"/>
            <c:spPr>
              <a:solidFill>
                <a:schemeClr val="accent1"/>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1-21CD-4237-A246-BE64C8105555}"/>
              </c:ext>
            </c:extLst>
          </c:dPt>
          <c:dPt>
            <c:idx val="1"/>
            <c:invertIfNegative val="0"/>
            <c:bubble3D val="0"/>
            <c:spPr>
              <a:solidFill>
                <a:schemeClr val="accent1">
                  <a:lumMod val="60000"/>
                  <a:lumOff val="40000"/>
                </a:schemeClr>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3-21CD-4237-A246-BE64C8105555}"/>
              </c:ext>
            </c:extLst>
          </c:dPt>
          <c:dPt>
            <c:idx val="2"/>
            <c:invertIfNegative val="0"/>
            <c:bubble3D val="0"/>
            <c:spPr>
              <a:solidFill>
                <a:schemeClr val="accent1">
                  <a:lumMod val="40000"/>
                  <a:lumOff val="60000"/>
                </a:schemeClr>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5-21CD-4237-A246-BE64C8105555}"/>
              </c:ext>
            </c:extLst>
          </c:dPt>
          <c:dPt>
            <c:idx val="3"/>
            <c:invertIfNegative val="0"/>
            <c:bubble3D val="0"/>
            <c:spPr>
              <a:solidFill>
                <a:srgbClr val="BBA7A1"/>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7-21CD-4237-A246-BE64C8105555}"/>
              </c:ext>
            </c:extLst>
          </c:dPt>
          <c:dPt>
            <c:idx val="4"/>
            <c:invertIfNegative val="0"/>
            <c:bubble3D val="0"/>
            <c:spPr>
              <a:solidFill>
                <a:schemeClr val="bg2">
                  <a:lumMod val="50000"/>
                </a:schemeClr>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9-21CD-4237-A246-BE64C8105555}"/>
              </c:ext>
            </c:extLst>
          </c:dPt>
          <c:dPt>
            <c:idx val="5"/>
            <c:invertIfNegative val="0"/>
            <c:bubble3D val="0"/>
            <c:spPr>
              <a:solidFill>
                <a:srgbClr val="B5540B"/>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B-21CD-4237-A246-BE64C8105555}"/>
              </c:ext>
            </c:extLst>
          </c:dPt>
          <c:dPt>
            <c:idx val="6"/>
            <c:invertIfNegative val="0"/>
            <c:bubble3D val="0"/>
            <c:spPr>
              <a:solidFill>
                <a:schemeClr val="accent4">
                  <a:lumMod val="75000"/>
                </a:schemeClr>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D-21CD-4237-A246-BE64C8105555}"/>
              </c:ext>
            </c:extLst>
          </c:dPt>
          <c:dPt>
            <c:idx val="7"/>
            <c:invertIfNegative val="0"/>
            <c:bubble3D val="0"/>
            <c:spPr>
              <a:solidFill>
                <a:srgbClr val="C17F78"/>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0F-21CD-4237-A246-BE64C8105555}"/>
              </c:ext>
            </c:extLst>
          </c:dPt>
          <c:dPt>
            <c:idx val="8"/>
            <c:invertIfNegative val="0"/>
            <c:bubble3D val="0"/>
            <c:spPr>
              <a:solidFill>
                <a:schemeClr val="accent6">
                  <a:lumMod val="60000"/>
                  <a:lumOff val="40000"/>
                </a:schemeClr>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11-21CD-4237-A246-BE64C8105555}"/>
              </c:ext>
            </c:extLst>
          </c:dPt>
          <c:dPt>
            <c:idx val="9"/>
            <c:invertIfNegative val="0"/>
            <c:bubble3D val="0"/>
            <c:spPr>
              <a:solidFill>
                <a:schemeClr val="tx1">
                  <a:lumMod val="65000"/>
                  <a:lumOff val="35000"/>
                </a:schemeClr>
              </a:solidFill>
              <a:ln>
                <a:noFill/>
              </a:ln>
              <a:effectLst>
                <a:outerShdw blurRad="50800" dist="38100" dir="10800000" algn="r" rotWithShape="0">
                  <a:prstClr val="black">
                    <a:alpha val="14000"/>
                  </a:prstClr>
                </a:outerShdw>
              </a:effectLst>
              <a:sp3d/>
            </c:spPr>
            <c:extLst>
              <c:ext xmlns:c16="http://schemas.microsoft.com/office/drawing/2014/chart" uri="{C3380CC4-5D6E-409C-BE32-E72D297353CC}">
                <c16:uniqueId val="{00000013-21CD-4237-A246-BE64C8105555}"/>
              </c:ext>
            </c:extLst>
          </c:dPt>
          <c:dLbls>
            <c:dLbl>
              <c:idx val="0"/>
              <c:layout>
                <c:manualLayout>
                  <c:x val="5.1397552988476326E-3"/>
                  <c:y val="0.253692053812260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1CD-4237-A246-BE64C8105555}"/>
                </c:ext>
              </c:extLst>
            </c:dLbl>
            <c:dLbl>
              <c:idx val="1"/>
              <c:layout>
                <c:manualLayout>
                  <c:x val="3.6152760663844393E-3"/>
                  <c:y val="0.106550201879743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1CD-4237-A246-BE64C8105555}"/>
                </c:ext>
              </c:extLst>
            </c:dLbl>
            <c:dLbl>
              <c:idx val="2"/>
              <c:layout>
                <c:manualLayout>
                  <c:x val="3.6152760663843782E-3"/>
                  <c:y val="6.22232181250593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1CD-4237-A246-BE64C8105555}"/>
                </c:ext>
              </c:extLst>
            </c:dLbl>
            <c:dLbl>
              <c:idx val="3"/>
              <c:layout>
                <c:manualLayout>
                  <c:x val="5.4229796911450462E-3"/>
                  <c:y val="5.90079411616880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1CD-4237-A246-BE64C8105555}"/>
                </c:ext>
              </c:extLst>
            </c:dLbl>
            <c:dLbl>
              <c:idx val="4"/>
              <c:layout>
                <c:manualLayout>
                  <c:x val="5.4229796911450462E-3"/>
                  <c:y val="3.7707254826405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1CD-4237-A246-BE64C8105555}"/>
                </c:ext>
              </c:extLst>
            </c:dLbl>
            <c:dLbl>
              <c:idx val="5"/>
              <c:layout>
                <c:manualLayout>
                  <c:x val="7.2306579898770125E-3"/>
                  <c:y val="3.53669274418496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1CD-4237-A246-BE64C8105555}"/>
                </c:ext>
              </c:extLst>
            </c:dLbl>
            <c:dLbl>
              <c:idx val="6"/>
              <c:layout>
                <c:manualLayout>
                  <c:x val="5.4229796911450462E-3"/>
                  <c:y val="3.86289303258929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1CD-4237-A246-BE64C8105555}"/>
                </c:ext>
              </c:extLst>
            </c:dLbl>
            <c:dLbl>
              <c:idx val="7"/>
              <c:layout>
                <c:manualLayout>
                  <c:x val="7.230683315905654E-3"/>
                  <c:y val="4.17027332413752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1CD-4237-A246-BE64C8105555}"/>
                </c:ext>
              </c:extLst>
            </c:dLbl>
            <c:dLbl>
              <c:idx val="8"/>
              <c:layout>
                <c:manualLayout>
                  <c:x val="5.4229934924078091E-3"/>
                  <c:y val="3.8582102663835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21CD-4237-A246-BE64C8105555}"/>
                </c:ext>
              </c:extLst>
            </c:dLbl>
            <c:dLbl>
              <c:idx val="9"/>
              <c:layout>
                <c:manualLayout>
                  <c:x val="5.4229934924076763E-3"/>
                  <c:y val="3.5366927441849633E-2"/>
                </c:manualLayout>
              </c:layout>
              <c:tx>
                <c:rich>
                  <a:bodyPr/>
                  <a:lstStyle/>
                  <a:p>
                    <a:r>
                      <a:rPr lang="en-US" baseline="0"/>
                      <a:t> </a:t>
                    </a:r>
                    <a:fld id="{B3BD708A-47B4-4BC5-B298-BD38CB25C4D9}" type="VALUE">
                      <a:rPr lang="en-US" baseline="0"/>
                      <a:pPr/>
                      <a:t>[VALOR]</a:t>
                    </a:fld>
                    <a:endParaRPr lang="en-US" baseline="0"/>
                  </a:p>
                </c:rich>
              </c:tx>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21CD-4237-A246-BE64C810555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Hoja1!$L$59:$L$68</c:f>
              <c:strCache>
                <c:ptCount val="10"/>
                <c:pt idx="0">
                  <c:v>Ayuntamientos</c:v>
                </c:pt>
                <c:pt idx="1">
                  <c:v>Soc. mercantiles Admin. Local</c:v>
                </c:pt>
                <c:pt idx="2">
                  <c:v>Empresas contratistas GVA</c:v>
                </c:pt>
                <c:pt idx="3">
                  <c:v>Admin. GVA</c:v>
                </c:pt>
                <c:pt idx="4">
                  <c:v>Fundaciones S.P. GVA</c:v>
                </c:pt>
                <c:pt idx="5">
                  <c:v>Sector público instrumental GVA</c:v>
                </c:pt>
                <c:pt idx="6">
                  <c:v>Entidades derecho público GVA</c:v>
                </c:pt>
                <c:pt idx="7">
                  <c:v>Empresa Pública GVA</c:v>
                </c:pt>
                <c:pt idx="8">
                  <c:v>Corporaciones de derecho público</c:v>
                </c:pt>
                <c:pt idx="9">
                  <c:v>Otras</c:v>
                </c:pt>
              </c:strCache>
            </c:strRef>
          </c:cat>
          <c:val>
            <c:numRef>
              <c:f>Hoja1!$M$59:$M$68</c:f>
              <c:numCache>
                <c:formatCode>General</c:formatCode>
                <c:ptCount val="10"/>
                <c:pt idx="0">
                  <c:v>21</c:v>
                </c:pt>
                <c:pt idx="1">
                  <c:v>8</c:v>
                </c:pt>
                <c:pt idx="2">
                  <c:v>3</c:v>
                </c:pt>
                <c:pt idx="3">
                  <c:v>3</c:v>
                </c:pt>
                <c:pt idx="4">
                  <c:v>1</c:v>
                </c:pt>
                <c:pt idx="5">
                  <c:v>1</c:v>
                </c:pt>
                <c:pt idx="6">
                  <c:v>1</c:v>
                </c:pt>
                <c:pt idx="7">
                  <c:v>1</c:v>
                </c:pt>
                <c:pt idx="8">
                  <c:v>1</c:v>
                </c:pt>
                <c:pt idx="9">
                  <c:v>1</c:v>
                </c:pt>
              </c:numCache>
            </c:numRef>
          </c:val>
          <c:shape val="cylinder"/>
          <c:extLst>
            <c:ext xmlns:c16="http://schemas.microsoft.com/office/drawing/2014/chart" uri="{C3380CC4-5D6E-409C-BE32-E72D297353CC}">
              <c16:uniqueId val="{00000014-21CD-4237-A246-BE64C8105555}"/>
            </c:ext>
          </c:extLst>
        </c:ser>
        <c:dLbls>
          <c:showLegendKey val="0"/>
          <c:showVal val="0"/>
          <c:showCatName val="0"/>
          <c:showSerName val="0"/>
          <c:showPercent val="0"/>
          <c:showBubbleSize val="0"/>
        </c:dLbls>
        <c:gapWidth val="150"/>
        <c:shape val="box"/>
        <c:axId val="1262437407"/>
        <c:axId val="1262689343"/>
        <c:axId val="0"/>
      </c:bar3DChart>
      <c:catAx>
        <c:axId val="1262437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9D2235"/>
                </a:solidFill>
                <a:latin typeface="Arial" panose="020B0604020202020204" pitchFamily="34" charset="0"/>
                <a:ea typeface="+mn-ea"/>
                <a:cs typeface="Arial" panose="020B0604020202020204" pitchFamily="34" charset="0"/>
              </a:defRPr>
            </a:pPr>
            <a:endParaRPr lang="ca-ES-valencia"/>
          </a:p>
        </c:txPr>
        <c:crossAx val="1262689343"/>
        <c:crosses val="autoZero"/>
        <c:auto val="1"/>
        <c:lblAlgn val="ctr"/>
        <c:lblOffset val="100"/>
        <c:noMultiLvlLbl val="0"/>
      </c:catAx>
      <c:valAx>
        <c:axId val="1262689343"/>
        <c:scaling>
          <c:orientation val="minMax"/>
          <c:min val="0"/>
        </c:scaling>
        <c:delete val="1"/>
        <c:axPos val="l"/>
        <c:majorGridlines>
          <c:spPr>
            <a:ln w="9525" cap="flat" cmpd="sng" algn="ctr">
              <a:noFill/>
              <a:round/>
            </a:ln>
            <a:effectLst/>
          </c:spPr>
        </c:majorGridlines>
        <c:numFmt formatCode="General" sourceLinked="1"/>
        <c:majorTickMark val="none"/>
        <c:minorTickMark val="none"/>
        <c:tickLblPos val="nextTo"/>
        <c:crossAx val="1262437407"/>
        <c:crosses val="autoZero"/>
        <c:crossBetween val="between"/>
        <c:majorUnit val="1"/>
      </c:valAx>
      <c:spPr>
        <a:gradFill>
          <a:gsLst>
            <a:gs pos="0">
              <a:schemeClr val="accent6">
                <a:lumMod val="5000"/>
                <a:lumOff val="95000"/>
              </a:schemeClr>
            </a:gs>
            <a:gs pos="74000">
              <a:schemeClr val="bg1">
                <a:lumMod val="95000"/>
              </a:schemeClr>
            </a:gs>
            <a:gs pos="83000">
              <a:schemeClr val="bg1">
                <a:lumMod val="85000"/>
              </a:schemeClr>
            </a:gs>
            <a:gs pos="100000">
              <a:schemeClr val="bg1">
                <a:lumMod val="85000"/>
              </a:schemeClr>
            </a:gs>
          </a:gsLst>
          <a:lin ang="5400000" scaled="1"/>
        </a:gradFill>
        <a:ln w="6350">
          <a:solidFill>
            <a:srgbClr val="B3B3B3"/>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ln w="9525">
              <a:noFill/>
            </a:ln>
            <a:effectLst>
              <a:outerShdw blurRad="50800" dist="38100" dir="2700000" algn="tl" rotWithShape="0">
                <a:prstClr val="black">
                  <a:alpha val="40000"/>
                </a:prstClr>
              </a:outerShdw>
            </a:effectLst>
          </c:spPr>
          <c:explosion val="15"/>
          <c:dPt>
            <c:idx val="0"/>
            <c:bubble3D val="0"/>
            <c:spPr>
              <a:solidFill>
                <a:srgbClr val="9D2235"/>
              </a:solidFill>
              <a:ln w="9525">
                <a:noFill/>
              </a:ln>
              <a:effectLst>
                <a:outerShdw blurRad="50800" dist="38100" dir="2700000" algn="tl" rotWithShape="0">
                  <a:prstClr val="black">
                    <a:alpha val="40000"/>
                  </a:prstClr>
                </a:outerShdw>
              </a:effectLst>
              <a:sp3d>
                <a:contourClr>
                  <a:schemeClr val="tx1"/>
                </a:contourClr>
              </a:sp3d>
            </c:spPr>
            <c:extLst>
              <c:ext xmlns:c16="http://schemas.microsoft.com/office/drawing/2014/chart" uri="{C3380CC4-5D6E-409C-BE32-E72D297353CC}">
                <c16:uniqueId val="{00000001-EA33-4779-9AD1-AD2093608935}"/>
              </c:ext>
            </c:extLst>
          </c:dPt>
          <c:dPt>
            <c:idx val="1"/>
            <c:bubble3D val="0"/>
            <c:spPr>
              <a:solidFill>
                <a:srgbClr val="EABAC2"/>
              </a:solidFill>
              <a:ln w="9525">
                <a:noFill/>
              </a:ln>
              <a:effectLst>
                <a:outerShdw blurRad="50800" dist="38100" dir="2700000" algn="tl" rotWithShape="0">
                  <a:prstClr val="black">
                    <a:alpha val="40000"/>
                  </a:prstClr>
                </a:outerShdw>
              </a:effectLst>
              <a:sp3d>
                <a:contourClr>
                  <a:schemeClr val="tx1"/>
                </a:contourClr>
              </a:sp3d>
            </c:spPr>
            <c:extLst>
              <c:ext xmlns:c16="http://schemas.microsoft.com/office/drawing/2014/chart" uri="{C3380CC4-5D6E-409C-BE32-E72D297353CC}">
                <c16:uniqueId val="{00000003-EA33-4779-9AD1-AD2093608935}"/>
              </c:ext>
            </c:extLst>
          </c:dPt>
          <c:dPt>
            <c:idx val="2"/>
            <c:bubble3D val="0"/>
            <c:spPr>
              <a:solidFill>
                <a:srgbClr val="666666"/>
              </a:solidFill>
              <a:ln w="9525">
                <a:noFill/>
              </a:ln>
              <a:effectLst>
                <a:outerShdw blurRad="50800" dist="38100" dir="2700000" algn="tl" rotWithShape="0">
                  <a:prstClr val="black">
                    <a:alpha val="40000"/>
                  </a:prstClr>
                </a:outerShdw>
              </a:effectLst>
              <a:sp3d>
                <a:contourClr>
                  <a:schemeClr val="tx1"/>
                </a:contourClr>
              </a:sp3d>
            </c:spPr>
            <c:extLst>
              <c:ext xmlns:c16="http://schemas.microsoft.com/office/drawing/2014/chart" uri="{C3380CC4-5D6E-409C-BE32-E72D297353CC}">
                <c16:uniqueId val="{00000005-EA33-4779-9AD1-AD2093608935}"/>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ca-ES-valenci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Hoja1!$L$87:$L$89</c:f>
              <c:strCache>
                <c:ptCount val="3"/>
                <c:pt idx="0">
                  <c:v>Alicante</c:v>
                </c:pt>
                <c:pt idx="1">
                  <c:v>Castellón</c:v>
                </c:pt>
                <c:pt idx="2">
                  <c:v>Valencia</c:v>
                </c:pt>
              </c:strCache>
            </c:strRef>
          </c:cat>
          <c:val>
            <c:numRef>
              <c:f>Hoja1!$N$87:$N$89</c:f>
              <c:numCache>
                <c:formatCode>General</c:formatCode>
                <c:ptCount val="3"/>
                <c:pt idx="0">
                  <c:v>18</c:v>
                </c:pt>
                <c:pt idx="1">
                  <c:v>5</c:v>
                </c:pt>
                <c:pt idx="2">
                  <c:v>18</c:v>
                </c:pt>
              </c:numCache>
            </c:numRef>
          </c:val>
          <c:extLst>
            <c:ext xmlns:c16="http://schemas.microsoft.com/office/drawing/2014/chart" uri="{C3380CC4-5D6E-409C-BE32-E72D297353CC}">
              <c16:uniqueId val="{00000006-EA33-4779-9AD1-AD2093608935}"/>
            </c:ext>
          </c:extLst>
        </c:ser>
        <c:dLbls>
          <c:showLegendKey val="0"/>
          <c:showVal val="0"/>
          <c:showCatName val="0"/>
          <c:showSerName val="0"/>
          <c:showPercent val="1"/>
          <c:showBubbleSize val="0"/>
          <c:showLeaderLines val="1"/>
        </c:dLbls>
      </c:pie3DChart>
      <c:spPr>
        <a:noFill/>
        <a:ln>
          <a:noFill/>
        </a:ln>
        <a:effectLst>
          <a:glow>
            <a:schemeClr val="accent1">
              <a:alpha val="40000"/>
            </a:schemeClr>
          </a:glow>
        </a:effectLst>
      </c:spPr>
    </c:plotArea>
    <c:legend>
      <c:legendPos val="r"/>
      <c:layout>
        <c:manualLayout>
          <c:xMode val="edge"/>
          <c:yMode val="edge"/>
          <c:x val="0.77959603790864929"/>
          <c:y val="0.44852233426663757"/>
          <c:w val="0.14457380327516473"/>
          <c:h val="0.2258352354951951"/>
        </c:manualLayout>
      </c:layout>
      <c:overlay val="0"/>
      <c:spPr>
        <a:solidFill>
          <a:schemeClr val="bg1">
            <a:lumMod val="95000"/>
          </a:schemeClr>
        </a:solid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ca-ES-valenci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gradFill>
        <a:ln>
          <a:noFill/>
        </a:ln>
        <a:effectLst/>
        <a:sp3d/>
      </c:spPr>
    </c:floor>
    <c:sideWall>
      <c:thickness val="0"/>
      <c:spPr>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gradFill>
        <a:ln>
          <a:noFill/>
        </a:ln>
        <a:effectLst/>
        <a:sp3d/>
      </c:spPr>
    </c:sideWall>
    <c:backWall>
      <c:thickness val="0"/>
      <c:spPr>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grad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Pt>
            <c:idx val="0"/>
            <c:invertIfNegative val="0"/>
            <c:bubble3D val="0"/>
            <c:spPr>
              <a:solidFill>
                <a:schemeClr val="bg2">
                  <a:lumMod val="50000"/>
                </a:schemeClr>
              </a:solidFill>
              <a:ln>
                <a:noFill/>
              </a:ln>
              <a:effectLst/>
              <a:sp3d/>
            </c:spPr>
            <c:extLst>
              <c:ext xmlns:c16="http://schemas.microsoft.com/office/drawing/2014/chart" uri="{C3380CC4-5D6E-409C-BE32-E72D297353CC}">
                <c16:uniqueId val="{00000001-9D93-47C4-82B3-A7BDF5524A8C}"/>
              </c:ext>
            </c:extLst>
          </c:dPt>
          <c:dPt>
            <c:idx val="1"/>
            <c:invertIfNegative val="0"/>
            <c:bubble3D val="0"/>
            <c:spPr>
              <a:solidFill>
                <a:schemeClr val="bg2">
                  <a:lumMod val="75000"/>
                </a:schemeClr>
              </a:solidFill>
              <a:ln>
                <a:noFill/>
              </a:ln>
              <a:effectLst/>
              <a:sp3d/>
            </c:spPr>
            <c:extLst>
              <c:ext xmlns:c16="http://schemas.microsoft.com/office/drawing/2014/chart" uri="{C3380CC4-5D6E-409C-BE32-E72D297353CC}">
                <c16:uniqueId val="{00000003-9D93-47C4-82B3-A7BDF5524A8C}"/>
              </c:ext>
            </c:extLst>
          </c:dPt>
          <c:dPt>
            <c:idx val="2"/>
            <c:invertIfNegative val="0"/>
            <c:bubble3D val="0"/>
            <c:spPr>
              <a:solidFill>
                <a:schemeClr val="accent4">
                  <a:lumMod val="50000"/>
                </a:schemeClr>
              </a:solidFill>
              <a:ln>
                <a:noFill/>
              </a:ln>
              <a:effectLst/>
              <a:sp3d/>
            </c:spPr>
            <c:extLst>
              <c:ext xmlns:c16="http://schemas.microsoft.com/office/drawing/2014/chart" uri="{C3380CC4-5D6E-409C-BE32-E72D297353CC}">
                <c16:uniqueId val="{00000005-9D93-47C4-82B3-A7BDF5524A8C}"/>
              </c:ext>
            </c:extLst>
          </c:dPt>
          <c:dPt>
            <c:idx val="3"/>
            <c:invertIfNegative val="0"/>
            <c:bubble3D val="0"/>
            <c:spPr>
              <a:solidFill>
                <a:schemeClr val="accent4">
                  <a:lumMod val="75000"/>
                </a:schemeClr>
              </a:solidFill>
              <a:ln>
                <a:noFill/>
              </a:ln>
              <a:effectLst/>
              <a:sp3d/>
            </c:spPr>
            <c:extLst>
              <c:ext xmlns:c16="http://schemas.microsoft.com/office/drawing/2014/chart" uri="{C3380CC4-5D6E-409C-BE32-E72D297353CC}">
                <c16:uniqueId val="{00000007-9D93-47C4-82B3-A7BDF5524A8C}"/>
              </c:ext>
            </c:extLst>
          </c:dPt>
          <c:dPt>
            <c:idx val="4"/>
            <c:invertIfNegative val="0"/>
            <c:bubble3D val="0"/>
            <c:spPr>
              <a:solidFill>
                <a:schemeClr val="accent4">
                  <a:lumMod val="60000"/>
                  <a:lumOff val="40000"/>
                </a:schemeClr>
              </a:solidFill>
              <a:ln>
                <a:noFill/>
              </a:ln>
              <a:effectLst/>
              <a:sp3d/>
            </c:spPr>
            <c:extLst>
              <c:ext xmlns:c16="http://schemas.microsoft.com/office/drawing/2014/chart" uri="{C3380CC4-5D6E-409C-BE32-E72D297353CC}">
                <c16:uniqueId val="{00000009-9D93-47C4-82B3-A7BDF5524A8C}"/>
              </c:ext>
            </c:extLst>
          </c:dPt>
          <c:dPt>
            <c:idx val="5"/>
            <c:invertIfNegative val="0"/>
            <c:bubble3D val="0"/>
            <c:spPr>
              <a:solidFill>
                <a:schemeClr val="accent1"/>
              </a:solidFill>
              <a:ln>
                <a:noFill/>
              </a:ln>
              <a:effectLst/>
              <a:sp3d/>
            </c:spPr>
            <c:extLst>
              <c:ext xmlns:c16="http://schemas.microsoft.com/office/drawing/2014/chart" uri="{C3380CC4-5D6E-409C-BE32-E72D297353CC}">
                <c16:uniqueId val="{0000000B-9D93-47C4-82B3-A7BDF5524A8C}"/>
              </c:ext>
            </c:extLst>
          </c:dPt>
          <c:dPt>
            <c:idx val="6"/>
            <c:invertIfNegative val="0"/>
            <c:bubble3D val="0"/>
            <c:spPr>
              <a:solidFill>
                <a:srgbClr val="C42A44"/>
              </a:solidFill>
              <a:ln>
                <a:noFill/>
              </a:ln>
              <a:effectLst/>
              <a:sp3d/>
            </c:spPr>
            <c:extLst>
              <c:ext xmlns:c16="http://schemas.microsoft.com/office/drawing/2014/chart" uri="{C3380CC4-5D6E-409C-BE32-E72D297353CC}">
                <c16:uniqueId val="{0000000D-9D93-47C4-82B3-A7BDF5524A8C}"/>
              </c:ext>
            </c:extLst>
          </c:dPt>
          <c:dPt>
            <c:idx val="7"/>
            <c:invertIfNegative val="0"/>
            <c:bubble3D val="0"/>
            <c:spPr>
              <a:solidFill>
                <a:schemeClr val="accent1">
                  <a:lumMod val="60000"/>
                  <a:lumOff val="40000"/>
                </a:schemeClr>
              </a:solidFill>
              <a:ln>
                <a:noFill/>
              </a:ln>
              <a:effectLst/>
              <a:sp3d/>
            </c:spPr>
            <c:extLst>
              <c:ext xmlns:c16="http://schemas.microsoft.com/office/drawing/2014/chart" uri="{C3380CC4-5D6E-409C-BE32-E72D297353CC}">
                <c16:uniqueId val="{0000000F-9D93-47C4-82B3-A7BDF5524A8C}"/>
              </c:ext>
            </c:extLst>
          </c:dPt>
          <c:dPt>
            <c:idx val="8"/>
            <c:invertIfNegative val="0"/>
            <c:bubble3D val="0"/>
            <c:spPr>
              <a:solidFill>
                <a:schemeClr val="accent1">
                  <a:lumMod val="40000"/>
                  <a:lumOff val="60000"/>
                </a:schemeClr>
              </a:solidFill>
              <a:ln>
                <a:noFill/>
              </a:ln>
              <a:effectLst/>
              <a:sp3d/>
            </c:spPr>
            <c:extLst>
              <c:ext xmlns:c16="http://schemas.microsoft.com/office/drawing/2014/chart" uri="{C3380CC4-5D6E-409C-BE32-E72D297353CC}">
                <c16:uniqueId val="{00000011-9D93-47C4-82B3-A7BDF5524A8C}"/>
              </c:ext>
            </c:extLst>
          </c:dPt>
          <c:dLbls>
            <c:dLbl>
              <c:idx val="0"/>
              <c:layout>
                <c:manualLayout>
                  <c:x val="-0.29797979797979812"/>
                  <c:y val="-1.6975112544026657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93-47C4-82B3-A7BDF5524A8C}"/>
                </c:ext>
              </c:extLst>
            </c:dLbl>
            <c:dLbl>
              <c:idx val="1"/>
              <c:layout>
                <c:manualLayout>
                  <c:x val="-0.28451178451178449"/>
                  <c:y val="-4.62962962962954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D93-47C4-82B3-A7BDF5524A8C}"/>
                </c:ext>
              </c:extLst>
            </c:dLbl>
            <c:dLbl>
              <c:idx val="2"/>
              <c:layout>
                <c:manualLayout>
                  <c:x val="-0.22222222222222221"/>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D93-47C4-82B3-A7BDF5524A8C}"/>
                </c:ext>
              </c:extLst>
            </c:dLbl>
            <c:dLbl>
              <c:idx val="3"/>
              <c:layout>
                <c:manualLayout>
                  <c:x val="-0.1599326599326599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D93-47C4-82B3-A7BDF5524A8C}"/>
                </c:ext>
              </c:extLst>
            </c:dLbl>
            <c:dLbl>
              <c:idx val="4"/>
              <c:layout>
                <c:manualLayout>
                  <c:x val="-8.8888888888888989E-2"/>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D93-47C4-82B3-A7BDF5524A8C}"/>
                </c:ext>
              </c:extLst>
            </c:dLbl>
            <c:dLbl>
              <c:idx val="5"/>
              <c:layout>
                <c:manualLayout>
                  <c:x val="-6.6666666666666763E-2"/>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D93-47C4-82B3-A7BDF5524A8C}"/>
                </c:ext>
              </c:extLst>
            </c:dLbl>
            <c:dLbl>
              <c:idx val="6"/>
              <c:layout>
                <c:manualLayout>
                  <c:x val="-6.6666666666666763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D93-47C4-82B3-A7BDF5524A8C}"/>
                </c:ext>
              </c:extLst>
            </c:dLbl>
            <c:dLbl>
              <c:idx val="7"/>
              <c:layout>
                <c:manualLayout>
                  <c:x val="-6.6666666666666763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D93-47C4-82B3-A7BDF5524A8C}"/>
                </c:ext>
              </c:extLst>
            </c:dLbl>
            <c:dLbl>
              <c:idx val="8"/>
              <c:layout>
                <c:manualLayout>
                  <c:x val="-4.1666666666666664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D93-47C4-82B3-A7BDF5524A8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a-ES-valenci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Hoja1!$M$168:$M$176</c:f>
              <c:strCache>
                <c:ptCount val="9"/>
                <c:pt idx="0">
                  <c:v>Contratación administrativa</c:v>
                </c:pt>
                <c:pt idx="1">
                  <c:v>Acceso función pública y selección personal</c:v>
                </c:pt>
                <c:pt idx="2">
                  <c:v>Gestión de personal (provisión, retribuciones, etc.)</c:v>
                </c:pt>
                <c:pt idx="3">
                  <c:v>Funcionamiento servicios públicos policía local</c:v>
                </c:pt>
                <c:pt idx="4">
                  <c:v>Subvenciones</c:v>
                </c:pt>
                <c:pt idx="5">
                  <c:v>Urbanismo</c:v>
                </c:pt>
                <c:pt idx="6">
                  <c:v>Fuera del ámbito de la Agencia</c:v>
                </c:pt>
                <c:pt idx="7">
                  <c:v>Funcionamiento de servicios sociales</c:v>
                </c:pt>
                <c:pt idx="8">
                  <c:v>Funcionamiento servicio de salud</c:v>
                </c:pt>
              </c:strCache>
            </c:strRef>
          </c:cat>
          <c:val>
            <c:numRef>
              <c:f>Hoja1!$N$168:$N$176</c:f>
              <c:numCache>
                <c:formatCode>General</c:formatCode>
                <c:ptCount val="9"/>
                <c:pt idx="0">
                  <c:v>10</c:v>
                </c:pt>
                <c:pt idx="1">
                  <c:v>9</c:v>
                </c:pt>
                <c:pt idx="2">
                  <c:v>7</c:v>
                </c:pt>
                <c:pt idx="3">
                  <c:v>5</c:v>
                </c:pt>
                <c:pt idx="4">
                  <c:v>3</c:v>
                </c:pt>
                <c:pt idx="5">
                  <c:v>2</c:v>
                </c:pt>
                <c:pt idx="6">
                  <c:v>2</c:v>
                </c:pt>
                <c:pt idx="7">
                  <c:v>2</c:v>
                </c:pt>
                <c:pt idx="8">
                  <c:v>1</c:v>
                </c:pt>
              </c:numCache>
            </c:numRef>
          </c:val>
          <c:shape val="cylinder"/>
          <c:extLst>
            <c:ext xmlns:c16="http://schemas.microsoft.com/office/drawing/2014/chart" uri="{C3380CC4-5D6E-409C-BE32-E72D297353CC}">
              <c16:uniqueId val="{00000012-9D93-47C4-82B3-A7BDF5524A8C}"/>
            </c:ext>
          </c:extLst>
        </c:ser>
        <c:dLbls>
          <c:showLegendKey val="0"/>
          <c:showVal val="0"/>
          <c:showCatName val="0"/>
          <c:showSerName val="0"/>
          <c:showPercent val="0"/>
          <c:showBubbleSize val="0"/>
        </c:dLbls>
        <c:gapWidth val="87"/>
        <c:shape val="box"/>
        <c:axId val="1506807999"/>
        <c:axId val="1506808415"/>
        <c:axId val="0"/>
      </c:bar3DChart>
      <c:catAx>
        <c:axId val="1506807999"/>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accent1"/>
                </a:solidFill>
                <a:latin typeface="Arial" panose="020B0604020202020204" pitchFamily="34" charset="0"/>
                <a:ea typeface="+mn-ea"/>
                <a:cs typeface="Arial" panose="020B0604020202020204" pitchFamily="34" charset="0"/>
              </a:defRPr>
            </a:pPr>
            <a:endParaRPr lang="ca-ES-valencia"/>
          </a:p>
        </c:txPr>
        <c:crossAx val="1506808415"/>
        <c:crosses val="autoZero"/>
        <c:auto val="1"/>
        <c:lblAlgn val="ctr"/>
        <c:lblOffset val="100"/>
        <c:noMultiLvlLbl val="0"/>
      </c:catAx>
      <c:valAx>
        <c:axId val="150680841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a-ES-valencia"/>
          </a:p>
        </c:txPr>
        <c:crossAx val="15068079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ca-ES-valencia"/>
    </a:p>
  </c:txPr>
  <c:externalData r:id="rId4">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Gama_AVAF">
    <a:dk1>
      <a:sysClr val="windowText" lastClr="000000"/>
    </a:dk1>
    <a:lt1>
      <a:sysClr val="window" lastClr="FFFFFF"/>
    </a:lt1>
    <a:dk2>
      <a:srgbClr val="39302A"/>
    </a:dk2>
    <a:lt2>
      <a:srgbClr val="E5DEDB"/>
    </a:lt2>
    <a:accent1>
      <a:srgbClr val="9D2235"/>
    </a:accent1>
    <a:accent2>
      <a:srgbClr val="C6C6C6"/>
    </a:accent2>
    <a:accent3>
      <a:srgbClr val="EABAC2"/>
    </a:accent3>
    <a:accent4>
      <a:srgbClr val="CE9FA1"/>
    </a:accent4>
    <a:accent5>
      <a:srgbClr val="D8C1BD"/>
    </a:accent5>
    <a:accent6>
      <a:srgbClr val="5B6770"/>
    </a:accent6>
    <a:hlink>
      <a:srgbClr val="0070C0"/>
    </a:hlink>
    <a:folHlink>
      <a:srgbClr val="9D223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ACA77B-C738-4674-B5BD-0D77F1F48C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375</Pages>
  <Words>132920</Words>
  <Characters>757648</Characters>
  <Application>Microsoft Office Word</Application>
  <DocSecurity>0</DocSecurity>
  <Lines>6313</Lines>
  <Paragraphs>1777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888791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2022-03-25T13:07:00Z</dcterms:created>
  <dcterms:modified xsi:type="dcterms:W3CDTF">2022-06-28T10:35:00Z</dcterms:modified>
</cp:coreProperties>
</file>